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83-0406195</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0"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0"/>
          <w:szCs w:val="20"/>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60"/>
        <w:spacing w:after="0" w:line="207" w:lineRule="exact"/>
        <w:tabs>
          <w:tab w:leader="none" w:pos="88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30, 2018, the registrant had 34,377,293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2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156"/>
        </w:trPr>
        <w:tc>
          <w:tcPr>
            <w:tcW w:w="10820" w:type="dxa"/>
            <w:vAlign w:val="bottom"/>
            <w:gridSpan w:val="21"/>
            <w:vMerge w:val="continue"/>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40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Interim Consolidated Financial Statements (Unaudited)</w:t>
              </w:r>
            </w:hyperlink>
          </w:p>
        </w:tc>
        <w:tc>
          <w:tcPr>
            <w:tcW w:w="5480" w:type="dxa"/>
            <w:vAlign w:val="bottom"/>
            <w:gridSpan w:val="9"/>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MagnaChip Semiconductor Corporation and Subsidiaries Consolidated Balance Sheets as of March 31, 2018 and</w:t>
              </w:r>
            </w:hyperlink>
          </w:p>
        </w:tc>
        <w:tc>
          <w:tcPr>
            <w:tcW w:w="132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December 31, 2017</w:t>
              </w:r>
            </w:hyperlink>
          </w:p>
        </w:tc>
        <w:tc>
          <w:tcPr>
            <w:tcW w:w="7880" w:type="dxa"/>
            <w:vAlign w:val="bottom"/>
            <w:gridSpan w:val="1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MagnaChip Semiconductor Corporation and Subsidiaries Consolidated Statements of Operations for the Three Months Ended</w:t>
              </w:r>
            </w:hyperlink>
          </w:p>
        </w:tc>
        <w:tc>
          <w:tcPr>
            <w:tcW w:w="40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2018 and March 31, 2017</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19"/>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MagnaChip Semiconductor Corporation and Subsidiaries Consolidated Statements of Comprehensive Income (Loss) for the</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2018 and March 31, 2017</w:t>
              </w:r>
            </w:hyperlink>
          </w:p>
        </w:tc>
        <w:tc>
          <w:tcPr>
            <w:tcW w:w="540" w:type="dxa"/>
            <w:vAlign w:val="bottom"/>
            <w:gridSpan w:val="4"/>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MagnaChip Semiconductor Corporation and Subsidiaries Consolidated Statements of Changes in Stockholders’ Equity for the</w:t>
              </w:r>
            </w:hyperlink>
          </w:p>
        </w:tc>
        <w:tc>
          <w:tcPr>
            <w:tcW w:w="3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Three Months Ended March 31, 2018 and March 31, 2017</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MagnaChip Semiconductor Corporation and Subsidiaries Consolidated Statements of Cash Flows for the Three Months Ended</w:t>
              </w:r>
            </w:hyperlink>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March 31, 2018 and March 31, 2017</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MagnaChip Semiconductor Corporation and Subsidiaries Notes to Consolidated Financial Statements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7320" w:type="dxa"/>
            <w:vAlign w:val="bottom"/>
            <w:tcBorders>
              <w:top w:val="single" w:sz="8" w:color="0000EE"/>
            </w:tcBorders>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2160" w:type="dxa"/>
            <w:vAlign w:val="bottom"/>
            <w:gridSpan w:val="6"/>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3020" w:type="dxa"/>
            <w:vAlign w:val="bottom"/>
            <w:gridSpan w:val="7"/>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Controls and Procedures</w:t>
              </w:r>
            </w:hyperlink>
          </w:p>
        </w:tc>
        <w:tc>
          <w:tcPr>
            <w:tcW w:w="2600" w:type="dxa"/>
            <w:vAlign w:val="bottom"/>
            <w:tcBorders>
              <w:top w:val="single" w:sz="8" w:color="0000EE"/>
            </w:tcBorders>
            <w:gridSpan w:val="3"/>
          </w:tcPr>
          <w:p>
            <w:pPr>
              <w:spacing w:after="0"/>
              <w:rPr>
                <w:sz w:val="24"/>
                <w:szCs w:val="24"/>
                <w:color w:val="auto"/>
              </w:rPr>
            </w:pPr>
          </w:p>
        </w:tc>
        <w:tc>
          <w:tcPr>
            <w:tcW w:w="5100" w:type="dxa"/>
            <w:vAlign w:val="bottom"/>
            <w:gridSpan w:val="8"/>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2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PART II OTHER INFORMATION</w:t>
              </w:r>
            </w:hyperlink>
          </w:p>
        </w:tc>
        <w:tc>
          <w:tcPr>
            <w:tcW w:w="8280" w:type="dxa"/>
            <w:vAlign w:val="bottom"/>
            <w:gridSpan w:val="15"/>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Legal Proceedings</w:t>
              </w:r>
            </w:hyperlink>
          </w:p>
        </w:tc>
        <w:tc>
          <w:tcPr>
            <w:tcW w:w="8140" w:type="dxa"/>
            <w:vAlign w:val="bottom"/>
            <w:gridSpan w:val="14"/>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48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8580" w:type="dxa"/>
            <w:vAlign w:val="bottom"/>
            <w:gridSpan w:val="16"/>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760" w:type="dxa"/>
            <w:vAlign w:val="bottom"/>
          </w:tcPr>
          <w:p>
            <w:pPr>
              <w:ind w:left="38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760" w:type="dxa"/>
            <w:vAlign w:val="bottom"/>
          </w:tcPr>
          <w:p>
            <w:pPr>
              <w:ind w:left="218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760" w:type="dxa"/>
            <w:vAlign w:val="bottom"/>
          </w:tcPr>
          <w:p>
            <w:pPr>
              <w:ind w:left="3120"/>
              <w:spacing w:after="0"/>
              <w:rPr>
                <w:sz w:val="20"/>
                <w:szCs w:val="20"/>
                <w:color w:val="auto"/>
              </w:rPr>
            </w:pPr>
            <w:r>
              <w:rPr>
                <w:rFonts w:ascii="Arial" w:cs="Arial" w:eastAsia="Arial" w:hAnsi="Arial"/>
                <w:sz w:val="18"/>
                <w:szCs w:val="18"/>
                <w:b w:val="1"/>
                <w:bCs w:val="1"/>
                <w:color w:val="auto"/>
              </w:rPr>
              <w:t>CONSOLIDATED BALANCE SHEETS (Unaudited)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4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8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4"/>
          </w:tcPr>
          <w:p>
            <w:pPr>
              <w:jc w:val="right"/>
              <w:ind w:right="7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4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Assets</w:t>
            </w:r>
          </w:p>
        </w:tc>
        <w:tc>
          <w:tcPr>
            <w:tcW w:w="8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123,136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128,575</w:t>
            </w:r>
          </w:p>
        </w:tc>
        <w:tc>
          <w:tcPr>
            <w:tcW w:w="0" w:type="dxa"/>
            <w:vAlign w:val="bottom"/>
          </w:tcPr>
          <w:p>
            <w:pPr>
              <w:spacing w:after="0"/>
              <w:rPr>
                <w:sz w:val="1"/>
                <w:szCs w:val="1"/>
                <w:color w:val="auto"/>
              </w:rPr>
            </w:pP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88,854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92,026</w:t>
            </w: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39,161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56,658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73,073</w:t>
            </w: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13,807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Hedge collateral (Note 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23"/>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Other current assets (Notes 8 and 18)</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344,173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330,260</w:t>
            </w:r>
          </w:p>
        </w:tc>
        <w:tc>
          <w:tcPr>
            <w:tcW w:w="0" w:type="dxa"/>
            <w:vAlign w:val="bottom"/>
          </w:tcPr>
          <w:p>
            <w:pPr>
              <w:spacing w:after="0"/>
              <w:rPr>
                <w:sz w:val="1"/>
                <w:szCs w:val="1"/>
                <w:color w:val="auto"/>
              </w:rPr>
            </w:pP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205,076</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Long-term 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14,306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12,791</w:t>
            </w: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6,511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574,668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558,789</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69,540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65,940</w:t>
            </w: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44,908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51,746</w:t>
            </w: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13,202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23"/>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138,969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138,142</w:t>
            </w:r>
          </w:p>
        </w:tc>
        <w:tc>
          <w:tcPr>
            <w:tcW w:w="0" w:type="dxa"/>
            <w:vAlign w:val="bottom"/>
          </w:tcPr>
          <w:p>
            <w:pPr>
              <w:spacing w:after="0"/>
              <w:rPr>
                <w:sz w:val="1"/>
                <w:szCs w:val="1"/>
                <w:color w:val="auto"/>
              </w:rPr>
            </w:pP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color w:val="auto"/>
              </w:rPr>
              <w:t>Long-term borrowings,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303,948</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151,889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148,905</w:t>
            </w:r>
          </w:p>
        </w:tc>
        <w:tc>
          <w:tcPr>
            <w:tcW w:w="0" w:type="dxa"/>
            <w:vAlign w:val="bottom"/>
          </w:tcPr>
          <w:p>
            <w:pPr>
              <w:spacing w:after="0"/>
              <w:rPr>
                <w:sz w:val="1"/>
                <w:szCs w:val="1"/>
                <w:color w:val="auto"/>
              </w:rPr>
            </w:pP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604,602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598,426</w:t>
            </w:r>
          </w:p>
        </w:tc>
        <w:tc>
          <w:tcPr>
            <w:tcW w:w="0" w:type="dxa"/>
            <w:vAlign w:val="bottom"/>
          </w:tcPr>
          <w:p>
            <w:pPr>
              <w:spacing w:after="0"/>
              <w:rPr>
                <w:sz w:val="1"/>
                <w:szCs w:val="1"/>
                <w:color w:val="auto"/>
              </w:rPr>
            </w:pP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18)</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3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3"/>
              </w:rPr>
              <w:t>Common stock, $0.01 par value, 150,000,000 shares authorized, 42,749,168 shares issued and 34,374,959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at March 31, 2018 and 42,563,808 shares issued and 34,189,599 outstanding at December 31,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137,869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136,259</w:t>
            </w:r>
          </w:p>
        </w:tc>
        <w:tc>
          <w:tcPr>
            <w:tcW w:w="0" w:type="dxa"/>
            <w:vAlign w:val="bottom"/>
          </w:tcPr>
          <w:p>
            <w:pPr>
              <w:spacing w:after="0"/>
              <w:rPr>
                <w:sz w:val="1"/>
                <w:szCs w:val="1"/>
                <w:color w:val="auto"/>
              </w:rPr>
            </w:pP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(29,642)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(40,889)</w:t>
            </w:r>
          </w:p>
        </w:tc>
        <w:tc>
          <w:tcPr>
            <w:tcW w:w="0" w:type="dxa"/>
            <w:vAlign w:val="bottom"/>
          </w:tcPr>
          <w:p>
            <w:pPr>
              <w:spacing w:after="0"/>
              <w:rPr>
                <w:sz w:val="1"/>
                <w:szCs w:val="1"/>
                <w:color w:val="auto"/>
              </w:rPr>
            </w:pPr>
          </w:p>
        </w:tc>
      </w:tr>
      <w:tr>
        <w:trPr>
          <w:trHeight w:val="216"/>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stock, 8,374,209 shares at March 31, 2018 and December 31, 2017,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(102,319)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(102,319)</w:t>
            </w:r>
          </w:p>
        </w:tc>
        <w:tc>
          <w:tcPr>
            <w:tcW w:w="0" w:type="dxa"/>
            <w:vAlign w:val="bottom"/>
          </w:tcPr>
          <w:p>
            <w:pPr>
              <w:spacing w:after="0"/>
              <w:rPr>
                <w:sz w:val="1"/>
                <w:szCs w:val="1"/>
                <w:color w:val="auto"/>
              </w:rPr>
            </w:pP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(36,270)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(39,637)</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76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574,668</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gridSpan w:val="5"/>
          </w:tcPr>
          <w:p>
            <w:pPr>
              <w:jc w:val="right"/>
              <w:ind w:right="232"/>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165,819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121,238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41,570</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19,580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gain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Early termination charges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35,203</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Foreign currency gain, net</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34,253,111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33,662,297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35,154,693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42,892,044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5"/>
              <w:spacing w:after="0" w:line="119" w:lineRule="exact"/>
              <w:rPr>
                <w:sz w:val="20"/>
                <w:szCs w:val="20"/>
                <w:color w:val="auto"/>
              </w:rPr>
            </w:pPr>
            <w:r>
              <w:rPr>
                <w:rFonts w:ascii="Arial" w:cs="Arial" w:eastAsia="Arial" w:hAnsi="Arial"/>
                <w:sz w:val="13"/>
                <w:szCs w:val="13"/>
                <w:b w:val="1"/>
                <w:bCs w:val="1"/>
                <w:color w:val="auto"/>
                <w:w w:val="99"/>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right"/>
              <w:ind w:right="115"/>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43,738</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700"/>
              <w:spacing w:after="0"/>
              <w:rPr>
                <w:sz w:val="20"/>
                <w:szCs w:val="20"/>
                <w:color w:val="auto"/>
              </w:rPr>
            </w:pPr>
            <w:r>
              <w:rPr>
                <w:rFonts w:ascii="Arial" w:cs="Arial" w:eastAsia="Arial" w:hAnsi="Arial"/>
                <w:sz w:val="18"/>
                <w:szCs w:val="18"/>
                <w:color w:val="auto"/>
              </w:rPr>
              <w:t>Reclassification adjustment for gain on derivatives included in 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(2,606)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(33,318)</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Paid-In</w:t>
            </w:r>
          </w:p>
        </w:tc>
        <w:tc>
          <w:tcPr>
            <w:tcW w:w="9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1"/>
              </w:rPr>
              <w:t>Treasury</w:t>
            </w:r>
          </w:p>
        </w:tc>
        <w:tc>
          <w:tcPr>
            <w:tcW w:w="1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Comprehensive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 of US dollars, except share data)</w:t>
            </w:r>
          </w:p>
        </w:tc>
        <w:tc>
          <w:tcPr>
            <w:tcW w:w="11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2"/>
                <w:szCs w:val="12"/>
                <w:color w:val="auto"/>
              </w:rPr>
            </w:pPr>
          </w:p>
        </w:tc>
        <w:tc>
          <w:tcPr>
            <w:tcW w:w="104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Loss</w:t>
            </w:r>
          </w:p>
        </w:tc>
        <w:tc>
          <w:tcPr>
            <w:tcW w:w="7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Three Months Ended March 31, 2018:</w:t>
            </w:r>
          </w:p>
        </w:tc>
        <w:tc>
          <w:tcPr>
            <w:tcW w:w="15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w w:val="96"/>
              </w:rPr>
              <w:t>Balance at December 31, 2017, as previously reported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34,189,599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426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$136,259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(40,889)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(102,319)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(33,114)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$(39,637)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Impact of adopting the new revenue standard</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2018, as adjusted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34,189,599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426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$136,259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(32,405)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(102,319)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(33,114)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$(31,153)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21,894</w:t>
            </w: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163,466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net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(3,156)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Balance at March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34,374,959</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428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137,869</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(102,319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(29,934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2017:</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2017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35,048,338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416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$130,189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(125,825)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(90,918)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14,024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5"/>
              </w:rPr>
              <w:t>$ (72,114)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233,802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66,992</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Acquisition of treasury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(1,795,444)</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(11,401)</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net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33,553,688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419</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132,705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(102,319)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(19,294)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(70,576)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942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800" w:type="dxa"/>
            <w:vAlign w:val="bottom"/>
            <w:tcBorders>
              <w:top w:val="single" w:sz="8" w:color="auto"/>
            </w:tcBorders>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19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6"/>
              </w:rPr>
              <w:t>(In thousands of 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43,738</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7,958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4,512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(49,059)</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Restructuring and other gain</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3,115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(15,734)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(13,150)</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(2,759)</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4,809</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severance benefits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(38,680)</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Payment of hedge collateral</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plant, property and equipment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Purchase of plant, property and equipment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(7,329)</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senior notes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86,250</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Payment of debt issuance costs</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23"/>
        </w:trPr>
        <w:tc>
          <w:tcPr>
            <w:tcW w:w="942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14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31,021</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the period</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128,575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101,606</w:t>
            </w:r>
          </w:p>
        </w:tc>
        <w:tc>
          <w:tcPr>
            <w:tcW w:w="0" w:type="dxa"/>
            <w:vAlign w:val="bottom"/>
          </w:tcPr>
          <w:p>
            <w:pPr>
              <w:spacing w:after="0"/>
              <w:rPr>
                <w:sz w:val="1"/>
                <w:szCs w:val="1"/>
                <w:color w:val="auto"/>
              </w:rPr>
            </w:pPr>
          </w:p>
        </w:tc>
      </w:tr>
      <w:tr>
        <w:trPr>
          <w:trHeight w:val="223"/>
        </w:trPr>
        <w:tc>
          <w:tcPr>
            <w:tcW w:w="9420" w:type="dxa"/>
            <w:vAlign w:val="bottom"/>
          </w:tcPr>
          <w:p>
            <w:pPr>
              <w:ind w:left="360"/>
              <w:spacing w:after="0"/>
              <w:rPr>
                <w:sz w:val="20"/>
                <w:szCs w:val="20"/>
                <w:color w:val="auto"/>
              </w:rPr>
            </w:pPr>
            <w:r>
              <w:rPr>
                <w:rFonts w:ascii="Arial" w:cs="Arial" w:eastAsia="Arial" w:hAnsi="Arial"/>
                <w:sz w:val="18"/>
                <w:szCs w:val="18"/>
                <w:color w:val="auto"/>
              </w:rPr>
              <w:t>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123,136</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132,627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9,609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additions in other 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w:t>
      </w:r>
      <w:r>
        <w:rPr>
          <w:rFonts w:ascii="Arial" w:cs="Arial" w:eastAsia="Arial" w:hAnsi="Arial"/>
          <w:sz w:val="17"/>
          <w:szCs w:val="17"/>
          <w:i w:val="1"/>
          <w:iCs w:val="1"/>
          <w:color w:val="auto"/>
        </w:rPr>
        <w:t>“Interim Reporting”</w:t>
      </w:r>
      <w:r>
        <w:rPr>
          <w:rFonts w:ascii="Arial" w:cs="Arial" w:eastAsia="Arial" w:hAnsi="Arial"/>
          <w:sz w:val="17"/>
          <w:szCs w:val="17"/>
          <w:color w:val="auto"/>
        </w:rPr>
        <w:t xml:space="preserve"> and, accordingly, do not include all of the information and note disclosures required by US GAAP for complete financial statements, except for the changes below. The results of operations for the three months ended March 31, 2018 are not necessarily indicative of the results to be expected for a full year or for any other periods.</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December 31, 2017 balance sheet data was derived from the Company’s audited financial statements, but does not include all disclosures required by US GAAP.</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adoption of Accounting Standards Update No. 2014-09, “Revenue from Contracts with Customers (Topic 606)” (“ASU 2014-09”) effective on January 1, 2018 (the “new revenue standard”), the Company has updated its accounting policy for revenue recognition as detailed below. As the Company adopted the new revenue standard using the modified retrospective method, which allows the recognition of the cumulative effect of initially applying the new revenue standard as an adjustment to the Company’s equity as of January 1, 2018, the Company has not changed the comparative information within its interim consolidated financial statements for the three months ended March 31, 2017. The comparative information continues to be reported under the accounting standards in effect for that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recognizes revenue when it satisfies a performance obligation by transferring control over a product or service to a customer. Revenue is measured based on a consideration specified in a contract with a customer in exchange for such product or service.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Foundry Services Group of the Company manufactures products based on customers’ specific product designs. The Company recognizes revenue over time for those foundry products without alternative use where the Company has an enforceable right to payment for the related foundry services completed to date. The revenue recognized over time is in proportion of wafer manufacturing costs incurred relative to total estimated costs at completion to measure the Company’s performance to date. However, in certain circumstances, the Company may not have an enforceable right to payment for performed foundry services pursuant to a customer contract or an individual purchase order. In this situation, the Company recognizes revenue when a customer obtains control of the product, which is generally upon product shipment, delivery at the customer’s location or upon customer acceptance, depending on the terms of the arrangement.</w:t>
      </w:r>
    </w:p>
    <w:p>
      <w:pPr>
        <w:spacing w:after="0" w:line="18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Standards Products Group of the Company sells products manufactured based on the Company’s design. The Standard Products Group’s products are either standardized with an alternative use or the Company does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 portion of the Company’s sales are made through distributors for which the Company applies the same revenue recognition guidance as described above. The Company defers recognition of revenue when it receives cash from certain customers and distributors for the sale of products prior to obtaining an enforceable right to payment for performance completed to date or control of the product being transferred to the customer.</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presented in the statement of operations on a net basis.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provides a warranty, under which customers can return defective products. The Company estimates the costs related to those defective product returns and records them as a component of cost of sales.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the Company offers sales returns (other than those that relate to defective products under warranty), cash discounts for early payments, volume rebate and certain allowances to its customers, including distributors. The Company records reserves for those returns, discounts and allowances as a deduction from sales, based on historical experience and other quantitative and qualitative factors.</w:t>
      </w:r>
    </w:p>
    <w:p>
      <w:pPr>
        <w:spacing w:after="0" w:line="18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Substantially all of the Company’s contracts are one year or less in duration. The standard payment terms with customers is generally thirty to sixty days from the time of shipment, product delivery at the customer’s location or customer acceptance, depending on the terms of the related arrangement.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February 2018, the Financial Accounting Standards Board (“FASB”) issued Accounting Standards Update No. 2018-02 “Income Statement— Reporting Comprehensive Income (Topic 220): Reclassification of Certain Tax Effects from Accumulated Other Comprehensive Income” (“ASU 2018-02”). ASU 2018-02 addresses the accounting issue pertaining to the deferred tax amounts that are “stranded” in accumulated other comprehensive income as a result of the Tax Cuts and Jobs Act. ASU 2018-02 is effective for interim and annual periods beginning after December 15, 2018 and interim periods within those fiscal years. The Company does not have deferred tax amounts recorded through accumulated other comprehensive income and thus does not expect that the adoption will have an impact on its consolidated financial statements.</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August 2017, the FASB issued Accounting Standards Update No. 2017-12, “Derivatives and Hedging (Topic 815): Targeted Improvements to Accounting for Hedging Activities” (“ASU 2017-12”).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ASU 2017-12 is effective for interim and annual periods for the Company on January 1, 2019, with early adoption permitted. The Company is currently evaluating the impact of adoption of ASU 2017-12 on its consolidated financial statements.</w:t>
      </w:r>
    </w:p>
    <w:p>
      <w:pPr>
        <w:spacing w:after="0" w:line="18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ASU 2017-11 are effective for fiscal years, and interim periods within those fiscal years, beginning after December 15, 2018. The Company is currently evaluating the impact of adoption of ASU 2017-11 on its consolidated financial statements.</w:t>
      </w:r>
    </w:p>
    <w:p>
      <w:pPr>
        <w:spacing w:after="0" w:line="16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should recognize a liability to make lease payments and a right-of-use asset representing its right to use the underlying asset for the lease term on the balance sheet. ASU 2016-02 is effective for fiscal years beginning after December 15, 2018, including interim periods within those reporting periods using a modified retrospective approach and early adoption is permitted. In January 2018, The FASB issued Accounting Standards Update No 2018-01, “Leases (Topic 842) Land Easement Practical Expedient for Transition to Topic 842” (“ASU 2018-01”). ASU 2018-01 permits an entity to elect an optional transition practical expedient to not evaluate land easements that exist or expired before the entity’s adoption of 2016-02 and that were not accounted for as leases under previous lease guidance. The effective date and transition requirements for ASU 2018-01 and ASU 2016-02 are the same. The Company will adopt this standard on January 1, 2019. The Company is currently evaluating the potential impact of adopting this new guidance. In terms of the Company’s evaluation efforts, the Company has assigned internal resources in addition to the engagement of third party service providers to assist in its evaluation.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 May 2017, the FASB issued Accounting Standards Update No. 2017-09, “Compensation-Stock Compensation (Topic 718): Scope of Modification Accounting” (“ASU 2017-09”). ASU 2017-09 provides clarity and reduces both (i) diversity in practice and (ii) cost and complexity when applying the guidance in Topic 718 to a change to the terms or conditions of a share-based payment award. The amendments in ASU 2017-09 provide guidance about which changes to the terms or conditions of a share-based payment award require an entity to apply modification accounting in Topic 718. The Company adopted ASU 2017-09 in the first quarter of 2018, and the adoption did not impact the Company’s consolidated financial statements.</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ASU 2016-18 clarifies certain existing principles in ASC 230, including providing additional guidance related to transfers between cash and restricted cash and how entities present, “net cash used in operating” and “net cash used in investing” in their statement of cash flows, the cash receipts and cash payments that directly affect the restricted cash accounts. The Company adopted ASU 2016-18 in the first quarter of 2018. As of December 31, 2016, the Company held $18,251 thousand of restricted cash in connection with an arrangement to sell the building that housed the Company’s legacy 6-inch fab. This restricted cash was not previously included within the consolidated statements of cash flows. As a result of adopting ASU 2016-18, the consolidated statement of cash flows for the three months ended March 31, 2017 was revised to include the impact of this restricted cash, resulting in a cash outflow of $1,809 thousand in operating cash flows, a cash outflow of $17,625 thousand in investing cash flows, and an increase of $1,183 thousand in cash, cash equivalents and restricted cash due to the effect of exchange rates, from what was previously reported. The Company did not hold restricted cash as of December 31, 2017 or March 31, 2018. As such, the adoption of ASU 2016-18 did not impact the Company’s consolidated balance sheets as of March 31, 2018 or December 31, 2017, or the consolidated statement of cash flows for the three months ended March 31, 2018.</w:t>
      </w:r>
    </w:p>
    <w:p>
      <w:pPr>
        <w:spacing w:after="0" w:line="18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August 2016, the FASB issued Accounting Standards Update No. 2016-15, “Statement of Cash Flows (Topic 230), Classification of Certain Cash Receipts and Cash Payments” (“ASU 2016-15”). ASU 2016-15 reduces the existing diversity in practice in financial reporting across all industries by clarifying certain existing principles in ASC 230, Statement of Cash Flows (“ASC 230”), including providing additional guidance on how and what an entity should consider in determining the classification of certain cash flows. The Company adopted ASU 2016-15 in the first quarter of 2018, and the adoption of ASU 2016-15 did not impact the Company’s consolidated financial statements.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May 2014, the FASB issued ASU 2014-09.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2017, including interim periods within that reporting period. The new guidance allows for the amendments to be applied either retrospectively to each prior reporting period presented (the “full retrospective method”) or retrospectively as a cumulative-effect adjustment as of the date of adoption (the “modified retrospective method”). In March 2016, the FASB issued ASU 2016-08, which clarifies the implementation guidance on principal versus agent considerations. In April 2016, the FASB issued ASU 2016-10, which clarifies identifying performance obligations and the licensing implementation guidance. In May 2016, the FASB issued ASU 2016-12, which improves certain aspects of ASC Topic 606 “Revenue from Contracts with Customers.” In December 2016, the FASB issued ASU 2016-20, which improves certain aspects of ASC Topic 606 “Revenue from Contracts with Customers.” The effective date and transition requirements for ASU 2016-08, ASU 2016-10, ASU 2016-12 and ASU 2016-20 are the same as the effective date and transition requirements of ASU 2014-09 (collectively, the “new revenue standard”).</w:t>
      </w:r>
    </w:p>
    <w:p>
      <w:pPr>
        <w:spacing w:after="0" w:line="1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the adoption of the new revenue standard effective on January 1, 2018, the Company had historically recognized revenue when risk and reward of ownership pass to the customer either upon shipment, upon product delivery at the customer’s location or upon customer acceptance, depending on the terms of the related arrangement. After the adoption of the new revenue standard effective on January 1, 2018, the Company recognizes revenue over time for those foundry products without alternative use where the Company has an enforceable right to payment for the related foundry services completed to date. As the Company adopted the new revenue standard using the modified retrospective method, it recognized the cumulative effect of initially applying the new revenue standard as an adjustment to the Company’s equity as of January 1, 2018, while prior period amounts are not adjusted and continue to be reported under the accounting standards in effect for such period. The cumulative-effect adjustments increased unbilled accounts receivable by $38,307 thousand and decreased inventories, net by $29,823 thousand, resulting in a net increase of $8,484 thousand in the Company’s beginning equity as of January 1, 2018. There was no net income tax impact from those cumulative-effect adjustments due to full allowance on deferred tax assets.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Of the recorded unbilled accounts receivable of $38,307 thousand as of January 1, 2018, $32,269 thousand were billed to customers upon shipment, upon product delivery or upon customer acceptance, depending on the terms of the related arrangement, during the three months ended March 31, 2018. Of the recorded deferred revenue of $8,335 thousand as of December 31, 2017, $1,086 thousand was recognized as revenue during the three months ended March 31, 2018.</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impacts of adopting the new revenue standard on the Company’s consolidated financial statements for the three months ended March 31, 2018 are as follows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8"/>
              </w:rPr>
              <w:t>As of March 31, 2018</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Amounts Without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Adoption of the New</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Revenue Standard</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9"/>
          </w:tcPr>
          <w:p>
            <w:pPr>
              <w:ind w:left="480"/>
              <w:spacing w:after="0" w:line="142" w:lineRule="exact"/>
              <w:rPr>
                <w:sz w:val="20"/>
                <w:szCs w:val="20"/>
                <w:color w:val="auto"/>
              </w:rPr>
            </w:pPr>
            <w:r>
              <w:rPr>
                <w:rFonts w:ascii="Arial" w:cs="Arial" w:eastAsia="Arial" w:hAnsi="Arial"/>
                <w:sz w:val="14"/>
                <w:szCs w:val="14"/>
                <w:b w:val="1"/>
                <w:bCs w:val="1"/>
                <w:color w:val="auto"/>
                <w:w w:val="92"/>
              </w:rPr>
              <w:t>(In thousands of US dollars, except share data)</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39,161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39,161</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56,658</w:t>
            </w:r>
          </w:p>
        </w:tc>
        <w:tc>
          <w:tcPr>
            <w:tcW w:w="3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(30,045)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86,703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344,173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335,057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574,668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565,552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(accumulated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(29,642)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(38,705)</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(36,270)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(36,323)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(29,934)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9,116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(39,050)</w:t>
            </w:r>
          </w:p>
        </w:tc>
        <w:tc>
          <w:tcPr>
            <w:tcW w:w="0" w:type="dxa"/>
            <w:vAlign w:val="bottom"/>
          </w:tcPr>
          <w:p>
            <w:pPr>
              <w:spacing w:after="0"/>
              <w:rPr>
                <w:sz w:val="1"/>
                <w:szCs w:val="1"/>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574,668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565,552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Unbilled accounts receivable represents the Company’s contractual right to consideration for manufacturing work performed on a customer contract or an individual purchase order basis, which has not been invoiced to the customer.</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center"/>
              <w:ind w:right="165"/>
              <w:spacing w:after="0"/>
              <w:rPr>
                <w:sz w:val="20"/>
                <w:szCs w:val="20"/>
                <w:color w:val="auto"/>
              </w:rPr>
            </w:pPr>
            <w:r>
              <w:rPr>
                <w:rFonts w:ascii="Arial" w:cs="Arial" w:eastAsia="Arial" w:hAnsi="Arial"/>
                <w:sz w:val="14"/>
                <w:szCs w:val="14"/>
                <w:b w:val="1"/>
                <w:bCs w:val="1"/>
                <w:color w:val="auto"/>
                <w:w w:val="95"/>
              </w:rPr>
              <w:t>Three Months Ended March 31, 2018</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Amounts Without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Reported</w:t>
            </w:r>
          </w:p>
        </w:tc>
        <w:tc>
          <w:tcPr>
            <w:tcW w:w="58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Adoption of the New</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Revenue Standard</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8"/>
          </w:tcPr>
          <w:p>
            <w:pPr>
              <w:jc w:val="center"/>
              <w:ind w:left="392"/>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165,819</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639</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165,180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121,238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121,178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44,581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44,002</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Sales of Accounts Receivable and Receivable Discount Program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entered into an agreement to sell selected trade accounts receivable to a financial institution from time to time since March 2012.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After the sale, the Company does not retain any interest in the receivables and the applicable financial institution collects these accounts receivable directly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customer. The proceeds from the sales of these accounts receivable totaled $3,662 thousand and $6,080 thousand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2018 and 2017, respectively, and these sales resulted in pre-tax losses of $2 thousand and $20 thousand for the three months ended March 31,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2017, respectively, which are included in selling, general and administrative expenses in the consolidated statements of operations. Net proceeds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 program are recognized in the consolidated statements of cash flows as part of operating cash flows.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March 31, 2018 and December 31, 2017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March 31,</w:t>
            </w:r>
          </w:p>
        </w:tc>
        <w:tc>
          <w:tcPr>
            <w:tcW w:w="122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00" w:type="dxa"/>
            <w:vAlign w:val="bottom"/>
          </w:tcPr>
          <w:p>
            <w:pPr>
              <w:spacing w:after="0"/>
              <w:rPr>
                <w:sz w:val="14"/>
                <w:szCs w:val="14"/>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$ 10,136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35,646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53,148</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Materials in-transit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(6,391)</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$ 56,658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73,073</w:t>
            </w:r>
          </w:p>
        </w:tc>
        <w:tc>
          <w:tcPr>
            <w:tcW w:w="12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inventory reserve for the three months ended March 31, 2018 and 2017 are as follows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9"/>
              </w:rPr>
              <w:t>March 31,</w:t>
            </w:r>
          </w:p>
        </w:tc>
        <w:tc>
          <w:tcPr>
            <w:tcW w:w="8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(1,620)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of previously reserved inventory</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Write off</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(4,671)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913"/>
        <w:spacing w:after="0" w:line="312" w:lineRule="auto"/>
        <w:rPr>
          <w:sz w:val="20"/>
          <w:szCs w:val="20"/>
          <w:color w:val="auto"/>
        </w:rPr>
      </w:pPr>
      <w:r>
        <w:rPr>
          <w:rFonts w:ascii="Arial" w:cs="Arial" w:eastAsia="Arial" w:hAnsi="Arial"/>
          <w:sz w:val="16"/>
          <w:szCs w:val="16"/>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and work-in-process. Write off of this reserve is recognized only when the related inventory has been disposed or scrapped.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as of March 31, 2018 and December 31, 2017 are comprised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314,217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308,713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429,117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421,168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(240,206)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(231,356)</w:t>
            </w: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Land</w:t>
            </w:r>
          </w:p>
        </w:tc>
        <w:tc>
          <w:tcPr>
            <w:tcW w:w="1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205,076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205,903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500" w:right="200"/>
        <w:spacing w:after="0" w:line="449" w:lineRule="auto"/>
        <w:rPr>
          <w:sz w:val="20"/>
          <w:szCs w:val="20"/>
          <w:color w:val="auto"/>
        </w:rPr>
      </w:pPr>
      <w:r>
        <w:rPr>
          <w:rFonts w:ascii="Arial" w:cs="Arial" w:eastAsia="Arial" w:hAnsi="Arial"/>
          <w:sz w:val="18"/>
          <w:szCs w:val="18"/>
          <w:color w:val="auto"/>
        </w:rPr>
        <w:t>Aggregate depreciation expenses totaled $7,757 thousand and $6,616 thousand for the three months ended March 31, 2018 and 2017, respectively. 12</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 of March 31, 2018 and December 31, 2017 are comprised of the following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480" w:type="dxa"/>
            <w:vAlign w:val="bottom"/>
          </w:tcPr>
          <w:p>
            <w:pPr>
              <w:spacing w:after="0"/>
              <w:rPr>
                <w:sz w:val="10"/>
                <w:szCs w:val="10"/>
                <w:color w:val="auto"/>
              </w:rPr>
            </w:pP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0"/>
                <w:szCs w:val="10"/>
                <w:color w:val="auto"/>
              </w:rPr>
            </w:pPr>
          </w:p>
        </w:tc>
      </w:t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4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$20,287</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(20,287)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29,135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(29,135)</w:t>
            </w:r>
          </w:p>
        </w:tc>
        <w:tc>
          <w:tcPr>
            <w:tcW w:w="1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(7,483)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4,290</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61,195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(56,905</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4,290</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480" w:type="dxa"/>
            <w:vAlign w:val="bottom"/>
          </w:tcPr>
          <w:p>
            <w:pPr>
              <w:spacing w:after="0"/>
              <w:rPr>
                <w:sz w:val="10"/>
                <w:szCs w:val="10"/>
                <w:color w:val="auto"/>
              </w:rPr>
            </w:pP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0"/>
                <w:szCs w:val="10"/>
                <w:color w:val="auto"/>
              </w:rPr>
            </w:pPr>
          </w:p>
        </w:tc>
      </w:t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4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$20,194</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(20,194)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29,002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(29,002)</w:t>
            </w:r>
          </w:p>
        </w:tc>
        <w:tc>
          <w:tcPr>
            <w:tcW w:w="1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4,061</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60,515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(56,454</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4,061</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Aggregate amortization expenses for intangible assets totaled $201 thousand and $142 thousand for the three months ended March 31,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as of March 31, 2018 and December 31, 2017 are comprised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10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$ 15,840</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18,322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Outside service fees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1,371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$ 44,908</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40"/>
              <w:spacing w:after="0"/>
              <w:rPr>
                <w:sz w:val="20"/>
                <w:szCs w:val="20"/>
                <w:color w:val="auto"/>
              </w:rPr>
            </w:pPr>
            <w:r>
              <w:rPr>
                <w:rFonts w:ascii="Arial" w:cs="Arial" w:eastAsia="Arial" w:hAnsi="Arial"/>
                <w:sz w:val="18"/>
                <w:szCs w:val="18"/>
                <w:color w:val="auto"/>
              </w:rPr>
              <w:t>13</w:t>
            </w:r>
          </w:p>
        </w:tc>
        <w:tc>
          <w:tcPr>
            <w:tcW w:w="1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derivative contracts as of March 31, 2018 are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Date of transaction</w:t>
            </w: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Type of derivative</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Total notional amount</w:t>
            </w:r>
          </w:p>
        </w:tc>
        <w:tc>
          <w:tcPr>
            <w:tcW w:w="3100" w:type="dxa"/>
            <w:vAlign w:val="bottom"/>
          </w:tcPr>
          <w:p>
            <w:pPr>
              <w:ind w:left="920"/>
              <w:spacing w:after="0"/>
              <w:rPr>
                <w:sz w:val="20"/>
                <w:szCs w:val="20"/>
                <w:color w:val="auto"/>
              </w:rPr>
            </w:pPr>
            <w:r>
              <w:rPr>
                <w:rFonts w:ascii="Arial" w:cs="Arial" w:eastAsia="Arial" w:hAnsi="Arial"/>
                <w:sz w:val="14"/>
                <w:szCs w:val="14"/>
                <w:b w:val="1"/>
                <w:bCs w:val="1"/>
                <w:color w:val="auto"/>
              </w:rPr>
              <w:t>Month of settlement</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shd w:val="clear" w:color="auto" w:fill="000000"/>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Zero cost collar</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April 2018 to June 2018</w:t>
            </w:r>
          </w:p>
        </w:tc>
        <w:tc>
          <w:tcPr>
            <w:tcW w:w="0" w:type="dxa"/>
            <w:vAlign w:val="bottom"/>
          </w:tcPr>
          <w:p>
            <w:pPr>
              <w:spacing w:after="0" w:line="20" w:lineRule="exact"/>
              <w:rPr>
                <w:sz w:val="1"/>
                <w:szCs w:val="1"/>
                <w:color w:val="auto"/>
              </w:rPr>
            </w:pPr>
          </w:p>
        </w:tc>
      </w:tr>
      <w:tr>
        <w:trPr>
          <w:trHeight w:val="190"/>
        </w:trPr>
        <w:tc>
          <w:tcPr>
            <w:tcW w:w="3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September 28, 2017</w:t>
            </w: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September 28, 2017</w:t>
            </w:r>
          </w:p>
        </w:tc>
        <w:tc>
          <w:tcPr>
            <w:tcW w:w="1400" w:type="dxa"/>
            <w:vAlign w:val="bottom"/>
            <w:gridSpan w:val="2"/>
          </w:tcPr>
          <w:p>
            <w:pPr>
              <w:spacing w:after="0"/>
              <w:rPr>
                <w:sz w:val="20"/>
                <w:szCs w:val="20"/>
                <w:color w:val="auto"/>
              </w:rPr>
            </w:pPr>
            <w:r>
              <w:rPr>
                <w:rFonts w:ascii="Arial" w:cs="Arial" w:eastAsia="Arial" w:hAnsi="Arial"/>
                <w:sz w:val="18"/>
                <w:szCs w:val="18"/>
                <w:color w:val="auto"/>
              </w:rPr>
              <w:t>Forward</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18,000</w:t>
            </w:r>
          </w:p>
        </w:tc>
        <w:tc>
          <w:tcPr>
            <w:tcW w:w="3100" w:type="dxa"/>
            <w:vAlign w:val="bottom"/>
          </w:tcPr>
          <w:p>
            <w:pPr>
              <w:spacing w:after="0"/>
              <w:rPr>
                <w:sz w:val="20"/>
                <w:szCs w:val="20"/>
                <w:color w:val="auto"/>
              </w:rPr>
            </w:pPr>
            <w:r>
              <w:rPr>
                <w:rFonts w:ascii="Arial" w:cs="Arial" w:eastAsia="Arial" w:hAnsi="Arial"/>
                <w:sz w:val="18"/>
                <w:szCs w:val="18"/>
                <w:color w:val="auto"/>
              </w:rPr>
              <w:t>April 2018 to June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derivative contracts as of December 31, 2017 are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205"/>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Date of transaction</w:t>
            </w: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Type of derivative</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Total notional amount</w:t>
            </w:r>
          </w:p>
        </w:tc>
        <w:tc>
          <w:tcPr>
            <w:tcW w:w="3100" w:type="dxa"/>
            <w:vAlign w:val="bottom"/>
          </w:tcPr>
          <w:p>
            <w:pPr>
              <w:ind w:left="920"/>
              <w:spacing w:after="0"/>
              <w:rPr>
                <w:sz w:val="20"/>
                <w:szCs w:val="20"/>
                <w:color w:val="auto"/>
              </w:rPr>
            </w:pPr>
            <w:r>
              <w:rPr>
                <w:rFonts w:ascii="Arial" w:cs="Arial" w:eastAsia="Arial" w:hAnsi="Arial"/>
                <w:sz w:val="14"/>
                <w:szCs w:val="14"/>
                <w:b w:val="1"/>
                <w:bCs w:val="1"/>
                <w:color w:val="auto"/>
              </w:rPr>
              <w:t>Month of settlement</w:t>
            </w:r>
          </w:p>
        </w:tc>
      </w:tr>
      <w:tr>
        <w:trPr>
          <w:trHeight w:val="190"/>
        </w:trPr>
        <w:tc>
          <w:tcPr>
            <w:tcW w:w="1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June 22, 2017</w:t>
            </w:r>
          </w:p>
        </w:tc>
        <w:tc>
          <w:tcPr>
            <w:tcW w:w="2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Zero cost collar</w:t>
            </w: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20,000</w:t>
            </w:r>
          </w:p>
        </w:tc>
        <w:tc>
          <w:tcPr>
            <w:tcW w:w="320" w:type="dxa"/>
            <w:vAlign w:val="bottom"/>
            <w:tcBorders>
              <w:top w:val="single" w:sz="8" w:color="CCEEFF"/>
            </w:tcBorders>
            <w:shd w:val="clear" w:color="auto" w:fill="CCEEFF"/>
          </w:tcPr>
          <w:p>
            <w:pPr>
              <w:spacing w:after="0"/>
              <w:rPr>
                <w:sz w:val="16"/>
                <w:szCs w:val="16"/>
                <w:color w:val="auto"/>
              </w:rPr>
            </w:pPr>
          </w:p>
        </w:tc>
        <w:tc>
          <w:tcPr>
            <w:tcW w:w="3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January 2018 to February 2018</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September 28, 2017</w:t>
            </w:r>
          </w:p>
        </w:tc>
        <w:tc>
          <w:tcPr>
            <w:tcW w:w="1400" w:type="dxa"/>
            <w:vAlign w:val="bottom"/>
            <w:gridSpan w:val="2"/>
          </w:tcPr>
          <w:p>
            <w:pPr>
              <w:spacing w:after="0"/>
              <w:rPr>
                <w:sz w:val="20"/>
                <w:szCs w:val="20"/>
                <w:color w:val="auto"/>
              </w:rPr>
            </w:pPr>
            <w:r>
              <w:rPr>
                <w:rFonts w:ascii="Arial" w:cs="Arial" w:eastAsia="Arial" w:hAnsi="Arial"/>
                <w:sz w:val="18"/>
                <w:szCs w:val="18"/>
                <w:color w:val="auto"/>
              </w:rPr>
              <w:t>Zero cost collar</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54,000</w:t>
            </w:r>
          </w:p>
        </w:tc>
        <w:tc>
          <w:tcPr>
            <w:tcW w:w="3100" w:type="dxa"/>
            <w:vAlign w:val="bottom"/>
          </w:tcPr>
          <w:p>
            <w:pPr>
              <w:spacing w:after="0"/>
              <w:rPr>
                <w:sz w:val="20"/>
                <w:szCs w:val="20"/>
                <w:color w:val="auto"/>
              </w:rPr>
            </w:pPr>
            <w:r>
              <w:rPr>
                <w:rFonts w:ascii="Arial" w:cs="Arial" w:eastAsia="Arial" w:hAnsi="Arial"/>
                <w:sz w:val="18"/>
                <w:szCs w:val="18"/>
                <w:color w:val="auto"/>
              </w:rPr>
              <w:t>January 2018 to June 2018</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28, 2017</w:t>
            </w: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36,000</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January 2018 to June 2018</w:t>
            </w:r>
          </w:p>
        </w:tc>
      </w:tr>
    </w:tbl>
    <w:p>
      <w:pPr>
        <w:spacing w:after="0" w:line="202"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The zero cost collar and forward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The Company is utilizing the “hypothetical derivative” method to measure the effectiveness by comparing the changes in value of the actual derivative versus the change in fair value of the “hypothetical derivative.”</w:t>
      </w:r>
    </w:p>
    <w:p>
      <w:pPr>
        <w:spacing w:after="0" w:line="171" w:lineRule="exact"/>
        <w:rPr>
          <w:sz w:val="20"/>
          <w:szCs w:val="20"/>
          <w:color w:val="auto"/>
        </w:rPr>
      </w:pPr>
    </w:p>
    <w:p>
      <w:pPr>
        <w:jc w:val="both"/>
        <w:ind w:right="220" w:firstLine="456"/>
        <w:spacing w:after="0" w:line="277" w:lineRule="auto"/>
        <w:rPr>
          <w:sz w:val="20"/>
          <w:szCs w:val="20"/>
          <w:color w:val="auto"/>
        </w:rPr>
      </w:pPr>
      <w:r>
        <w:rPr>
          <w:rFonts w:ascii="Arial" w:cs="Arial" w:eastAsia="Arial" w:hAnsi="Arial"/>
          <w:sz w:val="18"/>
          <w:szCs w:val="18"/>
          <w:color w:val="auto"/>
        </w:rPr>
        <w:t>The fair values of the Company’s outstanding zero cost collar and forward contracts recorded as assets as of March 31, 2018 and December 31, 2017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2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20" w:type="dxa"/>
            <w:vAlign w:val="bottom"/>
          </w:tcPr>
          <w:p>
            <w:pPr>
              <w:spacing w:after="0"/>
              <w:rPr>
                <w:sz w:val="15"/>
                <w:szCs w:val="15"/>
                <w:color w:val="auto"/>
              </w:rPr>
            </w:pPr>
          </w:p>
        </w:tc>
        <w:tc>
          <w:tcPr>
            <w:tcW w:w="424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1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5"/>
          </w:tcPr>
          <w:p>
            <w:pPr>
              <w:jc w:val="center"/>
              <w:ind w:right="48"/>
              <w:spacing w:after="0"/>
              <w:rPr>
                <w:sz w:val="20"/>
                <w:szCs w:val="20"/>
                <w:color w:val="auto"/>
              </w:rPr>
            </w:pPr>
            <w:r>
              <w:rPr>
                <w:rFonts w:ascii="Arial" w:cs="Arial" w:eastAsia="Arial" w:hAnsi="Arial"/>
                <w:sz w:val="18"/>
                <w:szCs w:val="18"/>
                <w:color w:val="auto"/>
                <w:w w:val="87"/>
              </w:rPr>
              <w:t>Other current assets</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1,324</w:t>
            </w:r>
          </w:p>
        </w:tc>
        <w:tc>
          <w:tcPr>
            <w:tcW w:w="6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Forward</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center"/>
              <w:ind w:right="48"/>
              <w:spacing w:after="0"/>
              <w:rPr>
                <w:sz w:val="20"/>
                <w:szCs w:val="20"/>
                <w:color w:val="auto"/>
              </w:rPr>
            </w:pPr>
            <w:r>
              <w:rPr>
                <w:rFonts w:ascii="Arial" w:cs="Arial" w:eastAsia="Arial" w:hAnsi="Arial"/>
                <w:sz w:val="18"/>
                <w:szCs w:val="18"/>
                <w:color w:val="auto"/>
                <w:w w:val="87"/>
              </w:rPr>
              <w:t>Other current assets</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1,269</w:t>
            </w:r>
          </w:p>
        </w:tc>
        <w:tc>
          <w:tcPr>
            <w:tcW w:w="6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0" w:type="dxa"/>
            <w:vAlign w:val="bottom"/>
            <w:gridSpan w:val="11"/>
          </w:tcPr>
          <w:p>
            <w:pPr>
              <w:ind w:left="460"/>
              <w:spacing w:after="0"/>
              <w:rPr>
                <w:sz w:val="20"/>
                <w:szCs w:val="20"/>
                <w:color w:val="auto"/>
              </w:rPr>
            </w:pPr>
            <w:r>
              <w:rPr>
                <w:rFonts w:ascii="Arial" w:cs="Arial" w:eastAsia="Arial" w:hAnsi="Arial"/>
                <w:sz w:val="18"/>
                <w:szCs w:val="18"/>
                <w:color w:val="auto"/>
                <w:w w:val="93"/>
              </w:rPr>
              <w:t>Offsetting of derivative assets as of March 31, 2018 is as follows (in thousands):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7"/>
          </w:tcPr>
          <w:p>
            <w:pPr>
              <w:jc w:val="center"/>
              <w:ind w:left="16"/>
              <w:spacing w:after="0"/>
              <w:rPr>
                <w:sz w:val="20"/>
                <w:szCs w:val="20"/>
                <w:color w:val="auto"/>
              </w:rPr>
            </w:pPr>
            <w:r>
              <w:rPr>
                <w:rFonts w:ascii="Arial" w:cs="Arial" w:eastAsia="Arial" w:hAnsi="Arial"/>
                <w:sz w:val="14"/>
                <w:szCs w:val="14"/>
                <w:b w:val="1"/>
                <w:bCs w:val="1"/>
                <w:color w:val="auto"/>
                <w:w w:val="90"/>
              </w:rPr>
              <w:t>Gross amounts not offset</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Net amounts of</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center"/>
              <w:ind w:left="16"/>
              <w:spacing w:after="0"/>
              <w:rPr>
                <w:sz w:val="20"/>
                <w:szCs w:val="20"/>
                <w:color w:val="auto"/>
              </w:rPr>
            </w:pPr>
            <w:r>
              <w:rPr>
                <w:rFonts w:ascii="Arial" w:cs="Arial" w:eastAsia="Arial" w:hAnsi="Arial"/>
                <w:sz w:val="14"/>
                <w:szCs w:val="14"/>
                <w:b w:val="1"/>
                <w:bCs w:val="1"/>
                <w:color w:val="auto"/>
                <w:w w:val="88"/>
              </w:rPr>
              <w:t>in the balance sheets</w:t>
            </w: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Gross amounts of</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amounts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83"/>
              </w:rPr>
              <w:t>assets</w:t>
            </w:r>
          </w:p>
        </w:tc>
        <w:tc>
          <w:tcPr>
            <w:tcW w:w="240" w:type="dxa"/>
            <w:vAlign w:val="bottom"/>
          </w:tcPr>
          <w:p>
            <w:pPr>
              <w:spacing w:after="0"/>
              <w:rPr>
                <w:sz w:val="10"/>
                <w:szCs w:val="10"/>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2"/>
              </w:rPr>
              <w:t>Financial</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jc w:val="center"/>
              <w:ind w:right="1720"/>
              <w:spacing w:after="0"/>
              <w:rPr>
                <w:sz w:val="20"/>
                <w:szCs w:val="20"/>
                <w:color w:val="auto"/>
              </w:rPr>
            </w:pPr>
            <w:r>
              <w:rPr>
                <w:rFonts w:ascii="Arial" w:cs="Arial" w:eastAsia="Arial" w:hAnsi="Arial"/>
                <w:sz w:val="14"/>
                <w:szCs w:val="14"/>
                <w:b w:val="1"/>
                <w:bCs w:val="1"/>
                <w:color w:val="auto"/>
                <w:w w:val="95"/>
              </w:rPr>
              <w:t>As of March 31, 2018</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recognized</w:t>
            </w:r>
          </w:p>
        </w:tc>
        <w:tc>
          <w:tcPr>
            <w:tcW w:w="1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16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presented in the</w:t>
            </w:r>
          </w:p>
        </w:tc>
        <w:tc>
          <w:tcPr>
            <w:tcW w:w="2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rPr>
              <w:t>received/</w:t>
            </w:r>
          </w:p>
        </w:tc>
        <w:tc>
          <w:tcPr>
            <w:tcW w:w="14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8"/>
        </w:trPr>
        <w:tc>
          <w:tcPr>
            <w:tcW w:w="30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assets</w:t>
            </w: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balance sheets</w:t>
            </w:r>
          </w:p>
        </w:tc>
        <w:tc>
          <w:tcPr>
            <w:tcW w:w="160" w:type="dxa"/>
            <w:vAlign w:val="bottom"/>
          </w:tcPr>
          <w:p>
            <w:pPr>
              <w:spacing w:after="0"/>
              <w:rPr>
                <w:sz w:val="15"/>
                <w:szCs w:val="15"/>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balance sheets</w:t>
            </w:r>
          </w:p>
        </w:tc>
        <w:tc>
          <w:tcPr>
            <w:tcW w:w="240" w:type="dxa"/>
            <w:vAlign w:val="bottom"/>
          </w:tcPr>
          <w:p>
            <w:pPr>
              <w:spacing w:after="0"/>
              <w:rPr>
                <w:sz w:val="15"/>
                <w:szCs w:val="15"/>
                <w:color w:val="auto"/>
              </w:rPr>
            </w:pPr>
          </w:p>
        </w:tc>
        <w:tc>
          <w:tcPr>
            <w:tcW w:w="1220" w:type="dxa"/>
            <w:vAlign w:val="bottom"/>
            <w:gridSpan w:val="6"/>
          </w:tcPr>
          <w:p>
            <w:pPr>
              <w:spacing w:after="0"/>
              <w:rPr>
                <w:sz w:val="20"/>
                <w:szCs w:val="20"/>
                <w:color w:val="auto"/>
              </w:rPr>
            </w:pPr>
            <w:r>
              <w:rPr>
                <w:rFonts w:ascii="Arial" w:cs="Arial" w:eastAsia="Arial" w:hAnsi="Arial"/>
                <w:sz w:val="14"/>
                <w:szCs w:val="14"/>
                <w:b w:val="1"/>
                <w:bCs w:val="1"/>
                <w:color w:val="auto"/>
              </w:rPr>
              <w:t>instruments</w:t>
            </w:r>
          </w:p>
        </w:tc>
        <w:tc>
          <w:tcPr>
            <w:tcW w:w="1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pledged</w:t>
            </w:r>
          </w:p>
        </w:tc>
        <w:tc>
          <w:tcPr>
            <w:tcW w:w="1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20" w:type="dxa"/>
            <w:vAlign w:val="bottom"/>
            <w:tcBorders>
              <w:top w:val="single" w:sz="8" w:color="auto"/>
            </w:tcBorders>
            <w:gridSpan w:val="2"/>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Asset Derivatives:</w:t>
            </w:r>
          </w:p>
        </w:tc>
        <w:tc>
          <w:tcPr>
            <w:tcW w:w="17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ind w:left="360"/>
              <w:spacing w:after="0"/>
              <w:rPr>
                <w:sz w:val="20"/>
                <w:szCs w:val="20"/>
                <w:color w:val="auto"/>
              </w:rPr>
            </w:pPr>
            <w:r>
              <w:rPr>
                <w:rFonts w:ascii="Arial" w:cs="Arial" w:eastAsia="Arial" w:hAnsi="Arial"/>
                <w:sz w:val="18"/>
                <w:szCs w:val="18"/>
                <w:color w:val="auto"/>
              </w:rPr>
              <w:t>Zero cost collars</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58"/>
              <w:spacing w:after="0"/>
              <w:rPr>
                <w:sz w:val="20"/>
                <w:szCs w:val="20"/>
                <w:color w:val="auto"/>
              </w:rPr>
            </w:pPr>
            <w:r>
              <w:rPr>
                <w:rFonts w:ascii="Arial" w:cs="Arial" w:eastAsia="Arial" w:hAnsi="Arial"/>
                <w:sz w:val="18"/>
                <w:szCs w:val="18"/>
                <w:color w:val="auto"/>
                <w:w w:val="88"/>
              </w:rPr>
              <w:t>1,324</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jc w:val="center"/>
              <w:ind w:right="1700"/>
              <w:spacing w:after="0"/>
              <w:rPr>
                <w:sz w:val="20"/>
                <w:szCs w:val="20"/>
                <w:color w:val="auto"/>
              </w:rPr>
            </w:pPr>
            <w:r>
              <w:rPr>
                <w:rFonts w:ascii="Arial" w:cs="Arial" w:eastAsia="Arial" w:hAnsi="Arial"/>
                <w:sz w:val="18"/>
                <w:szCs w:val="18"/>
                <w:color w:val="auto"/>
                <w:w w:val="93"/>
              </w:rPr>
              <w:t>Forward</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58"/>
              <w:spacing w:after="0"/>
              <w:rPr>
                <w:sz w:val="20"/>
                <w:szCs w:val="20"/>
                <w:color w:val="auto"/>
              </w:rPr>
            </w:pPr>
            <w:r>
              <w:rPr>
                <w:rFonts w:ascii="Arial" w:cs="Arial" w:eastAsia="Arial" w:hAnsi="Arial"/>
                <w:sz w:val="18"/>
                <w:szCs w:val="18"/>
                <w:color w:val="auto"/>
                <w:w w:val="88"/>
              </w:rPr>
              <w:t>1,269</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Offsetting of derivative assets as of December 31, 2017 is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 of</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Gross amounts</w:t>
            </w:r>
          </w:p>
        </w:tc>
        <w:tc>
          <w:tcPr>
            <w:tcW w:w="48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Net amounts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Gross amounts not offset</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2017</w:t>
            </w: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recognized</w:t>
            </w:r>
          </w:p>
        </w:tc>
        <w:tc>
          <w:tcPr>
            <w:tcW w:w="100" w:type="dxa"/>
            <w:vAlign w:val="bottom"/>
          </w:tcPr>
          <w:p>
            <w:pPr>
              <w:spacing w:after="0"/>
              <w:rPr>
                <w:sz w:val="10"/>
                <w:szCs w:val="10"/>
                <w:color w:val="auto"/>
              </w:rPr>
            </w:pPr>
          </w:p>
        </w:tc>
        <w:tc>
          <w:tcPr>
            <w:tcW w:w="82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480" w:type="dxa"/>
            <w:vAlign w:val="bottom"/>
          </w:tcPr>
          <w:p>
            <w:pPr>
              <w:spacing w:after="0"/>
              <w:rPr>
                <w:sz w:val="10"/>
                <w:szCs w:val="10"/>
                <w:color w:val="auto"/>
              </w:rPr>
            </w:pPr>
          </w:p>
        </w:tc>
        <w:tc>
          <w:tcPr>
            <w:tcW w:w="122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240" w:type="dxa"/>
            <w:vAlign w:val="bottom"/>
          </w:tcPr>
          <w:p>
            <w:pPr>
              <w:spacing w:after="0"/>
              <w:rPr>
                <w:sz w:val="10"/>
                <w:szCs w:val="10"/>
                <w:color w:val="auto"/>
              </w:rPr>
            </w:pPr>
          </w:p>
        </w:tc>
        <w:tc>
          <w:tcPr>
            <w:tcW w:w="1220" w:type="dxa"/>
            <w:vAlign w:val="bottom"/>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rPr>
              <w:t>Financial</w:t>
            </w: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48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8"/>
        </w:trPr>
        <w:tc>
          <w:tcPr>
            <w:tcW w:w="258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assets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balance sheets</w:t>
            </w:r>
          </w:p>
        </w:tc>
        <w:tc>
          <w:tcPr>
            <w:tcW w:w="480" w:type="dxa"/>
            <w:vAlign w:val="bottom"/>
          </w:tcPr>
          <w:p>
            <w:pPr>
              <w:spacing w:after="0"/>
              <w:rPr>
                <w:sz w:val="15"/>
                <w:szCs w:val="15"/>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balance sheets</w:t>
            </w:r>
          </w:p>
        </w:tc>
        <w:tc>
          <w:tcPr>
            <w:tcW w:w="2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pledged</w:t>
            </w:r>
          </w:p>
        </w:tc>
        <w:tc>
          <w:tcPr>
            <w:tcW w:w="4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10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2,827</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Forward</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2,352</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summarizes the impact of derivative instruments on the consolidated statement of operations for the three months ended March 31, 2018 and 2017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6"/>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Amount of</w:t>
            </w: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5"/>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Amount of Gain</w:t>
            </w:r>
          </w:p>
        </w:tc>
        <w:tc>
          <w:tcPr>
            <w:tcW w:w="1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3"/>
                <w:szCs w:val="13"/>
                <w:color w:val="auto"/>
              </w:rPr>
            </w:pPr>
          </w:p>
        </w:tc>
        <w:tc>
          <w:tcPr>
            <w:tcW w:w="1560" w:type="dxa"/>
            <w:vAlign w:val="bottom"/>
            <w:gridSpan w:val="6"/>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left="10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AOCI into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left="83"/>
              <w:spacing w:after="0" w:line="149" w:lineRule="exact"/>
              <w:rPr>
                <w:sz w:val="20"/>
                <w:szCs w:val="20"/>
                <w:color w:val="auto"/>
              </w:rPr>
            </w:pPr>
            <w:r>
              <w:rPr>
                <w:rFonts w:ascii="Arial" w:cs="Arial" w:eastAsia="Arial" w:hAnsi="Arial"/>
                <w:sz w:val="14"/>
                <w:szCs w:val="14"/>
                <w:b w:val="1"/>
                <w:bCs w:val="1"/>
                <w:color w:val="auto"/>
                <w:w w:val="99"/>
              </w:rPr>
              <w:t>AOCI into</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Operations 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left="104"/>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 815 Cash Flow</w:t>
            </w:r>
          </w:p>
        </w:tc>
        <w:tc>
          <w:tcPr>
            <w:tcW w:w="100" w:type="dxa"/>
            <w:vAlign w:val="bottom"/>
          </w:tcPr>
          <w:p>
            <w:pPr>
              <w:spacing w:after="0"/>
              <w:rPr>
                <w:sz w:val="12"/>
                <w:szCs w:val="12"/>
                <w:color w:val="auto"/>
              </w:rPr>
            </w:pPr>
          </w:p>
        </w:tc>
        <w:tc>
          <w:tcPr>
            <w:tcW w:w="150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AOCI on</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left="103"/>
              <w:spacing w:after="0" w:line="149" w:lineRule="exact"/>
              <w:rPr>
                <w:sz w:val="20"/>
                <w:szCs w:val="20"/>
                <w:color w:val="auto"/>
              </w:rPr>
            </w:pPr>
            <w:r>
              <w:rPr>
                <w:rFonts w:ascii="Arial" w:cs="Arial" w:eastAsia="Arial" w:hAnsi="Arial"/>
                <w:sz w:val="14"/>
                <w:szCs w:val="14"/>
                <w:b w:val="1"/>
                <w:bCs w:val="1"/>
                <w:color w:val="auto"/>
                <w:w w:val="96"/>
              </w:rPr>
              <w:t>Statement of</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left="124"/>
              <w:spacing w:after="0" w:line="149" w:lineRule="exact"/>
              <w:rPr>
                <w:sz w:val="20"/>
                <w:szCs w:val="20"/>
                <w:color w:val="auto"/>
              </w:rPr>
            </w:pPr>
            <w:r>
              <w:rPr>
                <w:rFonts w:ascii="Arial" w:cs="Arial" w:eastAsia="Arial" w:hAnsi="Arial"/>
                <w:sz w:val="14"/>
                <w:szCs w:val="14"/>
                <w:b w:val="1"/>
                <w:bCs w:val="1"/>
                <w:color w:val="auto"/>
                <w:w w:val="96"/>
              </w:rPr>
              <w:t>Operations on</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Operations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left="83"/>
              <w:spacing w:after="0" w:line="149" w:lineRule="exact"/>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left="104"/>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Hedging Relationships</w:t>
            </w:r>
          </w:p>
        </w:tc>
        <w:tc>
          <w:tcPr>
            <w:tcW w:w="1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8"/>
              </w:rPr>
              <w:t>(Effective</w:t>
            </w: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Portion)</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(Effective Portion)</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19"/>
        </w:trPr>
        <w:tc>
          <w:tcPr>
            <w:tcW w:w="2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Borders>
              <w:top w:val="single" w:sz="8" w:color="auto"/>
            </w:tcBorders>
            <w:gridSpan w:val="6"/>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1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0"/>
                <w:szCs w:val="10"/>
                <w:color w:val="auto"/>
              </w:rPr>
            </w:pPr>
          </w:p>
        </w:tc>
        <w:tc>
          <w:tcPr>
            <w:tcW w:w="17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left="83"/>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124"/>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96"/>
              </w:rPr>
              <w:t>2018</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Zero cost collars</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Other income</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Net 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497</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(expenses)—Others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637</w:t>
            </w:r>
          </w:p>
        </w:tc>
        <w:tc>
          <w:tcPr>
            <w:tcW w:w="0" w:type="dxa"/>
            <w:vAlign w:val="bottom"/>
          </w:tcPr>
          <w:p>
            <w:pPr>
              <w:spacing w:after="0"/>
              <w:rPr>
                <w:sz w:val="1"/>
                <w:szCs w:val="1"/>
                <w:color w:val="auto"/>
              </w:rPr>
            </w:pPr>
          </w:p>
        </w:tc>
      </w:t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Forward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Net sales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1,280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0"/>
                <w:szCs w:val="20"/>
                <w:color w:val="auto"/>
              </w:rPr>
            </w:pPr>
            <w:r>
              <w:rPr>
                <w:rFonts w:ascii="Arial" w:cs="Arial" w:eastAsia="Arial" w:hAnsi="Arial"/>
                <w:sz w:val="18"/>
                <w:szCs w:val="18"/>
                <w:color w:val="auto"/>
              </w:rPr>
              <w:t>(expenses)—Others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2,503</w:t>
            </w:r>
          </w:p>
        </w:tc>
        <w:tc>
          <w:tcPr>
            <w:tcW w:w="1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497</w:t>
            </w:r>
          </w:p>
        </w:tc>
        <w:tc>
          <w:tcPr>
            <w:tcW w:w="1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637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of March 31, 2018, the amount expected to be reclassified from accumulated other comprehensive income into income within the next twelve months is $2,626 thousand.</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Company set aside $2,700 thousand and $7,600 thousand of cash deposits to the counterparty, Nomura Financial Investment (Korea) Co., Ltd. (“NFIK”) as required for the zero cost collar and forward contracts outstanding as of March 31, 2018 and December 31, 2017, respectively. These cash deposits are recorded as hedge collateral on the consolidated balance sheets.</w:t>
      </w:r>
    </w:p>
    <w:p>
      <w:pPr>
        <w:spacing w:after="0" w:line="18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Company is required to deposit additional cash collateral with NFIK for any exposure in excess of $500 thousand and no such cash collateral was required as of March 31, 2018 and December 31, 2017, respectively. These outstanding zero cost collar and forward contracts are subject to termination if the sum of qualified and unrestricted cash and cash equivalents held by the Company is less than $30,000 thousand on the last day of a fiscal quarter.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As of March 31, 2018, the following table represents the Company’s assets measured at fair value on a recurring basis and the basis for that measurement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4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Significant</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3"/>
              </w:rPr>
              <w:t>Carrying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4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March 31, 2018</w:t>
            </w:r>
          </w:p>
        </w:tc>
        <w:tc>
          <w:tcPr>
            <w:tcW w:w="22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March 31, 2018</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4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360"/>
              <w:spacing w:after="0"/>
              <w:rPr>
                <w:sz w:val="20"/>
                <w:szCs w:val="20"/>
                <w:color w:val="auto"/>
              </w:rPr>
            </w:pPr>
            <w:r>
              <w:rPr>
                <w:rFonts w:ascii="Arial" w:cs="Arial" w:eastAsia="Arial" w:hAnsi="Arial"/>
                <w:sz w:val="18"/>
                <w:szCs w:val="18"/>
                <w:color w:val="auto"/>
              </w:rPr>
              <w:t>Derivative assets (other current assets)</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2,593</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   2,593</w:t>
            </w:r>
          </w:p>
        </w:tc>
        <w:tc>
          <w:tcPr>
            <w:tcW w:w="46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4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As of December 31, 2017, the following table represents the Company’s assets measured at fair value on a recurring basis and the basis for that measurement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Quoted Prices in</w:t>
            </w:r>
          </w:p>
        </w:tc>
        <w:tc>
          <w:tcPr>
            <w:tcW w:w="46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Significant</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Carrying Value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4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46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Pr>
          <w:p>
            <w:pPr>
              <w:spacing w:after="0"/>
              <w:rPr>
                <w:sz w:val="14"/>
                <w:szCs w:val="14"/>
                <w:color w:val="auto"/>
              </w:rPr>
            </w:pPr>
          </w:p>
        </w:tc>
        <w:tc>
          <w:tcPr>
            <w:tcW w:w="16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December 31, 2017</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Asset (Level 1)</w:t>
            </w:r>
          </w:p>
        </w:tc>
        <w:tc>
          <w:tcPr>
            <w:tcW w:w="46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Derivative assets (other current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5,179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5,179</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370"/>
              <w:spacing w:after="0"/>
              <w:rPr>
                <w:sz w:val="20"/>
                <w:szCs w:val="20"/>
                <w:color w:val="auto"/>
              </w:rPr>
            </w:pPr>
            <w:r>
              <w:rPr>
                <w:rFonts w:ascii="Arial" w:cs="Arial" w:eastAsia="Arial" w:hAnsi="Arial"/>
                <w:sz w:val="18"/>
                <w:szCs w:val="18"/>
                <w:color w:val="auto"/>
              </w:rPr>
              <w:t>$   5,179</w:t>
            </w:r>
          </w:p>
        </w:tc>
        <w:tc>
          <w:tcPr>
            <w:tcW w:w="48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Items not reflected in the table above include cash equivalents, restricted cash,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Borrowings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119"/>
        </w:trPr>
        <w:tc>
          <w:tcPr>
            <w:tcW w:w="5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820" w:type="dxa"/>
            <w:vAlign w:val="bottom"/>
            <w:tcBorders>
              <w:top w:val="single" w:sz="8" w:color="auto"/>
            </w:tcBorders>
          </w:tcPr>
          <w:p>
            <w:pPr>
              <w:jc w:val="center"/>
              <w:ind w:left="42"/>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119"/>
              <w:spacing w:after="0" w:line="119" w:lineRule="exact"/>
              <w:rPr>
                <w:sz w:val="20"/>
                <w:szCs w:val="20"/>
                <w:color w:val="auto"/>
              </w:rPr>
            </w:pPr>
            <w:r>
              <w:rPr>
                <w:rFonts w:ascii="Arial" w:cs="Arial" w:eastAsia="Arial" w:hAnsi="Arial"/>
                <w:sz w:val="13"/>
                <w:szCs w:val="13"/>
                <w:b w:val="1"/>
                <w:bCs w:val="1"/>
                <w:color w:val="auto"/>
              </w:rPr>
              <w:t>Carrying</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r>
      <w:tr>
        <w:trPr>
          <w:trHeight w:val="171"/>
        </w:trPr>
        <w:tc>
          <w:tcPr>
            <w:tcW w:w="5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19"/>
              <w:spacing w:after="0"/>
              <w:rPr>
                <w:sz w:val="20"/>
                <w:szCs w:val="20"/>
                <w:color w:val="auto"/>
              </w:rPr>
            </w:pPr>
            <w:r>
              <w:rPr>
                <w:rFonts w:ascii="Arial" w:cs="Arial" w:eastAsia="Arial" w:hAnsi="Arial"/>
                <w:sz w:val="14"/>
                <w:szCs w:val="14"/>
                <w:b w:val="1"/>
                <w:bCs w:val="1"/>
                <w:color w:val="auto"/>
              </w:rPr>
              <w:t>Value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Value</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5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5.0% Exchangeable Senior Notes due March 2021 (Level 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81,909</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3"/>
              </w:rPr>
              <w:t>$127,617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9"/>
              <w:spacing w:after="0"/>
              <w:rPr>
                <w:sz w:val="20"/>
                <w:szCs w:val="20"/>
                <w:color w:val="auto"/>
              </w:rPr>
            </w:pPr>
            <w:r>
              <w:rPr>
                <w:rFonts w:ascii="Arial" w:cs="Arial" w:eastAsia="Arial" w:hAnsi="Arial"/>
                <w:sz w:val="18"/>
                <w:szCs w:val="18"/>
                <w:color w:val="auto"/>
              </w:rPr>
              <w:t>81,576</w:t>
            </w: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$127,617</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6.625% Senior Notes due July 2021 (Level 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222,039</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$221,906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86"/>
              </w:rPr>
              <w:t>221,840</w:t>
            </w: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$224,719</w:t>
            </w:r>
          </w:p>
        </w:tc>
      </w:tr>
    </w:tbl>
    <w:p>
      <w:pPr>
        <w:spacing w:after="0" w:line="20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The Company estimates the fair value of the Exchangeable Notes using the market approach, which utilizes quoted market prices that fall under Level 2. For further description of the Exchangeable Notes, see Note 9, “Long-term Borrowings”.</w:t>
      </w:r>
    </w:p>
    <w:p>
      <w:pPr>
        <w:spacing w:after="0" w:line="154"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On July 18, 2013, the Company issued 6.625% senior notes due July 15, 2021 (the “2021 Notes”) of $225.0 million, which represents the principal amount, excluding $1.1 million of original issue discount and $5.0 million of debt issuance costs. The Company estimates the fair value of the 2021 Notes using the market approach, which utilizes quoted market prices that fall under Level 2. For further description of the 2021 Notes, see Note 9, “Long-term Borrowings”.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March 31, 2018 and 2017, the Company did not have any assets or liabilities measured at fair value on a non-recurring basis.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Borrowings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borrowings as of March 31, 2018 and December 31, 2017 are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March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225,000</w:t>
            </w:r>
          </w:p>
        </w:tc>
        <w:tc>
          <w:tcPr>
            <w:tcW w:w="320" w:type="dxa"/>
            <w:vAlign w:val="bottom"/>
          </w:tcPr>
          <w:p>
            <w:pPr>
              <w:spacing w:after="0"/>
              <w:rPr>
                <w:sz w:val="18"/>
                <w:szCs w:val="18"/>
                <w:color w:val="auto"/>
              </w:rPr>
            </w:pP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225,000</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(7,834)</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Long-term borrowings, net of unamortized discount and debt issuance costs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303,948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303,416</w:t>
            </w:r>
          </w:p>
        </w:tc>
        <w:tc>
          <w:tcPr>
            <w:tcW w:w="1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8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months ended March 31, 2018 and 2017 were $1,411 thousand and $1,147 thousand,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can optionally redeem all or a part of the 2021 Notes according to the following schedule: on or after July 15, 2017, the Company may on any one or more occasions redeem all or a part of the 2021 Notes, at a redemption price equal to 103.313%, 101.656% and 100% of the principal amount of the notes redeemed on or after July 15, 2017, 2018 and 2019, respectively, plus accrued and unpaid interest and special interest, if any, on the notes redeemed, to the applicable date of redemption.</w:t>
      </w:r>
    </w:p>
    <w:p>
      <w:pPr>
        <w:spacing w:after="0" w:line="187"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w:t>
      </w:r>
    </w:p>
    <w:p>
      <w:pPr>
        <w:ind w:right="360" w:firstLine="8"/>
        <w:spacing w:after="0" w:line="281"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enter into certain types of transactions with affiliates; (viii) guarantee the payment of any indebtedness; (ix) enter into sale-leaseback transactions;</w:t>
      </w:r>
    </w:p>
    <w:p>
      <w:pPr>
        <w:spacing w:after="0" w:line="20" w:lineRule="exact"/>
        <w:rPr>
          <w:rFonts w:ascii="Arial" w:cs="Arial" w:eastAsia="Arial" w:hAnsi="Arial"/>
          <w:sz w:val="17"/>
          <w:szCs w:val="17"/>
          <w:color w:val="auto"/>
        </w:rPr>
      </w:pPr>
    </w:p>
    <w:p>
      <w:pPr>
        <w:ind w:right="40" w:firstLine="8"/>
        <w:spacing w:after="0" w:line="28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designate unrestricted subsidiaries.</w:t>
      </w:r>
    </w:p>
    <w:p>
      <w:pPr>
        <w:spacing w:after="0" w:line="21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expenses related to the 2021 Notes for the three months ended March 31, 2018 and 2017 were $3,926 thousand and $3,912 thousand, respectively.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Severance Benefits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March 31, 2018, 98% of employees of the Company were eligible for severance benefits.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6760" w:type="dxa"/>
            <w:vAlign w:val="bottom"/>
          </w:tcPr>
          <w:p>
            <w:pPr>
              <w:spacing w:after="0"/>
              <w:rPr>
                <w:sz w:val="14"/>
                <w:szCs w:val="14"/>
                <w:color w:val="auto"/>
              </w:rPr>
            </w:pPr>
          </w:p>
        </w:tc>
        <w:tc>
          <w:tcPr>
            <w:tcW w:w="68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8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$149,795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$130,144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Provisions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4,512</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7,386</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(2,247)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(7,524)</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10,872</w:t>
            </w: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152,779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140,878</w:t>
            </w: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(255)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(270)</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Group severance insurance plan</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151,889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139,948</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760" w:type="dxa"/>
            <w:vAlign w:val="bottom"/>
            <w:gridSpan w:val="4"/>
          </w:tcPr>
          <w:p>
            <w:pPr>
              <w:ind w:left="2600"/>
              <w:spacing w:after="0"/>
              <w:rPr>
                <w:sz w:val="20"/>
                <w:szCs w:val="20"/>
                <w:color w:val="auto"/>
              </w:rPr>
            </w:pPr>
            <w:r>
              <w:rPr>
                <w:rFonts w:ascii="Arial" w:cs="Arial" w:eastAsia="Arial" w:hAnsi="Arial"/>
                <w:sz w:val="14"/>
                <w:szCs w:val="14"/>
                <w:b w:val="1"/>
                <w:bCs w:val="1"/>
                <w:color w:val="auto"/>
                <w:w w:val="95"/>
              </w:rPr>
              <w:t>Severance benefit</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2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2019</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2021</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2023</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1,889</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2024 – 2028</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Korea’s mandatory retirement age is 60 under the Employment Promotion for the Aged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Foreign Currency Gain, Net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our Korean subsidiary. The loans are denominated in U.S. dollars and are affected by changes in the exchange rate between the Korean won and the U.S. dollar. As of March 31, 2018 and December 31, 2017, the outstanding intercompany loan balances including accrued interest between the Korean subsidiary and the Dutch subsidiary were $677,657 thousand and $677,267 thousand, respectively. The Korean won to U.S. dollar exchange rates were 1,066.5:1, 1,071.4:1 using the first base rate as of March 31, 2018, December 31, 2017, respectively, as quoted by the KEB Hana Bank.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and other gain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21, 2016, the Company entered into a purchase and sale agreement to sell a building located in Cheongju, South Korea. The building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has historically been used to house the Company’s six-inch fabrication facility in Cheongju, South Korea (the “6-inch fab”) and became vacant upon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closure of the fabrication facility in February 2016. As of December 31, 2015, the building was fully impaired. The Company received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$18,204 thousand, including a $1,655 thousand value-added tax, for the sale of the building in December 2016. As the Company was obligated to perform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removal construction work, it recorded the $18,204 thousand proceeds as restricted cash and $16,549 thousand as deposits received in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sheets as of December 31, 2016. During the first quarter of 2017, the Company completed all removal construction work necessary to transfer the title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building, and the $18,204 thousand of restricted cash was fully released. Accordingly, the Company recorded $16,635 thousand as restructuring gain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statements of operations for the three months ended March 31, 2017.</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March 2017, the Company sold its sensor product business, which was included in and reported as part of Display Solutions line of its Standard Products Group, to a third party for proceeds of $1,295 thousand, in an effort to improve our overall profitability. The Company recorded $375 thousand net gain from this sale after deducting the book values of certain assets transferred to the buyer.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Early Termination Charges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February 22, 2017, the Company’s Board of Directors approved the implementation of a new headcount reduction plan (the “Headcount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Reduction Plan”). As of June 30, 2017, 352 employees elected to resign from the Company during the period in which the Headcount Reduction Plan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offered. The total cash cost of approximately $31 million has been fully paid. The Company recorded in its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$11,107 thousand and $2,262 thousand in termination related charges as early termination charges for the three months ended March 31, 2017 and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respectively. The remaining total estimated cost relates to statutory severance benefits, which are required by law and have already been fully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Company’s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Company files income tax returns in the U.S., Korea, Japan, Taiwan and various other jurisdictions. The Company is subject to income- or non-income-based tax examinations by tax authorities of the U.S., Korea and multiple other foreign jurisdictions, where applicable, for all open tax years.</w:t>
      </w:r>
    </w:p>
    <w:p>
      <w:pPr>
        <w:spacing w:after="0" w:line="124"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Income tax expense recorded for three months ended March 31, 2018 and 2017 was $990 thousand and $853 thousand, respectively, primarily attributable to interest on intercompany loan balances.</w:t>
      </w:r>
    </w:p>
    <w:p>
      <w:pPr>
        <w:spacing w:after="0" w:line="17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December 22, 2017, H.R. 1, originally known as the Tax Cuts and Jobs Act, was enacted in the U.S (the “Tax Reform Act”). The Tax Reform Act reduces the U.S. federal statutory rate to 21.0% from 35.0% effective January 1, 2018. The key provisions contained in the Tax Reform Act are mandatory deemed repatriation tax, global intangible low tax income and foreign derived intangible income provisions, of which the Company does not expect that the provisions in connection with global intangible low tax income and foreign derived intangible income provisions have any material impact to its income tax expense. The Company is currently reviewing the provision relating to the mandatory deemed repatriation tax and will complete its assessment before the measurement period ends in December 2018.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and Segment Information</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Company has two operating segments: Foundry Services Group and Standard Products Group. The Company’s chief operating decision maker is its Chief Executive Officer who allocates resources and assesses performance of the business and other activities based on gross profit.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January 2018, as part of the Company’s ongoing portfolio optimization effort to realign business processes and streamline the Company’s organizational structure, the Company transferred a portion of its non-OLED Display business from the Standard Products Group to the Foundry Services Group. The transferred non-OLED Display business has technical and business characteristics more closely aligned with the Company’s Foundry Services business than with the Company’s Standard Products business, which resided within the Company’s Display Solutions business line primarily as a result of a long standing customer relationship established many years ago. The Company recast comparative segment financial information to conform to this current period change. For the three months ended March 31, 2017, $6,014 thousand of net sales and $1,225 thousand of gross profit were reclassified from the Display Solutions business line in the Standard Products Group to the Foundry Services Group.</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relating to the operating segment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60" w:type="dxa"/>
            <w:vAlign w:val="bottom"/>
            <w:tcBorders>
              <w:top w:val="single" w:sz="8" w:color="auto"/>
            </w:tcBorders>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2"/>
              </w:rPr>
              <w:t>As Adjusted</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2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77,429</w:t>
            </w:r>
          </w:p>
        </w:tc>
        <w:tc>
          <w:tcPr>
            <w:tcW w:w="28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83,542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49,696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2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38,667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Total Standard Products Group</w:t>
            </w:r>
          </w:p>
        </w:tc>
        <w:tc>
          <w:tcPr>
            <w:tcW w:w="20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88,363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2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20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165,819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$ 161,710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60" w:type="dxa"/>
            <w:vAlign w:val="bottom"/>
            <w:tcBorders>
              <w:top w:val="single" w:sz="8" w:color="auto"/>
            </w:tcBorders>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2"/>
              </w:rPr>
              <w:t>As Adjusted</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20,664</w:t>
            </w:r>
          </w:p>
        </w:tc>
        <w:tc>
          <w:tcPr>
            <w:tcW w:w="28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24,039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44,581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Upon the adoption of the new revenue standard during the first quarter ended March 31, 2018, the Company’s revenue for Foundry Services Group is disaggregated depending on the timing of revenue recognition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Three Month ended March 31, 2018,</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5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280" w:type="dxa"/>
            <w:vAlign w:val="bottom"/>
          </w:tcPr>
          <w:p>
            <w:pPr>
              <w:spacing w:after="0"/>
              <w:rPr>
                <w:sz w:val="10"/>
                <w:szCs w:val="10"/>
                <w:color w:val="auto"/>
              </w:rPr>
            </w:pPr>
          </w:p>
        </w:tc>
        <w:tc>
          <w:tcPr>
            <w:tcW w:w="17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8"/>
              </w:rPr>
              <w:t>Revenue recognized</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at the time of</w:t>
            </w:r>
          </w:p>
        </w:tc>
        <w:tc>
          <w:tcPr>
            <w:tcW w:w="2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shipment or delivery</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over time</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2,797</w:t>
            </w: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74,632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$77,429</w:t>
            </w:r>
          </w:p>
        </w:tc>
        <w:tc>
          <w:tcPr>
            <w:tcW w:w="0" w:type="dxa"/>
            <w:vAlign w:val="bottom"/>
          </w:tcPr>
          <w:p>
            <w:pPr>
              <w:spacing w:after="0"/>
              <w:rPr>
                <w:sz w:val="1"/>
                <w:szCs w:val="1"/>
                <w:color w:val="auto"/>
              </w:rPr>
            </w:pPr>
          </w:p>
        </w:tc>
      </w:tr>
      <w:tr>
        <w:trPr>
          <w:trHeight w:val="350"/>
        </w:trPr>
        <w:tc>
          <w:tcPr>
            <w:tcW w:w="3420" w:type="dxa"/>
            <w:vAlign w:val="bottom"/>
          </w:tcPr>
          <w:p>
            <w:pPr>
              <w:spacing w:after="0"/>
              <w:rPr>
                <w:sz w:val="24"/>
                <w:szCs w:val="24"/>
                <w:color w:val="auto"/>
              </w:rPr>
            </w:pP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net sales by geographic region, based on the location to which the products are billed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6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65,083</w:t>
            </w:r>
          </w:p>
        </w:tc>
        <w:tc>
          <w:tcPr>
            <w:tcW w:w="6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89,706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79,464</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6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10,978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7,853</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165,819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161,710</w:t>
            </w:r>
          </w:p>
        </w:tc>
        <w:tc>
          <w:tcPr>
            <w:tcW w:w="6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Net sales from the Company’s top ten largest customers accounted for 59% and 62% for the three months ended March 31, 2018 and 2017, respectively.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three months ended March 31, 2018, the Company had two customers that represented 17.9% and 10.4% of its net sales, respectively. For the three months ended March 31, 2017, the Company had one customer that represented 14.8% of its net sales.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 of the Company’s property, plant and equipment are located in Korea as of March 31, 2018.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Accumulated other comprehensive loss consists of the following as of March 31, 2018 and December 31, 2017, respectively (in thousands):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March 31,</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6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$(38,896)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(38,413)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8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(36,270)</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(33,114)</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Changes in accumulated other comprehensive loss for the three months ended March 31, 2018 and 2017 are as follows (in thousands):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44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8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adjustments</w:t>
            </w:r>
          </w:p>
        </w:tc>
        <w:tc>
          <w:tcPr>
            <w:tcW w:w="22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Beginning balance</w:t>
            </w:r>
          </w:p>
        </w:tc>
        <w:tc>
          <w:tcPr>
            <w:tcW w:w="35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(38,413</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5,299</w:t>
            </w: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4"/>
              </w:rPr>
              <w:t>$ (33,114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(2,673)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(38,896)</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(36,270)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2017</w:t>
            </w:r>
          </w:p>
        </w:tc>
        <w:tc>
          <w:tcPr>
            <w:tcW w:w="44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8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adjustments</w:t>
            </w:r>
          </w:p>
        </w:tc>
        <w:tc>
          <w:tcPr>
            <w:tcW w:w="22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Beginning balance</w:t>
            </w:r>
          </w:p>
        </w:tc>
        <w:tc>
          <w:tcPr>
            <w:tcW w:w="35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14,460</w:t>
            </w: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(436)</w:t>
            </w: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$ 14,024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(35,324)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 (loss)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(35,324)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(20,864)</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(19,294)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There was no income tax impact related to changes in accumulated other comprehensive income loss for the three months ended March 31, 2018 and 2017 due to net operating loss carry-forwards available to offset taxable income and full allowance for deferred tax assets.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computation of basic and diluted earnings per common share for the three months ended March 31, 2018 and 2017:</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5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March 31,</w:t>
            </w: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5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19"/>
        </w:trPr>
        <w:tc>
          <w:tcPr>
            <w:tcW w:w="5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4"/>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(In thousands of US dollars,</w:t>
            </w:r>
          </w:p>
        </w:tc>
        <w:tc>
          <w:tcPr>
            <w:tcW w:w="60" w:type="dxa"/>
            <w:vAlign w:val="bottom"/>
          </w:tcPr>
          <w:p>
            <w:pPr>
              <w:spacing w:after="0"/>
              <w:rPr>
                <w:sz w:val="10"/>
                <w:szCs w:val="10"/>
                <w:color w:val="auto"/>
              </w:rPr>
            </w:pPr>
          </w:p>
        </w:tc>
      </w:tr>
      <w:tr>
        <w:trPr>
          <w:trHeight w:val="185"/>
        </w:trPr>
        <w:tc>
          <w:tcPr>
            <w:tcW w:w="5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except share data)</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43,738</w:t>
            </w:r>
          </w:p>
        </w:tc>
        <w:tc>
          <w:tcPr>
            <w:tcW w:w="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34,253,111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33,662,297</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43,738</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Add back: Interest expense on Exchangeable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income allocated to common stockholders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44,885</w:t>
            </w:r>
          </w:p>
        </w:tc>
        <w:tc>
          <w:tcPr>
            <w:tcW w:w="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34,253,111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33,662,297</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effect of dilutive equity awards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901,582</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638,994</w:t>
            </w:r>
          </w:p>
        </w:tc>
        <w:tc>
          <w:tcPr>
            <w:tcW w:w="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effect of assumed conversion of 5.0% Exchangeable Notes to common</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3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8,590,753</w:t>
            </w:r>
          </w:p>
        </w:tc>
        <w:tc>
          <w:tcPr>
            <w:tcW w:w="60" w:type="dxa"/>
            <w:vAlign w:val="bottom"/>
            <w:shd w:val="clear" w:color="auto" w:fill="CCEEFF"/>
          </w:tcPr>
          <w:p>
            <w:pPr>
              <w:spacing w:after="0"/>
              <w:rPr>
                <w:sz w:val="20"/>
                <w:szCs w:val="20"/>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Diluted weighted average common stock outstanding</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35,154,693</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42,892,044</w:t>
            </w:r>
          </w:p>
        </w:tc>
        <w:tc>
          <w:tcPr>
            <w:tcW w:w="6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per share, as they have an anti-dilutive effect on the calculation:</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88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80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78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810,572</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1,256,448</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three months ended March 31, 2018, 10,448,213 of potential common stock from the assumed conversion of Exchangeable Notes was excluded from the computation of diluted earnings per share as the effect was anti-dilutive for the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Purchase Agreements and Advances to Suppliers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purchases raw materials from a variety of vendors. During the normal course of business, in order to manage manufacturing lead times and help assure adequacy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March 31, 2018 and December 31, 2017, respectively.</w:t>
      </w:r>
    </w:p>
    <w:p>
      <w:pPr>
        <w:spacing w:after="0" w:line="18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from time to time, may make prepayments to suppliers to procure materials to meet its planned production. The Company recorded prepayments of $7,264 thousand and $7,404 thousand as other current assets as of March 31, 2018 and December 31, 2017,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Enforcement Staff Review</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March 2014, the Company voluntarily reported to the Securities and Exchange Commission, or the SEC, that the Company’s Audit Committee had determined that the Company incorrectly recognized revenue on certain transactions and as a result would restate its financial statements, and that the Audit Committee had commenced an independent investigation. Over the course of 2014 and the first two quarters of 2015, the Company voluntarily produced documents to the SEC regarding the various accounting issues identified during the independent investigation, and whether the Company’s hiring of an accountant from the Company’s independent registered public accounting firm impacted that accounting firm’s independence. On July 22, 2014, the Staff of the SEC’s Division of Enforcement obtained a Formal Order of Investigation. On March 12, 2015, the SEC issued a subpoena for documents to the Company in connection with its investigation. On May 1, 2017, the SEC announced that it had reached a final settlement with the Company, resolving the SEC’s investigation. In that connection, the Company has consented, without admitting or denying the SEC’s findings, to the entry of an administrative order by the SEC directing that the Company cease and desist from committing or causing any violations of certain provisions of the federal securities laws and related SEC regulations. The SEC’s administrative order was entered on May 1, 2017. The SEC imposed a monetary penalty of $3,000 thousand on the Company. In the first quarter ended March 31, 2017, the Company established a reserve in that amount for the potential settlement of this matter. The reserved monetary penalty of $3,000 thousand was paid to the SEC during the second quarter of 2017. The Company also agreed to an undertaking to cooperate fully with the SEC in any and all investigations, litigations or other proceedings relating to or arising from the matters described in the SEC’s order. In connection with the settlement, the SEC considered remedial acts promptly undertaken by the Company and its cooperation with the SEC staff during the course of the investigation. Among other things, as previously disclosed in the Company’s filings with the SEC, the Audit Committee of the Company self-investigated and self-reported the accounting errors, selected new management and implemented various additional controls designed to prevent similar errors going forward.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 Complaints</w:t>
      </w:r>
    </w:p>
    <w:p>
      <w:pPr>
        <w:spacing w:after="0" w:line="11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On March 12, 2014, a purported class action was filed against the Company and certain of the Company’s now-former officers. On April 21, 2015, a related purported class action lawsuit (Okla. Police Pension &amp; Retirement Sys. v. MagnaChip Semiconductor Corp., et al., No. 3:15-cv-01797) was filed against the Company, certain of the Company’s current directors and former and now-former officers, a shareholder of the Company, and certain financial firms that acted as underwriters of the Company’s public stock offerings. On June 15, 2015, these two class action lawsuits were consolidated. On June 26, 2015, an amended complaint was filed in the consolidated action, against the Company, certain of the Company’s current directors and former officers, a shareholder of the Company, and certain financial firms that acted as underwriters of the Company’s public stock offerings on behalf of a putative class consisting of all persons other than the defendants who purchased or acquired the Company’s securities between February 1, 2012 and February 12, 2015 and a putative subclass consisting of all purchasers of the Company’s common stock pursuant to or traceable to a shelf registration statement and prospectus issued in connection with the Company’s February 6, 2013 public stock offering. The consolidated amended complaint asserted claims on behalf of the putative class for (i) alleged violations of Section 10(b) of the Exchange Act and Rule 10b-5 promulgated thereunder by the Company and certain of the Company’s current directors and former officers, (ii) alleged violations of Section 20(a) of the Exchange Act by certain of the Company’s current directors and former officers, and (iii) alleged violations of Sections 20(a) and 20(A) of the Exchange Act by a shareholder. The consolidated amended complaint also asserted claims on behalf the subclass for (i) alleged violations of Section 11 of the Securities Act by the Company, certain of the Company’s current directors and former officers, and certain financial firms that acted as underwriters of the Company’s public stock offerings, (ii) alleged violations of Section 12 of the Securities Act by the Company, certain of the Company’s current directors and former officers, a shareholder of the Company, and certain financial firms that acted as underwriters of the Company’s public stock offerings, (iii) alleged violations of Section 15 of the Securities Act by the Company, certain of the Company’s former officers, and a shareholder of the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December 10, 2015, the Company and certain of its current and former officers and directors entered into a Memorandum of Understanding with the plaintiffs’ representatives to memorialize an agreement in principle to settle the consolidated securities class action lawsuit, Thomas, et al. v. MagnaChip Semiconductor Corp. et al., Civil Action No. 3:14-CV-01160-JST, pending in the United States District Court for the Northern District of California (the “Class Action Litigation”). On February 5, 2016, the plaintiffs in the consolidated securities class action filed a motion for preliminary approval of the settlement, as well as the stipulation and agreement of settlement and related exhibits. The stipulation and agreement of settlement provided that all claims asserted against all defendants in the Class Action Litigation except for Avenue Capital Management II, L.P. would be released. The stipulation and agreement of settlement also provided for an aggregate settlement payment by the Company of $23,500 thousand, which would include all attorneys’ fees, costs of administration and plaintiffs’ out-of-pocket expenses, lead plaintiff compensatory awards and disbursements. The settlement also included the dismissal of all claims against the Company and the named individuals in the Class Action Litigation without any liability or wrongdoing attributed to them.</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April 13, 2016, the plaintiffs filed a renewed motion for preliminary approval of the settlement. On July 18, 2016, the court granted plaintiffs’ renewed motion for preliminary approval of the settlement. On October 17, 2016, plaintiffs filed their motions for final approval of the settlement and plan of allocation of the settlement and for an award of attorneys’ fees, reimbursement of litigation expenses, and reimbursement of the costs and expenses of Lead Plaintiff Keith Thomas. On December 1, 2016, following a hearing on November 21, 2016 and an order dated November 21, 2016, the court entered a supplemental order and final judgment (the “Judgment”) granting final approval of the settlement. The Judgment was not appealed within the applicable appeals period (on or before January 3, 2017). The settlement therefore became effective after the expiration of the appeals period. The settlement was fully funded by insurance proceeds.</w:t>
      </w:r>
    </w:p>
    <w:p>
      <w:pPr>
        <w:spacing w:after="0" w:line="18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recorded the $23,500 thousand of the settlement obligation for the Class Action Litigation as accrued expenses in the consolidated balance sheets as of December 31, 2015 and as selling, general and administrative expenses in the consolidated statements of operations for the year ended December 31, 2015. The Company recorded $29,571 thousand of the proceeds from the insurers as other receivables in the consolidated balance sheets as of December 31, 2015 and as a deduction of the selling, general and administrative expenses in the consolidated statements of operations for the year ended December 31, 2015. The proceeds from the insurers of $29,571 thousand were deposited into the Company’s escrow account during the first quarter of 2016 and the Company reclassified the $29,571 thousand deposits recorded in other receivables into restricted cash. During the third quarter of 2016, the Company disbursed the aggregate settlement payment of $23,500 thousand after the court granted plaintiffs’ renewed motion for preliminary approval of the settlement in July 2016. Upon the settlement payment, $6,114 thousand of the insurance proceeds remained in the Company’s escrow account. For subsequent treatment of the escrow amount, see “Shareholder Derivative Complaints”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Complaints</w:t>
      </w:r>
    </w:p>
    <w:p>
      <w:pPr>
        <w:spacing w:after="0" w:line="117"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 xml:space="preserve">A shareholder derivative action, styled </w:t>
      </w:r>
      <w:r>
        <w:rPr>
          <w:rFonts w:ascii="Arial" w:cs="Arial" w:eastAsia="Arial" w:hAnsi="Arial"/>
          <w:sz w:val="16"/>
          <w:szCs w:val="16"/>
          <w:i w:val="1"/>
          <w:iCs w:val="1"/>
          <w:color w:val="auto"/>
        </w:rPr>
        <w:t>Hemmingson et al. v. Elkins et al.</w:t>
      </w:r>
      <w:r>
        <w:rPr>
          <w:rFonts w:ascii="Arial" w:cs="Arial" w:eastAsia="Arial" w:hAnsi="Arial"/>
          <w:sz w:val="16"/>
          <w:szCs w:val="16"/>
          <w:color w:val="auto"/>
        </w:rPr>
        <w:t>, Case No. 1-15-cv-278614, was filed in the Superior Court of the State of California in and for Santa Clara County on March 25, 2015, naming as defendants certain of the Company’s current directors and former and now-former officers, as well as a shareholder of the Company, and naming the Company as a nominal defendant. The complaint in this action asserted claims for</w:t>
      </w:r>
    </w:p>
    <w:p>
      <w:pPr>
        <w:ind w:right="140" w:firstLine="8"/>
        <w:spacing w:after="0" w:line="273"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alleged breaches of fiduciary duty by certain of the Company’s current directors and former and now-former officers for purportedly knowingly failing to maintain adequate internal controls over its accounting and reporting functions and disseminating to shareholders certain alleged materially false and misleading statements, (ii) alleged breaches of fiduciary duty by certain of the Company’s current directors and a current shareholder of the Company for purported insider trading, and (iii) alleged unjust enrichment by a shareholder of the Company for purported insider trading.</w:t>
      </w:r>
    </w:p>
    <w:p>
      <w:pPr>
        <w:spacing w:after="0" w:line="17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On June 1, 2015, a shareholder derivative action was filed in the Superior Court of the State of California, Santa Clara County styled </w:t>
      </w:r>
      <w:r>
        <w:rPr>
          <w:rFonts w:ascii="Arial" w:cs="Arial" w:eastAsia="Arial" w:hAnsi="Arial"/>
          <w:sz w:val="17"/>
          <w:szCs w:val="17"/>
          <w:i w:val="1"/>
          <w:iCs w:val="1"/>
          <w:color w:val="auto"/>
        </w:rPr>
        <w:t>Bushansky v.</w:t>
      </w:r>
      <w:r>
        <w:rPr>
          <w:rFonts w:ascii="Arial" w:cs="Arial" w:eastAsia="Arial" w:hAnsi="Arial"/>
          <w:sz w:val="17"/>
          <w:szCs w:val="17"/>
          <w:color w:val="auto"/>
        </w:rPr>
        <w:t xml:space="preserve"> </w:t>
      </w:r>
      <w:r>
        <w:rPr>
          <w:rFonts w:ascii="Arial" w:cs="Arial" w:eastAsia="Arial" w:hAnsi="Arial"/>
          <w:sz w:val="17"/>
          <w:szCs w:val="17"/>
          <w:i w:val="1"/>
          <w:iCs w:val="1"/>
          <w:color w:val="auto"/>
        </w:rPr>
        <w:t>Norby, et al.</w:t>
      </w:r>
      <w:r>
        <w:rPr>
          <w:rFonts w:ascii="Arial" w:cs="Arial" w:eastAsia="Arial" w:hAnsi="Arial"/>
          <w:sz w:val="17"/>
          <w:szCs w:val="17"/>
          <w:color w:val="auto"/>
        </w:rPr>
        <w:t>, No. 1-15-CV-281284 (PHK) (Cal. Super. Ct. Santa Clara Cnty.). The complaint names as defendants certain of the Company’s current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former officers, and a shareholder of the Company, with the Company being named as a nominal defendant. The complaint asserted claims for (i) alleged breaches of fiduciary duties by certain of the Company’s current directors and former officers for knowingly failing to maintain adequate internal controls over the Company’s accounting and reporting functions and disseminating to shareholders certain alleged materially false and misleading statements; and (ii) alleged aiding and abetting of such breaches of fiduciary duties by all defendants.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January 22, 2016, the Company and the plaintiffs in the </w:t>
      </w:r>
      <w:r>
        <w:rPr>
          <w:rFonts w:ascii="Arial" w:cs="Arial" w:eastAsia="Arial" w:hAnsi="Arial"/>
          <w:sz w:val="16"/>
          <w:szCs w:val="16"/>
          <w:i w:val="1"/>
          <w:iCs w:val="1"/>
          <w:color w:val="auto"/>
        </w:rPr>
        <w:t>Hemmingson</w:t>
      </w:r>
      <w:r>
        <w:rPr>
          <w:rFonts w:ascii="Arial" w:cs="Arial" w:eastAsia="Arial" w:hAnsi="Arial"/>
          <w:sz w:val="16"/>
          <w:szCs w:val="16"/>
          <w:color w:val="auto"/>
        </w:rPr>
        <w:t xml:space="preserve"> and </w:t>
      </w:r>
      <w:r>
        <w:rPr>
          <w:rFonts w:ascii="Arial" w:cs="Arial" w:eastAsia="Arial" w:hAnsi="Arial"/>
          <w:sz w:val="16"/>
          <w:szCs w:val="16"/>
          <w:i w:val="1"/>
          <w:iCs w:val="1"/>
          <w:color w:val="auto"/>
        </w:rPr>
        <w:t>Bushansky</w:t>
      </w:r>
      <w:r>
        <w:rPr>
          <w:rFonts w:ascii="Arial" w:cs="Arial" w:eastAsia="Arial" w:hAnsi="Arial"/>
          <w:sz w:val="16"/>
          <w:szCs w:val="16"/>
          <w:color w:val="auto"/>
        </w:rPr>
        <w:t xml:space="preserve"> actions entered into and filed a stipulation of settlement with the Superior Court of the State of California, Santa Clara County. The settlement provided for the resolution of all of the pending claims in both shareholder derivative actions against the Company and the individual defendants, without any liability or wrongdoing attributed to them. The settlement also provided for an aggregate payment from the Company defendants’ directors and officers insurance policies of $3,000 thousand to be made to an escrow account, which would be remitted to the Company once the settlement becomes final, less (i) any applicable costs of such escrow account, (ii) any amount awarded by the court to the plaintiff’s counsel for attorney’s fees and litigation expenses and (iii) the cost of providing notice of the settlement to the Company’s stockholders. The proposed settlement also required that the Company implement certain corporate governance measures. The $3,000 thousand settlement payment was included in the insurance proceeds of $29,571 thousand as discussed in “Securities Class Action Complaints”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22, 2016, the plaintiffs filed an unopposed motion for preliminary approval of the proposed derivative settlement. On June 10, 2016,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court granted plaintiffs’ motion for preliminary approval of the proposed settlement. On October 18, 2016, after a hearing held on October 14, 2016, the court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entered its order and final judgment (the “Shareholder Derivative Judgment”) granting final approval of the proposed settlement and awarding plaintiffs’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counsel $750 thousand for attorneys’ fees and litigation expenses. The Shareholder Derivative Judgment was not appealed within the applicable appeals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(on or before December 19, 2016). The settlement therefore became effective after the expiration of the appeals period and $2,258 thousand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($2,250 thousand plus applicable interest) was paid to the Company from the escrow account, previously recorded as restricted cash, in December 2016.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remaining restricted cash related to insurance proceeds of $3,078 thousand was also released in December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RF applications. We have a proven record with over 30 years of operating history, a portfolio of approximately 3,200 registered patents and pending applications and extensive engineering and manufacturing process expertise.</w:t>
      </w:r>
    </w:p>
    <w:p>
      <w:pPr>
        <w:spacing w:after="0" w:line="18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flat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and industrial applications.</w:t>
      </w:r>
    </w:p>
    <w:p>
      <w:pPr>
        <w:spacing w:after="0" w:line="1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Korea-based operations, if we are not effective in competing in these markets our operating results may be adversely affected.</w:t>
      </w:r>
    </w:p>
    <w:p>
      <w:pPr>
        <w:spacing w:after="0" w:line="16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88"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7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Since 2007, we have designed and manufactured organic light emitting diodes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8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our previous public filings, we had used a term “active matrix organic light emitting diodes (AMOLED)” that described a display technology used in certain display driver ICs that we had designed and manufactured in our internal and external foundries. Beginning in the second quarter of 2017, we have used the term “OLED” instead of the term “AMOLED” in our public filings in order to be consistent with commonly accepted industry naming practices for this product category. There is no change to the products that we previously referred to as AMOLED display driver ICs.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Change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 The transferred non-OLED display business represented $4.4 million and $6.0 million of net sales for the three months ended March 31, 2018 and 2017,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Audit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September 2017, MagnaChip Semiconductor Ltd. (“MSK”), our Korean operating subsidiary, was notified that the Korean National Tax Service (the “KNTS”) would be examining the income- and non-income-based taxes of MSK for its 2012 to 2014 tax years. The KNTS had conducted its audit, primarily focusing on non-income-based value added tax (“VAT”) transactions associated with the periods with respect to which we previously restated our financial statements as a result of the independent investigation commenced by our Audit Committee in January 2014 (the “Restatement”).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November 29, 2017, the KNTS issued a preliminary assessment to MSK identifying its findings and proposed additional tax payments and penalties that it asserted were owed by MSK for the audit periods. The aggregate preliminary tax and penalty assessment proposed by the KNTS was $6.0 million, of which $3.3 million had already been accrued by us in our financial statements in connection with the Restatement filed in 2015. Such amount also included approximately $0.5 million related to employee withholding amounts and associated penalties, and to the extent any such tax obligation was that of MSK’s employees, we expect to seek reimbursement of the applicable amounts from those employees. In addition, MSK expected the KNTS to assess an administrative fine of approximately $2.0 million in connection with the above-described examination.</w:t>
      </w:r>
    </w:p>
    <w:p>
      <w:pPr>
        <w:spacing w:after="0" w:line="15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final assessment was issued in a manner consistent with the preliminary assessment. Based on further discussions with our Korean tax advisors, we evaluated whether an appeal of the KNTS’ final assessment was in our best interest and decided that we would accept such final assessment and administrative fine.</w:t>
      </w:r>
    </w:p>
    <w:p>
      <w:pPr>
        <w:spacing w:after="0" w:line="14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December 2017, the KNTS concluded that no criminal charges would be brought against any current officers or directors of MSK or MSK itself. As a result, we took a charge of $4.2 million in the fourth quarter of 2017 related to this additional tax assessment and associated penalties and administrative fine and recorded the $0.5 million related to employee withholding amounts as other receivables in our consolidated balance sheets as of December 31, 2017, as we expect to seek reimbursement of the applicable amounts from those employees.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August 15, 2017, certain of our stockholders that are affiliates of Avenue Capital Management II, L.P. (the “Selling Stockholders”) closed an underwritten registered public offering of 4,088,978 shares of our common stock at a price per share of $11.10. We did not receive any proceeds from the sale of our common stock by the Selling Stockholders, but paid certain expenses in connection with such secondary offering pursuant to an existing contractual arrangement with the Selling Stockholders.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associated with the closure of our 6-inch fab and reduction of workforce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5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of April 29, 2016, 169 employees elected to resign under the terms of the Program. We paid approximately $8 million for severance benefits, which are required by law and had already been fully accrued in our financial statements, in a lump sum during the second quarter of 2016. Beginning in May 2016, we also 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6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3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 of February 22, 2017, our Board of Directors approved the implementation of a headcount reduction plan (the “Headcount Reduction Plan”). As of June 30, 2017, 352 employees elected to resign from the Company during the period in which the Headcount Reduction Plan was offered. The Headcount Reduction Plan is expected to result in estimated annual cost savings of approximately $24 million. The total cash cost of approximately $31 million has been fully paid. We recorded in our consolidated statement of operations $11.1 million and $2.3 million termination related charges as “early termination charges” for the three months ended March 31, 2017 and June 30, 2017, respectively. The remaining total cost relates to statutory severance benefits, which are required by law and had already been fully accrued in our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Exchangeable Senior Notes and Stock Repurchase</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5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Sensor Business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January 2014, our Audit Committee commenced an independent investigation that resulted in the Restatement.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81"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6"/>
          <w:szCs w:val="16"/>
          <w:color w:val="auto"/>
        </w:rPr>
        <w:t>On December 10, 2015, we entered into a Memorandum of Understanding with the plaintiffs’ representatives to settle the Class Action Litigation, as defined and detailed in “Item 1. Financial Statements and Supplementary Data—Notes to Consolidated Financial Statements—Note 18. Commitments and Contingencies” in this Report,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January 22, 2016, we entered into a stipulation of settlement with the plaintiffs in the shareholder derivative actions, as described in “Item 1. Financial Statements and Supplementary Data—Notes to Consolidated Financial Statements—Note 18. Commitments and Contingencies” in this Report,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May 1, 2017, the SEC announced that it had reached a final settlement with us, resolving the SEC’s investigation, as detailed in “Item 1. Financial Statements and Supplementary Data—Notes to Consolidated Financial Statements—Note 18. Commitments and Contingencies” in this Report. In that connection,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 imposed a monetary penalty of $3.0 million on us. In the first quarter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second quarter of 2017.</w:t>
      </w:r>
    </w:p>
    <w:p>
      <w:pPr>
        <w:spacing w:after="0" w:line="192"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As a result of the Restatement, we have incurred substantial external accounting, legal and other related costs associated with the Restatement and certain litigation and other regulatory investigations and actions related thereto. We recorded Restatement related costs of $10.3 million for the year ended December 31, 2017, which included tax assessment, and associated penalties of $4.3 million, primarily related to non-income-based VAT transactions in the Restatement periods, compared to $7.0 million for the year ended December 31, 2016. For the three months March 31, 2018, the reversal of a $0.8 million accrual related to certain legal fees, incurred in prior periods and reimbursed by insurers in the current quarter, was recorded as a Restatement related gain.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170"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 We recast comparative segment financial information to conform to this current period change.</w:t>
      </w:r>
    </w:p>
    <w:p>
      <w:pPr>
        <w:spacing w:after="0" w:line="78" w:lineRule="exact"/>
        <w:rPr>
          <w:sz w:val="20"/>
          <w:szCs w:val="20"/>
          <w:color w:val="auto"/>
        </w:rPr>
      </w:pPr>
    </w:p>
    <w:p>
      <w:pPr>
        <w:ind w:left="440" w:hanging="324"/>
        <w:spacing w:after="0" w:line="269"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Foundry Services Group: </w:t>
      </w:r>
      <w:r>
        <w:rPr>
          <w:rFonts w:ascii="Arial" w:cs="Arial" w:eastAsia="Arial" w:hAnsi="Arial"/>
          <w:sz w:val="17"/>
          <w:szCs w:val="17"/>
          <w:color w:val="auto"/>
        </w:rPr>
        <w:t>Our Foundry Services Group provides specialty analog and mixed-signal foundry services to fabless semiconductor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approximately 497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the consumer, computing, communication, industrial, automotive and IoT applications. For the three months ended March 31, 2018, our Foundry Services Group business represented 46.7% of our net sales and its gross profit was $20.7 million. For the three months ended March 31, 2017, our Foundry Services Group business represented, on an adjusted basis, 51.7% of our net sales and its gross profit was $23.3 million, as adjusted for the segment change as described above.</w:t>
      </w:r>
    </w:p>
    <w:p>
      <w:pPr>
        <w:spacing w:after="0" w:line="88" w:lineRule="exact"/>
        <w:rPr>
          <w:rFonts w:ascii="Arial" w:cs="Arial" w:eastAsia="Arial" w:hAnsi="Arial"/>
          <w:sz w:val="17"/>
          <w:szCs w:val="17"/>
          <w:color w:val="auto"/>
        </w:rPr>
      </w:pPr>
    </w:p>
    <w:p>
      <w:pPr>
        <w:ind w:left="440" w:hanging="324"/>
        <w:spacing w:after="0" w:line="285"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Our Standard Products Group includes our Display Solutions and Power Solutions business lines. Our Display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For the three months ended March 31, 2018, our Standard Products Group, which includes our Display Solutions and Power Solutions business lines, represented 53.3% of our net sales and its gross profit was $24.0 million. For the three months ended March 31, 2017, our Standard Products Group business represented, on an adjusted basis, 48.3% of our net sales and its gross profit was $18.2 million, as adjusted for the segment change as described above.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use the terms Adjusted EBITDA and Adjusted Net Income (Loss) throughout this Report. Adjusted EBITDA, as we define it, is a non-US GAAP measure. We define Adjusted EBITDA for the periods indicated as EBITDA (as defined below), adjusted to exclude (i) restructuring and other gain, (ii) early termination charges, (iii) equity-based compensation expense, (iv) foreign currency gain, net, (v) derivative valuation loss (gain), net, and (vi) restatement related expenses (gain), net. EBITDA for the periods indicated is defined as net income before interest expense, net, income tax expenses, and depreciation and amortization.</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440" w:right="400" w:hanging="324"/>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6" w:lineRule="exact"/>
        <w:rPr>
          <w:rFonts w:ascii="Arial" w:cs="Arial" w:eastAsia="Arial" w:hAnsi="Arial"/>
          <w:sz w:val="18"/>
          <w:szCs w:val="18"/>
          <w:color w:val="auto"/>
        </w:rPr>
      </w:pPr>
    </w:p>
    <w:p>
      <w:pPr>
        <w:ind w:left="440" w:right="20" w:hanging="324"/>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6" w:lineRule="exact"/>
        <w:rPr>
          <w:rFonts w:ascii="Arial" w:cs="Arial" w:eastAsia="Arial" w:hAnsi="Arial"/>
          <w:sz w:val="18"/>
          <w:szCs w:val="18"/>
          <w:color w:val="auto"/>
        </w:rPr>
      </w:pPr>
    </w:p>
    <w:p>
      <w:pPr>
        <w:ind w:left="440" w:right="14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 Adjusted EBITDA in a number of ways, including:</w:t>
      </w:r>
    </w:p>
    <w:p>
      <w:pPr>
        <w:spacing w:after="0" w:line="131"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94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5"/>
              </w:rPr>
              <w:t>Three Months</w:t>
            </w: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28"/>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28"/>
              <w:spacing w:after="0" w:line="149" w:lineRule="exact"/>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Adjustments: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gain (a)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Early termination charges(b)</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Foreign currency gain, net(d)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68"/>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(gain), net(e)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Restatement related expenses (gain), net(f)</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68"/>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March 31, 2017, this adjustment eliminates the $16.6 million restructuring gain on sale of a building in connection with the closure of our 6-inch fab and the $0.4 million gain on sale of our sensor business.</w:t>
      </w:r>
    </w:p>
    <w:p>
      <w:pPr>
        <w:spacing w:after="0" w:line="1"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March 31, 2017, this adjustment eliminates the $11.1 million charge related to termination benefits payable under the Headcount Reduction Plan. As these early termination charges are recorded as a result of implementing a company-wide headcount reduction plan and are not expected to represent an ongoing operating expense to us, we believe our operating performance results are more usefully compared if these expenses are excluded.</w:t>
      </w:r>
    </w:p>
    <w:p>
      <w:pPr>
        <w:sectPr>
          <w:pgSz w:w="11900" w:h="16838" w:orient="portrait"/>
          <w:cols w:equalWidth="0" w:num="1">
            <w:col w:w="11360"/>
          </w:cols>
          <w:pgMar w:left="240" w:top="459" w:right="299" w:bottom="1440" w:gutter="0" w:footer="0" w:header="0"/>
        </w:sectPr>
      </w:pP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60"/>
          </w:cols>
          <w:pgMar w:left="240" w:top="459" w:right="2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6"/>
          <w:szCs w:val="16"/>
          <w:color w:val="auto"/>
        </w:rPr>
      </w:pPr>
    </w:p>
    <w:p>
      <w:pPr>
        <w:ind w:left="460" w:right="60" w:hanging="452"/>
        <w:spacing w:after="0" w:line="25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adjustment eliminates expenses in connection with the Audit Committee’s independent investigation and related restatement and litigation, primarily comprised of legal, audit and consulting fees. For the three months ended March 31, 2017, this adjustment includes the $3.0 million civil penalty imposed by the SEC. For the three months March 31, 2018, this adjustment eliminates the reversal of a $0.8 million accrual related to certain legal fees incurred in prior periods and reimbursed by insurers in the current quarter. As these restatement related expenses meaningfully impacted our operating results and are not expected to represent an ongoing operating expense to us, we believe our operating performance results are more usefully compared if these expenses are excluded.</w:t>
      </w:r>
    </w:p>
    <w:p>
      <w:pPr>
        <w:spacing w:after="0" w:line="86" w:lineRule="exact"/>
        <w:rPr>
          <w:rFonts w:ascii="Arial" w:cs="Arial" w:eastAsia="Arial" w:hAnsi="Arial"/>
          <w:sz w:val="18"/>
          <w:szCs w:val="18"/>
          <w:color w:val="auto"/>
        </w:rPr>
      </w:pPr>
    </w:p>
    <w:p>
      <w:pPr>
        <w:ind w:left="460" w:right="480"/>
        <w:spacing w:after="0" w:line="277"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debt;</w:t>
      </w:r>
    </w:p>
    <w:p>
      <w:pPr>
        <w:spacing w:after="0" w:line="153" w:lineRule="exact"/>
        <w:rPr>
          <w:rFonts w:ascii="Arial" w:cs="Arial" w:eastAsia="Arial" w:hAnsi="Arial"/>
          <w:sz w:val="16"/>
          <w:szCs w:val="16"/>
          <w:color w:val="auto"/>
        </w:rPr>
      </w:pPr>
    </w:p>
    <w:p>
      <w:pPr>
        <w:ind w:left="900" w:right="30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other companies in our industry may calculate Adjusted EBITDA differently than we do, limiting its usefulness as a comparative measure.</w:t>
      </w:r>
    </w:p>
    <w:p>
      <w:pPr>
        <w:spacing w:after="0" w:line="129" w:lineRule="exact"/>
        <w:rPr>
          <w:sz w:val="20"/>
          <w:szCs w:val="20"/>
          <w:color w:val="auto"/>
        </w:rPr>
      </w:pPr>
    </w:p>
    <w:p>
      <w:pPr>
        <w:ind w:left="460" w:right="140"/>
        <w:spacing w:after="0" w:line="342" w:lineRule="auto"/>
        <w:rPr>
          <w:sz w:val="20"/>
          <w:szCs w:val="20"/>
          <w:color w:val="auto"/>
        </w:rPr>
      </w:pPr>
      <w:r>
        <w:rPr>
          <w:rFonts w:ascii="Arial" w:cs="Arial" w:eastAsia="Arial" w:hAnsi="Arial"/>
          <w:sz w:val="16"/>
          <w:szCs w:val="16"/>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present Adjusted Net Income as a further supplemental measure of our performance. We prepare Adjusted Net Income by adjusting net income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present Adjusted Net Income for a number of reasons, including:</w:t>
      </w:r>
    </w:p>
    <w:p>
      <w:pPr>
        <w:spacing w:after="0" w:line="77" w:lineRule="exact"/>
        <w:rPr>
          <w:sz w:val="20"/>
          <w:szCs w:val="20"/>
          <w:color w:val="auto"/>
        </w:rPr>
      </w:pPr>
    </w:p>
    <w:p>
      <w:pPr>
        <w:ind w:left="900" w:right="38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use Adjusted Net Income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6"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believe that reporting Adjusted Net Income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Adjusted Net Income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for the periods indicated as net income, adjusted to exclude (i) restructuring and other gain, (ii) early termination charges, (iii) equity-based compensation expense, (iv) foreign currency gain, net, (v) derivative valuation loss (gain), net, and (vi) restatement related expenses (gain), net.</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summarizes the adjustments to net income that we make in order to calculate Adjusted Net Income for the periods indicated:</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96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95"/>
              </w:rPr>
              <w:t>Three Months</w:t>
            </w: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68"/>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68"/>
              <w:spacing w:after="0" w:line="149" w:lineRule="exact"/>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(In millions)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Adjustments: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gain(a)</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Early termination charges(b)</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Foreign currency gain, net(d)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08"/>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(gain), net(e)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Restatement related expenses (gain), net(f)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08"/>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three months ended March 31, 2017, this adjustment eliminates the $16.6 million restructuring gain on sale of a building in connection with the closure of our 6-inch fab and the $0.4 million gain on sale of our sensor business.</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three months ended March 31, 2017, this adjustment eliminates the $11.1 million charge related to termination benefits payable under the Headcount Reduction Plan. As these early termination charges are recorded as a result of implementing a company-wide headcount reduction plan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eliminates the impact of gain or loss recognized in income on derivatives, which represents hedge ineffectiveness or derivatives value changes excluded from the risk being hedged. We enter into derivative transactions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140"/>
        <w:spacing w:after="0" w:line="256" w:lineRule="auto"/>
        <w:rPr>
          <w:sz w:val="20"/>
          <w:szCs w:val="20"/>
          <w:color w:val="auto"/>
        </w:rPr>
      </w:pPr>
      <w:r>
        <w:rPr>
          <w:rFonts w:ascii="Arial" w:cs="Arial" w:eastAsia="Arial" w:hAnsi="Arial"/>
          <w:sz w:val="18"/>
          <w:szCs w:val="18"/>
          <w:color w:val="auto"/>
        </w:rPr>
        <w:t>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460" w:right="120" w:hanging="452"/>
        <w:spacing w:after="0" w:line="252"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adjustment eliminates expenses in connection with the Audit Committee’s independent investigation and related restatement and litigation, primarily comprised of legal, audit and consulting fees. For the three months ended March 31, 2017, this adjustment includes the $3.0 million civil penalty imposed by the SEC. For the three months March 31, 2018, this adjustment eliminates the reversal of a $0.8 million accrual related to certain legal fees incurred in prior periods and reimbursed by insurers in the current quarter. As these restatement related expenses meaningfully impacted our operating results and are not expected to represent an ongoing operating expense to us, we believe our operating performance results are more usefully compared if these expenses are excluded.</w:t>
      </w:r>
    </w:p>
    <w:p>
      <w:pPr>
        <w:spacing w:after="0" w:line="86" w:lineRule="exact"/>
        <w:rPr>
          <w:rFonts w:ascii="Arial" w:cs="Arial" w:eastAsia="Arial" w:hAnsi="Arial"/>
          <w:sz w:val="18"/>
          <w:szCs w:val="18"/>
          <w:color w:val="auto"/>
        </w:rPr>
      </w:pPr>
    </w:p>
    <w:p>
      <w:pPr>
        <w:ind w:left="460" w:right="380"/>
        <w:spacing w:after="0" w:line="286" w:lineRule="auto"/>
        <w:rPr>
          <w:rFonts w:ascii="Arial" w:cs="Arial" w:eastAsia="Arial" w:hAnsi="Arial"/>
          <w:sz w:val="18"/>
          <w:szCs w:val="18"/>
          <w:color w:val="auto"/>
        </w:rPr>
      </w:pPr>
      <w:r>
        <w:rPr>
          <w:rFonts w:ascii="Arial" w:cs="Arial" w:eastAsia="Arial" w:hAnsi="Arial"/>
          <w:sz w:val="17"/>
          <w:szCs w:val="17"/>
          <w:color w:val="auto"/>
        </w:rPr>
        <w:t>There was no tax impact from the adjustments to net income to calculate our Adjusted Net Income for the three months ended March 31, 2018 and 2017 due to net operating loss carry-forwards available to offset taxable income and full allowance for deferred tax assets. We believe that all adjustments to net income used to calculate Adjusted Net Income were applied consistently to the periods presented.</w:t>
      </w:r>
    </w:p>
    <w:p>
      <w:pPr>
        <w:spacing w:after="0" w:line="57" w:lineRule="exact"/>
        <w:rPr>
          <w:rFonts w:ascii="Arial" w:cs="Arial" w:eastAsia="Arial" w:hAnsi="Arial"/>
          <w:sz w:val="18"/>
          <w:szCs w:val="18"/>
          <w:color w:val="auto"/>
        </w:rPr>
      </w:pPr>
    </w:p>
    <w:p>
      <w:pPr>
        <w:ind w:left="460" w:right="36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Net Income differently than we do, limiting its usefulness as a comparative measure.</w:t>
      </w:r>
    </w:p>
    <w:p>
      <w:pPr>
        <w:spacing w:after="0" w:line="140"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Because of these limitations, Adjusted Net Income should not be considered as a measure of profitability of our business. We compensate for these limitations by relying primarily on our US GAAP results and using Adjusted Net Income only supplementally.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virtually all of our sales (net of sales returns and allowances) from two segments: Foundry Services Group and Standard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consists of agents in the United States and Europe and distributors and agents in the Asia Pacific region. Our net sales from All other consist principally of the disposal of scrap materials.</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Prior to the adoption of the new revenue standard effective on January 1, 2018, we had historically recognized revenue when risk and reward of ownership pass to the customer either upon shipment, upon product delivery at the customer’s location or upon customer acceptance, depending on the terms of the arrangement. After the adoption of the new revenue standard effective on January 1, 2018, we recognize revenue over time for those foundry products without alternative use where we have an enforceable right to payment for the related foundry services completed to date. As we adopted the new revenue standard under the modified retrospective method, we have not changed the comparative information in our interim consolidated financial statements for the three months ended March 31, 2017. Such comparative information continues to be reported under the accounting standards in effect for that period. See “Item 1. Interim Consolidated Financial Statements— Notes to Consolidated Financial Statements— Note 1— Business, Basis of Presentation and Significant Accounting Policies— Basis of Presentation and Recent Accounting Pronouncements” in this Report for further discussion. For the three months ended March 31, 2018 and 2017, we sold products to 263 and 238 customers, respectively, and our net sales to our ten largest customers represented 59% and 62% of our net sales, respectively. We have a combined production capacity of approximately 110,000 semiconductor wafers per month. We believe our large-scale, cost-effective fabrication facilities enable us to rapidly adjust our production levels to meet shifts in demand by our end customers.</w:t>
      </w:r>
    </w:p>
    <w:p>
      <w:pPr>
        <w:spacing w:after="0" w:line="17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overall gross profit generally fluctuates as a result of changes in overall sales volumes and in the average selling prices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Average Selling Prices. </w:t>
      </w:r>
      <w:r>
        <w:rPr>
          <w:rFonts w:ascii="Arial" w:cs="Arial" w:eastAsia="Arial" w:hAnsi="Arial"/>
          <w:sz w:val="18"/>
          <w:szCs w:val="18"/>
          <w:color w:val="auto"/>
        </w:rPr>
        <w:t>Average selling prices for our products tend to be highest at the time of introduction of new products which utilize the latest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significantly increase.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Labor Costs. </w:t>
      </w:r>
      <w:r>
        <w:rPr>
          <w:rFonts w:ascii="Arial" w:cs="Arial" w:eastAsia="Arial" w:hAnsi="Arial"/>
          <w:sz w:val="18"/>
          <w:szCs w:val="18"/>
          <w:color w:val="auto"/>
        </w:rPr>
        <w:t>A significant portion of our employees are located in Korea. Under Korean labor laws, most employees and certain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one or more years of service are entitled to severance benefits upon the termination of their employment based on their length of service and rate of pay. As of March 31, 2018, approximately 98% of our employees were eligible for severance benefits.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Depreciation Expense. </w:t>
      </w:r>
      <w:r>
        <w:rPr>
          <w:rFonts w:ascii="Arial" w:cs="Arial" w:eastAsia="Arial" w:hAnsi="Arial"/>
          <w:sz w:val="18"/>
          <w:szCs w:val="18"/>
          <w:color w:val="auto"/>
        </w:rPr>
        <w:t>We periodically evaluate the carrying values of long-lived assets, including property, plant and equipment and intangible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human resources and other administrative functions. These expenses primarily consist of payroll-related expenses, consulting and other professional fees and office facility-related expenses.</w:t>
      </w:r>
    </w:p>
    <w:p>
      <w:pPr>
        <w:spacing w:after="0" w:line="18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lines.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the 2021 Notes and the Exchangeable Notes.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Impact of Foreign Currency Exchange Rates on Reported Results of Operations. </w:t>
      </w:r>
      <w:r>
        <w:rPr>
          <w:rFonts w:ascii="Arial" w:cs="Arial" w:eastAsia="Arial" w:hAnsi="Arial"/>
          <w:sz w:val="16"/>
          <w:szCs w:val="16"/>
          <w:color w:val="auto"/>
        </w:rPr>
        <w:t>Historically, a portion of our revenues and greater than the majority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March 31, 2018, the outstanding intercompany loans balances including accrued interests between our Korean subsidiary and our Dutch subsidiary were $677.7 million. This amount included an intercompany loan of $75 million executed during the first quarter of 2017, which was used to transfer a portion of the net proceeds from the offering of the Exchangeable Notes from our Luxembourg subsidiary to our Dutch subsidiary, and then to our Korean subsidiary.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7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4"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 our income taxes in each of the tax jurisdictions in which we operate. This process involves using an asset and liability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78"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Our operations are subject to income and transaction taxes in the United States and in multiple foreign jurisdictions, including Korea.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166"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We invest in manufacturing equipment, software design tools and other tangible and intangible assets mainly for fab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include our payments for the purchase of property, plant and equipment as well as payments for the registration of intellectual property rights.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Three Months Ended March 31, 2018 and 2017</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consolidated results of operations for the three months ended March 31, 2018 and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Pr>
          <w:p>
            <w:pPr>
              <w:spacing w:after="0"/>
              <w:rPr>
                <w:sz w:val="14"/>
                <w:szCs w:val="14"/>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March 31, 2017</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Borders>
              <w:top w:val="single" w:sz="8" w:color="auto"/>
            </w:tcBorders>
            <w:gridSpan w:val="5"/>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2"/>
              <w:spacing w:after="0" w:line="119"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gridSpan w:val="5"/>
            <w:vMerge w:val="continue"/>
          </w:tcPr>
          <w:p>
            <w:pPr>
              <w:spacing w:after="0"/>
              <w:rPr>
                <w:sz w:val="14"/>
                <w:szCs w:val="14"/>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$ 165.8</w:t>
            </w: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$ 161.7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2220" w:type="dxa"/>
            <w:vAlign w:val="bottom"/>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121.2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74.3</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44.6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17.6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19.6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Restructuring and other gain</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(17.0)</w:t>
            </w:r>
          </w:p>
        </w:tc>
        <w:tc>
          <w:tcPr>
            <w:tcW w:w="3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charges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(11.1)</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Foreign currency gain, net</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(2.2)</w:t>
            </w:r>
          </w:p>
        </w:tc>
        <w:tc>
          <w:tcPr>
            <w:tcW w:w="220" w:type="dxa"/>
            <w:vAlign w:val="bottom"/>
            <w:vMerge w:val="restart"/>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4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0"/>
              </w:rPr>
              <w:t>(41.9)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tax expenses</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 (41.0)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8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vMerge w:val="restart"/>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7"/>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March 31, 2017</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6"/>
              </w:rPr>
              <w:t>March 31, 2018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2"/>
              </w:rPr>
              <w:t>(As adjusted)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Net Sales</w:t>
            </w:r>
          </w:p>
        </w:tc>
        <w:tc>
          <w:tcPr>
            <w:tcW w:w="26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5"/>
          </w:tcPr>
          <w:p>
            <w:pPr>
              <w:jc w:val="right"/>
              <w:ind w:right="28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400" w:type="dxa"/>
            <w:vAlign w:val="bottom"/>
            <w:gridSpan w:val="3"/>
          </w:tcPr>
          <w:p>
            <w:pPr>
              <w:ind w:left="230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77.4</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46.7%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83.5</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49.7</w:t>
            </w: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42.9</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35.3</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78.1</w:t>
            </w:r>
          </w:p>
        </w:tc>
        <w:tc>
          <w:tcPr>
            <w:tcW w:w="3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1060"/>
              <w:spacing w:after="0"/>
              <w:rPr>
                <w:sz w:val="20"/>
                <w:szCs w:val="20"/>
                <w:color w:val="auto"/>
              </w:rPr>
            </w:pPr>
            <w:r>
              <w:rPr>
                <w:rFonts w:ascii="Arial" w:cs="Arial" w:eastAsia="Arial" w:hAnsi="Arial"/>
                <w:sz w:val="18"/>
                <w:szCs w:val="18"/>
                <w:color w:val="auto"/>
              </w:rPr>
              <w:t>Total net sales</w:t>
            </w:r>
          </w:p>
        </w:tc>
        <w:tc>
          <w:tcPr>
            <w:tcW w:w="2300" w:type="dxa"/>
            <w:vAlign w:val="bottom"/>
            <w:gridSpan w:val="2"/>
            <w:vMerge w:val="restart"/>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300" w:type="dxa"/>
            <w:vAlign w:val="bottom"/>
            <w:gridSpan w:val="2"/>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$ 165.8</w:t>
            </w:r>
          </w:p>
        </w:tc>
        <w:tc>
          <w:tcPr>
            <w:tcW w:w="2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$ 161.7</w:t>
            </w:r>
          </w:p>
        </w:tc>
        <w:tc>
          <w:tcPr>
            <w:tcW w:w="360" w:type="dxa"/>
            <w:vAlign w:val="bottom"/>
            <w:vMerge w:val="continue"/>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vMerge w:val="restart"/>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7"/>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March 31, 2017</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6"/>
              </w:rPr>
              <w:t>March 31, 2018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2"/>
              </w:rPr>
              <w:t>(As adjusted)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Net Sales</w:t>
            </w:r>
          </w:p>
        </w:tc>
        <w:tc>
          <w:tcPr>
            <w:tcW w:w="26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5"/>
          </w:tcPr>
          <w:p>
            <w:pPr>
              <w:jc w:val="right"/>
              <w:ind w:right="28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400" w:type="dxa"/>
            <w:vAlign w:val="bottom"/>
            <w:gridSpan w:val="3"/>
          </w:tcPr>
          <w:p>
            <w:pPr>
              <w:ind w:left="230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20.7</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26.7%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23.3</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18.2</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(451.9)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40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41.6</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vMerge w:val="restart"/>
          </w:tcPr>
          <w:p>
            <w:pPr>
              <w:jc w:val="right"/>
              <w:ind w:right="81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Net sales were $165.8 million for the three months ended March 31, 2018, a $4.1 million, or 2.5%, increase compared to $161.7 million for the three months ended March 31, 2017. This increase was primarily due to an increase in revenue related to our Standard Products Group, which was offset in part by a decrease in revenue from our Foundry Services Group as described below.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Net sales from our Foundry Services Group segment were $77.4 million for the three months ended March 31, 2018,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$6.1 million, or 7.3%, decrease compared to $83.5 million for the three months ended March 31, 2017. The decrease was primarily attributable to a decrease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demand of low margin product sales from a global power management IC foundry customer.</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Net sales from our Standard Products Group segment were $88.4 million for the three months ended March 31, 2018,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$10.2 million, or 13.1%, increase compared to $78.1 million for the three months ended March 31, 2017. This increase was primarily attributable to an increase in revenue related to mobile OLED display driver ICs in connection with the introduction of new OLED products in the China smartphone market, which was offset in part by a strategic reduction of low margin LCD business. In addition, the increase was also attributable to a higher demand of MOSFETs for mobile and TV battery products.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$0.03 million for the three months ended March 31, 2018 and $0.02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gross profit was $44.6 million for the three months ended March 31, 2018 compared to $41.6 million for the three months ended March 31, 2017, a $3.0 million, or 7.2%, increase. Gross profit as a percentage of net sales for the three months ended March 31, 2018 increased to 26.9% compared to 25.7% for the three months ended March 31, 2017. The increase in gross profit and gross profit as a percentage of net sales was mainly due to our Standard Products Group segment as described below.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Gross profit from our Foundry Services Group segment was $20.7 million for the three months ended March 31, 2018,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$2.6 million, or 11.2%, decrease compared to $23.3 million for the three months ended March 31, 2017. Gross profit as a percentage of net sales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March 31, 2018 decreased to 26.7% compared to 27.9% for the three months ended March 31, 2017. The decrease in gross profit as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percentage of net sales was mainly attributable to a lower utilization rate and an increase in raw wafer prices.</w:t>
      </w:r>
    </w:p>
    <w:p>
      <w:pPr>
        <w:spacing w:after="0" w:line="21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Gross profit from our Standard Products Group segment was $24.0 million for the three months ended March 31, 2018,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$5.8 million, or 31.8%, increase from $18.2 million for the three months ended March 31, 2017. Gross profit as a percentage of net sales for the three months ended March 31, 2018 increased to 27.2% compared to 23.3% for the three months ended March 31, 2017. The increase in gross profit as a percentage of net sales was mainly attributable to a better product mix from the increased sales of mobile OLED display driver ICs and high margin power products.</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gross profit for the three months ended March 31, 2018 was a negative $0.1 million and $0.02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2017,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jc w:val="both"/>
        <w:ind w:right="740" w:firstLine="456"/>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three months ended March 31, 2018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 2017</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88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Net Sales</w:t>
            </w:r>
          </w:p>
        </w:tc>
        <w:tc>
          <w:tcPr>
            <w:tcW w:w="2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65.1</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89.7</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79.5</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165.8</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161.7</w:t>
            </w:r>
          </w:p>
        </w:tc>
        <w:tc>
          <w:tcPr>
            <w:tcW w:w="360" w:type="dxa"/>
            <w:vAlign w:val="bottom"/>
            <w:vMerge w:val="continue"/>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Net sales in Korea for the three months ended March 31, 2018 decreased from $65.1 million to $54.7 million compared to the three months ended March 31, 2017, or by $10.4 million, or 16.0%, primarily due to a strategic reduction of low margin LCD business.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Net sales in Asia Pacific (other than Korea) for the three months ended March 31, 2018 increased from $79.5 million to $89.7 million compared to the three months ended March 31, 2017, or by $10.2 million, or 12.9%, primarily due to an increase in revenue related to mobile OLED display driver ICs in connection with the introduction of new OLED products in the China smartphone market.</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Net sales in the Europe for the three months ended March 31, 2018 increased from $7.9 million to $11.0 million compared to the three months ended March 31, 2017, or by $3.1 million, or 39.8%, primarily due to an increase in sales of certain products from a global power management IC foundry customer.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were $17.6 million, or 10.6% of net sales,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2018, compared to $23.1 million, or 14.3% of net sales, for the three months ended March 31, 2017. The decrease of $5.5 million, or 23.9%, was attributable to a $3.0 million civil penalty in connection with our final settlement with the SEC, which was recorded in the first quarter of 2017 and the reversal of a $0.8 million accrual related to certain legal fees incurred in prior periods and reimbursed by insurers in the current quarter. The remainder was primarily attributable to a decrease in professional fees mainly comprised of legal and consulting services.</w:t>
      </w:r>
    </w:p>
    <w:p>
      <w:pPr>
        <w:spacing w:after="0" w:line="17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$19.6 million, or 11.8% of net sales,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2018, compared to $18.0 million, or 11.1% of net sales, for the three months ended March 31, 2017. The increase of $1.6 million, or 9.0%, was primarily attributable to an increase in development activities for new OLED products.</w:t>
      </w:r>
    </w:p>
    <w:p>
      <w:pPr>
        <w:spacing w:after="0" w:line="18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b w:val="1"/>
          <w:bCs w:val="1"/>
          <w:i w:val="1"/>
          <w:iCs w:val="1"/>
          <w:color w:val="auto"/>
        </w:rPr>
        <w:t xml:space="preserve">Restructuring and Other Gain. </w:t>
      </w:r>
      <w:r>
        <w:rPr>
          <w:rFonts w:ascii="Arial" w:cs="Arial" w:eastAsia="Arial" w:hAnsi="Arial"/>
          <w:sz w:val="16"/>
          <w:szCs w:val="16"/>
          <w:color w:val="auto"/>
        </w:rPr>
        <w:t>Restructuring and other gain of $17.0 million recorded for the three months ended March 31, 2017 resulted from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$16.6 million restructuring gain on the sale of the building related to the closure of our 6-inch fab and a $0.4 million gain on sale of our sensor business.</w:t>
      </w:r>
    </w:p>
    <w:p>
      <w:pPr>
        <w:spacing w:after="0" w:line="12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Early Termination Charges. </w:t>
      </w:r>
      <w:r>
        <w:rPr>
          <w:rFonts w:ascii="Arial" w:cs="Arial" w:eastAsia="Arial" w:hAnsi="Arial"/>
          <w:sz w:val="18"/>
          <w:szCs w:val="18"/>
          <w:color w:val="auto"/>
        </w:rPr>
        <w:t>Early termination charges of $11.1 million for the three months ended March 31, 2017 were recorded for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payable to the employees affected under our Headcount Reduction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a result of the foregoing, operating income increased by $1.0 million for the three months ended March 31, 2018 compared to the three months ended March 31, 2017. As discussed above, the increase in operating income resulted from a $3.0 million increase in gross profit, a $5.5 million decrease in selling, general and administrative expenses and an $11.1 million decrease in early termination charges, which was partially offset by a $17.0 million decrease in restructuring and other gain and an $1.6 million increase in research and development expenses.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were $5.5 million and $5.2 million for the three months ended March 31, 2018 and March 31, 2017, respectively.</w:t>
      </w:r>
    </w:p>
    <w:p>
      <w:pPr>
        <w:spacing w:after="0" w:line="24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Foreign Currency Gains, Net. </w:t>
      </w:r>
      <w:r>
        <w:rPr>
          <w:rFonts w:ascii="Arial" w:cs="Arial" w:eastAsia="Arial" w:hAnsi="Arial"/>
          <w:sz w:val="17"/>
          <w:szCs w:val="17"/>
          <w:color w:val="auto"/>
        </w:rPr>
        <w:t>Net foreign currency gain for the three months ended March 31, 2018 was $1.3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gain of $41.8 million for the three months ended March 31, 2017. The net foreign currency gain for the three months ended March 31, 2018 and 2017 was due to the appreciation in value of the Korean won relative to the U.S. dollar during the respective period.</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March 31, 2018 and March 31, 2017, the outstanding intercompany loan balances including accrued interests between our Korean subsidiary and our Dutch subsidiary were $678 million and $663 million, respectively. Foreign currency translation gain or loss from intercompany balances was included</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 determining our consolidated net income since the intercompany balances were not considered long-term investments in nature because management intended to settle these intercompany balances at their respective maturity dates.</w:t>
      </w:r>
    </w:p>
    <w:p>
      <w:pPr>
        <w:spacing w:after="0" w:line="184"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hedging instruments. Others for the three months ended March 31, 2018 and March 31, 2017 was $0.5 million and $1.6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Income tax expenses were $1.0 million and $0.9 million for three months ended March 31, 2018 and 2017, respectively, primarily attributable to interest on intercompany loan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As a result of the foregoing, net income decreased by $41.0 million for the three months ended March 31, 2018 compared to the three months ended March 31, 2017. As discussed above, the decrease in net income primarily resulted from a $40.5 million decrease in net foreign currency gain.</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7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Interim Consolidated Financial Statements—Notes to Consolidated Financial Statements—Note 2. Sales of Accounts Receivable and Receivable Discount Program” included elsewhere in this Report. In addition, from time to time, we may make payments to our vendors on extended terms with their consent. As of March 31, 2018, we do not have any accounts payable on extended terms or payment deferment with our vendors.</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17, 2017, MagnaChip Semiconductor S.A., our Luxembourg subsidiary, closed the Exchangeable Notes Offering of the Exchangeable Notes with $86.25 million aggregate principal amount, reflecting the full exercise of the initial purchasers’ option to purchase additional Exchangeable Notes. We used a portion of the net proceeds from the Exchangeable Notes Offering to repurchase approximately $11.4 million of our common stock as part of our stock repurchase program.</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Cash outflow used in operating activities totaled $3.9 million for the three months ended March 31, 2018, compared to $38.7 million for the three months ended March 31, 2017. The net operating cash outflow for the three months ended March 31, 2018 reflects our net income of $2.8 million and adjustments of $12.5 million which mainly consisted of depreciation and amortization, provision for severance benefits and net foreign currency gain, and a net decrease in operating assets and liabilities of $19.1 million. The decrease in operating assets and liabilities was primarily related to an increase in net inventories as of March 31, 2018, reflecting anticipated sales and the Company’s opportunistic wafer buys. The decrease was also attributable to an increase in unbilled accounts receivable, which is a new line item created in our balance sheet to conform with the new revenue accounting standard and represents our contractual right to consideration for manufacturing work performed on a customer contract or an individual purchase order basis, which has not been invoiced to the customer.</w:t>
      </w:r>
    </w:p>
    <w:p>
      <w:pPr>
        <w:spacing w:after="0" w:line="19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working capital balance as of March 31, 2018 was $205.2 million compared to $192.1 million as of December 31, 2017. The $13.1 million increase was primarily attributable to a $36.0 million increase in accounts receivable, net (including unbilled accounts receivable), $6.8 million decrease in accrued expenses, which were partially offset by a $16.4 million increase in inventories, net, a $5.4 million decrease in cash and cash equivalents, a $4.9 million increase in deferred revenue and a $3.6 million increase in account payables.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Cash outflow used in investing activities totaled $2.9 million for the three months ended March 31, 2018, compared to $7.0 million of cash outflow used in investing activities for the three months ended March 31, 2017. The $4.1 million decrease was primarily attributable to a $7.2 million net decrease in hedge collateral, which was offset in part by a $2.5 million net increase in plant, property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Cash inflow provided by financing activities totaled $0.1 million for the three months ended March 31, 2018, compared to $70.6 million of cash inflow provided by financing activities for the three months ended March 31, 2017. The financing cash inflow for the three months ended March 31, 2017 consisted of $80.3 million of net proceeds received from the issuance of the Exchangeable Notes and $1.7 million of proceeds received from the exercise of stock options, which was partly offset by the payment of $11.4 million for the repurchase of 1,795,444 shares of our common stock in January 2017 pursuant to our stock repurchase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routinely make capital expenditures for fab maintenance, enhancement of our existing facilities and reinforcement of our global research and development capability. For the three months ended March 31, 2018, capital expenditures for plant, property and equipment were $7.3 million, a $2.0 million, or 36.5%, increase from $5.4 million for the three months ended March 31, 2017. The increase was mainly for meeting our customer demand and supporting technology improvements at our fabrication facilities in anticipating of attaining manufacturing efficiency.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March 31,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jc w:val="right"/>
              <w:ind w:right="36"/>
              <w:spacing w:after="0" w:line="119" w:lineRule="exact"/>
              <w:rPr>
                <w:sz w:val="20"/>
                <w:szCs w:val="20"/>
                <w:color w:val="auto"/>
              </w:rPr>
            </w:pPr>
            <w:r>
              <w:rPr>
                <w:rFonts w:ascii="Arial" w:cs="Arial" w:eastAsia="Arial" w:hAnsi="Arial"/>
                <w:sz w:val="13"/>
                <w:szCs w:val="13"/>
                <w:b w:val="1"/>
                <w:bCs w:val="1"/>
                <w:color w:val="auto"/>
              </w:rPr>
              <w:t>Remainder</w:t>
            </w: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6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of</w:t>
            </w:r>
          </w:p>
        </w:tc>
        <w:tc>
          <w:tcPr>
            <w:tcW w:w="5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8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2022</w:t>
            </w:r>
          </w:p>
        </w:tc>
        <w:tc>
          <w:tcPr>
            <w:tcW w:w="8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5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7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w:t>
            </w:r>
            <w:r>
              <w:rPr>
                <w:rFonts w:ascii="Arial" w:cs="Arial" w:eastAsia="Arial" w:hAnsi="Arial"/>
                <w:sz w:val="15"/>
                <w:szCs w:val="15"/>
                <w:color w:val="auto"/>
              </w:rPr>
              <w:t>(1)</w:t>
            </w:r>
          </w:p>
        </w:tc>
        <w:tc>
          <w:tcPr>
            <w:tcW w:w="2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$ 99.2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$ 4.3</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$ 88.4</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2021 Notes</w:t>
            </w:r>
            <w:r>
              <w:rPr>
                <w:rFonts w:ascii="Arial" w:cs="Arial" w:eastAsia="Arial" w:hAnsi="Arial"/>
                <w:sz w:val="15"/>
                <w:szCs w:val="15"/>
                <w:color w:val="auto"/>
              </w:rPr>
              <w:t>(2)</w:t>
            </w:r>
          </w:p>
        </w:tc>
        <w:tc>
          <w:tcPr>
            <w:tcW w:w="2940" w:type="dxa"/>
            <w:vAlign w:val="bottom"/>
            <w:gridSpan w:val="2"/>
          </w:tcPr>
          <w:p>
            <w:pPr>
              <w:jc w:val="right"/>
              <w:ind w:right="48"/>
              <w:spacing w:after="0"/>
              <w:rPr>
                <w:sz w:val="20"/>
                <w:szCs w:val="20"/>
                <w:color w:val="auto"/>
              </w:rPr>
            </w:pPr>
            <w:r>
              <w:rPr>
                <w:rFonts w:ascii="Arial" w:cs="Arial" w:eastAsia="Arial" w:hAnsi="Arial"/>
                <w:sz w:val="18"/>
                <w:szCs w:val="18"/>
                <w:color w:val="auto"/>
              </w:rPr>
              <w:t>277.2</w:t>
            </w:r>
          </w:p>
        </w:tc>
        <w:tc>
          <w:tcPr>
            <w:tcW w:w="28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7.5</w:t>
            </w: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14.9</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239.9</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r>
              <w:rPr>
                <w:rFonts w:ascii="Arial" w:cs="Arial" w:eastAsia="Arial" w:hAnsi="Arial"/>
                <w:sz w:val="15"/>
                <w:szCs w:val="15"/>
                <w:color w:val="auto"/>
              </w:rPr>
              <w:t>(3)</w:t>
            </w:r>
          </w:p>
        </w:tc>
        <w:tc>
          <w:tcPr>
            <w:tcW w:w="2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3.0</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15"/>
                <w:szCs w:val="15"/>
                <w:color w:val="auto"/>
              </w:rPr>
              <w:t>(4)</w:t>
            </w:r>
          </w:p>
        </w:tc>
        <w:tc>
          <w:tcPr>
            <w:tcW w:w="2940" w:type="dxa"/>
            <w:vAlign w:val="bottom"/>
            <w:gridSpan w:val="2"/>
          </w:tcPr>
          <w:p>
            <w:pPr>
              <w:jc w:val="right"/>
              <w:ind w:right="48"/>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3.6</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2.9</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50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payments as well as $86.25 million aggregate principal amount of the Exchangeable Notes outstanding as of March 31, 2018, which bear interest at a rate of 5.0% per annum and are scheduled to mature in 2021 if not earlier converted or redeemed.</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payments as well as $225.0 million aggregate principal amount of the 2021 Notes outstanding as of March 31, 2018, which bear interest at a rate of 6.625% per annum and are scheduled to mature in 2021 if not earlier redeemed.</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1,066.5:1, the exchange rate as of March 31,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license agreements and other contractual obligations.</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1. Interim Consolidated Financial Statements—Notes to Consolidated Financial Statements— Note 9.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225"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We follow accounting guidance on uncertain tax positions. Our unrecognized tax benefits totaled $0.5 million as of March 31, 2018. These unrecognized tax benefits have been excluded from the above table because we cannot estimate the period of cash settlement with the respective taxing authorities.</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Although we are obligated to pay severance benefits to eligible employees with one or more years of service upon the termination of their employment based on their length of service and rate pay, we have no obligation to fund the accrued severance benefits. Our accrued severance benefits totaled</w:t>
      </w:r>
    </w:p>
    <w:p>
      <w:pPr>
        <w:ind w:right="160"/>
        <w:spacing w:after="0" w:line="261" w:lineRule="auto"/>
        <w:rPr>
          <w:sz w:val="20"/>
          <w:szCs w:val="20"/>
          <w:color w:val="auto"/>
        </w:rPr>
      </w:pPr>
      <w:r>
        <w:rPr>
          <w:rFonts w:ascii="Arial" w:cs="Arial" w:eastAsia="Arial" w:hAnsi="Arial"/>
          <w:sz w:val="18"/>
          <w:szCs w:val="18"/>
          <w:color w:val="auto"/>
        </w:rPr>
        <w:t>$151.9 million as of March 31, 2018. Our obligations in connection with severance benefits have been excluded from the above table because we are unable to reasonably estimate the rate of termination and related cash payments for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2017, or our 2017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 description of our critical accounting policies that involve significant management judgement appears in our 2017 Form 10-K, under “Management’s Discussion and Analysis of Financial Conditions and Reports of Operations—Critical Accounting Policies and Estimates.” Our critical accounting policies for revenue recognition as updated for the adoption of the new revenue standard are disclosed in the following section. There have been no other material changes to our critical accounting policies and estimates as compared to our critical accounting policies and estimates included in our 2017 Form 10-K.</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recognize revenue when a performance obligation is satisfied by transferring control over a product or service to a customer. Revenue is measured based on the consideration specified in a contract with a customer in exchange for such product or service.</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Foundry Services Group manufactures products based on customers’ specific product designs. We recognize revenue over time for those foundry products without alternative use where we have an enforceable right to payment for the related foundry services completed to date. The revenue recognized over time is in proportion of wafer manufacturing costs incurred relative to total estimated costs at completion to measure our performance to date. However, in certain circumstances, we may not have an enforceable right to payment for performed foundry services pursuant to a customer contract or an individual purchase order. In this situation, we recognize revenue when a customer obtains control of the product, which is generally upon product shipment, delivery at the customer’s location or upon customer acceptance, depending on the terms of the arrangement.</w:t>
      </w:r>
    </w:p>
    <w:p>
      <w:pPr>
        <w:spacing w:after="0" w:line="17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Standards Products Group sells products manufactured based on our design. Our Standard Products Group’s products are either standardized with an alternative use or we do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87"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A portion of our sales are made through distributors for which we apply the same revenue recognition guidance as described above. We defer recognition of revenue when we receive cash from certain customers and distributors for the sale of products prior to obtaining an enforceable right to payment for performance completed to date or control of the product being transferred to the customer.</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revenue recognition guidance, any tax assessed by a governmental authority that is both imposed on and concurrent with a specific revenue-producing transaction, and that is collected by us from a customer, is excluded from revenue and presented in the statement of operations on a net basis.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provide a warranty, under which customers can return defective products. We estimate the costs related to those defective product returns and record them as a component of cost of sales.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we offer sales returns (other than those that relate to defective products under warranty), cash discounts for early payments, volume rebate and certain allowances to its customers, including distributors. We record reserves for those returns, discounts and allowances as a deduction from sales, based on historical experience and other quantitative and qualitative factors.</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Substantially all of our contracts are one year or less in duration. The standard payment terms with customers is generally thirty to sixty days from the time of shipment, product delivery at the customer’s location or customer acceptance, depending on the terms of the related arrangement.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Recent </w:t>
      </w:r>
      <w:r>
        <w:rPr>
          <w:rFonts w:ascii="Arial" w:cs="Arial" w:eastAsia="Arial" w:hAnsi="Arial"/>
          <w:sz w:val="18"/>
          <w:szCs w:val="18"/>
          <w:b w:val="1"/>
          <w:bCs w:val="1"/>
          <w:color w:val="auto"/>
        </w:rPr>
        <w:t>Accounting</w:t>
      </w:r>
      <w:r>
        <w:rPr>
          <w:rFonts w:ascii="Arial" w:cs="Arial" w:eastAsia="Arial" w:hAnsi="Arial"/>
          <w:sz w:val="18"/>
          <w:szCs w:val="18"/>
          <w:b w:val="1"/>
          <w:bCs w:val="1"/>
          <w:i w:val="1"/>
          <w:iCs w:val="1"/>
          <w:color w:val="auto"/>
        </w:rPr>
        <w:t xml:space="preserve"> Pronouncements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exposure to foreign currency exchange rate fluctuations on net income from our subsidiaries denominated in currencies other than</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2018 for our Korean subsidiary, a 10% devaluation of the Korean won against the U.S. dollar would have resulted in a decrease of $3.1 million in our U.S. dollar financial instruments and cash balances.</w:t>
      </w:r>
    </w:p>
    <w:p>
      <w:pPr>
        <w:spacing w:after="0" w:line="19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Exposures</w:t>
      </w:r>
    </w:p>
    <w:p>
      <w:pPr>
        <w:spacing w:after="0" w:line="11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of March 31, 2018, $86.25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March 31, 2018, $225.0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connection with the preparation of this Report, we carried out an evaluation under the supervision of and with the participation of our management, including our Chief Executive Officer and Chief Financial Officer, as of March 31, 2018,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March 31,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that have materially affected, or are reasonably likely to materially affect, our internal control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discussion of legal proceedings, see “Part I: Item 3. Legal Proceedings” of our 2017 Form 10-K.</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See also “Part I: Item 1A. Risk Factors” of our 2017 Form 10-K and Note 18 to our consolidated financial statements in this Report for additional information.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2017 Form 10-K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material changes to the Company’s risk factors disclosed in “Part I: Item 1A. Risk Factors” of our 2017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04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60" w:type="dxa"/>
            <w:vAlign w:val="bottom"/>
          </w:tcPr>
          <w:p>
            <w:pPr>
              <w:spacing w:after="0"/>
              <w:rPr>
                <w:sz w:val="24"/>
                <w:szCs w:val="2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300" w:type="dxa"/>
            <w:vAlign w:val="bottom"/>
            <w:gridSpan w:val="5"/>
            <w:vMerge w:val="restart"/>
          </w:tcPr>
          <w:p>
            <w:pPr>
              <w:ind w:left="3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3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0000EE"/>
                <w:w w:val="94"/>
              </w:rPr>
              <w:t>Certification pursuant to Rule 13a-14(a) or Rule 15d-14(a) of the Securities Exchange Act of 1934 of the Chief Executive Officer.</w:t>
            </w:r>
          </w:p>
        </w:tc>
        <w:tc>
          <w:tcPr>
            <w:tcW w:w="0" w:type="dxa"/>
            <w:vAlign w:val="bottom"/>
          </w:tcPr>
          <w:p>
            <w:pPr>
              <w:spacing w:after="0"/>
              <w:rPr>
                <w:sz w:val="1"/>
                <w:szCs w:val="1"/>
                <w:color w:val="auto"/>
              </w:rPr>
            </w:pPr>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1"/>
              </w:rPr>
              <w:t>Certification pursuant to Rule 13a-14(a) or Rule 15d-14(a) of the Securities Exchange Act of 1934 of the Chief Financial Officer.</w:t>
            </w: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 of the Chief</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20" w:type="dxa"/>
            <w:vAlign w:val="bottom"/>
            <w:gridSpan w:val="6"/>
          </w:tcPr>
          <w:p>
            <w:pPr>
              <w:spacing w:after="0" w:line="196" w:lineRule="exact"/>
              <w:rPr>
                <w:sz w:val="20"/>
                <w:szCs w:val="20"/>
                <w:color w:val="auto"/>
              </w:rPr>
            </w:pPr>
            <w:r>
              <w:rPr>
                <w:rFonts w:ascii="Arial" w:cs="Arial" w:eastAsia="Arial" w:hAnsi="Arial"/>
                <w:sz w:val="18"/>
                <w:szCs w:val="18"/>
                <w:color w:val="0000EE"/>
              </w:rPr>
              <w:t>Executive Officer.</w:t>
            </w: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 of the Chief</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Financial Officer.</w:t>
            </w:r>
          </w:p>
        </w:tc>
        <w:tc>
          <w:tcPr>
            <w:tcW w:w="8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80"/>
          </w:cols>
          <w:pgMar w:left="240" w:top="459" w:right="7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9, 2018</w:t>
      </w:r>
      <w:r>
        <w:rPr>
          <w:sz w:val="20"/>
          <w:szCs w:val="20"/>
          <w:color w:val="auto"/>
        </w:rPr>
        <w:tab/>
      </w:r>
      <w:r>
        <w:rPr>
          <w:rFonts w:ascii="Arial" w:cs="Arial" w:eastAsia="Arial" w:hAnsi="Arial"/>
          <w:sz w:val="17"/>
          <w:szCs w:val="17"/>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9, 2018</w:t>
      </w:r>
      <w:r>
        <w:rPr>
          <w:sz w:val="20"/>
          <w:szCs w:val="20"/>
          <w:color w:val="auto"/>
        </w:rPr>
        <w:tab/>
      </w:r>
      <w:r>
        <w:rPr>
          <w:rFonts w:ascii="Arial" w:cs="Arial" w:eastAsia="Arial" w:hAnsi="Arial"/>
          <w:sz w:val="16"/>
          <w:szCs w:val="16"/>
          <w:color w:val="auto"/>
        </w:rPr>
        <w:t>By:  /s/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225"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464"/>
        <w:spacing w:after="0" w:line="308" w:lineRule="auto"/>
        <w:tabs>
          <w:tab w:leader="none" w:pos="6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225"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464"/>
        <w:spacing w:after="0" w:line="308"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170" w:lineRule="exact"/>
        <w:rPr>
          <w:sz w:val="20"/>
          <w:szCs w:val="20"/>
          <w:color w:val="auto"/>
        </w:rPr>
      </w:pPr>
    </w:p>
    <w:p>
      <w:pPr>
        <w:ind w:right="580" w:firstLine="464"/>
        <w:spacing w:after="0" w:line="264" w:lineRule="auto"/>
        <w:tabs>
          <w:tab w:leader="none" w:pos="6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2018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140" w:firstLine="464"/>
        <w:spacing w:after="0" w:line="277" w:lineRule="auto"/>
        <w:tabs>
          <w:tab w:leader="none" w:pos="7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May 9, 2018</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170" w:lineRule="exact"/>
        <w:rPr>
          <w:sz w:val="20"/>
          <w:szCs w:val="20"/>
          <w:color w:val="auto"/>
        </w:rPr>
      </w:pPr>
    </w:p>
    <w:p>
      <w:pPr>
        <w:ind w:right="580" w:firstLine="464"/>
        <w:spacing w:after="0" w:line="264" w:lineRule="auto"/>
        <w:tabs>
          <w:tab w:leader="none" w:pos="6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2018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140" w:firstLine="464"/>
        <w:spacing w:after="0" w:line="277" w:lineRule="auto"/>
        <w:tabs>
          <w:tab w:leader="none" w:pos="7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May 9, 2018</w:t>
      </w:r>
      <w:r>
        <w:rPr>
          <w:sz w:val="20"/>
          <w:szCs w:val="20"/>
          <w:color w:val="auto"/>
        </w:rPr>
        <w:tab/>
      </w:r>
      <w:r>
        <w:rPr>
          <w:rFonts w:ascii="Arial" w:cs="Arial" w:eastAsia="Arial" w:hAnsi="Arial"/>
          <w:sz w:val="16"/>
          <w:szCs w:val="16"/>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3"/>
    </w:lvl>
  </w:abstractNum>
  <w:abstractNum w:abstractNumId="3">
    <w:nsid w:val="1BEFD79F"/>
    <w:multiLevelType w:val="hybridMultilevel"/>
    <w:lvl w:ilvl="0">
      <w:lvlJc w:val="left"/>
      <w:lvlText w:val="(%1)"/>
      <w:numFmt w:val="lowerRoman"/>
      <w:start w:val="7"/>
    </w:lvl>
  </w:abstractNum>
  <w:abstractNum w:abstractNumId="4">
    <w:nsid w:val="41A7C4C9"/>
    <w:multiLevelType w:val="hybridMultilevel"/>
    <w:lvl w:ilvl="0">
      <w:lvlJc w:val="left"/>
      <w:lvlText w:val="(%1)"/>
      <w:numFmt w:val="lowerRoman"/>
      <w:start w:val="10"/>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3"/>
    </w:lvl>
    <w:lvl w:ilvl="1">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6"/>
    </w:lvl>
    <w:lvl w:ilvl="1">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2019-12-07T01:43:08Z</dcterms:created>
  <dcterms:modified xsi:type="dcterms:W3CDTF">2019-12-07T01:43:08Z</dcterms:modified>
</cp:coreProperties>
</file>