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December 29,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260" w:type="dxa"/>
        <w:tblCellMar>
          <w:top w:w="0" w:type="dxa"/>
          <w:left w:w="0" w:type="dxa"/>
          <w:bottom w:w="0" w:type="dxa"/>
          <w:right w:w="0" w:type="dxa"/>
        </w:tblCellMar>
      </w:tblPr>
      <w:tr>
        <w:trPr>
          <w:trHeight w:val="218"/>
        </w:trPr>
        <w:tc>
          <w:tcPr>
            <w:tcW w:w="4520" w:type="dxa"/>
            <w:vAlign w:val="bottom"/>
          </w:tcPr>
          <w:p>
            <w:pPr>
              <w:jc w:val="center"/>
              <w:ind w:right="106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520" w:type="dxa"/>
            <w:vAlign w:val="bottom"/>
          </w:tcPr>
          <w:p>
            <w:pPr>
              <w:jc w:val="center"/>
              <w:ind w:right="10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20" w:type="dxa"/>
            <w:vAlign w:val="bottom"/>
          </w:tcPr>
          <w:p>
            <w:pPr>
              <w:jc w:val="center"/>
              <w:ind w:right="104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20" w:type="dxa"/>
            <w:vAlign w:val="bottom"/>
            <w:gridSpan w:val="2"/>
          </w:tcPr>
          <w:p>
            <w:pPr>
              <w:jc w:val="center"/>
              <w:ind w:right="1822"/>
              <w:spacing w:after="0"/>
              <w:rPr>
                <w:sz w:val="20"/>
                <w:szCs w:val="20"/>
                <w:color w:val="auto"/>
              </w:rPr>
            </w:pPr>
            <w:r>
              <w:rPr>
                <w:rFonts w:ascii="Arial" w:cs="Arial" w:eastAsia="Arial" w:hAnsi="Arial"/>
                <w:sz w:val="18"/>
                <w:szCs w:val="18"/>
                <w:b w:val="1"/>
                <w:bCs w:val="1"/>
                <w:color w:val="auto"/>
                <w:w w:val="88"/>
              </w:rPr>
              <w:t>c/o MagnaChip Semiconductor S.A., 74, rue de Merl, B.P. 709, L-2017</w:t>
            </w:r>
          </w:p>
        </w:tc>
        <w:tc>
          <w:tcPr>
            <w:tcW w:w="2740" w:type="dxa"/>
            <w:vAlign w:val="bottom"/>
          </w:tcPr>
          <w:p>
            <w:pPr>
              <w:spacing w:after="0"/>
              <w:rPr>
                <w:sz w:val="24"/>
                <w:szCs w:val="24"/>
                <w:color w:val="auto"/>
              </w:rPr>
            </w:pPr>
          </w:p>
        </w:tc>
      </w:tr>
      <w:tr>
        <w:trPr>
          <w:trHeight w:val="231"/>
        </w:trPr>
        <w:tc>
          <w:tcPr>
            <w:tcW w:w="4520" w:type="dxa"/>
            <w:vAlign w:val="bottom"/>
          </w:tcPr>
          <w:p>
            <w:pPr>
              <w:jc w:val="center"/>
              <w:ind w:left="62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520" w:type="dxa"/>
            <w:vAlign w:val="bottom"/>
          </w:tcPr>
          <w:p>
            <w:pPr>
              <w:jc w:val="center"/>
              <w:ind w:left="6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December 29, 2006, MagnaChip Semiconductor LLC (the “Company”) entered into the Fifth Amendment to Credit Agreement (as amended, the “Credit Agreement”), dated as of December 29, 2006 (the “Amendment”), with MagnaChip Semiconductor S.A. and MagnaChip Semiconductor Finance Company, as borrowers, the Subsidiary Guarantors party thereto, the Lenders party thereto (the “Lenders”), and UBS AG, Stamford Branch, as administrative agent and collateral agent (the “Agent”).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Amendment, among other things, (i) the Company agreed to furnish to the Agent and the Lenders (a) monthly liquidity and flash revenue reports along with an officer’s certificate, (b) monthly narrative reports and management’s discussion and analysis regarding the Company’s consolidated financial condition and results of operations, and (c) monthly reports regarding the cash accounts maintained by the Company and its subsidiaries; and (ii) the existing financial covenants set forth in Section 6.10 of the Credit Agreement were revised and additional financial covenants related to minimum EBITDA and liquidity requirements were added. The foregoing description does not purport to be complete and is qualified in its entirety by reference to the text of the Amendment, which is attached hereto as Exhibit 10.3.e to this report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Effective December 31, 2006, the Board of Directors of the Company accepted the resignation of Jerry Baker as Chairman of the Board of Directors, provided that Mr. Baker will retain his position as a Director of the Company.</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Effective January 1, 2007, the Board of Directors approved the promotion of Sang Park as Chairman of the Board of Directors of the Company to serve until his successor is duly appointed and qualified. Mr. Park has been a director of the Company since May 2006. Mr. Park had been the Company’s Chief Executive Officer and President since May 2006, and following such promotion, shall continue to serve as the Company’s Chief Executive Officer until his successor is duly appointed and qualified.</w:t>
      </w:r>
    </w:p>
    <w:p>
      <w:pPr>
        <w:spacing w:after="0" w:line="14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Effective January 1, 2007, the Board of Directors approved the promotion of Robert Krakauer as President of the Company to serve until his successor is duly appointed and qualified. Mr. Krakauer had been the Company’s Executive Vice President, Corporate Operations and Chief Financial Officer since October 2004, and following such promotion, shall continue to serve as the Company’s Chief Financial Officer until his successor is duly appointed and qualified.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1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0</wp:posOffset>
            </wp:positionV>
            <wp:extent cx="6054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7" w:lineRule="exact"/>
        <w:rPr>
          <w:sz w:val="20"/>
          <w:szCs w:val="20"/>
          <w:color w:val="auto"/>
        </w:rPr>
      </w:pPr>
    </w:p>
    <w:p>
      <w:pPr>
        <w:ind w:left="1420" w:right="980" w:hanging="958"/>
        <w:spacing w:after="0" w:line="301" w:lineRule="auto"/>
        <w:tabs>
          <w:tab w:leader="none" w:pos="1400" w:val="left"/>
        </w:tabs>
        <w:rPr>
          <w:sz w:val="20"/>
          <w:szCs w:val="20"/>
          <w:color w:val="auto"/>
        </w:rPr>
      </w:pPr>
      <w:r>
        <w:rPr>
          <w:rFonts w:ascii="Arial" w:cs="Arial" w:eastAsia="Arial" w:hAnsi="Arial"/>
          <w:sz w:val="18"/>
          <w:szCs w:val="18"/>
          <w:color w:val="auto"/>
        </w:rPr>
        <w:t>10.3.e</w:t>
      </w:r>
      <w:r>
        <w:rPr>
          <w:sz w:val="20"/>
          <w:szCs w:val="20"/>
          <w:color w:val="auto"/>
        </w:rPr>
        <w:tab/>
      </w:r>
      <w:r>
        <w:rPr>
          <w:rFonts w:ascii="Arial" w:cs="Arial" w:eastAsia="Arial" w:hAnsi="Arial"/>
          <w:sz w:val="16"/>
          <w:szCs w:val="16"/>
          <w:color w:val="auto"/>
        </w:rPr>
        <w:t>Fifth Amendment to Credit Agreement, dated as of December 29, 2006, by and among MagnaChip Semiconductor S.A. and MagnaChip Semiconductor Finance Company, as borrowers, MagnaChip Semiconductor LLC, the Subsidiary Guarantors party thereto, the Lenders party thereto, and UBS AG, Stamford Branch, as administrative agent and collateral agent.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January 2, 2007</w:t>
      </w:r>
      <w:r>
        <w:rPr>
          <w:sz w:val="20"/>
          <w:szCs w:val="20"/>
          <w:color w:val="auto"/>
        </w:rPr>
        <w:tab/>
      </w:r>
      <w:r>
        <w:rPr>
          <w:rFonts w:ascii="Arial" w:cs="Arial" w:eastAsia="Arial" w:hAnsi="Arial"/>
          <w:sz w:val="16"/>
          <w:szCs w:val="16"/>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00"/>
          </w:cols>
          <w:pgMar w:left="240" w:top="274"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0</wp:posOffset>
            </wp:positionV>
            <wp:extent cx="66205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7" w:lineRule="exact"/>
        <w:rPr>
          <w:sz w:val="20"/>
          <w:szCs w:val="20"/>
          <w:color w:val="auto"/>
        </w:rPr>
      </w:pPr>
    </w:p>
    <w:p>
      <w:pPr>
        <w:ind w:left="1000" w:hanging="985"/>
        <w:spacing w:after="0" w:line="254" w:lineRule="auto"/>
        <w:tabs>
          <w:tab w:leader="none" w:pos="980" w:val="left"/>
        </w:tabs>
        <w:rPr>
          <w:sz w:val="20"/>
          <w:szCs w:val="20"/>
          <w:color w:val="auto"/>
        </w:rPr>
      </w:pPr>
      <w:r>
        <w:rPr>
          <w:rFonts w:ascii="Arial" w:cs="Arial" w:eastAsia="Arial" w:hAnsi="Arial"/>
          <w:sz w:val="18"/>
          <w:szCs w:val="18"/>
          <w:color w:val="auto"/>
        </w:rPr>
        <w:t>10.3.e</w:t>
      </w:r>
      <w:r>
        <w:rPr>
          <w:sz w:val="20"/>
          <w:szCs w:val="20"/>
          <w:color w:val="auto"/>
        </w:rPr>
        <w:tab/>
      </w:r>
      <w:r>
        <w:rPr>
          <w:rFonts w:ascii="Arial" w:cs="Arial" w:eastAsia="Arial" w:hAnsi="Arial"/>
          <w:sz w:val="18"/>
          <w:szCs w:val="18"/>
          <w:color w:val="auto"/>
        </w:rPr>
        <w:t>Fifth Amendment to Credit Agreement, dated as of December 29, 2006, by and among MagnaChip Semiconductor S.A. and MagnaChip Semiconductor Finance Company, as borrowers, MagnaChip Semiconductor LLC, the Subsidiary Guarantors party thereto, the Lenders party thereto, and UBS AG, Stamford Branch, as administrative agent and collateral agent.</w:t>
      </w:r>
    </w:p>
    <w:p>
      <w:pPr>
        <w:sectPr>
          <w:pgSz w:w="11900" w:h="16838" w:orient="portrait"/>
          <w:cols w:equalWidth="0" w:num="1">
            <w:col w:w="10940"/>
          </w:cols>
          <w:pgMar w:left="240" w:top="27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10.3.e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 CREDIT AGREEMENT</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This FIFTH AMENDMENT TO CREDIT AGREEMENT (as the same may be amended, restated, supplemented, extended or otherwise modified from time to time,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December 29, 2006,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Holdings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 The Borrowers, Holdings, Subsidiary Guarantors,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Arial" w:cs="Arial" w:eastAsia="Arial" w:hAnsi="Arial"/>
          <w:sz w:val="15"/>
          <w:szCs w:val="15"/>
          <w:b w:val="1"/>
          <w:bCs w:val="1"/>
          <w:color w:val="auto"/>
        </w:rPr>
        <w:t>Credit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Unless otherwise specified herein, all capitalized terms used in this Amendment shall have the meanings ascribed to them in the Credit Agreement.</w:t>
      </w:r>
    </w:p>
    <w:p>
      <w:pPr>
        <w:spacing w:after="0" w:line="98"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B. The Borrowers have requested that the Agents and the Required Lenders agree to amend Sections 6.10(a), (b), (c) and (d), Section 5.10(l), and Section 8.01(e) of the Credit Agreement, add a new defined term to Section 1.01 of the Credit Agreement, add new Sections 4.02(e), 5.01(m) and 6.10(e) and</w:t>
      </w:r>
    </w:p>
    <w:p>
      <w:pPr>
        <w:ind w:right="520" w:firstLine="8"/>
        <w:spacing w:after="0" w:line="261"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Credit Agreement and add a new Exhibit P to the Credit Agreement, all upon the terms and subject to the conditions as herein set forth and waive various Events of Default related thereto.</w:t>
      </w:r>
    </w:p>
    <w:p>
      <w:pPr>
        <w:spacing w:after="0" w:line="13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920" w:right="220" w:firstLine="1"/>
        <w:spacing w:after="0" w:line="362" w:lineRule="auto"/>
        <w:tabs>
          <w:tab w:leader="none" w:pos="1159"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new defined term is hereby added to Section 1.01 of the Credit Agreement in appropriate alphabetical order to read in its entirety as follows: “</w:t>
      </w:r>
      <w:r>
        <w:rPr>
          <w:rFonts w:ascii="Arial" w:cs="Arial" w:eastAsia="Arial" w:hAnsi="Arial"/>
          <w:sz w:val="18"/>
          <w:szCs w:val="18"/>
          <w:b w:val="1"/>
          <w:bCs w:val="1"/>
          <w:color w:val="auto"/>
        </w:rPr>
        <w:t>Liquidity Requirement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6.10 (f)</w:t>
      </w:r>
      <w:r>
        <w:rPr>
          <w:rFonts w:ascii="Arial" w:cs="Arial" w:eastAsia="Arial" w:hAnsi="Arial"/>
          <w:sz w:val="18"/>
          <w:szCs w:val="18"/>
          <w:color w:val="auto"/>
        </w:rPr>
        <w: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Clause (l) of Section 5.01 of the Credit Agreement is hereby amended and restated to read in its entirety as follows:</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Monthly Reports</w:t>
      </w:r>
      <w:r>
        <w:rPr>
          <w:rFonts w:ascii="Arial" w:cs="Arial" w:eastAsia="Arial" w:hAnsi="Arial"/>
          <w:sz w:val="16"/>
          <w:szCs w:val="16"/>
          <w:color w:val="auto"/>
        </w:rPr>
        <w:t>. As soon as available and in any event within 20 days after the end of each fiscal month of each fiscal year (except with respect to any months for which quarterly or yearly financial statements are prepared), beginning with the fiscal month ending July 31, 2006, (i) the consolidated balance sheet of Holdings as of the end of such fiscal month and related consolidated statements of income and cash flows for such fiscal month and for the then elapsed portion of the fiscal year, in comparative form with (A) the budget delivered pursuant to Section 5.01(g) in respect of such fiscal month and such then elapsed portion of such fiscal year and (B) the consolidated statements of income and cash flows for the comparable periods in the previous fiscal year, and notes thereto (including, with respect to any Subsidiary of Holdings that is not a Subsidiary Guarantor, and each other Subsidiary of Holdings for which such note is required to be prepared pursuant to the requirements of applicable law or GAAP, a note with a consolidating balance sheet and financial statement of income and cash flows separating out each such Subsidiary) and accompanied by a certificate of a Financial Officer of a Loan Party certifying that no Event of Default has occurred or, if such Event of Default has occurred, specifying the nature and extent thereof and any corrective action taken or proposed to be taken with respect thereto, and also stating that such financial statements fairly present, in all material respects, the consolidated financial condition, results of operations and cash flows of Holdings as of the date and for the periods specified in accordance with GAAP consistently applied, and on a basis consistent with audited financial statements referred to in clause (a) of this Section, subject to normal year-end audit adjustments, (ii) a narrative report and management’s discussion and analysis, in form and substance reasonably satisfactory to the Administrative Agent, of the consolidated financial condition and results of operations of the Loan Parties for such fiscal month and (iii) a report in form and substance reasonably satisfactory to the Administrative Agent identifying, as of the end of such month, (A) each cash account of Loan Parties (other than (x) payroll accounts and trust accounts maintained in the ordinary course of business, (y) accounts from which cash is swept to other accounts no less frequently than weekly and (z) other accounts that do not contain funds in the aggregate in excess of US$50,000 at any time), (B) the balance of each such account, (C) the financial institution at which each such account is held, and (D) the account number of each such account.”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 A new clause (m) is hereby added to Section 5.01 of the Credit Agreement to read in its entirety as follows: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“(m) </w:t>
      </w:r>
      <w:r>
        <w:rPr>
          <w:rFonts w:ascii="Arial" w:cs="Arial" w:eastAsia="Arial" w:hAnsi="Arial"/>
          <w:sz w:val="16"/>
          <w:szCs w:val="16"/>
          <w:u w:val="single" w:color="auto"/>
          <w:color w:val="auto"/>
        </w:rPr>
        <w:t>Liquidity Reports; Flash Reports; Account Information</w:t>
      </w:r>
      <w:r>
        <w:rPr>
          <w:rFonts w:ascii="Arial" w:cs="Arial" w:eastAsia="Arial" w:hAnsi="Arial"/>
          <w:sz w:val="16"/>
          <w:szCs w:val="16"/>
          <w:color w:val="auto"/>
        </w:rPr>
        <w:t xml:space="preserve">. Within six (6) Business Days after the end of each month commencing with the month ending December 31, 2006, (i) a certificate in the form of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hereto with respect to the Loan Parties’ compliance with the Liquidity Requirement and (ii) a flash report in form and substance reasonably satisfactory to the Administrative Agent setting forth the consolidated revenues of the Loan Parties and Consolidated EBITDA for the fiscal month then most recently ended.”</w:t>
      </w:r>
    </w:p>
    <w:p>
      <w:pPr>
        <w:spacing w:after="0" w:line="9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Sections 6.10(a), (b), (c) and (d) of the Credit Agreement are each hereby amended and restated in their entirety to read as follows:</w:t>
      </w:r>
    </w:p>
    <w:p>
      <w:pPr>
        <w:spacing w:after="0" w:line="113" w:lineRule="exact"/>
        <w:rPr>
          <w:sz w:val="20"/>
          <w:szCs w:val="20"/>
          <w:color w:val="auto"/>
        </w:rPr>
      </w:pPr>
    </w:p>
    <w:p>
      <w:pPr>
        <w:ind w:right="180" w:firstLine="42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Permit the Total Leverage Ratio, at the last day of each fiscal quarter during any period set forth in the table below, to exceed the ratio set forth opposite such period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Leverage Ratio</w:t>
            </w:r>
          </w:p>
        </w:tc>
      </w:tr>
      <w:tr>
        <w:trPr>
          <w:trHeight w:val="195"/>
        </w:trPr>
        <w:tc>
          <w:tcPr>
            <w:tcW w:w="8240" w:type="dxa"/>
            <w:vAlign w:val="bottom"/>
          </w:tcPr>
          <w:p>
            <w:pPr>
              <w:spacing w:after="0" w:line="195" w:lineRule="exact"/>
              <w:rPr>
                <w:sz w:val="20"/>
                <w:szCs w:val="20"/>
                <w:color w:val="auto"/>
              </w:rPr>
            </w:pPr>
            <w:r>
              <w:rPr>
                <w:rFonts w:ascii="Arial" w:cs="Arial" w:eastAsia="Arial" w:hAnsi="Arial"/>
                <w:sz w:val="18"/>
                <w:szCs w:val="18"/>
                <w:color w:val="auto"/>
              </w:rPr>
              <w:t>Closing Date - December 31, 2005</w:t>
            </w:r>
          </w:p>
        </w:tc>
        <w:tc>
          <w:tcPr>
            <w:tcW w:w="28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5.100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January 1, 2006 - March 31, 2006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April 1, 2006 - June 30, 2006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July 1, 2006 - September 30, 2006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October 1, 2006 - December 31, 2006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15.000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January 1, 2007 - March 31, 2007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30.000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April 1, 2007 - June 30, 2007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25.000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July 1, 2007 - September 30, 2007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15.000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October 1, 2007 - December 31, 2007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4.250 to 1.0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January 1, 2008 - December 31, 2008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3.200 to 1.0</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January 1, 2009 and thereafter</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2.625 to 1.0</w:t>
            </w:r>
          </w:p>
        </w:tc>
      </w:tr>
    </w:tbl>
    <w:p>
      <w:pPr>
        <w:spacing w:after="0" w:line="156" w:lineRule="exact"/>
        <w:rPr>
          <w:sz w:val="20"/>
          <w:szCs w:val="20"/>
          <w:color w:val="auto"/>
        </w:rPr>
      </w:pPr>
    </w:p>
    <w:p>
      <w:pPr>
        <w:ind w:firstLine="421"/>
        <w:spacing w:after="0" w:line="268" w:lineRule="auto"/>
        <w:tabs>
          <w:tab w:leader="none" w:pos="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Minimum Interest Coverage Ratio. Permit the Consolidated Interest Coverage Ratio, for any Test Period ending during any period set forth below, to be less than the ratio set forth opposite such period in the table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35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Interest Coverage Ratio</w:t>
            </w:r>
          </w:p>
        </w:tc>
      </w:tr>
      <w:tr>
        <w:trPr>
          <w:trHeight w:val="195"/>
        </w:trPr>
        <w:tc>
          <w:tcPr>
            <w:tcW w:w="3700" w:type="dxa"/>
            <w:vAlign w:val="bottom"/>
          </w:tcPr>
          <w:p>
            <w:pPr>
              <w:spacing w:after="0" w:line="195" w:lineRule="exact"/>
              <w:rPr>
                <w:sz w:val="20"/>
                <w:szCs w:val="20"/>
                <w:color w:val="auto"/>
              </w:rPr>
            </w:pPr>
            <w:r>
              <w:rPr>
                <w:rFonts w:ascii="Arial" w:cs="Arial" w:eastAsia="Arial" w:hAnsi="Arial"/>
                <w:sz w:val="18"/>
                <w:szCs w:val="18"/>
                <w:color w:val="auto"/>
              </w:rPr>
              <w:t>Closing Date - December 31, 2005</w:t>
            </w:r>
          </w:p>
        </w:tc>
        <w:tc>
          <w:tcPr>
            <w:tcW w:w="3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2.500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January 1, 2006 - March 31, 2006</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April 1, 2006 - September 30, 2006</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October 1, 2006 - December 31, 2006</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January 1, 2007 - March 31, 2007</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April 1, 2007 - June 30, 2007</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July 1, 2007 - September 30, 2007</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October 1, 2007 - December 31, 2007</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3.300 to 1.0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January 1, 2008 - December 31, 2008</w:t>
            </w: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4.500 to 1.0</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January 1, 2009 and thereafter</w:t>
            </w:r>
          </w:p>
        </w:tc>
        <w:tc>
          <w:tcPr>
            <w:tcW w:w="3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5.250 to 1.0</w:t>
            </w:r>
          </w:p>
        </w:tc>
      </w:tr>
      <w:tr>
        <w:trPr>
          <w:trHeight w:val="365"/>
        </w:trPr>
        <w:tc>
          <w:tcPr>
            <w:tcW w:w="3700" w:type="dxa"/>
            <w:vAlign w:val="bottom"/>
          </w:tcPr>
          <w:p>
            <w:pPr>
              <w:spacing w:after="0"/>
              <w:rPr>
                <w:sz w:val="24"/>
                <w:szCs w:val="24"/>
                <w:color w:val="auto"/>
              </w:rPr>
            </w:pPr>
          </w:p>
        </w:tc>
        <w:tc>
          <w:tcPr>
            <w:tcW w:w="3500" w:type="dxa"/>
            <w:vAlign w:val="bottom"/>
          </w:tcPr>
          <w:p>
            <w:pPr>
              <w:jc w:val="right"/>
              <w:ind w:right="2272"/>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440"/>
          </w:cols>
          <w:pgMar w:left="1160" w:top="280" w:right="299" w:bottom="1440" w:gutter="0" w:footer="0" w:header="0"/>
        </w:sectPr>
      </w:pPr>
    </w:p>
    <w:bookmarkStart w:id="7" w:name="page8"/>
    <w:bookmarkEnd w:id="7"/>
    <w:p>
      <w:pPr>
        <w:ind w:right="60" w:firstLine="1"/>
        <w:spacing w:after="0" w:line="331"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Interest Coverage Ratio (Excluding CapEx). Permit the Consolidated Interest Coverage Ratio (Excluding CapEx), for any Test Period ending during any period set forth in the table below, to be less than the ratio set forth opposite such period in the table below:</w:t>
      </w:r>
    </w:p>
    <w:tbl>
      <w:tblPr>
        <w:tblLayout w:type="fixed"/>
        <w:tblInd w:w="0" w:type="dxa"/>
        <w:tblCellMar>
          <w:top w:w="0" w:type="dxa"/>
          <w:left w:w="0" w:type="dxa"/>
          <w:bottom w:w="0" w:type="dxa"/>
          <w:right w:w="0" w:type="dxa"/>
        </w:tblCellMar>
      </w:tblPr>
      <w:tr>
        <w:trPr>
          <w:trHeight w:val="150"/>
        </w:trPr>
        <w:tc>
          <w:tcPr>
            <w:tcW w:w="7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right"/>
              <w:ind w:right="340"/>
              <w:spacing w:after="0" w:line="150"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Test Period</w:t>
            </w:r>
          </w:p>
        </w:tc>
        <w:tc>
          <w:tcPr>
            <w:tcW w:w="6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Coverage Ratio</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7"/>
              </w:rPr>
              <w:t>(Excluding CapEx)</w:t>
            </w:r>
          </w:p>
        </w:tc>
        <w:tc>
          <w:tcPr>
            <w:tcW w:w="0" w:type="dxa"/>
            <w:vAlign w:val="bottom"/>
          </w:tcPr>
          <w:p>
            <w:pPr>
              <w:spacing w:after="0"/>
              <w:rPr>
                <w:sz w:val="1"/>
                <w:szCs w:val="1"/>
                <w:color w:val="auto"/>
              </w:rPr>
            </w:pPr>
          </w:p>
        </w:tc>
      </w:tr>
      <w:tr>
        <w:trPr>
          <w:trHeight w:val="195"/>
        </w:trPr>
        <w:tc>
          <w:tcPr>
            <w:tcW w:w="7820" w:type="dxa"/>
            <w:vAlign w:val="bottom"/>
          </w:tcPr>
          <w:p>
            <w:pPr>
              <w:spacing w:after="0" w:line="195" w:lineRule="exact"/>
              <w:rPr>
                <w:sz w:val="20"/>
                <w:szCs w:val="20"/>
                <w:color w:val="auto"/>
              </w:rPr>
            </w:pPr>
            <w:r>
              <w:rPr>
                <w:rFonts w:ascii="Arial" w:cs="Arial" w:eastAsia="Arial" w:hAnsi="Arial"/>
                <w:sz w:val="18"/>
                <w:szCs w:val="18"/>
                <w:color w:val="auto"/>
              </w:rPr>
              <w:t>Closing Date - December 31, 2005</w:t>
            </w:r>
          </w:p>
        </w:tc>
        <w:tc>
          <w:tcPr>
            <w:tcW w:w="66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 to 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January 1, 2006 - June 30, 2006</w:t>
            </w:r>
          </w:p>
        </w:tc>
        <w:tc>
          <w:tcPr>
            <w:tcW w:w="6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 to 1.0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July 1, 2006 - September 30, 2006</w:t>
            </w:r>
          </w:p>
        </w:tc>
        <w:tc>
          <w:tcPr>
            <w:tcW w:w="6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0.875 to 1.0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October 1, 2006 - September 30, 2007</w:t>
            </w:r>
          </w:p>
        </w:tc>
        <w:tc>
          <w:tcPr>
            <w:tcW w:w="6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Waived</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October 1, 2007 - December 31, 2007</w:t>
            </w:r>
          </w:p>
        </w:tc>
        <w:tc>
          <w:tcPr>
            <w:tcW w:w="6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1.600 to 1.0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January 1, 2008 - December 31, 2008</w:t>
            </w:r>
          </w:p>
        </w:tc>
        <w:tc>
          <w:tcPr>
            <w:tcW w:w="6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2.000 to 1.0</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January 1, 2009 and thereafter</w:t>
            </w:r>
          </w:p>
        </w:tc>
        <w:tc>
          <w:tcPr>
            <w:tcW w:w="6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3.750 to 1.0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1"/>
        <w:spacing w:after="0" w:line="268"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 Limit. Make Capital Expenditures during the following periods that exceed the aggregate amounts set forth opposite each of such periods: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4"/>
                <w:szCs w:val="14"/>
                <w:color w:val="auto"/>
              </w:rPr>
            </w:pPr>
          </w:p>
        </w:tc>
        <w:tc>
          <w:tcPr>
            <w:tcW w:w="880" w:type="dxa"/>
            <w:vAlign w:val="bottom"/>
          </w:tcPr>
          <w:p>
            <w:pPr>
              <w:jc w:val="right"/>
              <w:ind w:right="166"/>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0"/>
              </w:rPr>
              <w:t>Expenditures</w:t>
            </w:r>
          </w:p>
        </w:tc>
        <w:tc>
          <w:tcPr>
            <w:tcW w:w="0" w:type="dxa"/>
            <w:vAlign w:val="bottom"/>
          </w:tcPr>
          <w:p>
            <w:pPr>
              <w:spacing w:after="0"/>
              <w:rPr>
                <w:sz w:val="1"/>
                <w:szCs w:val="1"/>
                <w:color w:val="auto"/>
              </w:rPr>
            </w:pPr>
          </w:p>
        </w:tc>
      </w:tr>
      <w:tr>
        <w:trPr>
          <w:trHeight w:val="195"/>
        </w:trPr>
        <w:tc>
          <w:tcPr>
            <w:tcW w:w="8220" w:type="dxa"/>
            <w:vAlign w:val="bottom"/>
          </w:tcPr>
          <w:p>
            <w:pPr>
              <w:spacing w:after="0" w:line="195" w:lineRule="exact"/>
              <w:rPr>
                <w:sz w:val="20"/>
                <w:szCs w:val="20"/>
                <w:color w:val="auto"/>
              </w:rPr>
            </w:pPr>
            <w:r>
              <w:rPr>
                <w:rFonts w:ascii="Arial" w:cs="Arial" w:eastAsia="Arial" w:hAnsi="Arial"/>
                <w:sz w:val="18"/>
                <w:szCs w:val="18"/>
                <w:color w:val="auto"/>
              </w:rPr>
              <w:t>January 1, 2006 - September 30, 2006</w:t>
            </w:r>
          </w:p>
        </w:tc>
        <w:tc>
          <w:tcPr>
            <w:tcW w:w="48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85"/>
              </w:rPr>
              <w:t>$45,000,000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October 1, 2006 - December 31, 2006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January 1, 2007 - March 31, 2007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April 1, 2007 - June 30, 2007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July 1, 2007 - September 30, 2007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 New clauses (e) and (f) are hereby added to Section 6.10 of the Credit Agreement to read as follows: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Minimum Consolidated EBITDA</w:t>
      </w:r>
      <w:r>
        <w:rPr>
          <w:rFonts w:ascii="Arial" w:cs="Arial" w:eastAsia="Arial" w:hAnsi="Arial"/>
          <w:sz w:val="16"/>
          <w:szCs w:val="16"/>
          <w:color w:val="auto"/>
        </w:rPr>
        <w:t>. Permit Consolidated EBITDA, for each twelve (12)-fiscal month period ending on the last day of each fiscal month during each period set forth in the table below, to be less than the aggregate amount set forth opposite such period in the table below:</w:t>
      </w:r>
    </w:p>
    <w:p>
      <w:pPr>
        <w:spacing w:after="0" w:line="7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1160" w:top="280" w:right="299" w:bottom="1440" w:gutter="0" w:footer="0" w:header="0"/>
        </w:sectPr>
      </w:pPr>
    </w:p>
    <w:bookmarkStart w:id="8" w:name="page9"/>
    <w:bookmarkEnd w:id="8"/>
    <w:tbl>
      <w:tblPr>
        <w:tblLayout w:type="fixed"/>
        <w:tblInd w:w="920" w:type="dxa"/>
        <w:tblCellMar>
          <w:top w:w="0" w:type="dxa"/>
          <w:left w:w="0" w:type="dxa"/>
          <w:bottom w:w="0" w:type="dxa"/>
          <w:right w:w="0" w:type="dxa"/>
        </w:tblCellMar>
      </w:tblPr>
      <w:tr>
        <w:trPr>
          <w:trHeight w:val="181"/>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10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Consolidated EBITDA</w:t>
            </w:r>
          </w:p>
        </w:tc>
      </w:tr>
      <w:tr>
        <w:trPr>
          <w:trHeight w:val="195"/>
        </w:trPr>
        <w:tc>
          <w:tcPr>
            <w:tcW w:w="7280" w:type="dxa"/>
            <w:vAlign w:val="bottom"/>
          </w:tcPr>
          <w:p>
            <w:pPr>
              <w:spacing w:after="0" w:line="195" w:lineRule="exact"/>
              <w:rPr>
                <w:sz w:val="20"/>
                <w:szCs w:val="20"/>
                <w:color w:val="auto"/>
              </w:rPr>
            </w:pPr>
            <w:r>
              <w:rPr>
                <w:rFonts w:ascii="Arial" w:cs="Arial" w:eastAsia="Arial" w:hAnsi="Arial"/>
                <w:sz w:val="18"/>
                <w:szCs w:val="18"/>
                <w:color w:val="auto"/>
              </w:rPr>
              <w:t>December 1, 2006 - June 30, 2007</w:t>
            </w:r>
          </w:p>
        </w:tc>
        <w:tc>
          <w:tcPr>
            <w:tcW w:w="10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25,000,000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July 1, 2007 - July 31, 2007</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30,000,000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2007 - August 31, 2007</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40,000,000</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September 1, 2007 - September 30, 2007</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50,000,000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40" w:hanging="219"/>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Minimum Liquidity</w:t>
      </w:r>
      <w:r>
        <w:rPr>
          <w:rFonts w:ascii="Arial" w:cs="Arial" w:eastAsia="Arial" w:hAnsi="Arial"/>
          <w:sz w:val="16"/>
          <w:szCs w:val="16"/>
          <w:color w:val="auto"/>
        </w:rPr>
        <w:t xml:space="preserve">. (i) Permit, on the last day of each fiscal month, the sum of (A) the unutilized and available Revolving Commitments </w:t>
      </w:r>
      <w:r>
        <w:rPr>
          <w:rFonts w:ascii="Arial" w:cs="Arial" w:eastAsia="Arial" w:hAnsi="Arial"/>
          <w:sz w:val="16"/>
          <w:szCs w:val="16"/>
          <w:u w:val="single" w:color="auto"/>
          <w:color w:val="auto"/>
        </w:rPr>
        <w:t>plus</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(B) the qualified and unrestricted cash and Cash Equivalents held by Loan Parties to be less than $75,000,000 (the “</w:t>
      </w:r>
      <w:r>
        <w:rPr>
          <w:rFonts w:ascii="Arial" w:cs="Arial" w:eastAsia="Arial" w:hAnsi="Arial"/>
          <w:sz w:val="16"/>
          <w:szCs w:val="16"/>
          <w:b w:val="1"/>
          <w:bCs w:val="1"/>
          <w:color w:val="auto"/>
        </w:rPr>
        <w:t>Liquidity Requirement</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left="1180" w:hanging="259"/>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 to deliver any certificate in respect of the Liquidity Requirement required to be delivered pursuant to Section 5.01(m)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Clause (e) of Section 8.01 of the Credit Agreement is hereby amended and restated to read in its entirety as follows:</w:t>
      </w:r>
    </w:p>
    <w:p>
      <w:pPr>
        <w:spacing w:after="0" w:line="90" w:lineRule="exact"/>
        <w:rPr>
          <w:sz w:val="20"/>
          <w:szCs w:val="20"/>
          <w:color w:val="auto"/>
        </w:rPr>
      </w:pPr>
    </w:p>
    <w:p>
      <w:pPr>
        <w:ind w:left="920" w:right="120"/>
        <w:spacing w:after="0" w:line="294" w:lineRule="auto"/>
        <w:rPr>
          <w:sz w:val="20"/>
          <w:szCs w:val="20"/>
          <w:color w:val="auto"/>
        </w:rPr>
      </w:pPr>
      <w:r>
        <w:rPr>
          <w:rFonts w:ascii="Arial" w:cs="Arial" w:eastAsia="Arial" w:hAnsi="Arial"/>
          <w:sz w:val="16"/>
          <w:szCs w:val="16"/>
          <w:color w:val="auto"/>
        </w:rPr>
        <w:t>“(e) default shall be made in the due observance or performance by any Company of any covenant, condition or agreement contained in any Loan Document (other than those specified in paragraphs (a), (b) or (d) immediately above) and such default shall continue unremedied or shall not be waived for a period of: (i) with respect to a default under Section 5.01(m)(i), two (2) Business Days after the occurrence of such default, (ii) with respect to a default under Section 5.01(m)(ii), five (5) Business Days after the occurrence of such default and (iii) with respect to any other default, thirty (30) days after written notice thereof from the Administrative Agent or any Lender to Borrowers;”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(g) A new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is hereby added to the Credit Agreement to read in its entirety as set forth on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attached hereto.</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Acknowledgement by Borrowers of Obligations</w:t>
      </w:r>
      <w:r>
        <w:rPr>
          <w:rFonts w:ascii="Arial" w:cs="Arial" w:eastAsia="Arial" w:hAnsi="Arial"/>
          <w:sz w:val="18"/>
          <w:szCs w:val="18"/>
          <w:b w:val="1"/>
          <w:bCs w:val="1"/>
          <w:color w:val="auto"/>
        </w:rPr>
        <w:t>.</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Borrowers hereby acknowledge, confirm, and agree that as of the close of business on December 15, 2006, (a) the Borrowers are not indebted to the Lenders in respect of the Revolving Loans and (b) the Borrowers are indebted to the Lenders in respect of the Letters of Credit in the principal amount of approximately US$5,835,339.74 (subject to currency exchange fluctuations and reductions for any Letters of Credit which are drawn and reimbursed after December 15, 2006).</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Representations, Warranties and Covenants of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the Agents and Lenders to execute and deliver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Amendment, each of the Loan Parties represents, warrants and covenants that:</w:t>
      </w:r>
    </w:p>
    <w:p>
      <w:pPr>
        <w:spacing w:after="0" w:line="84" w:lineRule="exact"/>
        <w:rPr>
          <w:sz w:val="20"/>
          <w:szCs w:val="20"/>
          <w:color w:val="auto"/>
        </w:rPr>
      </w:pPr>
    </w:p>
    <w:p>
      <w:pPr>
        <w:ind w:right="100" w:firstLine="921"/>
        <w:spacing w:after="0" w:line="298" w:lineRule="auto"/>
        <w:tabs>
          <w:tab w:leader="none" w:pos="115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5" w:right="279" w:bottom="1440" w:gutter="0" w:footer="0" w:header="0"/>
        </w:sectPr>
      </w:pPr>
    </w:p>
    <w:bookmarkStart w:id="9" w:name="page10"/>
    <w:bookmarkEnd w:id="9"/>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85" w:lineRule="exact"/>
        <w:rPr>
          <w:sz w:val="20"/>
          <w:szCs w:val="20"/>
          <w:color w:val="auto"/>
        </w:rPr>
      </w:pPr>
    </w:p>
    <w:p>
      <w:pPr>
        <w:ind w:firstLine="921"/>
        <w:spacing w:after="0" w:line="255"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142" w:lineRule="exact"/>
        <w:rPr>
          <w:rFonts w:ascii="Arial" w:cs="Arial" w:eastAsia="Arial" w:hAnsi="Arial"/>
          <w:sz w:val="18"/>
          <w:szCs w:val="18"/>
          <w:color w:val="auto"/>
        </w:rPr>
      </w:pPr>
    </w:p>
    <w:p>
      <w:pPr>
        <w:ind w:right="20" w:firstLine="921"/>
        <w:spacing w:after="0" w:line="255"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Amendment and all documents and instruments delivered in connection herewith nor the consummation of the transactions contemplated hereby or thereby does or shall contravene, result in a breach of, or violate (i) any provision of any Loan Party’s corporate charter, bylaws, operating agreement, purchase agreement, or other governing documents, (ii) any law or regulation, or any order or decree of any court or government instrumentality, or (iii) any indenture, mortgage, deed of trust, lease, agreement or other instrument to which any Loan Party is a party or by which any Loan Party or any of its property is bound;</w:t>
      </w:r>
    </w:p>
    <w:p>
      <w:pPr>
        <w:spacing w:after="0" w:line="142" w:lineRule="exact"/>
        <w:rPr>
          <w:rFonts w:ascii="Arial" w:cs="Arial" w:eastAsia="Arial" w:hAnsi="Arial"/>
          <w:sz w:val="18"/>
          <w:szCs w:val="18"/>
          <w:color w:val="auto"/>
        </w:rPr>
      </w:pPr>
    </w:p>
    <w:p>
      <w:pPr>
        <w:ind w:right="280" w:firstLine="921"/>
        <w:spacing w:after="0" w:line="259"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recitals to this Amendment are true and correct.</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921"/>
        <w:spacing w:after="0" w:line="314" w:lineRule="auto"/>
        <w:tabs>
          <w:tab w:leader="none" w:pos="1152" w:val="left"/>
        </w:tabs>
        <w:numPr>
          <w:ilvl w:val="1"/>
          <w:numId w:val="11"/>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104" w:lineRule="exact"/>
        <w:rPr>
          <w:rFonts w:ascii="Arial" w:cs="Arial" w:eastAsia="Arial" w:hAnsi="Arial"/>
          <w:sz w:val="15"/>
          <w:szCs w:val="15"/>
          <w:color w:val="auto"/>
        </w:rPr>
      </w:pPr>
    </w:p>
    <w:p>
      <w:pPr>
        <w:ind w:right="20" w:firstLine="921"/>
        <w:spacing w:after="0" w:line="284" w:lineRule="auto"/>
        <w:tabs>
          <w:tab w:leader="none" w:pos="1162"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120" w:firstLine="8"/>
        <w:spacing w:after="0" w:line="261"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other Loan Documents, and/or applicable law. All of the provisions of the Credit Agreement and the other Loan Documents, including, without limitation, the time of the essence provisions, are hereby reiterated, and if ever waived, reinstated.</w:t>
      </w:r>
    </w:p>
    <w:p>
      <w:pPr>
        <w:spacing w:after="0" w:line="132" w:lineRule="exact"/>
        <w:rPr>
          <w:sz w:val="20"/>
          <w:szCs w:val="20"/>
          <w:color w:val="auto"/>
        </w:rPr>
      </w:pPr>
    </w:p>
    <w:p>
      <w:pPr>
        <w:ind w:right="260" w:firstLine="921"/>
        <w:spacing w:after="0" w:line="268"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207" w:lineRule="exact"/>
        <w:rPr>
          <w:sz w:val="20"/>
          <w:szCs w:val="20"/>
          <w:color w:val="auto"/>
        </w:rPr>
      </w:pPr>
    </w:p>
    <w:p>
      <w:pPr>
        <w:ind w:right="120" w:firstLine="913"/>
        <w:spacing w:after="0" w:line="310"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Borrowers and the other Loan Parties agrees jointly and severally to reimburse Agents and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178" w:lineRule="exact"/>
        <w:rPr>
          <w:sz w:val="20"/>
          <w:szCs w:val="20"/>
          <w:color w:val="auto"/>
        </w:rPr>
      </w:pPr>
    </w:p>
    <w:p>
      <w:pPr>
        <w:ind w:right="640" w:firstLine="913"/>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(AS OPPOSED TO CONFLICTS OF LAWS PROVISIONS) OF THE STATE OF NEW YORK.</w:t>
      </w:r>
    </w:p>
    <w:p>
      <w:pPr>
        <w:spacing w:after="0" w:line="201"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for any other purposes.</w:t>
      </w:r>
    </w:p>
    <w:p>
      <w:pPr>
        <w:spacing w:after="0" w:line="201"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89"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all conditions to be satisfied by such party.</w:t>
      </w:r>
    </w:p>
    <w:p>
      <w:pPr>
        <w:spacing w:after="0" w:line="201" w:lineRule="exact"/>
        <w:rPr>
          <w:sz w:val="20"/>
          <w:szCs w:val="20"/>
          <w:color w:val="auto"/>
        </w:rPr>
      </w:pPr>
    </w:p>
    <w:p>
      <w:pPr>
        <w:ind w:right="240" w:firstLine="913"/>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agrees to take, and to cause its Subsidiaries to take, all further actions and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and to cause its Subsidiaries to execute and deliver, all further documents as the Agents, or either of them, may from time to time reasonably request to carry out the transactions contemplated by this Amendment.</w:t>
      </w:r>
    </w:p>
    <w:p>
      <w:pPr>
        <w:spacing w:after="0" w:line="213" w:lineRule="exact"/>
        <w:rPr>
          <w:sz w:val="20"/>
          <w:szCs w:val="20"/>
          <w:color w:val="auto"/>
        </w:rPr>
      </w:pPr>
    </w:p>
    <w:p>
      <w:pPr>
        <w:ind w:right="220" w:firstLine="913"/>
        <w:spacing w:after="0" w:line="26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at the time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all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have been satisfied (or waived) as determined by the Required Lenders in their sole discretion (as evidenced by the Required Lenders’ execution and delivery of this Amendment):</w:t>
      </w:r>
    </w:p>
    <w:p>
      <w:pPr>
        <w:spacing w:after="0" w:line="57" w:lineRule="exact"/>
        <w:rPr>
          <w:sz w:val="20"/>
          <w:szCs w:val="20"/>
          <w:color w:val="auto"/>
        </w:rPr>
      </w:pPr>
    </w:p>
    <w:p>
      <w:pPr>
        <w:ind w:right="280" w:firstLine="921"/>
        <w:spacing w:after="0" w:line="268" w:lineRule="auto"/>
        <w:tabs>
          <w:tab w:leader="none" w:pos="11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Duly executed signature pages for this Amendment signed by the Required Lenders and Loan Parties shall have been delivered to Administrative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left="-120" w:right="240" w:firstLine="921"/>
        <w:spacing w:after="0" w:line="268" w:lineRule="auto"/>
        <w:tabs>
          <w:tab w:leader="none" w:pos="10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the date hereof.</w:t>
      </w:r>
    </w:p>
    <w:p>
      <w:pPr>
        <w:spacing w:after="0" w:line="131" w:lineRule="exact"/>
        <w:rPr>
          <w:rFonts w:ascii="Arial" w:cs="Arial" w:eastAsia="Arial" w:hAnsi="Arial"/>
          <w:sz w:val="18"/>
          <w:szCs w:val="18"/>
          <w:color w:val="auto"/>
        </w:rPr>
      </w:pPr>
    </w:p>
    <w:p>
      <w:pPr>
        <w:ind w:left="-120" w:firstLine="921"/>
        <w:spacing w:after="0" w:line="268" w:lineRule="auto"/>
        <w:tabs>
          <w:tab w:leader="none" w:pos="10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Payment of Commitment Fees and Letter of Credit Fees</w:t>
      </w:r>
      <w:r>
        <w:rPr>
          <w:rFonts w:ascii="Arial" w:cs="Arial" w:eastAsia="Arial" w:hAnsi="Arial"/>
          <w:sz w:val="18"/>
          <w:szCs w:val="18"/>
          <w:color w:val="auto"/>
        </w:rPr>
        <w:t>. All outstanding Commitment Fees and Fees related to any of the Letters of Credit shall each have been paid in cash to the Administrative Agent.</w:t>
      </w:r>
    </w:p>
    <w:p>
      <w:pPr>
        <w:spacing w:after="0" w:line="131" w:lineRule="exact"/>
        <w:rPr>
          <w:rFonts w:ascii="Arial" w:cs="Arial" w:eastAsia="Arial" w:hAnsi="Arial"/>
          <w:sz w:val="18"/>
          <w:szCs w:val="18"/>
          <w:color w:val="auto"/>
        </w:rPr>
      </w:pPr>
    </w:p>
    <w:p>
      <w:pPr>
        <w:ind w:left="-120" w:right="460" w:firstLine="921"/>
        <w:spacing w:after="0" w:line="332" w:lineRule="auto"/>
        <w:tabs>
          <w:tab w:leader="none" w:pos="10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Amendment Fee</w:t>
      </w:r>
      <w:r>
        <w:rPr>
          <w:rFonts w:ascii="Arial" w:cs="Arial" w:eastAsia="Arial" w:hAnsi="Arial"/>
          <w:sz w:val="16"/>
          <w:szCs w:val="16"/>
          <w:color w:val="auto"/>
        </w:rPr>
        <w:t>. The Borrowers shall have paid to the Administrative Agent, for the ratable benefit of each Lender that has executed and delivered this Amendment, an amendment fee of 25 basis points times the amount of each such Lender’s Commitment.</w:t>
      </w:r>
    </w:p>
    <w:p>
      <w:pPr>
        <w:spacing w:after="0" w:line="85" w:lineRule="exact"/>
        <w:rPr>
          <w:rFonts w:ascii="Arial" w:cs="Arial" w:eastAsia="Arial" w:hAnsi="Arial"/>
          <w:sz w:val="16"/>
          <w:szCs w:val="16"/>
          <w:color w:val="auto"/>
        </w:rPr>
      </w:pPr>
    </w:p>
    <w:p>
      <w:pPr>
        <w:ind w:left="1040" w:hanging="23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of the expenses owing the Agents under Section 10.03 of the Credit Agreement shall have been paid in full.</w:t>
      </w:r>
    </w:p>
    <w:p>
      <w:pPr>
        <w:spacing w:after="0" w:line="171" w:lineRule="exact"/>
        <w:rPr>
          <w:rFonts w:ascii="Arial" w:cs="Arial" w:eastAsia="Arial" w:hAnsi="Arial"/>
          <w:sz w:val="18"/>
          <w:szCs w:val="18"/>
          <w:color w:val="auto"/>
        </w:rPr>
      </w:pPr>
    </w:p>
    <w:p>
      <w:pPr>
        <w:ind w:left="-120" w:right="560" w:firstLine="921"/>
        <w:spacing w:after="0" w:line="268" w:lineRule="auto"/>
        <w:tabs>
          <w:tab w:leader="none" w:pos="10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Perfection Certificate Supplement</w:t>
      </w:r>
      <w:r>
        <w:rPr>
          <w:rFonts w:ascii="Arial" w:cs="Arial" w:eastAsia="Arial" w:hAnsi="Arial"/>
          <w:sz w:val="18"/>
          <w:szCs w:val="18"/>
          <w:color w:val="auto"/>
        </w:rPr>
        <w:t>. Holdings and the Borrowers shall have delivered to the Administrative Agent a Perfection Certificate Supplement dated not earlier than three (3) Business Days prior to the Effective Date.</w:t>
      </w:r>
    </w:p>
    <w:p>
      <w:pPr>
        <w:spacing w:after="0" w:line="131" w:lineRule="exact"/>
        <w:rPr>
          <w:rFonts w:ascii="Arial" w:cs="Arial" w:eastAsia="Arial" w:hAnsi="Arial"/>
          <w:sz w:val="18"/>
          <w:szCs w:val="18"/>
          <w:color w:val="auto"/>
        </w:rPr>
      </w:pPr>
    </w:p>
    <w:p>
      <w:pPr>
        <w:ind w:left="-120" w:right="20" w:firstLine="921"/>
        <w:spacing w:after="0" w:line="332" w:lineRule="auto"/>
        <w:tabs>
          <w:tab w:leader="none" w:pos="10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Additional Documentation</w:t>
      </w:r>
      <w:r>
        <w:rPr>
          <w:rFonts w:ascii="Arial" w:cs="Arial" w:eastAsia="Arial" w:hAnsi="Arial"/>
          <w:sz w:val="16"/>
          <w:szCs w:val="16"/>
          <w:color w:val="auto"/>
        </w:rPr>
        <w:t>. Holdings and the Borrowers shall have delivered to the Administrative Agent any additional documentation that the Administrative Agent may reasonably request in connection with the ongoing review of the Loan Documents and the Collateral by Latham &amp; Watkins LLP.</w:t>
      </w:r>
    </w:p>
    <w:p>
      <w:pPr>
        <w:spacing w:after="0" w:line="85" w:lineRule="exact"/>
        <w:rPr>
          <w:rFonts w:ascii="Arial" w:cs="Arial" w:eastAsia="Arial" w:hAnsi="Arial"/>
          <w:sz w:val="16"/>
          <w:szCs w:val="16"/>
          <w:color w:val="auto"/>
        </w:rPr>
      </w:pPr>
    </w:p>
    <w:p>
      <w:pPr>
        <w:ind w:left="4760" w:hanging="307"/>
        <w:spacing w:after="0"/>
        <w:tabs>
          <w:tab w:leader="none" w:pos="4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Signature Pages Follow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28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Fifth Amendment to Credit Agreement has been executed by the parties hereto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 a Luxembourg</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2540</wp:posOffset>
            </wp:positionV>
            <wp:extent cx="257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FINANCE COMPANY, a</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2540</wp:posOffset>
            </wp:positionV>
            <wp:extent cx="2573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 a Delaware limited</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2540</wp:posOffset>
            </wp:positionV>
            <wp:extent cx="2573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Signature Page to Fifth Amendment to Credit Agreement</w:t>
      </w:r>
    </w:p>
    <w:p>
      <w:pPr>
        <w:sectPr>
          <w:pgSz w:w="11900" w:h="16838" w:orient="portrait"/>
          <w:cols w:equalWidth="0" w:num="1">
            <w:col w:w="10860"/>
          </w:cols>
          <w:pgMar w:left="700" w:top="280" w:right="339"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California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14" w:name="page15"/>
    <w:bookmarkEnd w:id="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 HOLDINGS LLC,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27940</wp:posOffset>
            </wp:positionV>
            <wp:extent cx="25730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Signature Page to Fifth Amendment to Credit Agreement</w:t>
      </w:r>
    </w:p>
    <w:p>
      <w:pPr>
        <w:sectPr>
          <w:pgSz w:w="11900" w:h="16838" w:orient="portrait"/>
          <w:cols w:equalWidth="0" w:num="1">
            <w:col w:w="10020"/>
          </w:cols>
          <w:pgMar w:left="1440" w:top="280" w:right="439" w:bottom="1440" w:gutter="0" w:footer="0" w:header="0"/>
        </w:sectPr>
      </w:pPr>
    </w:p>
    <w:bookmarkStart w:id="15" w:name="page16"/>
    <w:bookmarkEnd w:id="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company incorporated in England and Wales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registered number 05232381</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27940</wp:posOffset>
            </wp:positionV>
            <wp:extent cx="2573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80"/>
          </w:cols>
          <w:pgMar w:left="1440" w:top="280" w:right="1379" w:bottom="1440" w:gutter="0" w:footer="0" w:header="0"/>
        </w:sectPr>
      </w:pPr>
    </w:p>
    <w:bookmarkStart w:id="16" w:name="page17"/>
    <w:bookmarkEnd w:id="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 a Japanese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27940</wp:posOffset>
            </wp:positionV>
            <wp:extent cx="25730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Signature Page to Fifth Amendment to Credit Agreement</w:t>
      </w:r>
    </w:p>
    <w:p>
      <w:pPr>
        <w:sectPr>
          <w:pgSz w:w="11900" w:h="16838" w:orient="portrait"/>
          <w:cols w:equalWidth="0" w:num="1">
            <w:col w:w="9540"/>
          </w:cols>
          <w:pgMar w:left="1440" w:top="280" w:right="9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For execution as a deed:</w:t>
            </w: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12"/>
        </w:trPr>
        <w:tc>
          <w:tcPr>
            <w:tcW w:w="370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dated</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r>
      <w:tr>
        <w:trPr>
          <w:trHeight w:val="407"/>
        </w:trPr>
        <w:tc>
          <w:tcPr>
            <w:tcW w:w="820" w:type="dxa"/>
            <w:vAlign w:val="bottom"/>
          </w:tcPr>
          <w:p>
            <w:pPr>
              <w:spacing w:after="0"/>
              <w:rPr>
                <w:sz w:val="20"/>
                <w:szCs w:val="20"/>
                <w:color w:val="auto"/>
              </w:rPr>
            </w:pPr>
            <w:r>
              <w:rPr>
                <w:rFonts w:ascii="Arial" w:cs="Arial" w:eastAsia="Arial" w:hAnsi="Arial"/>
                <w:sz w:val="18"/>
                <w:szCs w:val="18"/>
                <w:color w:val="auto"/>
              </w:rPr>
              <w:t>Witness:</w:t>
            </w:r>
          </w:p>
        </w:tc>
        <w:tc>
          <w:tcPr>
            <w:tcW w:w="28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86"/>
              </w:rPr>
              <w:t>Witness:</w:t>
            </w:r>
          </w:p>
        </w:tc>
      </w:tr>
      <w:tr>
        <w:trPr>
          <w:trHeight w:val="437"/>
        </w:trPr>
        <w:tc>
          <w:tcPr>
            <w:tcW w:w="3700" w:type="dxa"/>
            <w:vAlign w:val="bottom"/>
            <w:gridSpan w:val="2"/>
          </w:tcPr>
          <w:p>
            <w:pPr>
              <w:spacing w:after="0"/>
              <w:rPr>
                <w:sz w:val="20"/>
                <w:szCs w:val="20"/>
                <w:color w:val="auto"/>
              </w:rPr>
            </w:pPr>
            <w:r>
              <w:rPr>
                <w:rFonts w:ascii="Arial" w:cs="Arial" w:eastAsia="Arial" w:hAnsi="Arial"/>
                <w:sz w:val="18"/>
                <w:szCs w:val="18"/>
                <w:color w:val="auto"/>
              </w:rPr>
              <w:t>Name:</w:t>
            </w:r>
          </w:p>
        </w:tc>
        <w:tc>
          <w:tcPr>
            <w:tcW w:w="20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Name:</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0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84"/>
              </w:rPr>
              <w:t>Address:</w:t>
            </w:r>
          </w:p>
        </w:tc>
      </w:tr>
      <w:tr>
        <w:trPr>
          <w:trHeight w:val="459"/>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2"/>
        </w:trPr>
        <w:tc>
          <w:tcPr>
            <w:tcW w:w="3700" w:type="dxa"/>
            <w:vAlign w:val="bottom"/>
            <w:gridSpan w:val="2"/>
          </w:tcPr>
          <w:p>
            <w:pPr>
              <w:spacing w:after="0"/>
              <w:rPr>
                <w:sz w:val="20"/>
                <w:szCs w:val="20"/>
                <w:color w:val="auto"/>
              </w:rPr>
            </w:pPr>
            <w:r>
              <w:rPr>
                <w:rFonts w:ascii="Arial" w:cs="Arial" w:eastAsia="Arial" w:hAnsi="Arial"/>
                <w:sz w:val="18"/>
                <w:szCs w:val="18"/>
                <w:color w:val="auto"/>
              </w:rPr>
              <w:t>SIGNED by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dated</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040" w:type="dxa"/>
            <w:vAlign w:val="bottom"/>
          </w:tcPr>
          <w:p>
            <w:pPr>
              <w:jc w:val="right"/>
              <w:ind w:right="10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r>
      <w:tr>
        <w:trPr>
          <w:trHeight w:val="407"/>
        </w:trPr>
        <w:tc>
          <w:tcPr>
            <w:tcW w:w="820" w:type="dxa"/>
            <w:vAlign w:val="bottom"/>
          </w:tcPr>
          <w:p>
            <w:pPr>
              <w:spacing w:after="0"/>
              <w:rPr>
                <w:sz w:val="20"/>
                <w:szCs w:val="20"/>
                <w:color w:val="auto"/>
              </w:rPr>
            </w:pPr>
            <w:r>
              <w:rPr>
                <w:rFonts w:ascii="Arial" w:cs="Arial" w:eastAsia="Arial" w:hAnsi="Arial"/>
                <w:sz w:val="18"/>
                <w:szCs w:val="18"/>
                <w:color w:val="auto"/>
              </w:rPr>
              <w:t>Witness:</w:t>
            </w:r>
          </w:p>
        </w:tc>
        <w:tc>
          <w:tcPr>
            <w:tcW w:w="28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37"/>
        </w:trPr>
        <w:tc>
          <w:tcPr>
            <w:tcW w:w="3700" w:type="dxa"/>
            <w:vAlign w:val="bottom"/>
            <w:gridSpan w:val="2"/>
          </w:tcPr>
          <w:p>
            <w:pPr>
              <w:spacing w:after="0"/>
              <w:rPr>
                <w:sz w:val="20"/>
                <w:szCs w:val="20"/>
                <w:color w:val="auto"/>
              </w:rPr>
            </w:pPr>
            <w:r>
              <w:rPr>
                <w:rFonts w:ascii="Arial" w:cs="Arial" w:eastAsia="Arial" w:hAnsi="Arial"/>
                <w:sz w:val="18"/>
                <w:szCs w:val="18"/>
                <w:color w:val="auto"/>
              </w:rPr>
              <w:t>Name:</w:t>
            </w: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-3042285</wp:posOffset>
            </wp:positionV>
            <wp:extent cx="3035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Fifth Amendment to Credit Agreement</w:t>
      </w:r>
    </w:p>
    <w:p>
      <w:pPr>
        <w:sectPr>
          <w:pgSz w:w="11900" w:h="16838" w:orient="portrait"/>
          <w:cols w:equalWidth="0" w:num="1">
            <w:col w:w="10860"/>
          </w:cols>
          <w:pgMar w:left="240" w:top="274" w:right="799" w:bottom="1440" w:gutter="0" w:footer="0" w:header="0"/>
        </w:sectPr>
      </w:pPr>
    </w:p>
    <w:bookmarkStart w:id="18" w:name="page19"/>
    <w:bookmarkEnd w:id="1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Taiwan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19" w:name="page20"/>
    <w:bookmarkEnd w:id="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HOLDING COMPANY LIMITED, a British</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Virgin Islands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-5715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CORPORATION, a Cayman Islands company</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2" w:name="page23"/>
    <w:bookmarkEnd w:id="2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TECHNOLOGY CORPORATION,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Taiwan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20"/>
          </w:cols>
          <w:pgMar w:left="1440" w:top="280" w:right="1439"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Syndication Agent and Documentation Agent</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and Collateral Agent</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UBS LOAN FINANCE LLC, as Swingline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4" w:name="page25"/>
    <w:bookmarkEnd w:id="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5" w:name="page26"/>
    <w:bookmarkEnd w:id="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80"/>
          </w:cols>
          <w:pgMar w:left="1440" w:top="280" w:right="1379" w:bottom="1440" w:gutter="0" w:footer="0" w:header="0"/>
        </w:sectPr>
      </w:pPr>
    </w:p>
    <w:bookmarkStart w:id="26" w:name="page27"/>
    <w:bookmarkEnd w:id="2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7" w:name="page28"/>
    <w:bookmarkEnd w:id="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8" w:name="page29"/>
    <w:bookmarkEnd w:id="2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wp:posOffset>
            </wp:positionV>
            <wp:extent cx="25215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Amendment to Credit Agreement</w:t>
      </w:r>
    </w:p>
    <w:p>
      <w:pPr>
        <w:sectPr>
          <w:pgSz w:w="11900" w:h="16838" w:orient="portrait"/>
          <w:cols w:equalWidth="0" w:num="1">
            <w:col w:w="9019"/>
          </w:cols>
          <w:pgMar w:left="1440" w:top="280" w:right="1440" w:bottom="1440" w:gutter="0" w:footer="0" w:header="0"/>
        </w:sectPr>
      </w:pPr>
    </w:p>
    <w:bookmarkStart w:id="29" w:name="page30"/>
    <w:bookmarkEnd w:id="29"/>
    <w:tbl>
      <w:tblPr>
        <w:tblLayout w:type="fixed"/>
        <w:tblInd w:w="4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40" w:type="dxa"/>
            <w:vAlign w:val="bottom"/>
            <w:gridSpan w:val="2"/>
          </w:tcPr>
          <w:p>
            <w:pPr>
              <w:ind w:left="3440"/>
              <w:spacing w:after="0"/>
              <w:rPr>
                <w:sz w:val="20"/>
                <w:szCs w:val="20"/>
                <w:color w:val="auto"/>
              </w:rPr>
            </w:pPr>
            <w:r>
              <w:rPr>
                <w:rFonts w:ascii="Arial" w:cs="Arial" w:eastAsia="Arial" w:hAnsi="Arial"/>
                <w:sz w:val="18"/>
                <w:szCs w:val="18"/>
                <w:b w:val="1"/>
                <w:bCs w:val="1"/>
                <w:color w:val="auto"/>
                <w:w w:val="88"/>
              </w:rPr>
              <w:t>Exhibit P</w:t>
            </w:r>
          </w:p>
        </w:tc>
      </w:tr>
      <w:tr>
        <w:trPr>
          <w:trHeight w:val="358"/>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Form of Liquidity Compliance Certificate</w:t>
            </w:r>
          </w:p>
        </w:tc>
        <w:tc>
          <w:tcPr>
            <w:tcW w:w="700" w:type="dxa"/>
            <w:vAlign w:val="bottom"/>
            <w:tcBorders>
              <w:top w:val="single" w:sz="8" w:color="auto"/>
            </w:tcBorders>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r>
      <w:tr>
        <w:trPr>
          <w:trHeight w:val="397"/>
        </w:trPr>
        <w:tc>
          <w:tcPr>
            <w:tcW w:w="640" w:type="dxa"/>
            <w:vAlign w:val="bottom"/>
          </w:tcPr>
          <w:p>
            <w:pPr>
              <w:spacing w:after="0"/>
              <w:rPr>
                <w:sz w:val="20"/>
                <w:szCs w:val="20"/>
                <w:color w:val="auto"/>
              </w:rPr>
            </w:pPr>
            <w:r>
              <w:rPr>
                <w:rFonts w:ascii="Arial" w:cs="Arial" w:eastAsia="Arial" w:hAnsi="Arial"/>
                <w:sz w:val="18"/>
                <w:szCs w:val="18"/>
                <w:color w:val="auto"/>
              </w:rPr>
              <w:t>I, [</w:t>
            </w:r>
          </w:p>
        </w:tc>
        <w:tc>
          <w:tcPr>
            <w:tcW w:w="10320" w:type="dxa"/>
            <w:vAlign w:val="bottom"/>
            <w:gridSpan w:val="4"/>
          </w:tcPr>
          <w:p>
            <w:pPr>
              <w:ind w:left="440"/>
              <w:spacing w:after="0"/>
              <w:rPr>
                <w:sz w:val="20"/>
                <w:szCs w:val="20"/>
                <w:color w:val="auto"/>
              </w:rPr>
            </w:pPr>
            <w:r>
              <w:rPr>
                <w:rFonts w:ascii="Arial" w:cs="Arial" w:eastAsia="Arial" w:hAnsi="Arial"/>
                <w:sz w:val="18"/>
                <w:szCs w:val="18"/>
                <w:color w:val="auto"/>
                <w:w w:val="98"/>
              </w:rPr>
              <w:t>], the [chief financial officer/principal accounting officer/treasurer/controller] of MagnaChip Semiconductor S.A. and MagnaChip</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Finance Company (in such capacity and not in my individual capacity), with respect to that certain Credit Agreement dated as of December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among MagnaChip Semiconductor S.A. and MagnaChip Semiconductor Finance Company, as Borrowers, MagnaChip Semiconductor LLC,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parties thereto, the Lenders from time to time parties thereto (the “</w:t>
      </w:r>
      <w:r>
        <w:rPr>
          <w:rFonts w:ascii="Arial" w:cs="Arial" w:eastAsia="Arial" w:hAnsi="Arial"/>
          <w:sz w:val="16"/>
          <w:szCs w:val="16"/>
          <w:b w:val="1"/>
          <w:bCs w:val="1"/>
          <w:color w:val="auto"/>
        </w:rPr>
        <w:t>Lenders</w:t>
      </w:r>
      <w:r>
        <w:rPr>
          <w:rFonts w:ascii="Arial" w:cs="Arial" w:eastAsia="Arial" w:hAnsi="Arial"/>
          <w:sz w:val="16"/>
          <w:szCs w:val="16"/>
          <w:color w:val="auto"/>
        </w:rPr>
        <w:t>”), UBS AG, Stamford Branch, as administrative agent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Administrative Agent</w:t>
      </w:r>
      <w:r>
        <w:rPr>
          <w:rFonts w:ascii="Arial" w:cs="Arial" w:eastAsia="Arial" w:hAnsi="Arial"/>
          <w:sz w:val="15"/>
          <w:szCs w:val="15"/>
          <w:color w:val="auto"/>
        </w:rPr>
        <w:t>”) for the Lenders, as collateral agent for the Secured Parties and the other agents named therein, UBS Securities LLC, as lead arranger,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documentation agent and as syndication agent, UBS Loan Finance LLC, as swingline lender, Korea Exchange Bank, as issuing bank (as the same has been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hereafter may be amended, restated, supplemented 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capitalized terms used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having the respective meanings given to them in Article I of the Credit Agreement), hereby: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certify to the Administrative Agent that the sum of (i) the unutilized and available Revolving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qualified and unrestricted cash</w:t>
      </w:r>
    </w:p>
    <w:p>
      <w:pPr>
        <w:spacing w:after="0" w:line="38" w:lineRule="exact"/>
        <w:rPr>
          <w:sz w:val="20"/>
          <w:szCs w:val="20"/>
          <w:color w:val="auto"/>
        </w:rPr>
      </w:pPr>
    </w:p>
    <w:p>
      <w:pPr>
        <w:spacing w:after="0"/>
        <w:tabs>
          <w:tab w:leader="none" w:pos="9280" w:val="left"/>
          <w:tab w:leader="none" w:pos="9840" w:val="left"/>
          <w:tab w:leader="none" w:pos="11200" w:val="left"/>
        </w:tabs>
        <w:rPr>
          <w:sz w:val="20"/>
          <w:szCs w:val="20"/>
          <w:color w:val="auto"/>
        </w:rPr>
      </w:pPr>
      <w:r>
        <w:rPr>
          <w:rFonts w:ascii="Arial" w:cs="Arial" w:eastAsia="Arial" w:hAnsi="Arial"/>
          <w:sz w:val="18"/>
          <w:szCs w:val="18"/>
          <w:color w:val="auto"/>
        </w:rPr>
        <w:t>and Cash Equivalents held by Holdings, the Borrowers and their Subsidiaries on the last day of the fiscal month ended [</w:t>
      </w:r>
      <w:r>
        <w:rPr>
          <w:sz w:val="20"/>
          <w:szCs w:val="20"/>
          <w:color w:val="auto"/>
        </w:rPr>
        <w:tab/>
      </w:r>
      <w:r>
        <w:rPr>
          <w:rFonts w:ascii="Arial" w:cs="Arial" w:eastAsia="Arial" w:hAnsi="Arial"/>
          <w:sz w:val="18"/>
          <w:szCs w:val="18"/>
          <w:color w:val="auto"/>
        </w:rPr>
        <w:t>], 20[</w:t>
        <w:tab/>
        <w:t>] was [</w:t>
      </w:r>
      <w:r>
        <w:rPr>
          <w:sz w:val="20"/>
          <w:szCs w:val="20"/>
          <w:color w:val="auto"/>
        </w:rPr>
        <w:tab/>
      </w:r>
      <w:r>
        <w:rPr>
          <w:rFonts w:ascii="Arial" w:cs="Arial" w:eastAsia="Arial" w:hAnsi="Arial"/>
          <w:sz w:val="16"/>
          <w:szCs w:val="16"/>
          <w:color w:val="auto"/>
        </w:rPr>
        <w:t>].</w:t>
      </w:r>
    </w:p>
    <w:p>
      <w:pPr>
        <w:spacing w:after="0" w:line="9" w:lineRule="exact"/>
        <w:rPr>
          <w:sz w:val="20"/>
          <w:szCs w:val="20"/>
          <w:color w:val="auto"/>
        </w:rPr>
      </w:pPr>
    </w:p>
    <w:p>
      <w:pPr>
        <w:spacing w:after="0"/>
        <w:tabs>
          <w:tab w:leader="none" w:pos="8620" w:val="left"/>
          <w:tab w:leader="none" w:pos="9180" w:val="left"/>
        </w:tabs>
        <w:rPr>
          <w:sz w:val="20"/>
          <w:szCs w:val="20"/>
          <w:color w:val="auto"/>
        </w:rPr>
      </w:pPr>
      <w:r>
        <w:rPr>
          <w:rFonts w:ascii="Arial" w:cs="Arial" w:eastAsia="Arial" w:hAnsi="Arial"/>
          <w:sz w:val="18"/>
          <w:szCs w:val="18"/>
          <w:color w:val="auto"/>
        </w:rPr>
        <w:t>Therefore, the Loan Parties [have][have not] satisfied the Liquidity Requirement for such fiscal month ended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t>
      </w:r>
    </w:p>
    <w:p>
      <w:pPr>
        <w:spacing w:after="0" w:line="16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b. attach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detailed projections for the period from [THE FIRST BUSINESS DAY OF THE CURRENT FISCAL MONTH] through to and including [THE LAST DAY OF THE FISCAL MONTH ENDING FIVE MONTHS AFTER THE CURRENT FISCAL MONTH] indicating that the Loan Parties [are][are not] reasonably expected to comply with the Liquidity Requirement for any one or more of the six fiscal months covered in such projections.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 certify to the Administrative Agent that I have acted in good faith and utilized reasonable assumptions and due care in the preparation of this Liquidity Compliance Certificate and the detailed projections attached hereto.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Dated this [  ] day of [</w:t>
            </w:r>
          </w:p>
        </w:tc>
        <w:tc>
          <w:tcPr>
            <w:tcW w:w="10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S.A.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FINANCE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[Financial Officer]</w:t>
      </w:r>
    </w:p>
    <w:p>
      <w:pPr>
        <w:sectPr>
          <w:pgSz w:w="11900" w:h="16838" w:orient="portrait"/>
          <w:cols w:equalWidth="0" w:num="1">
            <w:col w:w="11420"/>
          </w:cols>
          <w:pgMar w:left="240" w:top="25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Liquidity Compliance Certificate</w:t>
      </w:r>
    </w:p>
    <w:p>
      <w:pPr>
        <w:spacing w:after="0" w:line="16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[See Attached Detailed Projections]</w:t>
      </w:r>
    </w:p>
    <w:p>
      <w:pPr>
        <w:sectPr>
          <w:pgSz w:w="11900" w:h="16838" w:orient="portrait"/>
          <w:cols w:equalWidth="0" w:num="1">
            <w:col w:w="10220"/>
          </w:cols>
          <w:pgMar w:left="1440" w:top="2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Actual &amp; Projected Liquidity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2006</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 mm)</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November</w:t>
            </w: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December</w:t>
            </w:r>
          </w:p>
        </w:tc>
        <w:tc>
          <w:tcPr>
            <w:tcW w:w="48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January</w:t>
            </w:r>
          </w:p>
        </w:tc>
        <w:tc>
          <w:tcPr>
            <w:tcW w:w="2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February</w:t>
            </w:r>
          </w:p>
        </w:tc>
        <w:tc>
          <w:tcPr>
            <w:tcW w:w="200" w:type="dxa"/>
            <w:vAlign w:val="bottom"/>
          </w:tcPr>
          <w:p>
            <w:pPr>
              <w:spacing w:after="0"/>
              <w:rPr>
                <w:sz w:val="12"/>
                <w:szCs w:val="12"/>
                <w:color w:val="auto"/>
              </w:rPr>
            </w:pPr>
          </w:p>
        </w:tc>
        <w:tc>
          <w:tcPr>
            <w:tcW w:w="236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March   April   May   June   YTD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Adjustments to reconcile net income FX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Interest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322"/>
        </w:trPr>
        <w:tc>
          <w:tcPr>
            <w:tcW w:w="6000" w:type="dxa"/>
            <w:vAlign w:val="bottom"/>
            <w:gridSpan w:val="5"/>
          </w:tcPr>
          <w:p>
            <w:pPr>
              <w:spacing w:after="0"/>
              <w:rPr>
                <w:sz w:val="20"/>
                <w:szCs w:val="20"/>
                <w:color w:val="auto"/>
              </w:rPr>
            </w:pPr>
            <w:r>
              <w:rPr>
                <w:rFonts w:ascii="Arial" w:cs="Arial" w:eastAsia="Arial" w:hAnsi="Arial"/>
                <w:sz w:val="18"/>
                <w:szCs w:val="18"/>
                <w:color w:val="auto"/>
              </w:rPr>
              <w:t>Cash Income Taxes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Working Capital (Use)/Source</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Receivable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Other Accounts Payables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84"/>
        </w:trPr>
        <w:tc>
          <w:tcPr>
            <w:tcW w:w="600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Maintenance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Purchases of plant, property and equipment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0" w:type="dxa"/>
            <w:vAlign w:val="bottom"/>
            <w:gridSpan w:val="5"/>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borrowings, net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Issuance of common unit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360" w:type="dxa"/>
            <w:vAlign w:val="bottom"/>
            <w:gridSpan w:val="9"/>
          </w:tcPr>
          <w:p>
            <w:pPr>
              <w:jc w:val="right"/>
              <w:spacing w:after="0"/>
              <w:rPr>
                <w:sz w:val="20"/>
                <w:szCs w:val="20"/>
                <w:color w:val="auto"/>
              </w:rPr>
            </w:pPr>
            <w:r>
              <w:rPr>
                <w:rFonts w:ascii="Arial" w:cs="Arial" w:eastAsia="Arial" w:hAnsi="Arial"/>
                <w:sz w:val="18"/>
                <w:szCs w:val="18"/>
                <w:color w:val="auto"/>
                <w:w w:val="99"/>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00" w:type="dxa"/>
            <w:vAlign w:val="bottom"/>
            <w:gridSpan w:val="5"/>
          </w:tcPr>
          <w:p>
            <w:pPr>
              <w:spacing w:after="0"/>
              <w:rPr>
                <w:sz w:val="20"/>
                <w:szCs w:val="20"/>
                <w:color w:val="auto"/>
              </w:rPr>
            </w:pPr>
            <w:r>
              <w:rPr>
                <w:rFonts w:ascii="Arial" w:cs="Arial" w:eastAsia="Arial" w:hAnsi="Arial"/>
                <w:sz w:val="18"/>
                <w:szCs w:val="18"/>
                <w:b w:val="1"/>
                <w:bCs w:val="1"/>
                <w:color w:val="auto"/>
              </w:rPr>
              <w:t>Free Cash Flow</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Revolver (Repayments) / Drawdown</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00" w:type="dxa"/>
            <w:vAlign w:val="bottom"/>
            <w:gridSpan w:val="5"/>
          </w:tcPr>
          <w:p>
            <w:pPr>
              <w:spacing w:after="0"/>
              <w:rPr>
                <w:sz w:val="20"/>
                <w:szCs w:val="20"/>
                <w:color w:val="auto"/>
              </w:rPr>
            </w:pPr>
            <w:r>
              <w:rPr>
                <w:rFonts w:ascii="Arial" w:cs="Arial" w:eastAsia="Arial" w:hAnsi="Arial"/>
                <w:sz w:val="18"/>
                <w:szCs w:val="18"/>
                <w:color w:val="auto"/>
              </w:rPr>
              <w:t>Beginning Revolver Balance</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Revolver Balance</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00" w:type="dxa"/>
            <w:vAlign w:val="bottom"/>
            <w:gridSpan w:val="5"/>
          </w:tcPr>
          <w:p>
            <w:pPr>
              <w:spacing w:after="0"/>
              <w:rPr>
                <w:sz w:val="20"/>
                <w:szCs w:val="20"/>
                <w:color w:val="auto"/>
              </w:rPr>
            </w:pPr>
            <w:r>
              <w:rPr>
                <w:rFonts w:ascii="Arial" w:cs="Arial" w:eastAsia="Arial" w:hAnsi="Arial"/>
                <w:sz w:val="18"/>
                <w:szCs w:val="18"/>
                <w:color w:val="auto"/>
              </w:rPr>
              <w:t>Beginning Cash</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Cash</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00" w:type="dxa"/>
            <w:vAlign w:val="bottom"/>
            <w:gridSpan w:val="5"/>
          </w:tcPr>
          <w:p>
            <w:pPr>
              <w:spacing w:after="0"/>
              <w:rPr>
                <w:sz w:val="20"/>
                <w:szCs w:val="20"/>
                <w:color w:val="auto"/>
              </w:rPr>
            </w:pPr>
            <w:r>
              <w:rPr>
                <w:rFonts w:ascii="Arial" w:cs="Arial" w:eastAsia="Arial" w:hAnsi="Arial"/>
                <w:sz w:val="18"/>
                <w:szCs w:val="18"/>
                <w:color w:val="auto"/>
              </w:rPr>
              <w:t>Revolver Capacity</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Revolver Drawn</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Less: LCs</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Revolver Availability</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Plus: Cash on Hand</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Monthly Liquidity</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6"/>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1)"/>
      <w:numFmt w:val="lowerLetter"/>
      <w:start w:val="6"/>
    </w:lvl>
  </w:abstractNum>
  <w:abstractNum w:abstractNumId="7">
    <w:nsid w:val="1190CDE7"/>
    <w:multiLevelType w:val="hybridMultilevel"/>
    <w:lvl w:ilvl="0">
      <w:lvlJc w:val="left"/>
      <w:lvlText w:val="(%1)"/>
      <w:numFmt w:val="lowerLetter"/>
      <w:start w:val="3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1"/>
    </w:lvl>
    <w:lvl w:ilvl="1">
      <w:lvlJc w:val="left"/>
      <w:lvlText w:val="(%2)"/>
      <w:numFmt w:val="lowerLetter"/>
      <w:start w:val="1"/>
    </w:lvl>
  </w:abstractNum>
  <w:abstractNum w:abstractNumId="11">
    <w:nsid w:val="109CF92E"/>
    <w:multiLevelType w:val="hybridMultilevel"/>
    <w:lvl w:ilvl="0">
      <w:lvlJc w:val="left"/>
      <w:lvlText w:val="(%1)"/>
      <w:numFmt w:val="lowerLetter"/>
      <w:start w:val="61"/>
    </w:lvl>
    <w:lvl w:ilvl="1">
      <w:lvlJc w:val="left"/>
      <w:lvlText w:val="%2"/>
      <w:numFmt w:val="lowerLetter"/>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2019-12-15T12:19:52Z</dcterms:created>
  <dcterms:modified xsi:type="dcterms:W3CDTF">2019-12-15T12:19:52Z</dcterms:modified>
</cp:coreProperties>
</file>