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December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This Form 8-K/A is being filed by Magnachip Semiconductor Corporation (the “Company”) to (i) correct a typographical error in the expected final settlement date of the ASR Agreement (as defined below) as stated in the original Form 8-K filed on December 21, 2022, and (ii) attach a copy of a revised press release issued by the Company to correct the same typographical error in the expected final settlement date of the ASR Agreement as stated in the press release attached as Exhibit 99.1 to the original Form 8-K. All other information in the original Form 8-K remains the same.</w:t>
      </w:r>
    </w:p>
    <w:p>
      <w:pPr>
        <w:spacing w:after="0" w:line="3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Stock Repurchase Program</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On December 21, 2021, Magnachip Semiconductor Corporation (the “Company”) entered into an accelerated stock repurchase agreement (the “ASR Agreement”) with JPMorgan Chase Bank, National Association (“JPM”) to repurchase an aggregate of $37.5 million of the Company’s common stock.</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Pursuant to the terms of the ASR Agreement dated December 21, 2021, the Company will pay JPM $37.5 million in cash and will receive an initial delivery of approximately 1.0 million shares of the Company’s common stock. The final number of shares of common stock to ultimately be repurchased by the Company will generally be based on the average of the daily volume-weighted average stock prices of the Company’s common stock during the valuation period of the ASR Agreement, less a discount and subject to adjustments. Upon final settlement of the ASR Agreement, the Company may be entitled to receive additional shares of common stock from JPM or, under certain circumstances specified in the ASR Agreement, the Company may be required to deliver shares of common stock or make a cash payment, at its option, to JPM.</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ASR Agreement contains provisions customary for agreements of this type, including provisions for adjustments to the transaction terms, the circumstances under which the ASR Agreement may be accelerated, extended or terminated early by JPM and various acknowledgments, representations and warranties made by the parties to one another. Final settlement of the ASR Agreement is expected to occur during the fiscal quarter ending March 31, 2022.</w:t>
      </w:r>
    </w:p>
    <w:p>
      <w:pPr>
        <w:spacing w:after="0" w:line="18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foregoing description of the ASR Agreement is a summary and is qualified in its entirety by reference to the ASR Agreement, a copy of which is filed hereto as Exhibit 10.1 and incorporated herein by reference.</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On December 21, 2021, the Company issued a press release announcing that its Board of Directors has authorized the Company to repurchase up to $75 million of the Company’s common stock and announcing the Company’s entrance into the ASR Agreement. A copy of the press release is attached hereto as Exhibit 99.1.</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ASR Agreement dated December 21, 2021 by and between Magnachip Semiconductor Corporation and JPMorgan Chase Bank, National</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Association.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28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Press release dated December 21, 2021.</w:t>
              </w:r>
            </w:hyperlink>
          </w:p>
        </w:tc>
        <w:tc>
          <w:tcPr>
            <w:tcW w:w="7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2021</w:t>
      </w:r>
    </w:p>
    <w:p>
      <w:pPr>
        <w:spacing w:after="0" w:line="248"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w w:val="94"/>
              </w:rPr>
              <w:t>Chief Compliance Officer, General Counsel and</w:t>
            </w:r>
          </w:p>
        </w:tc>
      </w:tr>
      <w:tr>
        <w:trPr>
          <w:trHeight w:val="230"/>
        </w:trPr>
        <w:tc>
          <w:tcPr>
            <w:tcW w:w="7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171450</wp:posOffset>
            </wp:positionV>
            <wp:extent cx="131127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10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December 21, 2021</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Magnachip Semiconductor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V-PLEX Bldg., 15th Fl.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Theodore S. Kim, Chief Compliance Officer and General Counsel</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Master Confirmation—Uncollared Accelerated Share Repurchase</w:t>
      </w:r>
    </w:p>
    <w:p>
      <w:pPr>
        <w:spacing w:after="0" w:line="113"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This master confirmation (this “</w:t>
      </w:r>
      <w:r>
        <w:rPr>
          <w:rFonts w:ascii="Arial" w:cs="Arial" w:eastAsia="Arial" w:hAnsi="Arial"/>
          <w:sz w:val="17"/>
          <w:szCs w:val="17"/>
          <w:b w:val="1"/>
          <w:bCs w:val="1"/>
          <w:color w:val="auto"/>
        </w:rPr>
        <w:t>Master Confirmation</w:t>
      </w:r>
      <w:r>
        <w:rPr>
          <w:rFonts w:ascii="Arial" w:cs="Arial" w:eastAsia="Arial" w:hAnsi="Arial"/>
          <w:sz w:val="17"/>
          <w:szCs w:val="17"/>
          <w:color w:val="auto"/>
        </w:rPr>
        <w:t>”), dated as of December 21, 2021, is intended to set forth certain terms and provisions of certain Transactions (each, a “</w:t>
      </w:r>
      <w:r>
        <w:rPr>
          <w:rFonts w:ascii="Arial" w:cs="Arial" w:eastAsia="Arial" w:hAnsi="Arial"/>
          <w:sz w:val="17"/>
          <w:szCs w:val="17"/>
          <w:b w:val="1"/>
          <w:bCs w:val="1"/>
          <w:color w:val="auto"/>
        </w:rPr>
        <w:t>Transaction</w:t>
      </w:r>
      <w:r>
        <w:rPr>
          <w:rFonts w:ascii="Arial" w:cs="Arial" w:eastAsia="Arial" w:hAnsi="Arial"/>
          <w:sz w:val="17"/>
          <w:szCs w:val="17"/>
          <w:color w:val="auto"/>
        </w:rPr>
        <w:t>”) entered into from time to time between JPMorgan Chase Bank, National Association (“</w:t>
      </w:r>
      <w:r>
        <w:rPr>
          <w:rFonts w:ascii="Arial" w:cs="Arial" w:eastAsia="Arial" w:hAnsi="Arial"/>
          <w:sz w:val="17"/>
          <w:szCs w:val="17"/>
          <w:b w:val="1"/>
          <w:bCs w:val="1"/>
          <w:color w:val="auto"/>
        </w:rPr>
        <w:t>JPMorgan</w:t>
      </w:r>
      <w:r>
        <w:rPr>
          <w:rFonts w:ascii="Arial" w:cs="Arial" w:eastAsia="Arial" w:hAnsi="Arial"/>
          <w:sz w:val="17"/>
          <w:szCs w:val="17"/>
          <w:color w:val="auto"/>
        </w:rPr>
        <w:t>”) and Magnachip Semiconductor Corporation, a Delaware corporation (“</w:t>
      </w:r>
      <w:r>
        <w:rPr>
          <w:rFonts w:ascii="Arial" w:cs="Arial" w:eastAsia="Arial" w:hAnsi="Arial"/>
          <w:sz w:val="17"/>
          <w:szCs w:val="17"/>
          <w:b w:val="1"/>
          <w:bCs w:val="1"/>
          <w:color w:val="auto"/>
        </w:rPr>
        <w:t>Counterparty</w:t>
      </w:r>
      <w:r>
        <w:rPr>
          <w:rFonts w:ascii="Arial" w:cs="Arial" w:eastAsia="Arial" w:hAnsi="Arial"/>
          <w:sz w:val="17"/>
          <w:szCs w:val="17"/>
          <w:color w:val="auto"/>
        </w:rPr>
        <w:t>”). This Master Confirmation, taken alone, is neither a commitment by either party to enter into any Transaction nor evidence of a Transaction. The additional terms of any particular Transaction shall be set forth in a Supplemental Confirmation in the form of Schedule A hereto (a “</w:t>
      </w:r>
      <w:r>
        <w:rPr>
          <w:rFonts w:ascii="Arial" w:cs="Arial" w:eastAsia="Arial" w:hAnsi="Arial"/>
          <w:sz w:val="17"/>
          <w:szCs w:val="17"/>
          <w:b w:val="1"/>
          <w:bCs w:val="1"/>
          <w:color w:val="auto"/>
        </w:rPr>
        <w:t>Supplemental Confirmation</w:t>
      </w:r>
      <w:r>
        <w:rPr>
          <w:rFonts w:ascii="Arial" w:cs="Arial" w:eastAsia="Arial" w:hAnsi="Arial"/>
          <w:sz w:val="17"/>
          <w:szCs w:val="17"/>
          <w:color w:val="auto"/>
        </w:rPr>
        <w:t>”), which shall reference this Master Confirmation and supplement, form a part of, and be subject to this Master Confirmation. This Master Confirmation and each Supplemental Confirmation together shall constitute a “Confirmation” as referred to in the Agreement specified below.</w:t>
      </w:r>
    </w:p>
    <w:p>
      <w:pPr>
        <w:spacing w:after="0" w:line="17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are incorporated into this Master Confirmation. This Master Confirmation and each Supplemental Confirmation evidence a complete binding agreement between Counterparty and JPMorgan as to the subject matter and terms of each Transaction to which this Master Confirmation and such Supplemental Confirmation relate and shall supersede all prior or contemporaneous written or oral communications with respect thereto.</w:t>
      </w:r>
    </w:p>
    <w:p>
      <w:pPr>
        <w:spacing w:after="0" w:line="18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This Master Confirmation and each Supplemental Confirmation supplement, form a part of, and are subject to an agreement in the form of the ISDA 2002 Master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as if JPMorgan and Counterparty had executed the Agreement on the date of this Master Confirmation (but without any Schedule except for (i) the election of New York law as the governing law (without reference to its choice of law provisions), (ii) the election of US Dollars as the Termination Currency and (iii) the election that subparagraph (ii) of Section 2(c) will not apply to the Transactions).</w:t>
      </w:r>
    </w:p>
    <w:p>
      <w:pPr>
        <w:spacing w:after="0" w:line="18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Transactions shall be the sole Transactions under the Agreement. If there exists any ISDA Master Agreement between JPMorgan and Counterparty or any confirmation or other agreement between JPMorgan and Counterparty pursuant to which an ISDA Master Agreement is deemed to exist between JPMorgan and Counterparty, then notwithstanding anything to the contrary in such ISDA Master Agreement, such confirmation or agreement or any other agreement to which JPMorgan and Counterparty are parties, the Transactions shall not be considered Transactions under, or otherwise governed by, such existing or deemed ISDA Master Agreement, and the occurrence of any Event of Default or Termination Event under the Agreement with respect to either party or any Transaction shall not, by itself, give rise to any right or obligation under any such other agreement or deemed agreement. Notwithstanding anything to the contrary in any other agreement between the parties or their Affiliates, the Transactions shall not be “Specified Transactions” (or similarly treated) under any other agreement between the parties or their Affiliates.</w:t>
      </w:r>
    </w:p>
    <w:p>
      <w:pPr>
        <w:spacing w:after="0" w:line="165"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All provisions contained or incorporated by reference in the Agreement shall govern this Master Confirmation and each Supplemental Confirmation except as expressly modified herein or in the related Supplemental Confirmation.</w:t>
      </w:r>
    </w:p>
    <w:p>
      <w:pPr>
        <w:sectPr>
          <w:pgSz w:w="11900" w:h="16838" w:orient="portrait"/>
          <w:cols w:equalWidth="0" w:num="1">
            <w:col w:w="11020"/>
          </w:cols>
          <w:pgMar w:left="440" w:top="121" w:right="439" w:bottom="1440" w:gutter="0" w:footer="0" w:header="0"/>
        </w:sectPr>
      </w:pPr>
    </w:p>
    <w:bookmarkStart w:id="4" w:name="page5"/>
    <w:bookmarkEnd w:id="4"/>
    <w:p>
      <w:pPr>
        <w:ind w:left="4"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relation to any Transaction to which this Master Confirmation and a Supplemental Confirmation relate, there is any inconsistency between the Agreement, this Master Confirmation, such Supplemental Confirmation and the Equity Definitions, the following will prevail for purposes of such Transaction in the order of precedence indicated: (i) such Supplemental Confirmation; (ii) this Master Confirmation; (iii) the Equity Definitions; and (iv) the Agreement.</w:t>
      </w:r>
    </w:p>
    <w:p>
      <w:pPr>
        <w:spacing w:after="0" w:line="214" w:lineRule="exact"/>
        <w:rPr>
          <w:sz w:val="20"/>
          <w:szCs w:val="20"/>
          <w:color w:val="auto"/>
        </w:rPr>
      </w:pPr>
    </w:p>
    <w:p>
      <w:pPr>
        <w:jc w:val="both"/>
        <w:ind w:left="424" w:right="60" w:hanging="424"/>
        <w:spacing w:after="0" w:line="342" w:lineRule="auto"/>
        <w:tabs>
          <w:tab w:leader="none" w:pos="424"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Each Transaction constitutes a Share Forward Transaction for the purposes of the Equity Definitions. Set forth below are the terms and conditions that, together with the terms and conditions set forth in the Supplemental Confirmation relating to any Transaction, shall govern such Transaction.</w:t>
      </w:r>
    </w:p>
    <w:p>
      <w:pPr>
        <w:spacing w:after="0" w:line="133" w:lineRule="exact"/>
        <w:rPr>
          <w:sz w:val="20"/>
          <w:szCs w:val="20"/>
          <w:color w:val="auto"/>
        </w:rPr>
      </w:pPr>
    </w:p>
    <w:tbl>
      <w:tblPr>
        <w:tblLayout w:type="fixed"/>
        <w:tblInd w:w="424" w:type="dxa"/>
        <w:tblCellMar>
          <w:top w:w="0" w:type="dxa"/>
          <w:left w:w="0" w:type="dxa"/>
          <w:bottom w:w="0" w:type="dxa"/>
          <w:right w:w="0" w:type="dxa"/>
        </w:tblCellMar>
      </w:tblPr>
      <w:tr>
        <w:trPr>
          <w:trHeight w:val="207"/>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w:t>
            </w:r>
          </w:p>
        </w:tc>
        <w:tc>
          <w:tcPr>
            <w:tcW w:w="736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45"/>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Trade Date:</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Buyer:</w:t>
            </w:r>
          </w:p>
        </w:tc>
        <w:tc>
          <w:tcPr>
            <w:tcW w:w="7360" w:type="dxa"/>
            <w:vAlign w:val="bottom"/>
          </w:tcPr>
          <w:p>
            <w:pPr>
              <w:ind w:left="560"/>
              <w:spacing w:after="0"/>
              <w:rPr>
                <w:sz w:val="20"/>
                <w:szCs w:val="20"/>
                <w:color w:val="auto"/>
              </w:rPr>
            </w:pPr>
            <w:r>
              <w:rPr>
                <w:rFonts w:ascii="Arial" w:cs="Arial" w:eastAsia="Arial" w:hAnsi="Arial"/>
                <w:sz w:val="18"/>
                <w:szCs w:val="18"/>
                <w:color w:val="auto"/>
              </w:rPr>
              <w:t>Counterparty</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Seller:</w:t>
            </w:r>
          </w:p>
        </w:tc>
        <w:tc>
          <w:tcPr>
            <w:tcW w:w="7360" w:type="dxa"/>
            <w:vAlign w:val="bottom"/>
          </w:tcPr>
          <w:p>
            <w:pPr>
              <w:ind w:left="560"/>
              <w:spacing w:after="0"/>
              <w:rPr>
                <w:sz w:val="20"/>
                <w:szCs w:val="20"/>
                <w:color w:val="auto"/>
              </w:rPr>
            </w:pPr>
            <w:r>
              <w:rPr>
                <w:rFonts w:ascii="Arial" w:cs="Arial" w:eastAsia="Arial" w:hAnsi="Arial"/>
                <w:sz w:val="18"/>
                <w:szCs w:val="18"/>
                <w:color w:val="auto"/>
              </w:rPr>
              <w:t>JPMorgan</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Shares:</w:t>
            </w:r>
          </w:p>
        </w:tc>
        <w:tc>
          <w:tcPr>
            <w:tcW w:w="7360" w:type="dxa"/>
            <w:vAlign w:val="bottom"/>
          </w:tcPr>
          <w:p>
            <w:pPr>
              <w:ind w:left="560"/>
              <w:spacing w:after="0"/>
              <w:rPr>
                <w:sz w:val="20"/>
                <w:szCs w:val="20"/>
                <w:color w:val="auto"/>
              </w:rPr>
            </w:pPr>
            <w:r>
              <w:rPr>
                <w:rFonts w:ascii="Arial" w:cs="Arial" w:eastAsia="Arial" w:hAnsi="Arial"/>
                <w:sz w:val="18"/>
                <w:szCs w:val="18"/>
                <w:color w:val="auto"/>
                <w:w w:val="91"/>
              </w:rPr>
              <w:t>The common stock of Counterparty, par value USD 0.01 per share (Exchange symbol “MX”).</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Exchange:</w:t>
            </w:r>
          </w:p>
        </w:tc>
        <w:tc>
          <w:tcPr>
            <w:tcW w:w="7360" w:type="dxa"/>
            <w:vAlign w:val="bottom"/>
          </w:tcPr>
          <w:p>
            <w:pPr>
              <w:ind w:left="560"/>
              <w:spacing w:after="0"/>
              <w:rPr>
                <w:sz w:val="20"/>
                <w:szCs w:val="20"/>
                <w:color w:val="auto"/>
              </w:rPr>
            </w:pPr>
            <w:r>
              <w:rPr>
                <w:rFonts w:ascii="Arial" w:cs="Arial" w:eastAsia="Arial" w:hAnsi="Arial"/>
                <w:sz w:val="18"/>
                <w:szCs w:val="18"/>
                <w:color w:val="auto"/>
              </w:rPr>
              <w:t>The New York Stock Exchange</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Related Exchange(s):</w:t>
            </w:r>
          </w:p>
        </w:tc>
        <w:tc>
          <w:tcPr>
            <w:tcW w:w="7360" w:type="dxa"/>
            <w:vAlign w:val="bottom"/>
          </w:tcPr>
          <w:p>
            <w:pPr>
              <w:ind w:left="560"/>
              <w:spacing w:after="0"/>
              <w:rPr>
                <w:sz w:val="20"/>
                <w:szCs w:val="20"/>
                <w:color w:val="auto"/>
              </w:rPr>
            </w:pPr>
            <w:r>
              <w:rPr>
                <w:rFonts w:ascii="Arial" w:cs="Arial" w:eastAsia="Arial" w:hAnsi="Arial"/>
                <w:sz w:val="18"/>
                <w:szCs w:val="18"/>
                <w:color w:val="auto"/>
              </w:rPr>
              <w:t>All Exchanges.</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Prepayment/Variable Obligation:</w:t>
            </w:r>
          </w:p>
        </w:tc>
        <w:tc>
          <w:tcPr>
            <w:tcW w:w="7360" w:type="dxa"/>
            <w:vAlign w:val="bottom"/>
          </w:tcPr>
          <w:p>
            <w:pPr>
              <w:ind w:left="560"/>
              <w:spacing w:after="0"/>
              <w:rPr>
                <w:sz w:val="20"/>
                <w:szCs w:val="20"/>
                <w:color w:val="auto"/>
              </w:rPr>
            </w:pPr>
            <w:r>
              <w:rPr>
                <w:rFonts w:ascii="Arial" w:cs="Arial" w:eastAsia="Arial" w:hAnsi="Arial"/>
                <w:sz w:val="18"/>
                <w:szCs w:val="18"/>
                <w:color w:val="auto"/>
              </w:rPr>
              <w:t>Applicable</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Prepayment Amount:</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Prepayment Date:</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10"/>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Contract Fee:</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 On the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6"/>
              </w:rPr>
              <w:t>Prepayment Date, Buyer shall pay Seller an amount in USD equal to the Contract Fee in</w:t>
            </w:r>
          </w:p>
        </w:tc>
      </w:tr>
      <w:tr>
        <w:trPr>
          <w:trHeight w:val="230"/>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immediately available funds by wire transfer to an account specified by Seller.</w:t>
            </w:r>
          </w:p>
        </w:tc>
      </w:tr>
      <w:tr>
        <w:trPr>
          <w:trHeight w:val="283"/>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Valuation</w:t>
            </w:r>
            <w:r>
              <w:rPr>
                <w:rFonts w:ascii="Arial" w:cs="Arial" w:eastAsia="Arial" w:hAnsi="Arial"/>
                <w:sz w:val="18"/>
                <w:szCs w:val="18"/>
                <w:color w:val="auto"/>
              </w:rPr>
              <w:t>.</w:t>
            </w:r>
          </w:p>
        </w:tc>
        <w:tc>
          <w:tcPr>
            <w:tcW w:w="736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30"/>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VWAP Price:</w:t>
            </w:r>
          </w:p>
        </w:tc>
        <w:tc>
          <w:tcPr>
            <w:tcW w:w="7360" w:type="dxa"/>
            <w:vAlign w:val="bottom"/>
          </w:tcPr>
          <w:p>
            <w:pPr>
              <w:ind w:left="560"/>
              <w:spacing w:after="0"/>
              <w:rPr>
                <w:sz w:val="20"/>
                <w:szCs w:val="20"/>
                <w:color w:val="auto"/>
              </w:rPr>
            </w:pPr>
            <w:r>
              <w:rPr>
                <w:rFonts w:ascii="Arial" w:cs="Arial" w:eastAsia="Arial" w:hAnsi="Arial"/>
                <w:sz w:val="18"/>
                <w:szCs w:val="18"/>
                <w:color w:val="auto"/>
                <w:w w:val="89"/>
              </w:rPr>
              <w:t>For any Exchange Business Day, the volume-weighted average price at which the Shares trade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as reported in the composite transactions for United States exchanges and quotation systems,</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9"/>
              </w:rPr>
              <w:t>during the regular trading session for the Exchange on such Exchange Business Day,</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1"/>
              </w:rPr>
              <w:t>excluding (i) trades that do not settle regular way, (ii) opening (regular way) reported trades in</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the consolidated system on such Exchange Business Day, (iii) trades that occur in the last ten</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2"/>
              </w:rPr>
              <w:t>minutes before the scheduled close of trading on the Exchange on such Exchange Business</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89"/>
              </w:rPr>
              <w:t>Day and ten minutes before the scheduled close of the primary trading in the market where the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7"/>
              </w:rPr>
              <w:t>trade is effected, and (iv) trades on such Exchange Business Day that do not satisfy the</w:t>
            </w:r>
          </w:p>
        </w:tc>
      </w:tr>
      <w:tr>
        <w:trPr>
          <w:trHeight w:val="212"/>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3"/>
              </w:rPr>
              <w:t>requirements of Rule 10b-18(b)(3) under the Securities Exchange Act of 1934, as amended</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color w:val="auto"/>
                <w:w w:val="93"/>
              </w:rPr>
              <w:t>Exchange Act</w:t>
            </w:r>
            <w:r>
              <w:rPr>
                <w:rFonts w:ascii="Arial" w:cs="Arial" w:eastAsia="Arial" w:hAnsi="Arial"/>
                <w:sz w:val="18"/>
                <w:szCs w:val="18"/>
                <w:color w:val="auto"/>
                <w:w w:val="93"/>
              </w:rPr>
              <w:t>”), as determined in good faith by the Calculation Agent (all such trades</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other than any trades described in clauses (i) to (iv) above, “</w:t>
            </w:r>
            <w:r>
              <w:rPr>
                <w:rFonts w:ascii="Arial" w:cs="Arial" w:eastAsia="Arial" w:hAnsi="Arial"/>
                <w:sz w:val="18"/>
                <w:szCs w:val="18"/>
                <w:b w:val="1"/>
                <w:bCs w:val="1"/>
                <w:color w:val="auto"/>
              </w:rPr>
              <w:t>Rule 10b-18 Eligible</w:t>
            </w:r>
          </w:p>
        </w:tc>
      </w:tr>
      <w:tr>
        <w:trPr>
          <w:trHeight w:val="220"/>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b w:val="1"/>
                <w:bCs w:val="1"/>
                <w:color w:val="auto"/>
                <w:w w:val="96"/>
              </w:rPr>
              <w:t>Transactions</w:t>
            </w:r>
            <w:r>
              <w:rPr>
                <w:rFonts w:ascii="Arial" w:cs="Arial" w:eastAsia="Arial" w:hAnsi="Arial"/>
                <w:sz w:val="18"/>
                <w:szCs w:val="18"/>
                <w:color w:val="auto"/>
                <w:w w:val="96"/>
              </w:rPr>
              <w:t>”). Counterparty acknowledges that the Calculation Agent may refer to the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Bloomberg Page “MX US &lt;Equity&gt; AQR SEC” (or any successor thereto), in its judgment,</w:t>
            </w:r>
          </w:p>
        </w:tc>
      </w:tr>
      <w:tr>
        <w:trPr>
          <w:trHeight w:val="230"/>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for such Exchange Business Day to determine the VWAP Price.</w:t>
            </w:r>
          </w:p>
        </w:tc>
      </w:tr>
      <w:tr>
        <w:trPr>
          <w:trHeight w:val="365"/>
        </w:trPr>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360" w:type="dxa"/>
            <w:vAlign w:val="bottom"/>
          </w:tcPr>
          <w:p>
            <w:pPr>
              <w:ind w:left="18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04"/>
          </w:cols>
          <w:pgMar w:left="436" w:top="274" w:right="4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Forward Price:</w:t>
      </w:r>
    </w:p>
    <w:p>
      <w:pPr>
        <w:spacing w:after="0" w:line="20" w:lineRule="exact"/>
        <w:rPr>
          <w:sz w:val="20"/>
          <w:szCs w:val="20"/>
          <w:color w:val="auto"/>
        </w:rPr>
      </w:pPr>
      <w:r>
        <w:rPr>
          <w:sz w:val="20"/>
          <w:szCs w:val="20"/>
          <w:color w:val="auto"/>
        </w:rPr>
        <w:br w:type="column"/>
      </w:r>
    </w:p>
    <w:p>
      <w:pPr>
        <w:ind w:right="420"/>
        <w:spacing w:after="0" w:line="263" w:lineRule="auto"/>
        <w:rPr>
          <w:sz w:val="20"/>
          <w:szCs w:val="20"/>
          <w:color w:val="auto"/>
        </w:rPr>
      </w:pPr>
      <w:r>
        <w:rPr>
          <w:rFonts w:ascii="Arial" w:cs="Arial" w:eastAsia="Arial" w:hAnsi="Arial"/>
          <w:sz w:val="18"/>
          <w:szCs w:val="18"/>
          <w:color w:val="auto"/>
        </w:rPr>
        <w:t>For each Transaction, the arithmetic average of the VWAP Prices for all of the Exchange Business Days in the Calculation Period for such Transaction, subject to “Valuation Disruption”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-516890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760" w:space="720"/>
            <w:col w:w="6800"/>
          </w:cols>
          <w:pgMar w:left="1160" w:top="274" w:right="459" w:bottom="1440" w:gutter="0" w:footer="0" w:header="0"/>
        </w:sectPr>
      </w:pPr>
    </w:p>
    <w:p>
      <w:pPr>
        <w:spacing w:after="0"/>
        <w:rPr>
          <w:sz w:val="20"/>
          <w:szCs w:val="20"/>
          <w:color w:val="auto"/>
        </w:rPr>
      </w:pPr>
      <w:r>
        <w:rPr>
          <w:rFonts w:ascii="Arial" w:cs="Arial" w:eastAsia="Arial" w:hAnsi="Arial"/>
          <w:sz w:val="16"/>
          <w:szCs w:val="16"/>
          <w:color w:val="auto"/>
        </w:rPr>
        <w:t>Forward Price Adjustment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Calculation Period:</w:t>
      </w:r>
    </w:p>
    <w:p>
      <w:pPr>
        <w:spacing w:after="0" w:line="20" w:lineRule="exact"/>
        <w:rPr>
          <w:sz w:val="20"/>
          <w:szCs w:val="20"/>
          <w:color w:val="auto"/>
        </w:rPr>
      </w:pPr>
      <w:r>
        <w:rPr>
          <w:sz w:val="20"/>
          <w:szCs w:val="20"/>
          <w:color w:val="auto"/>
        </w:rPr>
        <w:br w:type="column"/>
      </w:r>
    </w:p>
    <w:p>
      <w:pPr>
        <w:ind w:right="280"/>
        <w:spacing w:after="0" w:line="308" w:lineRule="auto"/>
        <w:rPr>
          <w:sz w:val="20"/>
          <w:szCs w:val="20"/>
          <w:color w:val="auto"/>
        </w:rPr>
      </w:pPr>
      <w:r>
        <w:rPr>
          <w:rFonts w:ascii="Arial" w:cs="Arial" w:eastAsia="Arial" w:hAnsi="Arial"/>
          <w:sz w:val="17"/>
          <w:szCs w:val="17"/>
          <w:color w:val="auto"/>
        </w:rPr>
        <w:t>For each Transaction, the period from, and including, the Calculation Period Start Date for such Transaction to, and including, the Termination Date for such Transaction.</w:t>
      </w:r>
    </w:p>
    <w:p>
      <w:pPr>
        <w:spacing w:after="0" w:line="38"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Calculation Period Start Date:</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Termination Date:</w:t>
      </w:r>
    </w:p>
    <w:p>
      <w:pPr>
        <w:spacing w:after="0" w:line="20" w:lineRule="exact"/>
        <w:rPr>
          <w:sz w:val="20"/>
          <w:szCs w:val="20"/>
          <w:color w:val="auto"/>
        </w:rPr>
      </w:pPr>
      <w:r>
        <w:rPr>
          <w:sz w:val="20"/>
          <w:szCs w:val="20"/>
          <w:color w:val="auto"/>
        </w:rPr>
        <w:br w:type="column"/>
      </w:r>
    </w:p>
    <w:p>
      <w:pPr>
        <w:ind w:right="20"/>
        <w:spacing w:after="0" w:line="267" w:lineRule="auto"/>
        <w:rPr>
          <w:sz w:val="20"/>
          <w:szCs w:val="20"/>
          <w:color w:val="auto"/>
        </w:rPr>
      </w:pPr>
      <w:r>
        <w:rPr>
          <w:rFonts w:ascii="Arial" w:cs="Arial" w:eastAsia="Arial" w:hAnsi="Arial"/>
          <w:sz w:val="17"/>
          <w:szCs w:val="17"/>
          <w:color w:val="auto"/>
        </w:rPr>
        <w:t>For each Transaction, the Scheduled Termination Date for such Transaction; provided that JPMorgan shall have the right to designate any Exchange Business Day on or after the First Acceleration Date to be the Termination Date for all or any part of such Transaction (an “</w:t>
      </w:r>
      <w:r>
        <w:rPr>
          <w:rFonts w:ascii="Arial" w:cs="Arial" w:eastAsia="Arial" w:hAnsi="Arial"/>
          <w:sz w:val="17"/>
          <w:szCs w:val="17"/>
          <w:b w:val="1"/>
          <w:bCs w:val="1"/>
          <w:color w:val="auto"/>
        </w:rPr>
        <w:t>Accelerated Termination Date</w:t>
      </w:r>
      <w:r>
        <w:rPr>
          <w:rFonts w:ascii="Arial" w:cs="Arial" w:eastAsia="Arial" w:hAnsi="Arial"/>
          <w:sz w:val="17"/>
          <w:szCs w:val="17"/>
          <w:color w:val="auto"/>
        </w:rPr>
        <w:t>”) by delivering notice (an “</w:t>
      </w:r>
      <w:r>
        <w:rPr>
          <w:rFonts w:ascii="Arial" w:cs="Arial" w:eastAsia="Arial" w:hAnsi="Arial"/>
          <w:sz w:val="17"/>
          <w:szCs w:val="17"/>
          <w:b w:val="1"/>
          <w:bCs w:val="1"/>
          <w:color w:val="auto"/>
        </w:rPr>
        <w:t>Acceleration Notice</w:t>
      </w:r>
      <w:r>
        <w:rPr>
          <w:rFonts w:ascii="Arial" w:cs="Arial" w:eastAsia="Arial" w:hAnsi="Arial"/>
          <w:sz w:val="17"/>
          <w:szCs w:val="17"/>
          <w:color w:val="auto"/>
        </w:rPr>
        <w:t>”) to Counterparty of any such designation prior to 6:00 p.m. (New York City time) on the Exchange Business Day immediately following the designated Accelerated Termination Date; provided that for each Transaction, JPMorgan shall specify in each Acceleration Notice the portion of the Prepayment Amount that is subject to acceleration (which amount shall not be less than 50% of the Prepayment Amount as of the Prepayment Date (or, if less, the remainder of the Prepayment Amount for which an Acceleration Notice has yet to be delivered) and JPMorgan shall not deliver more than two (2) Acceleration Notices for each Transaction). If the portion of the Prepayment Amount that is subject to acceleration is less than the full Prepayment Amount, then the Calculation Agent shall in good faith and in a commercially reasonable manner make such mechanical and administrative adjustments to the terms of the Transaction as appropriate to account for the occurrence of such Accelerated Termination Date (including cumulative adjustments to account for all prior Accelerated Termination Dates).</w:t>
      </w:r>
    </w:p>
    <w:p>
      <w:pPr>
        <w:spacing w:after="0" w:line="83"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Scheduled Termination Date:</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For each Transaction, as set forth in the related Supplemental Confirmation, subject to postponement as provided in “Valuation Disruption” below.</w:t>
      </w:r>
    </w:p>
    <w:p>
      <w:pPr>
        <w:spacing w:after="0" w:line="62"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First Acceleration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Valuation Disruption:</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and inserting the words “at any time on any Scheduled Trading Day during the Calculation Period or Settlement Valuation Period” after the word “material,” in the third line thereof.</w:t>
      </w:r>
    </w:p>
    <w:p>
      <w:pPr>
        <w:spacing w:after="0" w:line="125"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80"/>
          </w:cols>
          <w:pgMar w:left="1160" w:top="274" w:right="459" w:bottom="1440" w:gutter="0" w:footer="0" w:header="0"/>
          <w:type w:val="continuous"/>
        </w:sectPr>
      </w:pPr>
    </w:p>
    <w:bookmarkStart w:id="6" w:name="page7"/>
    <w:bookmarkEnd w:id="6"/>
    <w:p>
      <w:pPr>
        <w:ind w:left="3200"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6.3(d) of the Equity Definitions is hereby amended by deleting the remainder of the provision following the term “Scheduled Closing Time” in the fourth line thereof.</w:t>
      </w:r>
    </w:p>
    <w:p>
      <w:pPr>
        <w:spacing w:after="0" w:line="3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Notwithstanding anything to the contrary in the Equity Definitions, if a Disrupted Day occurs</w:t>
      </w:r>
    </w:p>
    <w:p>
      <w:pPr>
        <w:spacing w:after="0" w:line="46" w:lineRule="exact"/>
        <w:rPr>
          <w:sz w:val="20"/>
          <w:szCs w:val="20"/>
          <w:color w:val="auto"/>
        </w:rPr>
      </w:pPr>
    </w:p>
    <w:p>
      <w:pPr>
        <w:ind w:left="3200" w:hanging="6"/>
        <w:spacing w:after="0" w:line="283" w:lineRule="auto"/>
        <w:tabs>
          <w:tab w:leader="none" w:pos="341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Calculation Period, the Calculation Agent may, in its good faith and commercially reasonable discretion, postpone the Scheduled Termination Date by no more than a number of Scheduled Trading Days equal to the number of Disrupted Days during the Calculation Period, or (ii) in the Settlement Valuation Period, the Calculation Agent may extend the Settlement Valuation Period by no more than a number of Scheduled Trading Days equal to the number of Disrupted Days during the Settlement Valuation Period. The Calculation Agent may also determine that (i) such Disrupted Day is a Disrupted Day in full, in which case the VWAP Price for such Disrupted Day shall not be included for purposes of determining the Forward Price or the Settlement Price, as the case may be, or (ii) such Disrupted Day is a Disrupted Day only in part, in which case the VWAP Price for such Disrupted Day shall be determined by the Calculation Agent based on Rule 10b-18 Eligible Transactions in the Shares on such Disrupted Day taking into account the nature and duration of the relevant Market Disruption Event, and the weighting of the VWAP Price for the relevant Exchange Business Days during the Calculation Period or the Settlement Valuation Period, as the case may be, shall be adjusted in a commercially reasonable manner by the Calculation Agent for purposes of determining the Forward Price or the Settlement Price, as the case may be, with such adjustments based on, among other factors, the duration of any Market Disruption Event and the volume, historical trading patterns and price of the Shares. 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289" w:lineRule="exact"/>
        <w:rPr>
          <w:sz w:val="20"/>
          <w:szCs w:val="20"/>
          <w:color w:val="auto"/>
        </w:rPr>
      </w:pPr>
    </w:p>
    <w:p>
      <w:pPr>
        <w:ind w:left="3200" w:right="20"/>
        <w:spacing w:after="0" w:line="271" w:lineRule="auto"/>
        <w:rPr>
          <w:sz w:val="20"/>
          <w:szCs w:val="20"/>
          <w:color w:val="auto"/>
        </w:rPr>
      </w:pPr>
      <w:r>
        <w:rPr>
          <w:rFonts w:ascii="Arial" w:cs="Arial" w:eastAsia="Arial" w:hAnsi="Arial"/>
          <w:sz w:val="17"/>
          <w:szCs w:val="17"/>
          <w:color w:val="auto"/>
        </w:rPr>
        <w:t>If a Disrupted Day occurs during the Calculation Period for any Transaction or the Settlement Valuation Period for any Transaction, as the case may be, and each of the nine immediately following Scheduled Trading Days is a Disrupted Day (a “</w:t>
      </w:r>
      <w:r>
        <w:rPr>
          <w:rFonts w:ascii="Arial" w:cs="Arial" w:eastAsia="Arial" w:hAnsi="Arial"/>
          <w:sz w:val="17"/>
          <w:szCs w:val="17"/>
          <w:b w:val="1"/>
          <w:bCs w:val="1"/>
          <w:color w:val="auto"/>
        </w:rPr>
        <w:t>Disruption Event</w:t>
      </w:r>
      <w:r>
        <w:rPr>
          <w:rFonts w:ascii="Arial" w:cs="Arial" w:eastAsia="Arial" w:hAnsi="Arial"/>
          <w:sz w:val="17"/>
          <w:szCs w:val="17"/>
          <w:color w:val="auto"/>
        </w:rPr>
        <w:t>”), then the Calculation Agent, in its good faith and commercially reasonable discretion, may deem such Disruption Event (and each consecutive Disrupted Day thereafter) to be either (x) a Potential Adjustment Event in respect of such Transaction or (y) an Additional Termination Event in respect of such Transaction, with Counterparty as the sole Affected Party and such Transaction as the sole Affected Transaction.</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60"/>
          </w:cols>
          <w:pgMar w:left="1440" w:top="274"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Settlement Terms</w:t>
      </w:r>
      <w:r>
        <w:rPr>
          <w:rFonts w:ascii="Arial" w:cs="Arial" w:eastAsia="Arial" w:hAnsi="Arial"/>
          <w:sz w:val="18"/>
          <w:szCs w:val="18"/>
          <w:color w:val="auto"/>
        </w:rPr>
        <w: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Settlement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54"/>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Floor Price: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Excess Dividend Amount: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Settlement Date: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-421640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left="366" w:right="20" w:hanging="366"/>
        <w:spacing w:after="0" w:line="293" w:lineRule="auto"/>
        <w:tabs>
          <w:tab w:leader="none" w:pos="3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if the Number of Shares to be Delivered for such Transaction is positive, Physical Settlement shall be applicable to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JPMorgan does not, and shall not, make the agreement or the representations set forth in Section 9.11 of the Equity Definitions related to the restrictions imposed by applicable securities laws with respect to any Shares delivered by JPMorgan to Counterparty under any Transaction arising as a result of the fact that Counterparty is the Issuer of the Shares; or</w:t>
      </w:r>
    </w:p>
    <w:p>
      <w:pPr>
        <w:spacing w:after="0" w:line="56" w:lineRule="exact"/>
        <w:rPr>
          <w:rFonts w:ascii="Arial" w:cs="Arial" w:eastAsia="Arial" w:hAnsi="Arial"/>
          <w:sz w:val="16"/>
          <w:szCs w:val="16"/>
          <w:color w:val="auto"/>
        </w:rPr>
      </w:pPr>
    </w:p>
    <w:p>
      <w:pPr>
        <w:ind w:left="366" w:right="180" w:hanging="366"/>
        <w:spacing w:after="0" w:line="342" w:lineRule="auto"/>
        <w:tabs>
          <w:tab w:leader="none" w:pos="351"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Number of Shares to be Delivered for such Transaction is negative, then the Counterparty Settlement Provisions in Annex A hereto shall apply to such Transaction.</w:t>
      </w:r>
    </w:p>
    <w:p>
      <w:pPr>
        <w:spacing w:after="0" w:line="16" w:lineRule="exact"/>
        <w:rPr>
          <w:sz w:val="20"/>
          <w:szCs w:val="20"/>
          <w:color w:val="auto"/>
        </w:rPr>
      </w:pPr>
    </w:p>
    <w:p>
      <w:pPr>
        <w:ind w:left="6"/>
        <w:spacing w:after="0" w:line="284" w:lineRule="auto"/>
        <w:rPr>
          <w:sz w:val="20"/>
          <w:szCs w:val="20"/>
          <w:color w:val="auto"/>
        </w:rPr>
      </w:pPr>
      <w:r>
        <w:rPr>
          <w:rFonts w:ascii="Arial" w:cs="Arial" w:eastAsia="Arial" w:hAnsi="Arial"/>
          <w:sz w:val="16"/>
          <w:szCs w:val="16"/>
          <w:color w:val="auto"/>
        </w:rPr>
        <w:t xml:space="preserve">For each Transaction, a number of Shares (rounded down to the nearest whole number) equal to (a)(i) the Prepayment Amount for such Transaction,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(ii)(A) the Forward Price for such Transaction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Forward Price Adjustment Amount for such Transaction, </w:t>
      </w:r>
      <w:r>
        <w:rPr>
          <w:rFonts w:ascii="Arial" w:cs="Arial" w:eastAsia="Arial" w:hAnsi="Arial"/>
          <w:sz w:val="16"/>
          <w:szCs w:val="16"/>
          <w:i w:val="1"/>
          <w:iCs w:val="1"/>
          <w:color w:val="auto"/>
        </w:rPr>
        <w:t xml:space="preserve">minus </w:t>
      </w:r>
      <w:r>
        <w:rPr>
          <w:rFonts w:ascii="Arial" w:cs="Arial" w:eastAsia="Arial" w:hAnsi="Arial"/>
          <w:sz w:val="16"/>
          <w:szCs w:val="16"/>
          <w:color w:val="auto"/>
        </w:rPr>
        <w:t>(b) the number of Initial Shares for such Transaction;</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 the result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in clause (a)(ii) is equal to or less than the Floor Price for such Transaction, then the Number of Shares to be Delivered for such Transaction shall be determined as if clause (a)</w:t>
      </w:r>
    </w:p>
    <w:p>
      <w:pPr>
        <w:spacing w:after="0" w:line="4" w:lineRule="exact"/>
        <w:rPr>
          <w:sz w:val="20"/>
          <w:szCs w:val="20"/>
          <w:color w:val="auto"/>
        </w:rPr>
      </w:pPr>
    </w:p>
    <w:p>
      <w:pPr>
        <w:jc w:val="both"/>
        <w:ind w:left="6" w:right="40" w:hanging="6"/>
        <w:spacing w:after="0" w:line="281" w:lineRule="auto"/>
        <w:tabs>
          <w:tab w:leader="none" w:pos="27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were replaced with “(ii) the Floor Price for such Transaction”. For the avoidance of doubt, if the Forward Price Adjustment Amount for any Transaction is a negative number, clause (a)</w:t>
      </w:r>
    </w:p>
    <w:p>
      <w:pPr>
        <w:spacing w:after="0" w:line="1" w:lineRule="exact"/>
        <w:rPr>
          <w:rFonts w:ascii="Arial" w:cs="Arial" w:eastAsia="Arial" w:hAnsi="Arial"/>
          <w:sz w:val="16"/>
          <w:szCs w:val="16"/>
          <w:color w:val="auto"/>
        </w:rPr>
      </w:pPr>
    </w:p>
    <w:p>
      <w:pPr>
        <w:ind w:left="6" w:right="280" w:hanging="6"/>
        <w:spacing w:after="0" w:line="323"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of the immediately preceding sentence shall be equal to (A) the Forward Price for such Transaction,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absolute value of the Forward Price Adjustment Amount.</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each Transaction, as set forth in the related Supplemental Confirmation.</w:t>
      </w:r>
    </w:p>
    <w:p>
      <w:pPr>
        <w:spacing w:after="0" w:line="117" w:lineRule="exact"/>
        <w:rPr>
          <w:sz w:val="20"/>
          <w:szCs w:val="20"/>
          <w:color w:val="auto"/>
        </w:rPr>
      </w:pPr>
    </w:p>
    <w:p>
      <w:pPr>
        <w:ind w:left="6" w:right="300"/>
        <w:spacing w:after="0" w:line="277" w:lineRule="auto"/>
        <w:rPr>
          <w:sz w:val="20"/>
          <w:szCs w:val="20"/>
          <w:color w:val="auto"/>
        </w:rPr>
      </w:pPr>
      <w:r>
        <w:rPr>
          <w:rFonts w:ascii="Arial" w:cs="Arial" w:eastAsia="Arial" w:hAnsi="Arial"/>
          <w:sz w:val="18"/>
          <w:szCs w:val="18"/>
          <w:color w:val="auto"/>
        </w:rPr>
        <w:t>For the avoidance of doubt, all references to the Excess Dividend Amount shall be deleted from Section 9.2(a)(iii) of the Equity Definitions.</w:t>
      </w:r>
    </w:p>
    <w:p>
      <w:pPr>
        <w:spacing w:after="0" w:line="62" w:lineRule="exact"/>
        <w:rPr>
          <w:sz w:val="20"/>
          <w:szCs w:val="20"/>
          <w:color w:val="auto"/>
        </w:rPr>
      </w:pPr>
    </w:p>
    <w:p>
      <w:pPr>
        <w:ind w:left="6" w:right="60"/>
        <w:spacing w:after="0" w:line="272" w:lineRule="auto"/>
        <w:rPr>
          <w:sz w:val="20"/>
          <w:szCs w:val="20"/>
          <w:color w:val="auto"/>
        </w:rPr>
      </w:pPr>
      <w:r>
        <w:rPr>
          <w:rFonts w:ascii="Arial" w:cs="Arial" w:eastAsia="Arial" w:hAnsi="Arial"/>
          <w:sz w:val="17"/>
          <w:szCs w:val="17"/>
          <w:color w:val="auto"/>
        </w:rPr>
        <w:t>For each Transaction, if the Number of Shares to be Delivered for all or such portion of such Transaction is positive (x) in the case of an Accelerated Termination Date, the date that is one Settlement Cycle immediately following the date on which JPMorgan delivers the relevant Acceleration Notice and (y) in the case of a Termination Date occurring on the Scheduled Termination Date, the date that is one Settlement Cycle immediately following the Termination Date, in either case, for all or such portion of such Transaction (the final Settlement Date, the “</w:t>
      </w:r>
      <w:r>
        <w:rPr>
          <w:rFonts w:ascii="Arial" w:cs="Arial" w:eastAsia="Arial" w:hAnsi="Arial"/>
          <w:sz w:val="17"/>
          <w:szCs w:val="17"/>
          <w:b w:val="1"/>
          <w:bCs w:val="1"/>
          <w:color w:val="auto"/>
        </w:rPr>
        <w:t>Final Settlement Date</w:t>
      </w:r>
      <w:r>
        <w:rPr>
          <w:rFonts w:ascii="Arial" w:cs="Arial" w:eastAsia="Arial" w:hAnsi="Arial"/>
          <w:sz w:val="17"/>
          <w:szCs w:val="17"/>
          <w:color w:val="auto"/>
        </w:rPr>
        <w:t>”).</w:t>
      </w:r>
    </w:p>
    <w:p>
      <w:pPr>
        <w:spacing w:after="0" w:line="110" w:lineRule="exact"/>
        <w:rPr>
          <w:sz w:val="20"/>
          <w:szCs w:val="20"/>
          <w:color w:val="auto"/>
        </w:rPr>
      </w:pPr>
    </w:p>
    <w:p>
      <w:pPr>
        <w:ind w:left="1266"/>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054" w:space="720"/>
            <w:col w:w="6806"/>
          </w:cols>
          <w:pgMar w:left="860" w:top="274"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Settlement Currency:</w:t>
            </w:r>
          </w:p>
        </w:tc>
        <w:tc>
          <w:tcPr>
            <w:tcW w:w="7240" w:type="dxa"/>
            <w:vAlign w:val="bottom"/>
          </w:tcPr>
          <w:p>
            <w:pPr>
              <w:ind w:left="480"/>
              <w:spacing w:after="0"/>
              <w:rPr>
                <w:sz w:val="20"/>
                <w:szCs w:val="20"/>
                <w:color w:val="auto"/>
              </w:rPr>
            </w:pPr>
            <w:r>
              <w:rPr>
                <w:rFonts w:ascii="Arial" w:cs="Arial" w:eastAsia="Arial" w:hAnsi="Arial"/>
                <w:sz w:val="18"/>
                <w:szCs w:val="18"/>
                <w:color w:val="auto"/>
              </w:rPr>
              <w:t>USD</w:t>
            </w:r>
          </w:p>
        </w:tc>
      </w:tr>
      <w:tr>
        <w:trPr>
          <w:trHeight w:val="31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Initial Share Delivery:</w:t>
            </w: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For each Transaction, JPMorgan shall deliver a number of Shares equal to the Initial Shares</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2"/>
              </w:rPr>
              <w:t>for such Transaction to Counterparty on the Initial Share Delivery Date for such Transaction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7"/>
              </w:rPr>
              <w:t>in accordance with Section 9.4 of the Equity Definitions, with such Initial Share Delivery</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Date deemed to be a “Settlement Date” for purposes of such Section 9.4.</w:t>
            </w:r>
          </w:p>
        </w:tc>
      </w:tr>
      <w:tr>
        <w:trPr>
          <w:trHeight w:val="324"/>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Initial Share Delivery Date:</w:t>
            </w:r>
          </w:p>
        </w:tc>
        <w:tc>
          <w:tcPr>
            <w:tcW w:w="7240" w:type="dxa"/>
            <w:vAlign w:val="bottom"/>
          </w:tcPr>
          <w:p>
            <w:pPr>
              <w:ind w:left="48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24"/>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Initial Shares:</w:t>
            </w:r>
          </w:p>
        </w:tc>
        <w:tc>
          <w:tcPr>
            <w:tcW w:w="7240" w:type="dxa"/>
            <w:vAlign w:val="bottom"/>
          </w:tcPr>
          <w:p>
            <w:pPr>
              <w:ind w:left="48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283"/>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Share Adjustments</w:t>
            </w:r>
            <w:r>
              <w:rPr>
                <w:rFonts w:ascii="Arial" w:cs="Arial" w:eastAsia="Arial" w:hAnsi="Arial"/>
                <w:sz w:val="18"/>
                <w:szCs w:val="18"/>
                <w:color w:val="auto"/>
              </w:rPr>
              <w:t>.</w:t>
            </w:r>
          </w:p>
        </w:tc>
        <w:tc>
          <w:tcPr>
            <w:tcW w:w="7240" w:type="dxa"/>
            <w:vAlign w:val="bottom"/>
          </w:tcPr>
          <w:p>
            <w:pPr>
              <w:spacing w:after="0"/>
              <w:rPr>
                <w:sz w:val="24"/>
                <w:szCs w:val="24"/>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3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Potential Adjustment Event:</w:t>
            </w:r>
          </w:p>
        </w:tc>
        <w:tc>
          <w:tcPr>
            <w:tcW w:w="7240" w:type="dxa"/>
            <w:vAlign w:val="bottom"/>
          </w:tcPr>
          <w:p>
            <w:pPr>
              <w:ind w:left="480"/>
              <w:spacing w:after="0"/>
              <w:rPr>
                <w:sz w:val="20"/>
                <w:szCs w:val="20"/>
                <w:color w:val="auto"/>
              </w:rPr>
            </w:pPr>
            <w:r>
              <w:rPr>
                <w:rFonts w:ascii="Arial" w:cs="Arial" w:eastAsia="Arial" w:hAnsi="Arial"/>
                <w:sz w:val="18"/>
                <w:szCs w:val="18"/>
                <w:color w:val="auto"/>
                <w:w w:val="99"/>
              </w:rPr>
              <w:t>In addition to the events described in Section 11.2(e) of the Equity Definitions, it shall</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constitute an additional Potential Adjustment Event if (x) the Scheduled Termination Date for</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5"/>
              </w:rPr>
              <w:t>any Transaction is postponed pursuant to “Valuation Disruption” above (including, for the</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0"/>
              </w:rPr>
              <w:t>avoidance of doubt, pursuant to Section 7 hereof), (y) a Regulatory Disruption as described in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0"/>
              </w:rPr>
              <w:t>Section 7 hereof occurs or (z) a Disruption Event occurs. In the case that any event described</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in clause (x), (y) or (z) above occurs, the Calculation Agent may, in its commercially</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89"/>
              </w:rPr>
              <w:t>reasonable discretion, adjust any relevant terms of such Transaction as necessary to preserve</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as nearly as practicable the fair value of such Transaction to JPMorgan prior to such</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postponement, Regulatory Disruption or Disruption Event, as the case may be.</w:t>
            </w:r>
          </w:p>
        </w:tc>
      </w:tr>
      <w:tr>
        <w:trPr>
          <w:trHeight w:val="31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Excess Dividend:</w:t>
            </w: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Any dividend or distribution on the Shares (other than any dividend or distribution of the type</w:t>
            </w:r>
          </w:p>
        </w:tc>
      </w:tr>
      <w:tr>
        <w:trPr>
          <w:trHeight w:val="212"/>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8"/>
              </w:rPr>
              <w:t>described in Section 11.2(e)(i) or Section 11.2(e)(ii)(A) of the Equity Definitions or any</w:t>
            </w:r>
          </w:p>
        </w:tc>
      </w:tr>
      <w:tr>
        <w:trPr>
          <w:trHeight w:val="220"/>
        </w:trPr>
        <w:tc>
          <w:tcPr>
            <w:tcW w:w="1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3"/>
              </w:rPr>
              <w:t>Extraordinary Dividend). “</w:t>
            </w:r>
            <w:r>
              <w:rPr>
                <w:rFonts w:ascii="Arial" w:cs="Arial" w:eastAsia="Arial" w:hAnsi="Arial"/>
                <w:sz w:val="18"/>
                <w:szCs w:val="18"/>
                <w:b w:val="1"/>
                <w:bCs w:val="1"/>
                <w:color w:val="auto"/>
                <w:w w:val="93"/>
              </w:rPr>
              <w:t>Extraordinary Dividend</w:t>
            </w:r>
            <w:r>
              <w:rPr>
                <w:rFonts w:ascii="Arial" w:cs="Arial" w:eastAsia="Arial" w:hAnsi="Arial"/>
                <w:sz w:val="18"/>
                <w:szCs w:val="18"/>
                <w:color w:val="auto"/>
                <w:w w:val="93"/>
              </w:rPr>
              <w:t>” means the per Share cash dividend or</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distribution, or a portion thereof, declared by Counterparty on the Shares that is classified by</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the board of directors of Counterparty as an “extraordinary” dividend.</w:t>
            </w:r>
          </w:p>
        </w:tc>
      </w:tr>
      <w:tr>
        <w:trPr>
          <w:trHeight w:val="31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Consequences of Excess Dividend:</w:t>
            </w:r>
          </w:p>
        </w:tc>
        <w:tc>
          <w:tcPr>
            <w:tcW w:w="7240" w:type="dxa"/>
            <w:vAlign w:val="bottom"/>
          </w:tcPr>
          <w:p>
            <w:pPr>
              <w:ind w:left="480"/>
              <w:spacing w:after="0"/>
              <w:rPr>
                <w:sz w:val="20"/>
                <w:szCs w:val="20"/>
                <w:color w:val="auto"/>
              </w:rPr>
            </w:pPr>
            <w:r>
              <w:rPr>
                <w:rFonts w:ascii="Arial" w:cs="Arial" w:eastAsia="Arial" w:hAnsi="Arial"/>
                <w:sz w:val="18"/>
                <w:szCs w:val="18"/>
                <w:color w:val="auto"/>
                <w:w w:val="92"/>
              </w:rPr>
              <w:t>The declaration by the Issuer of any Excess Dividend, the ex-dividend date for which occurs</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4"/>
              </w:rPr>
              <w:t>or is scheduled to occur during the Relevant Dividend Period for any Transaction, may, at</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6"/>
              </w:rPr>
              <w:t>JPMorgan’s election in its sole discretion, either (x) constitute an Additional Termination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2"/>
              </w:rPr>
              <w:t>Event in respect of such Transaction, with Counterparty as the sole Affected Party and such</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0"/>
              </w:rPr>
              <w:t>Transaction as the sole Affected Transaction or (y) result in an adjustment, by the Calculation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Agent, to the Floor Price as the Calculation Agent determines appropriate to preserve the fair</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value of such Transaction after taking into account such Excess Dividend.</w:t>
            </w:r>
          </w:p>
        </w:tc>
      </w:tr>
      <w:tr>
        <w:trPr>
          <w:trHeight w:val="364"/>
        </w:trPr>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40" w:type="dxa"/>
            <w:vAlign w:val="bottom"/>
          </w:tcPr>
          <w:p>
            <w:pPr>
              <w:ind w:left="1740"/>
              <w:spacing w:after="0"/>
              <w:rPr>
                <w:sz w:val="20"/>
                <w:szCs w:val="20"/>
                <w:color w:val="auto"/>
              </w:rPr>
            </w:pPr>
            <w:r>
              <w:rPr>
                <w:rFonts w:ascii="Arial" w:cs="Arial" w:eastAsia="Arial" w:hAnsi="Arial"/>
                <w:sz w:val="18"/>
                <w:szCs w:val="18"/>
                <w:color w:val="auto"/>
              </w:rPr>
              <w:t>6</w:t>
            </w:r>
          </w:p>
        </w:tc>
      </w:tr>
    </w:tbl>
    <w:p>
      <w:pPr>
        <w:ind w:left="1740"/>
        <w:spacing w:after="0"/>
        <w:rPr>
          <w:sz w:val="20"/>
          <w:szCs w:val="20"/>
          <w:color w:val="auto"/>
        </w:rPr>
        <w:sectPr>
          <w:pgSz w:w="11900" w:h="16838" w:orient="portrait"/>
          <w:cols w:equalWidth="0" w:num="1">
            <w:col w:w="10600"/>
          </w:cols>
          <w:pgMar w:left="80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Method of Adjustment:</w:t>
            </w:r>
          </w:p>
        </w:tc>
        <w:tc>
          <w:tcPr>
            <w:tcW w:w="7080" w:type="dxa"/>
            <w:vAlign w:val="bottom"/>
          </w:tcPr>
          <w:p>
            <w:pPr>
              <w:ind w:left="280"/>
              <w:spacing w:after="0"/>
              <w:rPr>
                <w:sz w:val="20"/>
                <w:szCs w:val="20"/>
                <w:color w:val="auto"/>
              </w:rPr>
            </w:pPr>
            <w:r>
              <w:rPr>
                <w:rFonts w:ascii="Arial" w:cs="Arial" w:eastAsia="Arial" w:hAnsi="Arial"/>
                <w:sz w:val="18"/>
                <w:szCs w:val="18"/>
                <w:color w:val="auto"/>
              </w:rPr>
              <w:t>Calculation Agent Adjustment</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Relevant Dividend Period:</w:t>
            </w:r>
          </w:p>
        </w:tc>
        <w:tc>
          <w:tcPr>
            <w:tcW w:w="7080" w:type="dxa"/>
            <w:vAlign w:val="bottom"/>
          </w:tcPr>
          <w:p>
            <w:pPr>
              <w:ind w:left="280"/>
              <w:spacing w:after="0"/>
              <w:rPr>
                <w:sz w:val="20"/>
                <w:szCs w:val="20"/>
                <w:color w:val="auto"/>
              </w:rPr>
            </w:pPr>
            <w:r>
              <w:rPr>
                <w:rFonts w:ascii="Arial" w:cs="Arial" w:eastAsia="Arial" w:hAnsi="Arial"/>
                <w:sz w:val="18"/>
                <w:szCs w:val="18"/>
                <w:color w:val="auto"/>
                <w:w w:val="91"/>
              </w:rPr>
              <w:t>For each Transaction, the period from, and including, the Trade Date for such Transaction to,</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and including, the Relevant Dividend Period End Date for such Transaction.</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Relevant Dividend Period End Date:</w:t>
            </w:r>
          </w:p>
        </w:tc>
        <w:tc>
          <w:tcPr>
            <w:tcW w:w="7080" w:type="dxa"/>
            <w:vAlign w:val="bottom"/>
          </w:tcPr>
          <w:p>
            <w:pPr>
              <w:ind w:left="280"/>
              <w:spacing w:after="0"/>
              <w:rPr>
                <w:sz w:val="20"/>
                <w:szCs w:val="20"/>
                <w:color w:val="auto"/>
              </w:rPr>
            </w:pPr>
            <w:r>
              <w:rPr>
                <w:rFonts w:ascii="Arial" w:cs="Arial" w:eastAsia="Arial" w:hAnsi="Arial"/>
                <w:sz w:val="18"/>
                <w:szCs w:val="18"/>
                <w:color w:val="auto"/>
                <w:w w:val="99"/>
              </w:rPr>
              <w:t>For each Transaction, if the Number of Shares to be Delivered for such Transaction is</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1"/>
              </w:rPr>
              <w:t>negative, the last day of the Settlement Valuation Period; otherwise, the Termination Date for</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such Transaction.</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Extraordinary Events</w:t>
            </w:r>
            <w:r>
              <w:rPr>
                <w:rFonts w:ascii="Arial" w:cs="Arial" w:eastAsia="Arial" w:hAnsi="Arial"/>
                <w:sz w:val="18"/>
                <w:szCs w:val="18"/>
                <w:color w:val="auto"/>
              </w:rPr>
              <w:t>.</w:t>
            </w:r>
          </w:p>
        </w:tc>
        <w:tc>
          <w:tcPr>
            <w:tcW w:w="7080" w:type="dxa"/>
            <w:vAlign w:val="bottom"/>
          </w:tcPr>
          <w:p>
            <w:pPr>
              <w:spacing w:after="0"/>
              <w:rPr>
                <w:sz w:val="24"/>
                <w:szCs w:val="24"/>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345"/>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Consequences of Merger Events:</w:t>
            </w:r>
          </w:p>
        </w:tc>
        <w:tc>
          <w:tcPr>
            <w:tcW w:w="7080" w:type="dxa"/>
            <w:vAlign w:val="bottom"/>
          </w:tcPr>
          <w:p>
            <w:pPr>
              <w:spacing w:after="0"/>
              <w:rPr>
                <w:sz w:val="24"/>
                <w:szCs w:val="24"/>
                <w:color w:val="auto"/>
              </w:rPr>
            </w:pP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(a) Share-for-Share:</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(b) Share-for-Other:</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(c) Share-for-Combined:</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Tender Offer:</w:t>
            </w:r>
          </w:p>
        </w:tc>
        <w:tc>
          <w:tcPr>
            <w:tcW w:w="7080" w:type="dxa"/>
            <w:vAlign w:val="bottom"/>
          </w:tcPr>
          <w:p>
            <w:pPr>
              <w:ind w:left="280"/>
              <w:spacing w:after="0"/>
              <w:rPr>
                <w:sz w:val="20"/>
                <w:szCs w:val="20"/>
                <w:color w:val="auto"/>
              </w:rPr>
            </w:pPr>
            <w:r>
              <w:rPr>
                <w:rFonts w:ascii="Arial" w:cs="Arial" w:eastAsia="Arial" w:hAnsi="Arial"/>
                <w:sz w:val="18"/>
                <w:szCs w:val="18"/>
                <w:color w:val="auto"/>
                <w:w w:val="95"/>
              </w:rPr>
              <w:t xml:space="preserve">Applicable;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(a) Section 12.1(l) of the Equity Definitions shall be amended by</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(i) deleting the parenthetical in the fifth line thereof, (ii) replacing “that” in the fifth line</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8"/>
              </w:rPr>
              <w:t>thereof with “whether or not such announcement” and (iii) adding immediately after the</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words “Tender Offer” in the fifth line thereof “, and any publicly announced change or</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amendment to such an announcement (including, without limitation, the announcement of an</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abandonment of such intention)”; and (b) Sections 12.3(a) and 12.3(d) of the Equity</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Definitions shall each be amended by replacing each occurrence of the words “Tender Offer</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Date” by “Announcement Date.”</w:t>
            </w:r>
          </w:p>
        </w:tc>
      </w:tr>
      <w:tr>
        <w:trPr>
          <w:trHeight w:val="324"/>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Consequences of Tender Offers:</w:t>
            </w:r>
          </w:p>
        </w:tc>
        <w:tc>
          <w:tcPr>
            <w:tcW w:w="7080" w:type="dxa"/>
            <w:vAlign w:val="bottom"/>
          </w:tcPr>
          <w:p>
            <w:pPr>
              <w:spacing w:after="0"/>
              <w:rPr>
                <w:sz w:val="24"/>
                <w:szCs w:val="24"/>
                <w:color w:val="auto"/>
              </w:rPr>
            </w:pP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(a) Share-for-Share:</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(b) Share-for-Other:</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(c) Share-for-Combined:</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Nationalization, Insolvency or Delisting:</w:t>
            </w:r>
          </w:p>
        </w:tc>
        <w:tc>
          <w:tcPr>
            <w:tcW w:w="7080" w:type="dxa"/>
            <w:vAlign w:val="bottom"/>
          </w:tcPr>
          <w:p>
            <w:pPr>
              <w:ind w:left="280"/>
              <w:spacing w:after="0"/>
              <w:rPr>
                <w:sz w:val="20"/>
                <w:szCs w:val="20"/>
                <w:color w:val="auto"/>
              </w:rPr>
            </w:pPr>
            <w:r>
              <w:rPr>
                <w:rFonts w:ascii="Arial" w:cs="Arial" w:eastAsia="Arial" w:hAnsi="Arial"/>
                <w:sz w:val="18"/>
                <w:szCs w:val="18"/>
                <w:color w:val="auto"/>
                <w:w w:val="91"/>
              </w:rPr>
              <w:t xml:space="preserve">Cancellation and Payment;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in addition to the provisions of Section 12.6(a)(iii) of</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7"/>
              </w:rPr>
              <w:t>the Equity Definitions, it shall also constitute a Delisting if the Exchange is located in the</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United States and the Shares are not immediately re-listed, re-traded or re-quoted on any of</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the New York Stock Exchange, The NASDAQ Global Select Market or The NASDAQ Global</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3"/>
              </w:rPr>
              <w:t>Market (or their respective successors); if the Shares are immediately re-listed, re-traded or</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89"/>
              </w:rPr>
              <w:t>re-quoted on any such exchange or quotation system, such exchange or quotation system shall</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be deemed to be the Exchange.</w:t>
            </w:r>
          </w:p>
        </w:tc>
      </w:tr>
      <w:tr>
        <w:trPr>
          <w:trHeight w:val="365"/>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80" w:type="dxa"/>
            <w:vAlign w:val="bottom"/>
          </w:tcPr>
          <w:p>
            <w:pPr>
              <w:ind w:left="1540"/>
              <w:spacing w:after="0"/>
              <w:rPr>
                <w:sz w:val="20"/>
                <w:szCs w:val="20"/>
                <w:color w:val="auto"/>
              </w:rPr>
            </w:pPr>
            <w:r>
              <w:rPr>
                <w:rFonts w:ascii="Arial" w:cs="Arial" w:eastAsia="Arial" w:hAnsi="Arial"/>
                <w:sz w:val="18"/>
                <w:szCs w:val="18"/>
                <w:color w:val="auto"/>
              </w:rPr>
              <w:t>7</w:t>
            </w:r>
          </w:p>
        </w:tc>
      </w:tr>
    </w:tbl>
    <w:p>
      <w:pPr>
        <w:ind w:left="1540"/>
        <w:spacing w:after="0"/>
        <w:rPr>
          <w:sz w:val="20"/>
          <w:szCs w:val="20"/>
          <w:color w:val="auto"/>
        </w:rPr>
        <w:sectPr>
          <w:pgSz w:w="11900" w:h="16838" w:orient="portrait"/>
          <w:cols w:equalWidth="0" w:num="1">
            <w:col w:w="10640"/>
          </w:cols>
          <w:pgMar w:left="80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spacing w:after="0"/>
        <w:rPr>
          <w:sz w:val="20"/>
          <w:szCs w:val="20"/>
          <w:color w:val="auto"/>
        </w:rPr>
      </w:pPr>
      <w:r>
        <w:rPr>
          <w:rFonts w:ascii="Arial" w:cs="Arial" w:eastAsia="Arial" w:hAnsi="Arial"/>
          <w:sz w:val="16"/>
          <w:szCs w:val="16"/>
          <w:color w:val="auto"/>
        </w:rPr>
        <w:t>Additional Disruption Events: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Change in Law:</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Positions” and (iii) immediately following the word “Transaction” in clause (X) thereof, adding the phrase “in the manner contemplated by the Hedging Party on the Trade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Section 12.9(a) (ii)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-1681480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2760" w:space="720"/>
            <w:col w:w="6800"/>
          </w:cols>
          <w:pgMar w:left="1160" w:top="274" w:right="459" w:bottom="1440" w:gutter="0" w:footer="0" w:header="0"/>
        </w:sectPr>
      </w:pPr>
    </w:p>
    <w:p>
      <w:pPr>
        <w:ind w:left="180"/>
        <w:spacing w:after="0"/>
        <w:rPr>
          <w:sz w:val="20"/>
          <w:szCs w:val="20"/>
          <w:color w:val="auto"/>
        </w:rPr>
      </w:pPr>
      <w:r>
        <w:rPr>
          <w:rFonts w:ascii="Arial" w:cs="Arial" w:eastAsia="Arial" w:hAnsi="Arial"/>
          <w:sz w:val="16"/>
          <w:szCs w:val="16"/>
          <w:color w:val="auto"/>
        </w:rPr>
        <w:t>(b) 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(d) Loss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(e) 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(f) Increased Cost of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(g) 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80" w:space="70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 xml:space="preserve">JPMorgan;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Determining Party shall make determinations and calculations in good faith and in a commercially reasonable manner, and any such determinations and calculations shall be subject to the provisions specified in Section 2 (“Calculation Agent”) below.</w:t>
      </w:r>
    </w:p>
    <w:p>
      <w:pPr>
        <w:spacing w:after="0" w:line="119"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80"/>
          </w:cols>
          <w:pgMar w:left="1160" w:top="274" w:right="459" w:bottom="1440" w:gutter="0" w:footer="0" w:header="0"/>
          <w:type w:val="continuous"/>
        </w:sectPr>
      </w:pPr>
    </w:p>
    <w:bookmarkStart w:id="11" w:name="page12"/>
    <w:bookmarkEnd w:id="11"/>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00" w:type="dxa"/>
            <w:vAlign w:val="bottom"/>
            <w:gridSpan w:val="2"/>
          </w:tcPr>
          <w:p>
            <w:pPr>
              <w:ind w:left="380"/>
              <w:spacing w:after="0"/>
              <w:rPr>
                <w:sz w:val="20"/>
                <w:szCs w:val="20"/>
                <w:color w:val="auto"/>
              </w:rPr>
            </w:pPr>
            <w:r>
              <w:rPr>
                <w:rFonts w:ascii="Arial" w:cs="Arial" w:eastAsia="Arial" w:hAnsi="Arial"/>
                <w:sz w:val="18"/>
                <w:szCs w:val="18"/>
                <w:color w:val="auto"/>
              </w:rPr>
              <w:t>Hedging Adjustments:</w:t>
            </w:r>
          </w:p>
        </w:tc>
        <w:tc>
          <w:tcPr>
            <w:tcW w:w="7240" w:type="dxa"/>
            <w:vAlign w:val="bottom"/>
          </w:tcPr>
          <w:p>
            <w:pPr>
              <w:ind w:left="460"/>
              <w:spacing w:after="0"/>
              <w:rPr>
                <w:sz w:val="20"/>
                <w:szCs w:val="20"/>
                <w:color w:val="auto"/>
              </w:rPr>
            </w:pPr>
            <w:r>
              <w:rPr>
                <w:rFonts w:ascii="Arial" w:cs="Arial" w:eastAsia="Arial" w:hAnsi="Arial"/>
                <w:sz w:val="18"/>
                <w:szCs w:val="18"/>
                <w:color w:val="auto"/>
                <w:w w:val="98"/>
              </w:rPr>
              <w:t>For the avoidance of doubt, whenever the Calculation Agent is called upon to make 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1"/>
              </w:rPr>
              <w:t>adjustment pursuant to the terms of this Master Confirmation or the Equity Definitions to take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6"/>
              </w:rPr>
              <w:t>into account the effect of an event, the Calculation Agent shall make such adjustment by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5"/>
              </w:rPr>
              <w:t>reference to the effect of such event on JPMorgan, assuming that JPMorgan maintains a</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gridSpan w:val="2"/>
            <w:vMerge w:val="restart"/>
          </w:tcPr>
          <w:p>
            <w:pPr>
              <w:ind w:left="380"/>
              <w:spacing w:after="0"/>
              <w:rPr>
                <w:sz w:val="20"/>
                <w:szCs w:val="20"/>
                <w:color w:val="auto"/>
              </w:rPr>
            </w:pPr>
            <w:r>
              <w:rPr>
                <w:rFonts w:ascii="Arial" w:cs="Arial" w:eastAsia="Arial" w:hAnsi="Arial"/>
                <w:sz w:val="18"/>
                <w:szCs w:val="18"/>
                <w:color w:val="auto"/>
              </w:rPr>
              <w:t>Non-Reliance/Agreements and</w:t>
            </w:r>
          </w:p>
        </w:tc>
        <w:tc>
          <w:tcPr>
            <w:tcW w:w="7240" w:type="dxa"/>
            <w:vAlign w:val="bottom"/>
          </w:tcPr>
          <w:p>
            <w:pPr>
              <w:ind w:left="460"/>
              <w:spacing w:after="0"/>
              <w:rPr>
                <w:sz w:val="20"/>
                <w:szCs w:val="20"/>
                <w:color w:val="auto"/>
              </w:rPr>
            </w:pPr>
            <w:r>
              <w:rPr>
                <w:rFonts w:ascii="Arial" w:cs="Arial" w:eastAsia="Arial" w:hAnsi="Arial"/>
                <w:sz w:val="18"/>
                <w:szCs w:val="18"/>
                <w:color w:val="auto"/>
              </w:rPr>
              <w:t>commercially reasonable Hedge Position.</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400" w:type="dxa"/>
            <w:vAlign w:val="bottom"/>
            <w:gridSpan w:val="2"/>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gridSpan w:val="2"/>
          </w:tcPr>
          <w:p>
            <w:pPr>
              <w:ind w:left="740"/>
              <w:spacing w:after="0"/>
              <w:rPr>
                <w:sz w:val="20"/>
                <w:szCs w:val="20"/>
                <w:color w:val="auto"/>
              </w:rPr>
            </w:pPr>
            <w:r>
              <w:rPr>
                <w:rFonts w:ascii="Arial" w:cs="Arial" w:eastAsia="Arial" w:hAnsi="Arial"/>
                <w:sz w:val="18"/>
                <w:szCs w:val="18"/>
                <w:color w:val="auto"/>
              </w:rPr>
              <w:t>Acknowledgements Regarding</w:t>
            </w:r>
          </w:p>
        </w:tc>
        <w:tc>
          <w:tcPr>
            <w:tcW w:w="7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gridSpan w:val="2"/>
          </w:tcPr>
          <w:p>
            <w:pPr>
              <w:ind w:left="740"/>
              <w:spacing w:after="0"/>
              <w:rPr>
                <w:sz w:val="20"/>
                <w:szCs w:val="20"/>
                <w:color w:val="auto"/>
              </w:rPr>
            </w:pPr>
            <w:r>
              <w:rPr>
                <w:rFonts w:ascii="Arial" w:cs="Arial" w:eastAsia="Arial" w:hAnsi="Arial"/>
                <w:sz w:val="18"/>
                <w:szCs w:val="18"/>
                <w:color w:val="auto"/>
              </w:rPr>
              <w:t>Hedging Activities/Additional</w:t>
            </w:r>
          </w:p>
        </w:tc>
        <w:tc>
          <w:tcPr>
            <w:tcW w:w="7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3400" w:type="dxa"/>
            <w:vAlign w:val="bottom"/>
            <w:gridSpan w:val="2"/>
          </w:tcPr>
          <w:p>
            <w:pPr>
              <w:ind w:left="740"/>
              <w:spacing w:after="0"/>
              <w:rPr>
                <w:sz w:val="20"/>
                <w:szCs w:val="20"/>
                <w:color w:val="auto"/>
              </w:rPr>
            </w:pPr>
            <w:r>
              <w:rPr>
                <w:rFonts w:ascii="Arial" w:cs="Arial" w:eastAsia="Arial" w:hAnsi="Arial"/>
                <w:sz w:val="18"/>
                <w:szCs w:val="18"/>
                <w:color w:val="auto"/>
              </w:rPr>
              <w:t>Acknowledgements:</w:t>
            </w:r>
          </w:p>
        </w:tc>
        <w:tc>
          <w:tcPr>
            <w:tcW w:w="7240" w:type="dxa"/>
            <w:vAlign w:val="bottom"/>
          </w:tcPr>
          <w:p>
            <w:pPr>
              <w:ind w:left="460"/>
              <w:spacing w:after="0"/>
              <w:rPr>
                <w:sz w:val="20"/>
                <w:szCs w:val="20"/>
                <w:color w:val="auto"/>
              </w:rPr>
            </w:pPr>
            <w:r>
              <w:rPr>
                <w:rFonts w:ascii="Arial" w:cs="Arial" w:eastAsia="Arial" w:hAnsi="Arial"/>
                <w:sz w:val="18"/>
                <w:szCs w:val="18"/>
                <w:color w:val="auto"/>
              </w:rPr>
              <w:t>Applicable</w:t>
            </w:r>
          </w:p>
        </w:tc>
        <w:tc>
          <w:tcPr>
            <w:tcW w:w="0" w:type="dxa"/>
            <w:vAlign w:val="bottom"/>
          </w:tcPr>
          <w:p>
            <w:pPr>
              <w:spacing w:after="0"/>
              <w:rPr>
                <w:sz w:val="1"/>
                <w:szCs w:val="1"/>
                <w:color w:val="auto"/>
              </w:rPr>
            </w:pPr>
          </w:p>
        </w:tc>
      </w:tr>
      <w:tr>
        <w:trPr>
          <w:trHeight w:val="194"/>
        </w:trPr>
        <w:tc>
          <w:tcPr>
            <w:tcW w:w="37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2.  Calculation Agent.</w:t>
            </w:r>
          </w:p>
        </w:tc>
        <w:tc>
          <w:tcPr>
            <w:tcW w:w="7240" w:type="dxa"/>
            <w:vAlign w:val="bottom"/>
          </w:tcPr>
          <w:p>
            <w:pPr>
              <w:ind w:left="460"/>
              <w:spacing w:after="0" w:line="194" w:lineRule="exact"/>
              <w:rPr>
                <w:sz w:val="20"/>
                <w:szCs w:val="20"/>
                <w:color w:val="auto"/>
              </w:rPr>
            </w:pPr>
            <w:r>
              <w:rPr>
                <w:rFonts w:ascii="Arial" w:cs="Arial" w:eastAsia="Arial" w:hAnsi="Arial"/>
                <w:sz w:val="18"/>
                <w:szCs w:val="18"/>
                <w:color w:val="auto"/>
                <w:w w:val="92"/>
              </w:rPr>
              <w:t>JPMorgan. Whenever the Calculation Agent is required to act or to exercise judgment in any</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way with respect to any Transaction hereunder, it will do so in good faith and in 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commercially reasonable manner. Following any determination or calculation by the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Calculation Agent hereunder, the Calculation Agent will, upon written request from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1"/>
              </w:rPr>
              <w:t>Counterparty and in no event later than five Exchange Business Days following such request,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5"/>
              </w:rPr>
              <w:t>provide to Counterparty promptly following such request a report (in a commonly used file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1"/>
              </w:rPr>
              <w:t>format for the storage and manipulation of financial data without disclosing any proprietary or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8"/>
              </w:rPr>
              <w:t>confidential models or other information that is proprietary or confidential) displaying 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3"/>
              </w:rPr>
              <w:t>reasonable detail the basis for such determination or calculation, as the case may be. If 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9"/>
              </w:rPr>
              <w:t>Event of Default described in Section 5(a)(vii) of the Agreement with respect to which</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0"/>
              </w:rPr>
              <w:t>JPMorgan is the Defaulting Party has occurred and is continuing, Counterparty may designate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2"/>
              </w:rPr>
              <w:t>a nationally recognized third-party dealer with expertise in over-the-counter corporate equity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7"/>
              </w:rPr>
              <w:t>derivatives to act as substitute Calculation Agent for so long as such Event of Default is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continuing.</w:t>
            </w: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Account for payments to Counterparty:</w:t>
      </w:r>
    </w:p>
    <w:p>
      <w:pPr>
        <w:sectPr>
          <w:pgSz w:w="11900" w:h="16838" w:orient="portrait"/>
          <w:cols w:equalWidth="0" w:num="1">
            <w:col w:w="10984"/>
          </w:cols>
          <w:pgMar w:left="436" w:top="274" w:right="479" w:bottom="1440" w:gutter="0" w:footer="0" w:header="0"/>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ABA number: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Credit A/C Name:</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Credit A/C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WELLS FARGO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121 South Market Street, 2rd Floor, San Jose, CA 95113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121000248</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MAGNACHIP SEMICONDUCTOR CORPORATION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4124815044</w:t>
      </w:r>
    </w:p>
    <w:p>
      <w:pPr>
        <w:spacing w:after="0" w:line="103" w:lineRule="exact"/>
        <w:rPr>
          <w:sz w:val="20"/>
          <w:szCs w:val="20"/>
          <w:color w:val="auto"/>
        </w:rPr>
      </w:pPr>
    </w:p>
    <w:p>
      <w:pPr>
        <w:sectPr>
          <w:pgSz w:w="11900" w:h="16838" w:orient="portrait"/>
          <w:cols w:equalWidth="0" w:num="2">
            <w:col w:w="2304" w:space="380"/>
            <w:col w:w="8300"/>
          </w:cols>
          <w:pgMar w:left="436" w:top="274" w:right="479" w:bottom="1440" w:gutter="0" w:footer="0" w:header="0"/>
          <w:type w:val="continuous"/>
        </w:sectPr>
      </w:pPr>
    </w:p>
    <w:p>
      <w:pPr>
        <w:ind w:left="984"/>
        <w:spacing w:after="0"/>
        <w:rPr>
          <w:sz w:val="20"/>
          <w:szCs w:val="20"/>
          <w:color w:val="auto"/>
        </w:rPr>
      </w:pPr>
      <w:r>
        <w:rPr>
          <w:rFonts w:ascii="Arial" w:cs="Arial" w:eastAsia="Arial" w:hAnsi="Arial"/>
          <w:sz w:val="16"/>
          <w:szCs w:val="16"/>
          <w:color w:val="auto"/>
        </w:rPr>
        <w:t>Account for delivery of Shares to Counterparty:</w:t>
      </w:r>
    </w:p>
    <w:p>
      <w:pPr>
        <w:spacing w:after="0" w:line="14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To be provided by Counterparty.</w:t>
      </w:r>
    </w:p>
    <w:p>
      <w:pPr>
        <w:spacing w:after="0" w:line="131" w:lineRule="exact"/>
        <w:rPr>
          <w:sz w:val="20"/>
          <w:szCs w:val="20"/>
          <w:color w:val="auto"/>
        </w:rPr>
      </w:pPr>
    </w:p>
    <w:p>
      <w:pPr>
        <w:ind w:left="964" w:hanging="532"/>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 for payments to JPMorgan:</w:t>
      </w:r>
    </w:p>
    <w:p>
      <w:pPr>
        <w:sectPr>
          <w:pgSz w:w="11900" w:h="16838" w:orient="portrait"/>
          <w:cols w:equalWidth="0" w:num="1">
            <w:col w:w="10984"/>
          </w:cols>
          <w:pgMar w:left="436" w:top="274" w:right="479" w:bottom="1440" w:gutter="0" w:footer="0" w:header="0"/>
          <w:type w:val="continuous"/>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ABA#:</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Acct No.:</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7"/>
          <w:szCs w:val="17"/>
          <w:color w:val="auto"/>
        </w:rPr>
        <w:t>Beneficiary: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021000021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099997979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New York</w:t>
      </w:r>
    </w:p>
    <w:p>
      <w:pPr>
        <w:spacing w:after="0" w:line="125" w:lineRule="exact"/>
        <w:rPr>
          <w:sz w:val="20"/>
          <w:szCs w:val="20"/>
          <w:color w:val="auto"/>
        </w:rPr>
      </w:pPr>
    </w:p>
    <w:p>
      <w:pPr>
        <w:sectPr>
          <w:pgSz w:w="11900" w:h="16838" w:orient="portrait"/>
          <w:cols w:equalWidth="0" w:num="2">
            <w:col w:w="1884" w:space="220"/>
            <w:col w:w="8880"/>
          </w:cols>
          <w:pgMar w:left="436" w:top="274" w:right="47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Ref: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Derivatives</w:t>
      </w:r>
    </w:p>
    <w:p>
      <w:pPr>
        <w:spacing w:after="0" w:line="140" w:lineRule="exact"/>
        <w:rPr>
          <w:sz w:val="20"/>
          <w:szCs w:val="20"/>
          <w:color w:val="auto"/>
        </w:rPr>
      </w:pPr>
    </w:p>
    <w:p>
      <w:pPr>
        <w:sectPr>
          <w:pgSz w:w="11900" w:h="16838" w:orient="portrait"/>
          <w:cols w:equalWidth="0" w:num="2">
            <w:col w:w="1344" w:space="720"/>
            <w:col w:w="8920"/>
          </w:cols>
          <w:pgMar w:left="436" w:top="274" w:right="479" w:bottom="1440" w:gutter="0" w:footer="0" w:header="0"/>
          <w:type w:val="continuous"/>
        </w:sectPr>
      </w:pPr>
    </w:p>
    <w:p>
      <w:pPr>
        <w:ind w:left="984"/>
        <w:spacing w:after="0"/>
        <w:rPr>
          <w:sz w:val="20"/>
          <w:szCs w:val="20"/>
          <w:color w:val="auto"/>
        </w:rPr>
      </w:pPr>
      <w:r>
        <w:rPr>
          <w:rFonts w:ascii="Arial" w:cs="Arial" w:eastAsia="Arial" w:hAnsi="Arial"/>
          <w:sz w:val="18"/>
          <w:szCs w:val="18"/>
          <w:color w:val="auto"/>
        </w:rPr>
        <w:t>Account for delivery of Shares to JPMorgan: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DTC 0352</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984"/>
          </w:cols>
          <w:pgMar w:left="436" w:top="274" w:right="479" w:bottom="1440" w:gutter="0" w:footer="0" w:header="0"/>
          <w:type w:val="continuous"/>
        </w:sectPr>
      </w:pPr>
    </w:p>
    <w:bookmarkStart w:id="12" w:name="page13"/>
    <w:bookmarkEnd w:id="12"/>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Office of Counterparty for each Transaction is: Inapplicable, Counterparty is not a Multibranch Party.</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Office of JPMorgan for each Transaction is: New York</w:t>
      </w:r>
    </w:p>
    <w:p>
      <w:pPr>
        <w:spacing w:after="0" w:line="117" w:lineRule="exact"/>
        <w:rPr>
          <w:rFonts w:ascii="Arial" w:cs="Arial" w:eastAsia="Arial" w:hAnsi="Arial"/>
          <w:sz w:val="18"/>
          <w:szCs w:val="18"/>
          <w:color w:val="auto"/>
        </w:rPr>
      </w:pPr>
    </w:p>
    <w:p>
      <w:pPr>
        <w:ind w:left="984" w:right="6620"/>
        <w:spacing w:after="0" w:line="258" w:lineRule="auto"/>
        <w:rPr>
          <w:rFonts w:ascii="Arial" w:cs="Arial" w:eastAsia="Arial" w:hAnsi="Arial"/>
          <w:sz w:val="18"/>
          <w:szCs w:val="18"/>
          <w:color w:val="auto"/>
        </w:rPr>
      </w:pPr>
      <w:r>
        <w:rPr>
          <w:rFonts w:ascii="Arial" w:cs="Arial" w:eastAsia="Arial" w:hAnsi="Arial"/>
          <w:sz w:val="18"/>
          <w:szCs w:val="18"/>
          <w:color w:val="auto"/>
        </w:rPr>
        <w:t>JPMorgan Chase Bank, National Association New York Branch</w:t>
      </w:r>
    </w:p>
    <w:p>
      <w:pPr>
        <w:spacing w:after="0" w:line="1" w:lineRule="exact"/>
        <w:rPr>
          <w:rFonts w:ascii="Arial" w:cs="Arial" w:eastAsia="Arial" w:hAnsi="Arial"/>
          <w:sz w:val="18"/>
          <w:szCs w:val="18"/>
          <w:color w:val="auto"/>
        </w:rPr>
      </w:pPr>
    </w:p>
    <w:p>
      <w:pPr>
        <w:ind w:left="984" w:right="8260"/>
        <w:spacing w:after="0" w:line="323" w:lineRule="auto"/>
        <w:rPr>
          <w:rFonts w:ascii="Arial" w:cs="Arial" w:eastAsia="Arial" w:hAnsi="Arial"/>
          <w:sz w:val="18"/>
          <w:szCs w:val="18"/>
          <w:color w:val="auto"/>
        </w:rPr>
      </w:pPr>
      <w:r>
        <w:rPr>
          <w:rFonts w:ascii="Arial" w:cs="Arial" w:eastAsia="Arial" w:hAnsi="Arial"/>
          <w:sz w:val="16"/>
          <w:szCs w:val="16"/>
          <w:color w:val="auto"/>
        </w:rPr>
        <w:t>383 Madison Avenue New York, NY, 10179</w:t>
      </w:r>
    </w:p>
    <w:p>
      <w:pPr>
        <w:spacing w:after="0" w:line="39"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Magnachip Semiconductor</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V-PLEX Bldg., 15th Fl.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984"/>
        <w:spacing w:after="0"/>
        <w:tabs>
          <w:tab w:leader="none" w:pos="228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Theodore S. Kim, Chief Compliance Officer and General Counsel</w:t>
      </w:r>
    </w:p>
    <w:p>
      <w:pPr>
        <w:spacing w:after="0" w:line="9" w:lineRule="exact"/>
        <w:rPr>
          <w:sz w:val="20"/>
          <w:szCs w:val="20"/>
          <w:color w:val="auto"/>
        </w:rPr>
      </w:pPr>
    </w:p>
    <w:p>
      <w:pPr>
        <w:ind w:left="984"/>
        <w:spacing w:after="0"/>
        <w:tabs>
          <w:tab w:leader="none" w:pos="2264"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+82 (2) 6903-3666</w:t>
      </w:r>
    </w:p>
    <w:p>
      <w:pPr>
        <w:spacing w:after="0" w:line="9" w:lineRule="exact"/>
        <w:rPr>
          <w:sz w:val="20"/>
          <w:szCs w:val="20"/>
          <w:color w:val="auto"/>
        </w:rPr>
      </w:pPr>
    </w:p>
    <w:p>
      <w:pPr>
        <w:ind w:left="984"/>
        <w:spacing w:after="0"/>
        <w:tabs>
          <w:tab w:leader="none" w:pos="2264"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color w:val="auto"/>
        </w:rPr>
        <w:t>theodore.kim@magnachip.com</w:t>
      </w:r>
    </w:p>
    <w:p>
      <w:pPr>
        <w:spacing w:after="0" w:line="116" w:lineRule="exact"/>
        <w:rPr>
          <w:sz w:val="20"/>
          <w:szCs w:val="20"/>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for notices or communications to JPMorgan: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EDG Marketing Support</w:t>
      </w:r>
    </w:p>
    <w:p>
      <w:pPr>
        <w:spacing w:after="0" w:line="9" w:lineRule="exact"/>
        <w:rPr>
          <w:sz w:val="20"/>
          <w:szCs w:val="20"/>
          <w:color w:val="auto"/>
        </w:rPr>
      </w:pPr>
    </w:p>
    <w:p>
      <w:pPr>
        <w:ind w:left="984"/>
        <w:spacing w:after="0"/>
        <w:tabs>
          <w:tab w:leader="none" w:pos="162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edg_notices@jpmorgan.com</w:t>
      </w:r>
    </w:p>
    <w:p>
      <w:pPr>
        <w:spacing w:after="0" w:line="9"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edg_ny_corporate_sales_support@jpmorgan.com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0864"/>
          </w:cols>
          <w:pgMar w:left="436" w:top="270" w:right="599" w:bottom="1440" w:gutter="0" w:footer="0" w:header="0"/>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Telephone No.:</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Brett Chalmers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 622-2252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brett.chalmers@jpmorgan.com</w:t>
      </w:r>
    </w:p>
    <w:p>
      <w:pPr>
        <w:spacing w:after="0" w:line="135" w:lineRule="exact"/>
        <w:rPr>
          <w:sz w:val="20"/>
          <w:szCs w:val="20"/>
          <w:color w:val="auto"/>
        </w:rPr>
      </w:pPr>
    </w:p>
    <w:p>
      <w:pPr>
        <w:sectPr>
          <w:pgSz w:w="11900" w:h="16838" w:orient="portrait"/>
          <w:cols w:equalWidth="0" w:num="2">
            <w:col w:w="2104" w:space="160"/>
            <w:col w:w="8600"/>
          </w:cols>
          <w:pgMar w:left="436" w:top="270" w:right="599" w:bottom="1440" w:gutter="0" w:footer="0" w:header="0"/>
          <w:type w:val="continuous"/>
        </w:sect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right="80" w:hanging="532"/>
        <w:spacing w:after="0" w:line="277"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Additional Representations, Warranties and Covenants of Each Party</w:t>
      </w:r>
      <w:r>
        <w:rPr>
          <w:rFonts w:ascii="Arial" w:cs="Arial" w:eastAsia="Arial" w:hAnsi="Arial"/>
          <w:sz w:val="18"/>
          <w:szCs w:val="18"/>
          <w:color w:val="auto"/>
        </w:rPr>
        <w:t>. In addition to the representations, warranties and covenants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each party represents, warrants and covenants to the other party that: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is an “eligible contract participant” (as such term is defined in the Commodity Exchange Act, as amended).</w:t>
      </w:r>
    </w:p>
    <w:p>
      <w:pPr>
        <w:spacing w:after="0" w:line="130" w:lineRule="exact"/>
        <w:rPr>
          <w:rFonts w:ascii="Arial" w:cs="Arial" w:eastAsia="Arial" w:hAnsi="Arial"/>
          <w:sz w:val="18"/>
          <w:szCs w:val="18"/>
          <w:color w:val="auto"/>
        </w:rPr>
      </w:pPr>
    </w:p>
    <w:p>
      <w:pPr>
        <w:ind w:left="1424" w:hanging="439"/>
        <w:spacing w:after="0" w:line="296" w:lineRule="auto"/>
        <w:tabs>
          <w:tab w:leader="none" w:pos="1424"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offer and sale of each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4(a)(2) thereof. Accordingly, each party represents and warrants to the other that (A) it has the financial ability to bear the economic risk of its investment in each Transaction and is able to bear a total loss of its investment, (B) it is an “accredited investor” as that term is defined under Regulation D under the Securities Act and (C) the disposition of each Transaction is restricted under this Master Confirmation, the Securities Act and state securities laws.</w:t>
      </w:r>
    </w:p>
    <w:p>
      <w:pPr>
        <w:spacing w:after="0" w:line="94"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4"/>
          </w:cols>
          <w:pgMar w:left="436" w:top="270" w:right="599" w:bottom="1440" w:gutter="0" w:footer="0" w:header="0"/>
          <w:type w:val="continuous"/>
        </w:sectPr>
      </w:pPr>
    </w:p>
    <w:bookmarkStart w:id="13" w:name="page14"/>
    <w:bookmarkEnd w:id="13"/>
    <w:p>
      <w:pPr>
        <w:ind w:left="540" w:right="2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Representations, Warranties and Covenants of Counterparty</w:t>
      </w:r>
      <w:r>
        <w:rPr>
          <w:rFonts w:ascii="Arial" w:cs="Arial" w:eastAsia="Arial" w:hAnsi="Arial"/>
          <w:sz w:val="18"/>
          <w:szCs w:val="18"/>
          <w:color w:val="auto"/>
        </w:rPr>
        <w:t>. In addition to the representations, warranties and covenants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Counterparty represents, warrants and covenants to JPMorgan that: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00" w:right="240" w:hanging="439"/>
        <w:spacing w:after="0" w:line="291"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As of the Trade Date for each Transaction hereunder, (A) such Transaction is being entered into pursuant to a publicly disclosed Share buy-back program and its Board of Directors has approved the use of derivatives to effect the Share buy-back program and</w:t>
      </w:r>
    </w:p>
    <w:p>
      <w:pPr>
        <w:ind w:left="1000" w:right="380"/>
        <w:spacing w:after="0" w:line="323" w:lineRule="auto"/>
        <w:rPr>
          <w:rFonts w:ascii="Arial" w:cs="Arial" w:eastAsia="Arial" w:hAnsi="Arial"/>
          <w:sz w:val="16"/>
          <w:szCs w:val="16"/>
          <w:color w:val="auto"/>
        </w:rPr>
      </w:pPr>
      <w:r>
        <w:rPr>
          <w:rFonts w:ascii="Arial" w:cs="Arial" w:eastAsia="Arial" w:hAnsi="Arial"/>
          <w:sz w:val="16"/>
          <w:szCs w:val="16"/>
          <w:color w:val="auto"/>
        </w:rPr>
        <w:t>(B) there is no internal policy of Counterparty, whether written or oral, that would prohibit Counterparty from entering into any aspect of such Transaction including, without limitation, the purchases of Shares to be made pursuant to such Transaction.</w:t>
      </w:r>
    </w:p>
    <w:p>
      <w:pPr>
        <w:spacing w:after="0" w:line="43" w:lineRule="exact"/>
        <w:rPr>
          <w:rFonts w:ascii="Arial" w:cs="Arial" w:eastAsia="Arial" w:hAnsi="Arial"/>
          <w:sz w:val="16"/>
          <w:szCs w:val="16"/>
          <w:color w:val="auto"/>
        </w:rPr>
      </w:pPr>
    </w:p>
    <w:p>
      <w:pPr>
        <w:ind w:left="1000" w:right="140" w:hanging="439"/>
        <w:spacing w:after="0" w:line="263"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of the Trade Date of each Transaction, Counterparty is not, and, during the term of any Transaction, will not be, engaged in any “issuer tender offer” within the meaning of Rule 13e-4 under the Exchange Act, and it is not aware of any third party tender offer with respect to the Shares within the meaning of Rule 13e-1 under the Exchange Act.</w:t>
      </w:r>
    </w:p>
    <w:p>
      <w:pPr>
        <w:spacing w:after="0" w:line="89" w:lineRule="exact"/>
        <w:rPr>
          <w:rFonts w:ascii="Arial" w:cs="Arial" w:eastAsia="Arial" w:hAnsi="Arial"/>
          <w:sz w:val="18"/>
          <w:szCs w:val="18"/>
          <w:color w:val="auto"/>
        </w:rPr>
      </w:pPr>
    </w:p>
    <w:p>
      <w:pPr>
        <w:ind w:left="1000" w:hanging="439"/>
        <w:spacing w:after="0" w:line="293"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As of the Trade Date for each Transaction hereunder, it is not entering into such Transaction, and as of the date of any election with respect to any Transaction hereunder, it is not making such election, in each case (A) on the basis of, and is not aware of, any material non-public information regarding Counterparty or the Shares, (B) in anticipation of, in connection with, or to facilitate, a distribution of its securities, a self tender offer or a third-party tender offer in violation of the Exchange Act or (C) to create actual or apparent trading activity in the Shares (or any security convertible into or exchangeable for the Shares) or to raise or depress or otherwise manipulate the price of the Shares (or any security convertible into or exchangeable for the Shares).</w:t>
      </w:r>
    </w:p>
    <w:p>
      <w:pPr>
        <w:spacing w:after="0" w:line="69" w:lineRule="exact"/>
        <w:rPr>
          <w:rFonts w:ascii="Arial" w:cs="Arial" w:eastAsia="Arial" w:hAnsi="Arial"/>
          <w:sz w:val="16"/>
          <w:szCs w:val="16"/>
          <w:color w:val="auto"/>
        </w:rPr>
      </w:pPr>
    </w:p>
    <w:p>
      <w:pPr>
        <w:ind w:left="1000" w:hanging="439"/>
        <w:spacing w:after="0" w:line="259"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50,000,000 as of the date hereof.</w:t>
      </w:r>
    </w:p>
    <w:p>
      <w:pPr>
        <w:spacing w:after="0" w:line="92" w:lineRule="exact"/>
        <w:rPr>
          <w:rFonts w:ascii="Arial" w:cs="Arial" w:eastAsia="Arial" w:hAnsi="Arial"/>
          <w:sz w:val="18"/>
          <w:szCs w:val="18"/>
          <w:color w:val="auto"/>
        </w:rPr>
      </w:pPr>
    </w:p>
    <w:p>
      <w:pPr>
        <w:ind w:left="1000" w:right="100" w:hanging="439"/>
        <w:spacing w:after="0" w:line="273" w:lineRule="auto"/>
        <w:tabs>
          <w:tab w:leader="none" w:pos="10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As of the Trade Date for each Transaction hereunder, and as of the date of any election with respect to any Transaction hereunder, Counterparty is in compliance with its reporting obligations under the Exchange Act and its most recent Annual Report on Form 10-K, together with all reports subsequently filed by it pursuant to the Exchange Act, taken together and as amended and supplemented to the date of this representation, do not, as of their respective filing dates, contain any untrue statement of a material fact or omit to state any material fact required to be stated therein or necessary to make the statements therein, in the light of the circumstances under which they were made, not misleading.</w:t>
      </w:r>
    </w:p>
    <w:p>
      <w:pPr>
        <w:spacing w:after="0" w:line="83" w:lineRule="exact"/>
        <w:rPr>
          <w:rFonts w:ascii="Arial" w:cs="Arial" w:eastAsia="Arial" w:hAnsi="Arial"/>
          <w:sz w:val="17"/>
          <w:szCs w:val="17"/>
          <w:color w:val="auto"/>
        </w:rPr>
      </w:pPr>
    </w:p>
    <w:p>
      <w:pPr>
        <w:ind w:left="1000" w:right="440" w:hanging="439"/>
        <w:spacing w:after="0" w:line="342"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Counterparty has made, and will make, all filings required to be made by it with the Securities and Exchange Commission and pursuant to the federal securities laws and the rules and regulations promulgated thereunder with respect to each Transaction.</w:t>
      </w:r>
    </w:p>
    <w:p>
      <w:pPr>
        <w:spacing w:after="0" w:line="29" w:lineRule="exact"/>
        <w:rPr>
          <w:rFonts w:ascii="Arial" w:cs="Arial" w:eastAsia="Arial" w:hAnsi="Arial"/>
          <w:sz w:val="16"/>
          <w:szCs w:val="16"/>
          <w:color w:val="auto"/>
        </w:rPr>
      </w:pPr>
    </w:p>
    <w:p>
      <w:pPr>
        <w:ind w:left="1000" w:right="80" w:hanging="439"/>
        <w:spacing w:after="0" w:line="263"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The Shares are not, as of the Calculation Period Start Date, and (B) Counterparty will not, at any time during any Regulation M Period (as defined below) for any Transaction, cause the Shares to be, subject to a “restricted period” (as defined in Regulation M promulgated under the Exchange Act) unless, in the case of clause (B), Counterparty has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0"/>
          </w:cols>
          <w:pgMar w:left="860" w:top="274" w:right="499" w:bottom="1440" w:gutter="0" w:footer="0" w:header="0"/>
        </w:sectPr>
      </w:pPr>
    </w:p>
    <w:bookmarkStart w:id="14" w:name="page15"/>
    <w:bookmarkEnd w:id="14"/>
    <w:p>
      <w:pPr>
        <w:ind w:left="439"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written notice to JPMorgan of such restricted period not later than the Scheduled Trading Day immediately preceding the first day of such “restricted period”; Counterparty acknowledges that any such notice may cause a Disrupted Day to occur pursuant to Section 7 hereof; accordingly, Counterparty acknowledges that its delivery of such notice must comply with the standards set forth in Section 8 hereof. Counterparty is not currently contemplating any “distribution” (as defined in Regulation M promulgated under the Exchange Act) of Shares, or any security for which Shares are a “reference security” (as defined in Regulation M promulgated under the Exchange Act). “</w:t>
      </w:r>
      <w:r>
        <w:rPr>
          <w:rFonts w:ascii="Arial" w:cs="Arial" w:eastAsia="Arial" w:hAnsi="Arial"/>
          <w:sz w:val="17"/>
          <w:szCs w:val="17"/>
          <w:b w:val="1"/>
          <w:bCs w:val="1"/>
          <w:color w:val="auto"/>
        </w:rPr>
        <w:t>Regulation M Period</w:t>
      </w:r>
      <w:r>
        <w:rPr>
          <w:rFonts w:ascii="Arial" w:cs="Arial" w:eastAsia="Arial" w:hAnsi="Arial"/>
          <w:sz w:val="17"/>
          <w:szCs w:val="17"/>
          <w:color w:val="auto"/>
        </w:rPr>
        <w:t>” means, for any Transaction, (A) the Relevant Period (as defined below) for such Transaction, (B) the Settlement Valuation Period, if any, for such Transaction and (C) the Seller Termination Purchase Period (as defined below), if any, for such Transaction. “</w:t>
      </w:r>
      <w:r>
        <w:rPr>
          <w:rFonts w:ascii="Arial" w:cs="Arial" w:eastAsia="Arial" w:hAnsi="Arial"/>
          <w:sz w:val="17"/>
          <w:szCs w:val="17"/>
          <w:b w:val="1"/>
          <w:bCs w:val="1"/>
          <w:color w:val="auto"/>
        </w:rPr>
        <w:t>Relevant Period</w:t>
      </w:r>
      <w:r>
        <w:rPr>
          <w:rFonts w:ascii="Arial" w:cs="Arial" w:eastAsia="Arial" w:hAnsi="Arial"/>
          <w:sz w:val="17"/>
          <w:szCs w:val="17"/>
          <w:color w:val="auto"/>
        </w:rPr>
        <w:t>” means, for any Transaction, the period commencing on the Calculation Period Start Date for such Transaction and ending on the later of (1) the earlier of (x) the Scheduled Termination Date and (y) the last Additional Relevant Day (as specified in the related Supplemental Confirmation) for such Transaction, or such earlier day as elected by JPMorgan and communicated to Counterparty on such day (or, if later, the First Acceleration Date without regard to any acceleration thereof pursuant to “Special Provisions for Acquisition Transaction Announcements” below) and (2) if Section 15 hereof is applicable to such Transaction, the date on which all deliveries owed pursuant to such Section 15 have been made.</w:t>
      </w:r>
    </w:p>
    <w:p>
      <w:pPr>
        <w:spacing w:after="0" w:line="90" w:lineRule="exact"/>
        <w:rPr>
          <w:sz w:val="20"/>
          <w:szCs w:val="20"/>
          <w:color w:val="auto"/>
        </w:rPr>
      </w:pPr>
    </w:p>
    <w:p>
      <w:pPr>
        <w:ind w:left="439" w:hanging="439"/>
        <w:spacing w:after="0" w:line="257"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Trade Date, the Prepayment Date, the Initial Share Delivery Date, the Settlement Date, any Cash Settlement Payment Date and any Settlement Method Election Date for each Transaction, Counterparty is not, and will not be, “insolvent” (as such term is defined under Section 101(32) of the U.S.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Counterparty would be able to purchase a number of Shares with a value equal to the Prepayment Amount in compliance with the laws of the jurisdiction of Counterparty’s incorporation.</w:t>
      </w:r>
    </w:p>
    <w:p>
      <w:pPr>
        <w:spacing w:after="0" w:line="93"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Counterparty is not, and after giving effect to each Transaction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439" w:hanging="439"/>
        <w:spacing w:after="0" w:line="287" w:lineRule="auto"/>
        <w:tabs>
          <w:tab w:leader="none" w:pos="4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with JPMorgan or its affiliates, Counterparty has not entered, and will not enter, into any repurchase transaction with respect to the Shares (or any security convertible into or exchangeable for the Shares) (including, without limitation, any agreements similar to the Transactions described herein) where any initial hedge period, calculation period, relevant period, settlement valuation period or seller termination purchase period (each however defined) in such other transaction will overlap at any time (including, without limitation, as a result of extensions in such initial hedge period, calculation period, relevant period, settlement valuation period or seller termination purchase period as provided in the relevant agreements) with any Relevant Period, any Settlement Valuation Period (if applicable) or any Seller Termination Purchase Period (if applicable) under this Master Confirmation. In the event that the initial hedge period, relevant period, calculation period or settlement valuation period in any other transaction overlaps with any Relevant Period, any Settlement Valuation Period (if applicable) or any Seller Termination Purchase Period (if applicable) under this Master Confirmation as a result of any postponement of the Scheduled Termination Date or extension of the Settlement Valuation Period pursuant to “Valuation Disruption” above or any analogous provision in such other transaction, Counterparty shall promptly amend such other transaction to avoid any such overlap.</w:t>
      </w:r>
    </w:p>
    <w:p>
      <w:pPr>
        <w:spacing w:after="0" w:line="73" w:lineRule="exact"/>
        <w:rPr>
          <w:rFonts w:ascii="Arial" w:cs="Arial" w:eastAsia="Arial" w:hAnsi="Arial"/>
          <w:sz w:val="16"/>
          <w:szCs w:val="16"/>
          <w:color w:val="auto"/>
        </w:rPr>
      </w:pPr>
    </w:p>
    <w:p>
      <w:pPr>
        <w:ind w:left="439" w:right="40" w:hanging="439"/>
        <w:spacing w:after="0" w:line="286" w:lineRule="auto"/>
        <w:tabs>
          <w:tab w:leader="none" w:pos="4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request of JPMorgan, Counterparty shall, at least one day prior to the first day of the Calculation Period, the Settlement Valuation Period, if any, or the Seller Termination Purchase Period, if any, for any Transaction, notify JPMorgan of the total number of Shares purchased in Rule 10b-18 purchases of blocks pursuant to the once-a-week block</w:t>
      </w:r>
    </w:p>
    <w:p>
      <w:pPr>
        <w:spacing w:after="0" w:line="9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79"/>
          </w:cols>
          <w:pgMar w:left="1421" w:top="274" w:right="499" w:bottom="1440" w:gutter="0" w:footer="0" w:header="0"/>
        </w:sectPr>
      </w:pPr>
    </w:p>
    <w:bookmarkStart w:id="15" w:name="page16"/>
    <w:bookmarkEnd w:id="15"/>
    <w:p>
      <w:pPr>
        <w:ind w:left="1424"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exception set forth in paragraph (b)(4) of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by or for Counterparty or any of its “affiliated purchasers” (as defined in Rule 10b-18) during each of the four calendar weeks preceding such day and during the calendar week in which such day occurs (“Rule 10b-18 purchase” and “blocks” each being used as defined in Rule 10b-18), which notice shall be substantially in the form set forth in Schedule B hereto.</w:t>
      </w:r>
    </w:p>
    <w:p>
      <w:pPr>
        <w:spacing w:after="0" w:line="89" w:lineRule="exact"/>
        <w:rPr>
          <w:sz w:val="20"/>
          <w:szCs w:val="20"/>
          <w:color w:val="auto"/>
        </w:rPr>
      </w:pPr>
    </w:p>
    <w:p>
      <w:pPr>
        <w:ind w:left="1424" w:hanging="439"/>
        <w:spacing w:after="0"/>
        <w:tabs>
          <w:tab w:leader="none" w:pos="1424" w:val="left"/>
        </w:tabs>
        <w:numPr>
          <w:ilvl w:val="2"/>
          <w:numId w:val="14"/>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4" w:right="720" w:hanging="439"/>
        <w:spacing w:after="0" w:line="277" w:lineRule="auto"/>
        <w:tabs>
          <w:tab w:leader="none" w:pos="1424"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assets of Counterparty do not constitute “plan assets” under the Employee Retirement Income Security Act of 1974, as amended, the Department of Labor Regulations promulgated thereunder or similar law.</w:t>
      </w:r>
    </w:p>
    <w:p>
      <w:pPr>
        <w:spacing w:after="0" w:line="62" w:lineRule="exact"/>
        <w:rPr>
          <w:rFonts w:ascii="Arial" w:cs="Arial" w:eastAsia="Arial" w:hAnsi="Arial"/>
          <w:sz w:val="18"/>
          <w:szCs w:val="18"/>
          <w:color w:val="auto"/>
        </w:rPr>
      </w:pPr>
    </w:p>
    <w:p>
      <w:pPr>
        <w:ind w:left="444" w:right="400" w:hanging="4"/>
        <w:spacing w:after="0" w:line="277" w:lineRule="auto"/>
        <w:tabs>
          <w:tab w:leader="none" w:pos="824"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Additional Representations, Warranties and Covenants of JPMorgan. In addition to the </w:t>
      </w:r>
      <w:r>
        <w:rPr>
          <w:rFonts w:ascii="Arial" w:cs="Arial" w:eastAsia="Arial" w:hAnsi="Arial"/>
          <w:sz w:val="18"/>
          <w:szCs w:val="18"/>
          <w:color w:val="auto"/>
        </w:rPr>
        <w:t>representations, warranties and covenants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JPMorgan. represents, warrants and covenants to Counterparty that:</w:t>
      </w:r>
    </w:p>
    <w:p>
      <w:pPr>
        <w:spacing w:after="0" w:line="75" w:lineRule="exact"/>
        <w:rPr>
          <w:rFonts w:ascii="Arial" w:cs="Arial" w:eastAsia="Arial" w:hAnsi="Arial"/>
          <w:sz w:val="18"/>
          <w:szCs w:val="18"/>
          <w:color w:val="auto"/>
        </w:rPr>
      </w:pPr>
    </w:p>
    <w:p>
      <w:pPr>
        <w:ind w:left="1424" w:right="260" w:hanging="439"/>
        <w:spacing w:after="0" w:line="286" w:lineRule="auto"/>
        <w:tabs>
          <w:tab w:leader="none" w:pos="1424"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JPMorgan has implemented policies and procedures, taking into consideration the nature of its business, reasonably designed to ensure that individuals making investment decisions related to each Transaction and the hedging thereof do not violate laws prohibiting trading on the basis of material non-public information.</w:t>
      </w:r>
    </w:p>
    <w:p>
      <w:pPr>
        <w:spacing w:after="0" w:line="70" w:lineRule="exact"/>
        <w:rPr>
          <w:rFonts w:ascii="Arial" w:cs="Arial" w:eastAsia="Arial" w:hAnsi="Arial"/>
          <w:sz w:val="17"/>
          <w:szCs w:val="17"/>
          <w:color w:val="auto"/>
        </w:rPr>
      </w:pPr>
    </w:p>
    <w:p>
      <w:pPr>
        <w:ind w:left="1424" w:hanging="439"/>
        <w:spacing w:after="0"/>
        <w:tabs>
          <w:tab w:leader="none" w:pos="1424" w:val="left"/>
        </w:tabs>
        <w:numPr>
          <w:ilvl w:val="2"/>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4" w:hanging="439"/>
        <w:spacing w:after="0" w:line="287" w:lineRule="auto"/>
        <w:tabs>
          <w:tab w:leader="none" w:pos="1424"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Rule 10b-18</w:t>
      </w:r>
      <w:r>
        <w:rPr>
          <w:rFonts w:ascii="Arial" w:cs="Arial" w:eastAsia="Arial" w:hAnsi="Arial"/>
          <w:sz w:val="16"/>
          <w:szCs w:val="16"/>
          <w:color w:val="auto"/>
        </w:rPr>
        <w:t>. JPMorgan shall, and shall cause its applicable affiliates (if any) to, use commercially reasonable efforts, during the Calculation Period and any Settlement Valuation Period for each Transaction hereunder, to make all purchases of Shares in connection with such Transaction in a manner that would comply with the limitations set forth in clauses (b)(1), (b)(2), (b)(3) and (b)</w:t>
      </w:r>
    </w:p>
    <w:p>
      <w:pPr>
        <w:spacing w:after="0" w:line="2" w:lineRule="exact"/>
        <w:rPr>
          <w:rFonts w:ascii="Arial" w:cs="Arial" w:eastAsia="Arial" w:hAnsi="Arial"/>
          <w:sz w:val="16"/>
          <w:szCs w:val="16"/>
          <w:color w:val="auto"/>
        </w:rPr>
      </w:pPr>
    </w:p>
    <w:p>
      <w:pPr>
        <w:ind w:left="1424"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(4) and (c) of Rule 10b-18 under the Exchange Act, as if such rule were applicable to such purchases and taking into account any applicable Securities and Exchange Commission no-action letters as appropriate, and subject to any delays between the execution and reporting of a trade of the Shares on the Exchange and other circumstances reasonably beyond JPMorgan’s (or such affiliate’s (if any))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during a Calculation Period, the foregoing agreement shall not apply to purchases made to dynamically hedge for JPMorgan’s own account or the account of its affiliate(s) the optionality arising under a Transaction (including, for the avoidance of doubt, timing optionality). Notwithstanding the foregoing, JPMorgan shall not be responsible for any failure to comply with Rule 10b-18(b)(3) to the extent any transaction that was executed (or deemed to be executed) by or on behalf of the Counterparty or an affiliated purchaser pursuant to a separate agreement is not deemed to be an “independent bid” or an “independent person” for purposes of Rule 10b-18(b)(3).</w:t>
      </w:r>
    </w:p>
    <w:p>
      <w:pPr>
        <w:spacing w:after="0" w:line="82" w:lineRule="exact"/>
        <w:rPr>
          <w:rFonts w:ascii="Arial" w:cs="Arial" w:eastAsia="Arial" w:hAnsi="Arial"/>
          <w:sz w:val="16"/>
          <w:szCs w:val="16"/>
          <w:color w:val="auto"/>
        </w:rPr>
      </w:pPr>
    </w:p>
    <w:p>
      <w:pPr>
        <w:ind w:left="424" w:right="100" w:hanging="424"/>
        <w:spacing w:after="0" w:line="274" w:lineRule="auto"/>
        <w:tabs>
          <w:tab w:leader="none" w:pos="424"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Disruption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JPMorgan concludes, in its sole discretion, that it is appropriate with respect to any legal, regulatory or</w:t>
      </w:r>
      <w:r>
        <w:rPr>
          <w:rFonts w:ascii="Arial" w:cs="Arial" w:eastAsia="Arial" w:hAnsi="Arial"/>
          <w:sz w:val="17"/>
          <w:szCs w:val="17"/>
          <w:b w:val="1"/>
          <w:bCs w:val="1"/>
          <w:color w:val="auto"/>
        </w:rPr>
        <w:t xml:space="preserve"> </w:t>
      </w:r>
      <w:r>
        <w:rPr>
          <w:rFonts w:ascii="Arial" w:cs="Arial" w:eastAsia="Arial" w:hAnsi="Arial"/>
          <w:sz w:val="17"/>
          <w:szCs w:val="17"/>
          <w:color w:val="auto"/>
        </w:rPr>
        <w:t>self-regulatory requirements or related policies and procedures (whether or not such requirements, policies or procedures are imposed by law or have been voluntarily adopted by JPMorgan) as long as such policies or procedures are generally applicable in similar situations and applied in a non-discriminatory manner, for it to refrain from or decrease any market activity on any Scheduled Trading Day or Days during the Calculation Period or, if applicable, the Settlement Valuation Period, JPMorgan may by written notice to Counterparty elect to deem that a Market Disruption Event has occurred and will be continuing on such Scheduled Trading Day or Days.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16" w:name="page17"/>
    <w:bookmarkEnd w:id="16"/>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10b5-1 Plan</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Counterparty represents, warrants and covenants to JPMorgan that:</w:t>
      </w:r>
    </w:p>
    <w:p>
      <w:pPr>
        <w:spacing w:after="0" w:line="134" w:lineRule="exact"/>
        <w:rPr>
          <w:rFonts w:ascii="Arial" w:cs="Arial" w:eastAsia="Arial" w:hAnsi="Arial"/>
          <w:sz w:val="18"/>
          <w:szCs w:val="18"/>
          <w:b w:val="1"/>
          <w:bCs w:val="1"/>
          <w:color w:val="auto"/>
        </w:rPr>
      </w:pPr>
    </w:p>
    <w:p>
      <w:pPr>
        <w:ind w:left="964" w:right="60" w:hanging="532"/>
        <w:spacing w:after="0" w:line="293" w:lineRule="auto"/>
        <w:tabs>
          <w:tab w:leader="none" w:pos="9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Counterparty is entering into this Master Confirmation and each Transaction hereunder in good faith and not as part of a plan or scheme to evade the prohibitions of Rule 10b5-1 under the Exchange Act (“</w:t>
      </w:r>
      <w:r>
        <w:rPr>
          <w:rFonts w:ascii="Arial" w:cs="Arial" w:eastAsia="Arial" w:hAnsi="Arial"/>
          <w:sz w:val="16"/>
          <w:szCs w:val="16"/>
          <w:b w:val="1"/>
          <w:bCs w:val="1"/>
          <w:color w:val="auto"/>
        </w:rPr>
        <w:t>Rule 10b5-1</w:t>
      </w:r>
      <w:r>
        <w:rPr>
          <w:rFonts w:ascii="Arial" w:cs="Arial" w:eastAsia="Arial" w:hAnsi="Arial"/>
          <w:sz w:val="16"/>
          <w:szCs w:val="16"/>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Counterparty acknowledges that it is the intent of the parties that each Transaction entered into under this Master Confirmation comply with the requirements of paragraphs (c)(1)(i)(A) and (B) of Rule 10b5-1 and each Transaction entered into under this Master Confirmation shall be interpreted to comply with the requirements of Rule 10b5-1(c).</w:t>
      </w:r>
    </w:p>
    <w:p>
      <w:pPr>
        <w:spacing w:after="0" w:line="69" w:lineRule="exact"/>
        <w:rPr>
          <w:rFonts w:ascii="Arial" w:cs="Arial" w:eastAsia="Arial" w:hAnsi="Arial"/>
          <w:sz w:val="16"/>
          <w:szCs w:val="16"/>
          <w:color w:val="auto"/>
        </w:rPr>
      </w:pPr>
    </w:p>
    <w:p>
      <w:pPr>
        <w:ind w:left="964" w:hanging="532"/>
        <w:spacing w:after="0" w:line="273"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During the Calculation Period and the Settlement Valuation Period, if any, for any Transaction and in connection with the delivery of any Alternative Delivery Units for any Transaction, JPMorgan (or its agent or Affiliate) may effect transactions in Shares in connection with such Transaction. The timing of such transactions by JPMorgan, the price paid or received per Share pursuant to such transactions and the manner in which such transactions are made, including, without limitation, whether such transactions are made on any securities exchange or privately, shall be within the sole judgment of JPMorgan. Counterparty acknowledges and agrees that all such transactions shall be made in JPMorgan’s sole judgment and for JPMorgan’s own account.</w:t>
      </w:r>
    </w:p>
    <w:p>
      <w:pPr>
        <w:spacing w:after="0" w:line="83" w:lineRule="exact"/>
        <w:rPr>
          <w:rFonts w:ascii="Arial" w:cs="Arial" w:eastAsia="Arial" w:hAnsi="Arial"/>
          <w:sz w:val="17"/>
          <w:szCs w:val="17"/>
          <w:color w:val="auto"/>
        </w:rPr>
      </w:pPr>
    </w:p>
    <w:p>
      <w:pPr>
        <w:ind w:left="964" w:right="120" w:hanging="532"/>
        <w:spacing w:after="0" w:line="275"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Counterparty does not have, and shall not attempt to exercise, any control or influence over how, when or whether JPMorgan (or its agent or Affiliate) makes any “purchases or sales” (within the meaning of Rule 10b5-1(c)(1)(i)(B)(3)) in connection with any Transaction, including, without limitation, over how, when or whether JPMorgan (or its agent or Affiliate) enters into any hedging transactions. Counterparty represents and warrants that it has consulted with its own advisors as to the legal aspects of its adoption and implementation of this Master Confirmation and each Supplemental Confirmation under Rule 10b5-1.</w:t>
      </w:r>
    </w:p>
    <w:p>
      <w:pPr>
        <w:spacing w:after="0" w:line="81" w:lineRule="exact"/>
        <w:rPr>
          <w:rFonts w:ascii="Arial" w:cs="Arial" w:eastAsia="Arial" w:hAnsi="Arial"/>
          <w:sz w:val="17"/>
          <w:szCs w:val="17"/>
          <w:color w:val="auto"/>
        </w:rPr>
      </w:pPr>
    </w:p>
    <w:p>
      <w:pPr>
        <w:ind w:left="964" w:right="60" w:hanging="532"/>
        <w:spacing w:after="0" w:line="273"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Counterparty acknowledges and agrees that any amendment, modification, waiver or termination of this Master Confirmation or any Supplemental Confirmation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Counterparty or any officer, director, manager or similar person of Counterparty is aware of any material non-public information regarding Counterparty or the Shares.</w:t>
      </w:r>
    </w:p>
    <w:p>
      <w:pPr>
        <w:spacing w:after="0" w:line="83" w:lineRule="exact"/>
        <w:rPr>
          <w:rFonts w:ascii="Arial" w:cs="Arial" w:eastAsia="Arial" w:hAnsi="Arial"/>
          <w:sz w:val="17"/>
          <w:szCs w:val="17"/>
          <w:color w:val="auto"/>
        </w:rPr>
      </w:pPr>
    </w:p>
    <w:p>
      <w:pPr>
        <w:ind w:left="964" w:right="22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Counterparty shall not, directly or indirectly, communicate any information relating to the Shares or any Transaction (including, without limitation, any notices required by Section 10(a) hereof) to any employee of JPMorgan, other than as set forth in the Communications Procedures attached as Annex B hereto.</w:t>
      </w:r>
    </w:p>
    <w:p>
      <w:pPr>
        <w:spacing w:after="0" w:line="85" w:lineRule="exact"/>
        <w:rPr>
          <w:rFonts w:ascii="Arial" w:cs="Arial" w:eastAsia="Arial" w:hAnsi="Arial"/>
          <w:sz w:val="18"/>
          <w:szCs w:val="18"/>
          <w:color w:val="auto"/>
        </w:rPr>
      </w:pPr>
    </w:p>
    <w:p>
      <w:pPr>
        <w:ind w:left="424" w:hanging="424"/>
        <w:spacing w:after="0" w:line="286" w:lineRule="auto"/>
        <w:tabs>
          <w:tab w:leader="none" w:pos="424"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Counterparty Purchases</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Counterparty (or any “affiliate” or “affiliated purchaser” as defined in Rule 10b-18) shall not, without the prior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of JPMorgan, directly or indirectly (including, without limitation, by means of a derivative instrument) purchase, offer to purchase, place any bid or limit order that would effect a purchase of, or commence any tender offer relating to, any Shares (or equivalent interest, including, without limitation, a unit of beneficial interest in a trust or limited partnership or a depository share), listed contracts on the Shares or securities that are convertible into, or exchangeable or exercisable for Shares (including, without limitation, any Rule 10b-18 purchases of blocks (as defined in Rule 10b-18)) during any Relevant Period, any Settlement Valuation Period (if applicable) or any Seller Termination Purchase Period (if applicable), under this Master Confirmation;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(or any “affiliate” or “affiliated purchaser” as defined in Rule 10b-18) may purchase Shares on any Exchange Business Day pursuant to any Rule 10b5-1 or Rule 10b-18 repurchase plan entered into with Dealer or an Affiliate of Dealer (each, a “</w:t>
      </w:r>
      <w:r>
        <w:rPr>
          <w:rFonts w:ascii="Arial" w:cs="Arial" w:eastAsia="Arial" w:hAnsi="Arial"/>
          <w:sz w:val="16"/>
          <w:szCs w:val="16"/>
          <w:b w:val="1"/>
          <w:bCs w:val="1"/>
          <w:color w:val="auto"/>
        </w:rPr>
        <w:t>Permitted OMR Transaction</w:t>
      </w:r>
      <w:r>
        <w:rPr>
          <w:rFonts w:ascii="Arial" w:cs="Arial" w:eastAsia="Arial" w:hAnsi="Arial"/>
          <w:sz w:val="16"/>
          <w:szCs w:val="16"/>
          <w:color w:val="auto"/>
        </w:rPr>
        <w:t xml:space="preserve">”), so long as, on any Exchange Business Day purchases under all Permitted OMR Transactions do not, in the aggregate, exceed the Designated OMR Threshold specified in the Supplemental Confirmation for such Transaction on such Exchange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 Section 9 shall not limit Counterparty’s ability (or the ability of any “affiliate” or “affiliated purchaser” of Counterparty), without JPMorgan’s consent, (i) to acquire Shares or other securities in connection with the exercise, conversion, exchange or surrender by a holder of stock options, warrants, other securities awards, convertible securities or exchangeable securities in accordance with their terms pursuant to its employee incentive plans, (ii) to withhold Shares or other securities to cover</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ind w:left="424"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price and/or tax liabilities associated with such exercise or vesting of stock options, warrants or other securities awards or (iii) to grant stock and options to “affiliated purchasers” (as defined in Rule 10b-18), or the ability of such affiliated purchasers to acquire such stock or options, in connection with Counterparty’s compensatory plans for directors, officers and employees or any agreements with respect to the compensation of directors, officers or employees of any entities that are acquisition targets of the Issuer.</w:t>
      </w:r>
    </w:p>
    <w:p>
      <w:pPr>
        <w:spacing w:after="0" w:line="73"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Provisions for Merger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or in the Equity Definitions: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Counterparty agrees that it:</w:t>
      </w:r>
    </w:p>
    <w:p>
      <w:pPr>
        <w:spacing w:after="0" w:line="130" w:lineRule="exact"/>
        <w:rPr>
          <w:rFonts w:ascii="Arial" w:cs="Arial" w:eastAsia="Arial" w:hAnsi="Arial"/>
          <w:sz w:val="18"/>
          <w:szCs w:val="18"/>
          <w:color w:val="auto"/>
        </w:rPr>
      </w:pPr>
    </w:p>
    <w:p>
      <w:pPr>
        <w:ind w:left="1424" w:right="20" w:hanging="439"/>
        <w:spacing w:after="0" w:line="255" w:lineRule="auto"/>
        <w:tabs>
          <w:tab w:leader="none" w:pos="1424" w:val="left"/>
        </w:tabs>
        <w:numPr>
          <w:ilvl w:val="3"/>
          <w:numId w:val="18"/>
        </w:numPr>
        <w:rPr>
          <w:rFonts w:ascii="Arial" w:cs="Arial" w:eastAsia="Arial" w:hAnsi="Arial"/>
          <w:sz w:val="18"/>
          <w:szCs w:val="18"/>
          <w:color w:val="auto"/>
        </w:rPr>
      </w:pPr>
      <w:r>
        <w:rPr>
          <w:rFonts w:ascii="Arial" w:cs="Arial" w:eastAsia="Arial" w:hAnsi="Arial"/>
          <w:sz w:val="18"/>
          <w:szCs w:val="18"/>
          <w:color w:val="auto"/>
        </w:rPr>
        <w:t>will not during the period commencing on the Trade Date for any Transaction and ending on the last day of the Relevant Period or, if applicable, the later of the last day of the Settlement Valuation Period and the last day of the Seller Termination Purchase Period, for such Transaction make, or, to the extent within its reasonable control, permit to be made, any public announcement (as defined in Rule 165(f) under the Securities Act) of any Merger Transaction or potential Merger Transaction (a “</w:t>
      </w:r>
      <w:r>
        <w:rPr>
          <w:rFonts w:ascii="Arial" w:cs="Arial" w:eastAsia="Arial" w:hAnsi="Arial"/>
          <w:sz w:val="18"/>
          <w:szCs w:val="18"/>
          <w:b w:val="1"/>
          <w:bCs w:val="1"/>
          <w:color w:val="auto"/>
        </w:rPr>
        <w:t>Merger Announcement</w:t>
      </w:r>
      <w:r>
        <w:rPr>
          <w:rFonts w:ascii="Arial" w:cs="Arial" w:eastAsia="Arial" w:hAnsi="Arial"/>
          <w:sz w:val="18"/>
          <w:szCs w:val="18"/>
          <w:color w:val="auto"/>
        </w:rPr>
        <w:t>”) unless such Merger Announcement is made prior to the opening or after the close of the regular trading session on the Exchange for the Shares;</w:t>
      </w:r>
    </w:p>
    <w:p>
      <w:pPr>
        <w:spacing w:after="0" w:line="97" w:lineRule="exact"/>
        <w:rPr>
          <w:rFonts w:ascii="Arial" w:cs="Arial" w:eastAsia="Arial" w:hAnsi="Arial"/>
          <w:sz w:val="18"/>
          <w:szCs w:val="18"/>
          <w:color w:val="auto"/>
        </w:rPr>
      </w:pPr>
    </w:p>
    <w:p>
      <w:pPr>
        <w:ind w:left="1424" w:right="20" w:hanging="439"/>
        <w:spacing w:after="0" w:line="277" w:lineRule="auto"/>
        <w:tabs>
          <w:tab w:leader="none" w:pos="1424" w:val="left"/>
        </w:tabs>
        <w:numPr>
          <w:ilvl w:val="3"/>
          <w:numId w:val="18"/>
        </w:numPr>
        <w:rPr>
          <w:rFonts w:ascii="Arial" w:cs="Arial" w:eastAsia="Arial" w:hAnsi="Arial"/>
          <w:sz w:val="18"/>
          <w:szCs w:val="18"/>
          <w:color w:val="auto"/>
        </w:rPr>
      </w:pPr>
      <w:r>
        <w:rPr>
          <w:rFonts w:ascii="Arial" w:cs="Arial" w:eastAsia="Arial" w:hAnsi="Arial"/>
          <w:sz w:val="18"/>
          <w:szCs w:val="18"/>
          <w:color w:val="auto"/>
        </w:rPr>
        <w:t>shall promptly (but in any event prior to the next opening of the regular trading session on the Exchange) notify JPMorgan following any such Merger Announcement that such Merger Announcement has been made; and</w:t>
      </w:r>
    </w:p>
    <w:p>
      <w:pPr>
        <w:spacing w:after="0" w:line="75" w:lineRule="exact"/>
        <w:rPr>
          <w:rFonts w:ascii="Arial" w:cs="Arial" w:eastAsia="Arial" w:hAnsi="Arial"/>
          <w:sz w:val="18"/>
          <w:szCs w:val="18"/>
          <w:color w:val="auto"/>
        </w:rPr>
      </w:pPr>
    </w:p>
    <w:p>
      <w:pPr>
        <w:ind w:left="1424" w:hanging="439"/>
        <w:spacing w:after="0" w:line="271" w:lineRule="auto"/>
        <w:tabs>
          <w:tab w:leader="none" w:pos="1424" w:val="left"/>
        </w:tabs>
        <w:numPr>
          <w:ilvl w:val="3"/>
          <w:numId w:val="18"/>
        </w:numPr>
        <w:rPr>
          <w:rFonts w:ascii="Arial" w:cs="Arial" w:eastAsia="Arial" w:hAnsi="Arial"/>
          <w:sz w:val="17"/>
          <w:szCs w:val="17"/>
          <w:color w:val="auto"/>
        </w:rPr>
      </w:pPr>
      <w:r>
        <w:rPr>
          <w:rFonts w:ascii="Arial" w:cs="Arial" w:eastAsia="Arial" w:hAnsi="Arial"/>
          <w:sz w:val="17"/>
          <w:szCs w:val="17"/>
          <w:color w:val="auto"/>
        </w:rPr>
        <w:t>shall promptly (but in any event prior to the next opening of the regular trading session on the Exchange) provide JPMorgan with written notice specifying (i) Counterparty’s average daily Rule 10b-18 Purchases (as defined in Rule 10b-18) during the three full calendar months immediately preceding the announcement date of any Merger Transaction or potential Merger Transaction that were not effected through JPMorgan or its Affiliates and (ii) the number of Shares purchased pursuant to the proviso in Rule 10b-18(b)(4) under the Exchange Act for the three full calendar months preceding the announcement date of any Merger Transaction or potential Merger Transaction. Such written notice shall be deemed to be a certification by Counterparty to JPMorgan that such information is true and correct. In addition, Counterparty shall promptly notify JPMorgan of the earlier to occur of the completion of such transaction and the completion of the vote by target shareholders.</w:t>
      </w:r>
    </w:p>
    <w:p>
      <w:pPr>
        <w:spacing w:after="0" w:line="83" w:lineRule="exact"/>
        <w:rPr>
          <w:rFonts w:ascii="Arial" w:cs="Arial" w:eastAsia="Arial" w:hAnsi="Arial"/>
          <w:sz w:val="17"/>
          <w:szCs w:val="17"/>
          <w:color w:val="auto"/>
        </w:rPr>
      </w:pPr>
    </w:p>
    <w:p>
      <w:pPr>
        <w:jc w:val="both"/>
        <w:ind w:left="964" w:right="200" w:hanging="532"/>
        <w:spacing w:after="0" w:line="263"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Counterparty acknowledges that any such Merger Announcement or delivery of a notice with respect thereto may cause the terms of any Transaction to be adjusted or such Transaction to be terminated; accordingly, Counterparty acknowledges that its delivery of such notice must comply with the standards set forth in Section 8 hereof.</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Upon the occurrence of any Merger Announcement (whether made by Counterparty or a third party), JPMorgan in its sole discretion may</w:t>
      </w:r>
    </w:p>
    <w:p>
      <w:pPr>
        <w:spacing w:after="0" w:line="46" w:lineRule="exact"/>
        <w:rPr>
          <w:rFonts w:ascii="Arial" w:cs="Arial" w:eastAsia="Arial" w:hAnsi="Arial"/>
          <w:sz w:val="16"/>
          <w:szCs w:val="16"/>
          <w:color w:val="auto"/>
        </w:rPr>
      </w:pPr>
    </w:p>
    <w:p>
      <w:pPr>
        <w:ind w:left="964" w:right="20" w:firstLine="8"/>
        <w:spacing w:after="0" w:line="292" w:lineRule="auto"/>
        <w:tabs>
          <w:tab w:leader="none" w:pos="1179" w:val="left"/>
        </w:tabs>
        <w:numPr>
          <w:ilvl w:val="2"/>
          <w:numId w:val="18"/>
        </w:numPr>
        <w:rPr>
          <w:rFonts w:ascii="Arial" w:cs="Arial" w:eastAsia="Arial" w:hAnsi="Arial"/>
          <w:sz w:val="16"/>
          <w:szCs w:val="16"/>
          <w:color w:val="auto"/>
        </w:rPr>
      </w:pPr>
      <w:r>
        <w:rPr>
          <w:rFonts w:ascii="Arial" w:cs="Arial" w:eastAsia="Arial" w:hAnsi="Arial"/>
          <w:sz w:val="16"/>
          <w:szCs w:val="16"/>
          <w:color w:val="auto"/>
        </w:rPr>
        <w:t>make adjustments to the terms of any Transaction, including, without limitation, the Scheduled Termination Date or the Forward Price Adjustment Amount, and/or suspend the Calculation Period and/or any Settlement Valuation Period or (ii) treat the occurrence of such Merger Announcement as an Additional Termination Event with Counterparty as the sole Affected Party and the Transactions hereunder as the Affected Transactions and with the amount under Section 6(e) of the Agreement determined taking into account the fact that the Calculation Period or Settlement Valuation Period, as the case may be, had fewer Scheduled Trading Days than originally anticipated.</w:t>
      </w:r>
    </w:p>
    <w:p>
      <w:pPr>
        <w:spacing w:after="0" w:line="50" w:lineRule="exact"/>
        <w:rPr>
          <w:sz w:val="20"/>
          <w:szCs w:val="20"/>
          <w:color w:val="auto"/>
        </w:rPr>
      </w:pPr>
    </w:p>
    <w:p>
      <w:pPr>
        <w:ind w:left="444" w:right="1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Transaction</w:t>
      </w:r>
      <w:r>
        <w:rPr>
          <w:rFonts w:ascii="Arial" w:cs="Arial" w:eastAsia="Arial" w:hAnsi="Arial"/>
          <w:sz w:val="18"/>
          <w:szCs w:val="18"/>
          <w:color w:val="auto"/>
        </w:rPr>
        <w:t>” means any merger, acquisition or similar transaction involving a recapitalization as contemplated by Rule 10b-18(a)(13)(iv) under the Exchange Act.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8" w:name="page19"/>
    <w:bookmarkEnd w:id="18"/>
    <w:p>
      <w:pPr>
        <w:ind w:left="424" w:hanging="424"/>
        <w:spacing w:after="0"/>
        <w:tabs>
          <w:tab w:leader="none" w:pos="42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Provisions for Acquisition Transaction Announcements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herein or in the Equity Definitions:</w:t>
      </w:r>
    </w:p>
    <w:p>
      <w:pPr>
        <w:spacing w:after="0" w:line="157" w:lineRule="exact"/>
        <w:rPr>
          <w:rFonts w:ascii="Arial" w:cs="Arial" w:eastAsia="Arial" w:hAnsi="Arial"/>
          <w:sz w:val="16"/>
          <w:szCs w:val="16"/>
          <w:b w:val="1"/>
          <w:bCs w:val="1"/>
          <w:color w:val="auto"/>
        </w:rPr>
      </w:pPr>
    </w:p>
    <w:p>
      <w:pPr>
        <w:ind w:left="964" w:right="80" w:hanging="532"/>
        <w:spacing w:after="0" w:line="269" w:lineRule="auto"/>
        <w:tabs>
          <w:tab w:leader="none" w:pos="9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an Acquisition Transaction Announcement occurs on or prior to the Final Settlement Date for any Transaction, then the Calculation Agent shall make such adjustments to the exercise, settlement, payment or any other terms of such Transaction as the Calculation Agent determines appropriate (including, without limitation and for the avoidance of doubt, adjustments that would allow the Number of Shares to be Delivered to be less than zero), at such time or at multiple times as the Calculation Agent determines appropriate, to account for the economic effect on such Transaction of such event (including adjustments to account for changes in volatility, expected dividends, stock loan rate, value of any commercially reasonable Hedge Positions in connection with the Transaction and liquidity relevant to the Shares or to such Transaction). If an Acquisition Transaction Announcement occurs after the Trade Date, but prior to the First Acceleration Date of any Transaction, the First Acceleration Date shall be the date of such Acquisition Transaction Announcement. If the Number of Shares to be Delivered for any settlement of any Transaction is a negative number, then the terms of the Counterparty Settlement Provisions in Annex A hereto shall apply.</w:t>
      </w:r>
    </w:p>
    <w:p>
      <w:pPr>
        <w:spacing w:after="0" w:line="86" w:lineRule="exact"/>
        <w:rPr>
          <w:rFonts w:ascii="Arial" w:cs="Arial" w:eastAsia="Arial" w:hAnsi="Arial"/>
          <w:sz w:val="17"/>
          <w:szCs w:val="17"/>
          <w:color w:val="auto"/>
        </w:rPr>
      </w:pPr>
    </w:p>
    <w:p>
      <w:pPr>
        <w:ind w:left="964" w:hanging="532"/>
        <w:spacing w:after="0" w:line="271" w:lineRule="auto"/>
        <w:tabs>
          <w:tab w:leader="none" w:pos="9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Transaction Announcement</w:t>
      </w:r>
      <w:r>
        <w:rPr>
          <w:rFonts w:ascii="Arial" w:cs="Arial" w:eastAsia="Arial" w:hAnsi="Arial"/>
          <w:sz w:val="17"/>
          <w:szCs w:val="17"/>
          <w:color w:val="auto"/>
        </w:rPr>
        <w:t>” means (i) the announcement of an Acquisition Transaction or an event that, if consummated, would result in an Acquisition Transaction, (ii) an announcement that Counterparty or any of its subsidiaries has entered into an agreement, a letter of intent or an understanding designed to result in an Acquisition Transaction, (iii) the announcement of the intention to solicit or enter into, or to explore strategic alternatives or other similar undertaking that may include, an Acquisition Transaction, (iv) any other announcement that in the reasonable judgment of the Calculation Agent may result in an Acquisition Transaction, or (v) any announcement of any change or amendment to any previous Acquisition Transaction Announcement (including any announcement of the abandonment of any such previously announced Acquisition Transaction, agreement, letter of intent, understanding or intention). For the avoidance of doubt, announcements as used in the definition of Acquisition Transaction Announcement refer to any public announcement whether made by the Issuer or a third party.</w:t>
      </w:r>
    </w:p>
    <w:p>
      <w:pPr>
        <w:spacing w:after="0" w:line="79" w:lineRule="exact"/>
        <w:rPr>
          <w:rFonts w:ascii="Arial" w:cs="Arial" w:eastAsia="Arial" w:hAnsi="Arial"/>
          <w:sz w:val="17"/>
          <w:szCs w:val="17"/>
          <w:color w:val="auto"/>
        </w:rPr>
      </w:pPr>
    </w:p>
    <w:p>
      <w:pPr>
        <w:ind w:left="964" w:right="80" w:hanging="532"/>
        <w:spacing w:after="0" w:line="287" w:lineRule="auto"/>
        <w:tabs>
          <w:tab w:leader="none" w:pos="964"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Transaction</w:t>
      </w:r>
      <w:r>
        <w:rPr>
          <w:rFonts w:ascii="Arial" w:cs="Arial" w:eastAsia="Arial" w:hAnsi="Arial"/>
          <w:sz w:val="16"/>
          <w:szCs w:val="16"/>
          <w:color w:val="auto"/>
        </w:rPr>
        <w:t>” means (i) any Merger Event (for purposes of this definition the definition of Merger Event shall be read with the references therein to “100%” being replaced by “15%” and references to “50%” being replaced by “75%” and without reference to the clause beginning immediately following the definition of Reverse Merger therein to the end of such definition), Tender Offer or Merger Transaction or any other transaction involving the merger of Counterparty with or into any third party, (ii) the sale or transfer of all or substantially all of the assets of Counterparty, (iii) a recapitalization, reclassification, binding share exchange or other similar transaction with respect to Counterparty, (iv) any acquisition by Counterparty or any of its subsidiaries where the aggregate consideration transferable by Counterparty or its subsidiaries exceeds 15% of the market capitalization of Counterparty, (v) any lease, exchange, transfer, disposition (including, without limitation, by way of spin-off or distribution) of assets (including, without limitation, any capital stock or other ownership interests in subsidiaries) or other similar event by Counterparty or any of its subsidiaries where the aggregate consideration transferable or receivable by or to Counterparty or its subsidiaries exceeds 15% of the market capitalization of Counterparty or (vi) any transaction in which Counterparty or its board of directors has a legal obligation to make a recommendation to its shareholders in respect of such transaction (whether pursuant to Rule 14e-2 under the Exchange Act or otherwise).</w:t>
      </w:r>
    </w:p>
    <w:p>
      <w:pPr>
        <w:spacing w:after="0" w:line="73" w:lineRule="exact"/>
        <w:rPr>
          <w:rFonts w:ascii="Arial" w:cs="Arial" w:eastAsia="Arial" w:hAnsi="Arial"/>
          <w:sz w:val="16"/>
          <w:szCs w:val="16"/>
          <w:color w:val="auto"/>
        </w:rPr>
      </w:pPr>
    </w:p>
    <w:p>
      <w:pPr>
        <w:ind w:left="544" w:hanging="544"/>
        <w:spacing w:after="0"/>
        <w:tabs>
          <w:tab w:leader="none" w:pos="54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parties hereto intend for:</w:t>
      </w:r>
    </w:p>
    <w:p>
      <w:pPr>
        <w:spacing w:after="0" w:line="130" w:lineRule="exact"/>
        <w:rPr>
          <w:rFonts w:ascii="Arial" w:cs="Arial" w:eastAsia="Arial" w:hAnsi="Arial"/>
          <w:sz w:val="18"/>
          <w:szCs w:val="18"/>
          <w:color w:val="auto"/>
        </w:rPr>
      </w:pPr>
    </w:p>
    <w:p>
      <w:pPr>
        <w:ind w:left="1424" w:right="120" w:hanging="439"/>
        <w:spacing w:after="0" w:line="286" w:lineRule="auto"/>
        <w:tabs>
          <w:tab w:leader="none" w:pos="1424" w:val="left"/>
        </w:tabs>
        <w:numPr>
          <w:ilvl w:val="2"/>
          <w:numId w:val="19"/>
        </w:numPr>
        <w:rPr>
          <w:rFonts w:ascii="Arial" w:cs="Arial" w:eastAsia="Arial" w:hAnsi="Arial"/>
          <w:sz w:val="17"/>
          <w:szCs w:val="17"/>
          <w:color w:val="auto"/>
        </w:rPr>
      </w:pPr>
      <w:r>
        <w:rPr>
          <w:rFonts w:ascii="Arial" w:cs="Arial" w:eastAsia="Arial" w:hAnsi="Arial"/>
          <w:sz w:val="17"/>
          <w:szCs w:val="17"/>
          <w:color w:val="auto"/>
        </w:rPr>
        <w:t>each Transaction to be a “securities contract” as defined in Section 741(7) of the Bankruptcy Code and a “forward contract” as defined in Section 101(25) of the Bankruptcy Code, and the parties hereto to be entitled to the protections afforded by, among other Sections, Sections 362(b)(6), 362(b)(27), 362(o), 546(e), 546(j), 555, 556, 560 and 561 of the Bankruptcy Code;</w:t>
      </w:r>
    </w:p>
    <w:p>
      <w:pPr>
        <w:spacing w:after="0" w:line="70" w:lineRule="exact"/>
        <w:rPr>
          <w:rFonts w:ascii="Arial" w:cs="Arial" w:eastAsia="Arial" w:hAnsi="Arial"/>
          <w:sz w:val="17"/>
          <w:szCs w:val="17"/>
          <w:color w:val="auto"/>
        </w:rPr>
      </w:pPr>
    </w:p>
    <w:p>
      <w:pPr>
        <w:ind w:left="1424" w:hanging="439"/>
        <w:spacing w:after="0"/>
        <w:tabs>
          <w:tab w:leader="none" w:pos="1424"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Agreement to be a “master netting agreement” as defined in Section 101(38A) of the Bankruptcy Code;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19" w:name="page20"/>
    <w:bookmarkEnd w:id="19"/>
    <w:p>
      <w:pPr>
        <w:ind w:left="1424" w:right="80" w:hanging="439"/>
        <w:spacing w:after="0" w:line="259" w:lineRule="auto"/>
        <w:tabs>
          <w:tab w:leader="none" w:pos="1424" w:val="left"/>
        </w:tabs>
        <w:numPr>
          <w:ilvl w:val="2"/>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party’s right to liquidate, terminate or accelerate any Transaction, net out or offset termination values or payment amounts,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(as defined in the Bankruptcy Code); and</w:t>
      </w:r>
    </w:p>
    <w:p>
      <w:pPr>
        <w:spacing w:after="0" w:line="92" w:lineRule="exact"/>
        <w:rPr>
          <w:rFonts w:ascii="Arial" w:cs="Arial" w:eastAsia="Arial" w:hAnsi="Arial"/>
          <w:sz w:val="18"/>
          <w:szCs w:val="18"/>
          <w:color w:val="auto"/>
        </w:rPr>
      </w:pPr>
    </w:p>
    <w:p>
      <w:pPr>
        <w:ind w:left="1424" w:right="80" w:hanging="439"/>
        <w:spacing w:after="0" w:line="263" w:lineRule="auto"/>
        <w:tabs>
          <w:tab w:leader="none" w:pos="142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payments for, under or in connection with each Transaction, all payments for the Shares (including, for the avoidance of doubt, payment of the Prepayment Amount) and the transfer of such Shares to constitute “settlement payments” and “transfers” (as defined in the Bankruptcy Code).</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Counterparty acknowledges that:</w:t>
      </w:r>
    </w:p>
    <w:p>
      <w:pPr>
        <w:spacing w:after="0" w:line="130" w:lineRule="exact"/>
        <w:rPr>
          <w:rFonts w:ascii="Arial" w:cs="Arial" w:eastAsia="Arial" w:hAnsi="Arial"/>
          <w:sz w:val="18"/>
          <w:szCs w:val="18"/>
          <w:color w:val="auto"/>
        </w:rPr>
      </w:pPr>
    </w:p>
    <w:p>
      <w:pPr>
        <w:ind w:left="1424" w:right="24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during the term of any Transaction, JPMorgan and its Affiliates may buy or sell Shares or other securities or buy or sell options or futures contracts or enter into swaps or other derivative securities in order to establish, adjust or unwind its hedge position with respect to such Transaction;</w:t>
      </w:r>
    </w:p>
    <w:p>
      <w:pPr>
        <w:spacing w:after="0" w:line="89" w:lineRule="exact"/>
        <w:rPr>
          <w:rFonts w:ascii="Arial" w:cs="Arial" w:eastAsia="Arial" w:hAnsi="Arial"/>
          <w:sz w:val="18"/>
          <w:szCs w:val="18"/>
          <w:color w:val="auto"/>
        </w:rPr>
      </w:pPr>
    </w:p>
    <w:p>
      <w:pPr>
        <w:ind w:left="1424" w:right="220" w:hanging="439"/>
        <w:spacing w:after="0" w:line="277"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JPMorgan and its Affiliates may also be active in the market for the Shares and Share-linked transactions other than in connection with hedging activities in relation to any Transaction;</w:t>
      </w:r>
    </w:p>
    <w:p>
      <w:pPr>
        <w:spacing w:after="0" w:line="75" w:lineRule="exact"/>
        <w:rPr>
          <w:rFonts w:ascii="Arial" w:cs="Arial" w:eastAsia="Arial" w:hAnsi="Arial"/>
          <w:sz w:val="18"/>
          <w:szCs w:val="18"/>
          <w:color w:val="auto"/>
        </w:rPr>
      </w:pPr>
    </w:p>
    <w:p>
      <w:pPr>
        <w:ind w:left="1424" w:right="12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JPMorgan shall make its own determination as to whether, when or in what manner any hedging or market activities in Counterparty’s securities shall be conducted and shall do so in a manner that it deems appropriate to hedge its price and market risk with respect to the Forward Price and the VWAP Price;</w:t>
      </w:r>
    </w:p>
    <w:p>
      <w:pPr>
        <w:spacing w:after="0" w:line="89" w:lineRule="exact"/>
        <w:rPr>
          <w:rFonts w:ascii="Arial" w:cs="Arial" w:eastAsia="Arial" w:hAnsi="Arial"/>
          <w:sz w:val="18"/>
          <w:szCs w:val="18"/>
          <w:color w:val="auto"/>
        </w:rPr>
      </w:pPr>
    </w:p>
    <w:p>
      <w:pPr>
        <w:ind w:left="1424" w:right="50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market activities of JPMorgan and its Affiliates with respect to the Shares may affect the market price and volatility of the Shares, as well as the Forward Price, the VWAP Price and the Settlement Price, each in a manner that may be adverse to Counterparty; and</w:t>
      </w:r>
    </w:p>
    <w:p>
      <w:pPr>
        <w:spacing w:after="0" w:line="89" w:lineRule="exact"/>
        <w:rPr>
          <w:rFonts w:ascii="Arial" w:cs="Arial" w:eastAsia="Arial" w:hAnsi="Arial"/>
          <w:sz w:val="18"/>
          <w:szCs w:val="18"/>
          <w:color w:val="auto"/>
        </w:rPr>
      </w:pPr>
    </w:p>
    <w:p>
      <w:pPr>
        <w:ind w:left="1424" w:right="4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each Transaction is a derivatives transaction in which it has granted JPMorgan an option; JPMorgan may purchase shares for its own account at an average price that may be greater than, or less than, the price paid by Counterparty under the terms of the related Transaction.</w:t>
      </w:r>
    </w:p>
    <w:p>
      <w:pPr>
        <w:spacing w:after="0" w:line="85" w:lineRule="exact"/>
        <w:rPr>
          <w:rFonts w:ascii="Arial" w:cs="Arial" w:eastAsia="Arial" w:hAnsi="Arial"/>
          <w:sz w:val="18"/>
          <w:szCs w:val="18"/>
          <w:color w:val="auto"/>
        </w:rPr>
      </w:pPr>
    </w:p>
    <w:p>
      <w:pPr>
        <w:ind w:left="424" w:hanging="424"/>
        <w:spacing w:after="0" w:line="292" w:lineRule="auto"/>
        <w:tabs>
          <w:tab w:leader="none" w:pos="42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Collateral, Netting or Setoff</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the Agreement or any other agreement between the parties to the contrary,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Counterparty hereunder are not secured by any collateral. Obligations under any Transaction shall not be netted, recouped or set off (including pursuant to Section 6 of the Agreement) against any other obligations of the parties, whether arising under the Agreement, this Master Confirmation or any Supplemental Confirmation, or under any other agreement between the parties hereto, by operation of law or otherwise, and no other obligations of the parties shall be netted, recouped or set off (including pursuant to Section 6 of the Agreement) against obligations under any Transaction, whether arising under the Agreement, this Master Confirmation or any Supplemental Confirmation, or under any other agreement between the parties hereto, by operation of law or otherwise, and each party hereby waives any such right of setoff, netting or recoupment.</w:t>
      </w:r>
    </w:p>
    <w:p>
      <w:pPr>
        <w:spacing w:after="0" w:line="66" w:lineRule="exact"/>
        <w:rPr>
          <w:rFonts w:ascii="Arial" w:cs="Arial" w:eastAsia="Arial" w:hAnsi="Arial"/>
          <w:sz w:val="16"/>
          <w:szCs w:val="16"/>
          <w:b w:val="1"/>
          <w:bCs w:val="1"/>
          <w:color w:val="auto"/>
        </w:rPr>
      </w:pPr>
    </w:p>
    <w:p>
      <w:pPr>
        <w:ind w:left="424" w:hanging="424"/>
        <w:spacing w:after="0" w:line="303" w:lineRule="auto"/>
        <w:tabs>
          <w:tab w:leader="none" w:pos="42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herein, JPMorgan may, by prior notice to Counterparty, satisfy its obligation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any Shares or other securities on any date due (an “</w:t>
      </w:r>
      <w:r>
        <w:rPr>
          <w:rFonts w:ascii="Arial" w:cs="Arial" w:eastAsia="Arial" w:hAnsi="Arial"/>
          <w:sz w:val="16"/>
          <w:szCs w:val="16"/>
          <w:b w:val="1"/>
          <w:bCs w:val="1"/>
          <w:color w:val="auto"/>
        </w:rPr>
        <w:t>Original Delivery Date</w:t>
      </w:r>
      <w:r>
        <w:rPr>
          <w:rFonts w:ascii="Arial" w:cs="Arial" w:eastAsia="Arial" w:hAnsi="Arial"/>
          <w:sz w:val="16"/>
          <w:szCs w:val="16"/>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0" w:name="page21"/>
    <w:bookmarkEnd w:id="20"/>
    <w:p>
      <w:pPr>
        <w:ind w:left="424" w:hanging="424"/>
        <w:spacing w:after="0" w:line="283" w:lineRule="auto"/>
        <w:tabs>
          <w:tab w:leader="none" w:pos="424"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 Termination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(a) an Early Termination Date (whether as a result of an Event of Default or a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Event) occurs or is designated with respect to any Transaction or (b) any Transaction is cancelled or terminated upon the occurrence of an Extraordinary Event (except as a result of (i) a Nationalization, Insolvency or Merger Event in which the consideration to be paid to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if either party would owe any amount to the other party pursuant to Section 6(d)(ii) of the Agreement or any Cancellation Amount pursuant to Article 12 of the Equity Definitions (any such amount, a “</w:t>
      </w:r>
      <w:r>
        <w:rPr>
          <w:rFonts w:ascii="Arial" w:cs="Arial" w:eastAsia="Arial" w:hAnsi="Arial"/>
          <w:sz w:val="16"/>
          <w:szCs w:val="16"/>
          <w:b w:val="1"/>
          <w:bCs w:val="1"/>
          <w:color w:val="auto"/>
        </w:rPr>
        <w:t>Payment Amount</w:t>
      </w:r>
      <w:r>
        <w:rPr>
          <w:rFonts w:ascii="Arial" w:cs="Arial" w:eastAsia="Arial" w:hAnsi="Arial"/>
          <w:sz w:val="16"/>
          <w:szCs w:val="16"/>
          <w:color w:val="auto"/>
        </w:rPr>
        <w:t>”), then Counterparty may elect, no later than the Early Termination Date or the date on which such Transaction is terminated or cancelled, that Counterparty or JPMorgan, as the case may be, shall deliver to the other party a number of Shares (or, in the case of a Nationalization, Insolvency or Merger Event, a number of units, each comprising the number or amount of the securities or property that a hypothetical holder of one Share would receive in such Nationalization, Insolvency or Merger Event, as the case may be (each such unit, an “</w:t>
      </w:r>
      <w:r>
        <w:rPr>
          <w:rFonts w:ascii="Arial" w:cs="Arial" w:eastAsia="Arial" w:hAnsi="Arial"/>
          <w:sz w:val="16"/>
          <w:szCs w:val="16"/>
          <w:b w:val="1"/>
          <w:bCs w:val="1"/>
          <w:color w:val="auto"/>
        </w:rPr>
        <w:t>Alternative Delivery Unit</w:t>
      </w:r>
      <w:r>
        <w:rPr>
          <w:rFonts w:ascii="Arial" w:cs="Arial" w:eastAsia="Arial" w:hAnsi="Arial"/>
          <w:sz w:val="16"/>
          <w:szCs w:val="16"/>
          <w:color w:val="auto"/>
        </w:rPr>
        <w:t xml:space="preserve">”)) with a value equal to the Payment Amount, as determined by the Calculation Agent over a commercially reasonable period of time (and the parties agree that, in making such determination of value, the Calculation Agent may take into account a number of factors, including, without limitation, the market price of the Shares or Alternative Delivery Units on the Early Termination Date or the date of early cancellation or termination, as the case may be, and, if such delivery is made by JPMorgan, the prices at which JPMorgan purchases Shares or Alternative Delivery Units in a commercially reasonable manner and within a commercially reasonable time period to fulfill its delivery obligations under this Section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determining the composition of any Alternative Delivery Unit, if the relevant Nationalization, Insolvency or Merger Event involves a choice of consideration to be received by holders, such holder shall be deemed to have elected to receive the maximum possible amount of cash;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may elect that the provisions of this Section 15 above providing for the delivery of Shares or Alternative Delivery Units, as the case may be, shall apply only if Counterparty represents and warrants to JPMorgan, in writing on the date it notifies JPMorgan of such election, that, as of such date, Counterparty is not aware of any material non-public information regarding Counterparty or the Shares and is making such election in good faith and not as part of a plan or scheme to evade compliance with the federal securities laws. If delivery of Shares or Alternative Delivery Units, as the case may be, pursuant to this Section 15 is to be made by Counterparty, paragraphs 2 through 7 of Annex A hereto shall apply as if (A) such delivery were a settlement of such Transaction to which Net Share Settlement applied, (B) the Cash Settlement Payment Date were the Early Termination Date or the date of early cancellation or termination, as the case may be, and (C) the Forward Cash Settlement Amount were equal to (x) zero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Payment Amount owed by Counterparty. For the avoidance of doubt, if Counterparty does not validly elect for the provisions of this Section 15 relating to the delivery of Shares or Alternative Delivery Units, as the case may be, to apply to any Payment Amount, the provisions of Article 12 of the Equity Definitions, or the provisions of Section 6(d)(ii) of the Agreement, as the case may be, shall apply. If delivery of Shares or Alternative Delivery Units, as the case may be, is to be made by JPMorgan pursuant to this Section 15, the period during which JPMorgan purchases Shares or Alternative Delivery Units to fulfill its delivery obligations under this Section 15 shall be referred to as the “</w:t>
      </w:r>
      <w:r>
        <w:rPr>
          <w:rFonts w:ascii="Arial" w:cs="Arial" w:eastAsia="Arial" w:hAnsi="Arial"/>
          <w:sz w:val="16"/>
          <w:szCs w:val="16"/>
          <w:b w:val="1"/>
          <w:bCs w:val="1"/>
          <w:color w:val="auto"/>
        </w:rPr>
        <w:t>Seller Termination Purchase Period</w:t>
      </w:r>
      <w:r>
        <w:rPr>
          <w:rFonts w:ascii="Arial" w:cs="Arial" w:eastAsia="Arial" w:hAnsi="Arial"/>
          <w:sz w:val="16"/>
          <w:szCs w:val="16"/>
          <w:color w:val="auto"/>
        </w:rPr>
        <w:t>.”</w:t>
      </w:r>
    </w:p>
    <w:p>
      <w:pPr>
        <w:spacing w:after="0" w:line="308" w:lineRule="exact"/>
        <w:rPr>
          <w:rFonts w:ascii="Arial" w:cs="Arial" w:eastAsia="Arial" w:hAnsi="Arial"/>
          <w:sz w:val="16"/>
          <w:szCs w:val="16"/>
          <w:b w:val="1"/>
          <w:bCs w:val="1"/>
          <w:color w:val="auto"/>
        </w:rPr>
      </w:pPr>
    </w:p>
    <w:p>
      <w:pPr>
        <w:ind w:left="424" w:right="60" w:hanging="424"/>
        <w:spacing w:after="0" w:line="269" w:lineRule="auto"/>
        <w:tabs>
          <w:tab w:leader="none" w:pos="4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Calculations and Payment Date upon Early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and agree that in calculating (a) the Close-Out Amount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Section 6 of the Agreement and (b) the amount due upon cancellation or termination of any Transaction (whether in whole or in part) pursuant to Article 12 of the Equity Definitions as a result of an Extraordinary Event, JPMorgan may (but need not) determine such amount based on (i) expected losses assuming a commercially reasonable (including, without limitation, with regard to reasonable legal and regulatory guidelines) risk bid were used to determine loss or (ii) the price at which the Seller is able to purchase from one or more market participants a block of Shares equal in number to the Seller’s hedge position in relation to the Transaction. Notwithstanding anything to the contrary in Section 6(d)(ii) of the Agreement or Article 12 of the Equity Definitions, all amounts calculated as being due in respect of an Early Termination Date under Section 6(e) of the Agreement or upon cancellation or termination of the relevant Transaction under Article 12 of the Equity Definitions will be payable on the day that notice of the amount payable is effective;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Counterparty elects to receive or deliver Shares or Alternative Delivery Units in accordance with Section 15 hereof, such Shares or Alternative Delivery Units shall be delivered on a date selected by JPMorgan as promptly as practicable.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21" w:name="page22"/>
    <w:bookmarkEnd w:id="21"/>
    <w:p>
      <w:pPr>
        <w:ind w:left="424" w:right="220" w:hanging="424"/>
        <w:spacing w:after="0" w:line="293" w:lineRule="auto"/>
        <w:tabs>
          <w:tab w:leader="none" w:pos="42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 on Beneficial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provisions hereof, JPMorgan may not be entitled to take delivery of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deliverable hereunder to the extent (but only to the extent) that, after such receipt of any Shares hereunder, the Equity Percentage would exceed</w:t>
      </w:r>
    </w:p>
    <w:p>
      <w:pPr>
        <w:spacing w:after="0" w:line="1" w:lineRule="exact"/>
        <w:rPr>
          <w:rFonts w:ascii="Arial" w:cs="Arial" w:eastAsia="Arial" w:hAnsi="Arial"/>
          <w:sz w:val="16"/>
          <w:szCs w:val="16"/>
          <w:b w:val="1"/>
          <w:bCs w:val="1"/>
          <w:color w:val="auto"/>
        </w:rPr>
      </w:pPr>
    </w:p>
    <w:p>
      <w:pPr>
        <w:ind w:left="424" w:right="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7.5%. Any purported delivery hereunder shall be void and have no effect to the extent (but only to the extent) that, after such delivery the Equity Percentage would exceed 7.5%. If any delivery owed to JPMorgan hereunder is not made, in whole or in part, as a result of this provision, Counterparty’s obligation to make such delivery shall not be extinguished and Counterparty shall make such delivery as promptly as practicable after, but in no event later than one Business Day after, JPMorgan gives notice to Counterparty that, after such delivery, the Equity Percentage would not exceed 7.5%. The “Equity Percentage” as of any day is the fraction, expressed as a percentage, (A) the numerator of which is the number of Shares that JPMorgan and any of its affiliates or any other person subject to aggregation with JPMorgan for purposes of the “beneficial ownership” test under Section 13 of the Exchange Act, or any “group” (within the meaning of Section 13) of which JPMorgan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70" w:lineRule="exact"/>
        <w:rPr>
          <w:rFonts w:ascii="Arial" w:cs="Arial" w:eastAsia="Arial" w:hAnsi="Arial"/>
          <w:sz w:val="16"/>
          <w:szCs w:val="16"/>
          <w:b w:val="1"/>
          <w:bCs w:val="1"/>
          <w:color w:val="auto"/>
        </w:rPr>
      </w:pPr>
    </w:p>
    <w:p>
      <w:pPr>
        <w:ind w:left="424" w:right="360" w:hanging="424"/>
        <w:spacing w:after="0" w:line="266"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Maximum Share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this Master Confirmation, in no event shall JPMorgan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any Shares, or any Shares or other securities comprising Alternative Delivery Units, in respect of any Transaction in excess of the Maximum Number of Shares set forth in the Supplemental Confirmation for such Transaction.</w:t>
      </w:r>
    </w:p>
    <w:p>
      <w:pPr>
        <w:spacing w:after="0" w:line="81"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Termination Events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right="880" w:hanging="532"/>
        <w:spacing w:after="0" w:line="342" w:lineRule="auto"/>
        <w:tabs>
          <w:tab w:leader="none" w:pos="9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occurrence of an event described in paragraph III of Annex B hereto will constitute an Additional Termination Event, with Counterparty as the sole Affected Party and the Transactions specified in such paragraph III as the Affected Transactions.</w:t>
      </w:r>
    </w:p>
    <w:p>
      <w:pPr>
        <w:spacing w:after="0" w:line="29" w:lineRule="exact"/>
        <w:rPr>
          <w:rFonts w:ascii="Arial" w:cs="Arial" w:eastAsia="Arial" w:hAnsi="Arial"/>
          <w:sz w:val="16"/>
          <w:szCs w:val="16"/>
          <w:color w:val="auto"/>
        </w:rPr>
      </w:pPr>
    </w:p>
    <w:p>
      <w:pPr>
        <w:ind w:left="964" w:right="180" w:hanging="532"/>
        <w:spacing w:after="0" w:line="279" w:lineRule="auto"/>
        <w:tabs>
          <w:tab w:leader="none" w:pos="964"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6 of the Agreement, if a Termination Price is specified in the Supplemental Confirmation for any Transaction, then an Additional Termination Event will occur without any notice or action by JPMorgan or Counterparty if the closing price of the Shares on the Exchange is below such Termination Price for two consecutive Exchange Business Days, with Counterparty as the sole Affected Party and such Transaction as the sole Affected Transaction.</w:t>
      </w:r>
    </w:p>
    <w:p>
      <w:pPr>
        <w:spacing w:after="0" w:line="72" w:lineRule="exact"/>
        <w:rPr>
          <w:rFonts w:ascii="Arial" w:cs="Arial" w:eastAsia="Arial" w:hAnsi="Arial"/>
          <w:sz w:val="17"/>
          <w:szCs w:val="17"/>
          <w:color w:val="auto"/>
        </w:rPr>
      </w:pPr>
    </w:p>
    <w:p>
      <w:pPr>
        <w:ind w:left="424" w:hanging="424"/>
        <w:spacing w:after="0" w:line="256"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nothing in this Master Confirmation shall be interpreted as requiring Counterparty to deliver cash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respect of the settlement of the Transactions contemplated by this Master Confirmation following payment by Counterparty of the relevant Prepayment Amount, except in circumstances where the required cash settlement thereof is permitted for classification of the contract as equity by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as in effect on the relevant Trade Date (including, without limitation, where Counterparty so elects to deliver cash or fails timely to elect to deliver Shares or Alternative Delivery Property in respect of the settlement of such Transactions).</w:t>
      </w:r>
    </w:p>
    <w:p>
      <w:pPr>
        <w:spacing w:after="0" w:line="92" w:lineRule="exact"/>
        <w:rPr>
          <w:rFonts w:ascii="Arial" w:cs="Arial" w:eastAsia="Arial" w:hAnsi="Arial"/>
          <w:sz w:val="18"/>
          <w:szCs w:val="18"/>
          <w:b w:val="1"/>
          <w:bCs w:val="1"/>
          <w:color w:val="auto"/>
        </w:rPr>
      </w:pPr>
    </w:p>
    <w:p>
      <w:pPr>
        <w:ind w:left="424" w:right="60" w:hanging="424"/>
        <w:spacing w:after="0" w:line="269" w:lineRule="auto"/>
        <w:tabs>
          <w:tab w:leader="none" w:pos="424"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Counterparty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Counterparty agrees to indemnify and hold harmless JPMorgan and its officers, directors, employees,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advisors, agents and controlling persons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from and against any and all losses, claims, damages and liabilities, joint or several (collectively, “</w:t>
      </w:r>
      <w:r>
        <w:rPr>
          <w:rFonts w:ascii="Arial" w:cs="Arial" w:eastAsia="Arial" w:hAnsi="Arial"/>
          <w:sz w:val="17"/>
          <w:szCs w:val="17"/>
          <w:b w:val="1"/>
          <w:bCs w:val="1"/>
          <w:color w:val="auto"/>
        </w:rPr>
        <w:t>Obligations</w:t>
      </w:r>
      <w:r>
        <w:rPr>
          <w:rFonts w:ascii="Arial" w:cs="Arial" w:eastAsia="Arial" w:hAnsi="Arial"/>
          <w:sz w:val="17"/>
          <w:szCs w:val="17"/>
          <w:color w:val="auto"/>
        </w:rPr>
        <w:t xml:space="preserve">”), to which an Indemnified Person may become subject to as a result of a breach of this Master Confirmation or any Supplemental Confirmation by Counterparty, or any claim, litigation, investigation or proceeding relating thereto, regardless of whether any of such Indemnified Person is a party thereto, in each case, as finally determined by a court of competent jurisdiction, and to reimburse, upon written request, each such Indemnified Person for any reasonable and out-of-pocket legal or other expenses incurred in connection with investigating, preparation for, providing evidence for or defending any of the foregoing;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Counterparty shall not have any liability to any Indemnified Person to the extent that such Obligations (a) are finally determined by a court of competent jurisdiction to have resulted from the gross negligence or willful misconduct of such Indemnified Person (and in such case, such Indemnified Person shall promptly return to Counterparty any amounts previously expended by Counterparty hereunder) or (b) are trading losses incurred by JPMorgan as part of its purchases or sales of Shares pursuant to this Master Confirmation or any Supplemental Confirmation (unless such trading losses are related to the breach of any agreement, term or covenant herein).</w:t>
      </w:r>
    </w:p>
    <w:p>
      <w:pPr>
        <w:spacing w:after="0" w:line="11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22" w:name="page23"/>
    <w:bookmarkEnd w:id="22"/>
    <w:p>
      <w:pPr>
        <w:ind w:left="424" w:right="40" w:hanging="424"/>
        <w:spacing w:after="0" w:line="270" w:lineRule="auto"/>
        <w:tabs>
          <w:tab w:leader="none" w:pos="424"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and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the Agreement, JPMorgan may assign any Transaction hereunder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and not in part) to any one or more of its Affiliates who has at least the same credit rating as JPMorgan without the prior written consent of Counterparty. Notwithstanding any other provision in this Master Confirmation to the contrary requiring or allowing JPMorgan to purchase, sell, receive or deliver any Shares or other securities to or from Counterparty, JPMorgan may designate any of its Affiliates to purchase, sell, receive or deliver such Shares or other securities and otherwise to perform JPMorgan’s obligations in respect of any Transaction and any such designee may assume such obligations. JPMorgan may assign the right to receive Settlement Shares to any third party who may legally receive Settlement Shares. JPMorgan shall be discharged of its obligations to Counterparty only to the extent of any such performance. For the avoidance of doubt, JPMorgan hereby acknowledges that notwithstanding any such designation hereunder, to the extent any of JPMorgan’s obligations in respect of any Transaction are not completed by its designee, JPMorgan shall be obligated to continue to perform or to cause any other of its designees to perform in respect of such obligations.</w:t>
      </w:r>
    </w:p>
    <w:p>
      <w:pPr>
        <w:spacing w:after="0" w:line="325" w:lineRule="exact"/>
        <w:rPr>
          <w:rFonts w:ascii="Arial" w:cs="Arial" w:eastAsia="Arial" w:hAnsi="Arial"/>
          <w:sz w:val="17"/>
          <w:szCs w:val="17"/>
          <w:b w:val="1"/>
          <w:bCs w:val="1"/>
          <w:color w:val="auto"/>
        </w:rPr>
      </w:pPr>
    </w:p>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the Equity Definitions, Agreement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right="22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and replacing them with the word “a material”; and adding the phrase “or such Transaction” at the end of the sentence.</w:t>
      </w:r>
    </w:p>
    <w:p>
      <w:pPr>
        <w:spacing w:after="0" w:line="75"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11.2(c) of the Equity Definitions is hereby amended by (i) replacing the words “a diluting or concentrative” with “an” in the fifth line thereof, (ii) adding the phrase “or such Transaction” after the words “the relevant Shares” in the same sentence, (iii) deleting the words “diluting or concentrative” in the sixth to last line thereof, and (iv)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8"/>
          <w:szCs w:val="18"/>
          <w:color w:val="auto"/>
        </w:rPr>
      </w:pPr>
    </w:p>
    <w:p>
      <w:pPr>
        <w:ind w:left="964" w:right="28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11.2(e)(vii) of the Equity Definitions is hereby amended by deleting the words “a diluting or concentrative” and replacing them with the words “a material”; and adding the phrase “or the relevant Transaction” at the end of the sentence.</w:t>
      </w:r>
    </w:p>
    <w:p>
      <w:pPr>
        <w:spacing w:after="0" w:line="75" w:lineRule="exact"/>
        <w:rPr>
          <w:rFonts w:ascii="Arial" w:cs="Arial" w:eastAsia="Arial" w:hAnsi="Arial"/>
          <w:sz w:val="18"/>
          <w:szCs w:val="18"/>
          <w:color w:val="auto"/>
        </w:rPr>
      </w:pPr>
    </w:p>
    <w:p>
      <w:pPr>
        <w:ind w:left="964" w:right="80" w:hanging="532"/>
        <w:spacing w:after="0" w:line="259"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(i) deleting from the fourth line thereof the word “or” after the word “official” and inserting a comma therefor, and (ii) deleting the semi-colon at the end of subsection (B) thereof and inserting the following words therefor “or (C) at JPMorgan’s option, the occurrence of any of the events specified in Section 5(a)(vii) (1) through (9) of the ISDA Master Agreement with respect to that Issuer.”</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w:t>
      </w:r>
    </w:p>
    <w:p>
      <w:pPr>
        <w:spacing w:after="0" w:line="130" w:lineRule="exact"/>
        <w:rPr>
          <w:rFonts w:ascii="Arial" w:cs="Arial" w:eastAsia="Arial" w:hAnsi="Arial"/>
          <w:sz w:val="18"/>
          <w:szCs w:val="18"/>
          <w:color w:val="auto"/>
        </w:rPr>
      </w:pPr>
    </w:p>
    <w:p>
      <w:pPr>
        <w:ind w:left="1424" w:right="500" w:hanging="439"/>
        <w:spacing w:after="0" w:line="277" w:lineRule="auto"/>
        <w:tabs>
          <w:tab w:leader="none" w:pos="14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deleting (1) subsection (A) in its entirety, (2) the phrase “or (B)” following subsection (A) and (3) the phrase “in each case” in subsection (B); and</w:t>
      </w:r>
    </w:p>
    <w:p>
      <w:pPr>
        <w:spacing w:after="0" w:line="75" w:lineRule="exact"/>
        <w:rPr>
          <w:rFonts w:ascii="Arial" w:cs="Arial" w:eastAsia="Arial" w:hAnsi="Arial"/>
          <w:sz w:val="18"/>
          <w:szCs w:val="18"/>
          <w:color w:val="auto"/>
        </w:rPr>
      </w:pPr>
    </w:p>
    <w:p>
      <w:pPr>
        <w:ind w:left="1424" w:right="100" w:hanging="439"/>
        <w:spacing w:after="0" w:line="277" w:lineRule="auto"/>
        <w:tabs>
          <w:tab w:leader="none" w:pos="14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replacing the phrase “neither the Non-Hedging Party nor the Lending Party lends Shares” with the phrase “such Lending Party does not lend Shares” in the penultimate sentence.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 and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3" w:name="page24"/>
    <w:bookmarkEnd w:id="23"/>
    <w:p>
      <w:pPr>
        <w:ind w:left="1424" w:right="520" w:hanging="439"/>
        <w:spacing w:after="0" w:line="286" w:lineRule="auto"/>
        <w:tabs>
          <w:tab w:leader="none" w:pos="1424" w:val="left"/>
        </w:tabs>
        <w:numPr>
          <w:ilvl w:val="1"/>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deleting subsection (C) in its entirety, (2) deleting the word “or” immediately preceding subsection (C), (3) deleting the penultimate sentence in its entirety and replacing it with the sentence “The Determining Party will determine the Cancellation Amount payable by one party to the other” and (4) deleting clause (X) in the final sentence.</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12.9(b)(vi) of the Equity Definitions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 and</w:t>
      </w:r>
    </w:p>
    <w:p>
      <w:pPr>
        <w:spacing w:after="0" w:line="131" w:lineRule="exact"/>
        <w:rPr>
          <w:sz w:val="20"/>
          <w:szCs w:val="20"/>
          <w:color w:val="auto"/>
        </w:rPr>
      </w:pPr>
    </w:p>
    <w:p>
      <w:pPr>
        <w:ind w:left="1424" w:right="100" w:hanging="439"/>
        <w:spacing w:after="0" w:line="263" w:lineRule="auto"/>
        <w:tabs>
          <w:tab w:leader="none" w:pos="1424" w:val="left"/>
        </w:tabs>
        <w:numPr>
          <w:ilvl w:val="2"/>
          <w:numId w:val="28"/>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and (3) deleting the final sentence in its entirety and replacing it with the sentence “The Determining Party will determine the Cancellation Amount payable by one party to the other”.</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85"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Extraordinary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If Counterparty declares any Extraordinary Dividend that has an ex-dividend date during the period commencing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Trade Date for any Transaction and ending on the last day of the Relevant Period or, if applicable, the later of the last day of the Settlement Valuation Period and the last day of the Seller Termination Purchase Period, for such Transaction, then prior to or on the date on which such Extraordinary Dividend is paid by Counterparty to holders of record, Counterparty shall pay to JPMorgan, for each Transaction under this Master Confirmation, an amount in cash equal to the product of (i) the amount of such Extraordinary Dividend and (ii) the theoretical short delta number of shares as of the opening of business on the related ex-dividend date, as determined by the Calculation Agent, required for JPMorgan to hedge its exposure to such Transaction.</w:t>
      </w:r>
    </w:p>
    <w:p>
      <w:pPr>
        <w:spacing w:after="0" w:line="94" w:lineRule="exact"/>
        <w:rPr>
          <w:rFonts w:ascii="Arial" w:cs="Arial" w:eastAsia="Arial" w:hAnsi="Arial"/>
          <w:sz w:val="18"/>
          <w:szCs w:val="18"/>
          <w:b w:val="1"/>
          <w:bCs w:val="1"/>
          <w:color w:val="auto"/>
        </w:rPr>
      </w:pPr>
    </w:p>
    <w:p>
      <w:pPr>
        <w:ind w:left="424" w:right="100" w:hanging="424"/>
        <w:spacing w:after="0" w:line="256" w:lineRule="auto"/>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Claims in Bankruptcy</w:t>
      </w:r>
      <w:r>
        <w:rPr>
          <w:rFonts w:ascii="Arial" w:cs="Arial" w:eastAsia="Arial" w:hAnsi="Arial"/>
          <w:sz w:val="18"/>
          <w:szCs w:val="18"/>
          <w:b w:val="1"/>
          <w:bCs w:val="1"/>
          <w:color w:val="auto"/>
        </w:rPr>
        <w:t xml:space="preserve">. </w:t>
      </w:r>
      <w:r>
        <w:rPr>
          <w:rFonts w:ascii="Arial" w:cs="Arial" w:eastAsia="Arial" w:hAnsi="Arial"/>
          <w:sz w:val="18"/>
          <w:szCs w:val="18"/>
          <w:color w:val="auto"/>
        </w:rPr>
        <w:t>JPMorgan acknowledges and agrees that neither this Master Confirmation nor any Supplemental Confirmation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intended to convey to JPMorgan rights against Counterparty with respect to any Transaction that are senior to the claims of common stockholders of Counterparty in any United States bankruptcy proceedings of Counterparty;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JPMorgan’s right to pursue remedies in the event of a breach by Counterparty of its obligations and agreements with respect to any Transaction;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nothing herein shall limit or shall be deemed to limit JPMorgan’s rights in respect of any transactions other than any Transaction.</w:t>
      </w:r>
    </w:p>
    <w:p>
      <w:pPr>
        <w:spacing w:after="0" w:line="92" w:lineRule="exact"/>
        <w:rPr>
          <w:rFonts w:ascii="Arial" w:cs="Arial" w:eastAsia="Arial" w:hAnsi="Arial"/>
          <w:sz w:val="18"/>
          <w:szCs w:val="18"/>
          <w:b w:val="1"/>
          <w:bCs w:val="1"/>
          <w:color w:val="auto"/>
        </w:rPr>
      </w:pPr>
    </w:p>
    <w:p>
      <w:pPr>
        <w:ind w:left="424" w:hanging="424"/>
        <w:spacing w:after="0" w:line="291" w:lineRule="auto"/>
        <w:tabs>
          <w:tab w:leader="none" w:pos="42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Wall Street Transparency and Accountability Act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Section 739 of the Wall Street Transparency and Accountability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2010 (“</w:t>
      </w:r>
      <w:r>
        <w:rPr>
          <w:rFonts w:ascii="Arial" w:cs="Arial" w:eastAsia="Arial" w:hAnsi="Arial"/>
          <w:sz w:val="16"/>
          <w:szCs w:val="16"/>
          <w:b w:val="1"/>
          <w:bCs w:val="1"/>
          <w:color w:val="auto"/>
        </w:rPr>
        <w:t>WSTAA</w:t>
      </w:r>
      <w:r>
        <w:rPr>
          <w:rFonts w:ascii="Arial" w:cs="Arial" w:eastAsia="Arial" w:hAnsi="Arial"/>
          <w:sz w:val="16"/>
          <w:szCs w:val="16"/>
          <w:color w:val="auto"/>
        </w:rPr>
        <w:t>”), the parties hereby agree that neither the enactment of WSTAA or any regulation under the WSTAA, nor any requirement under WSTAA or an amendment made by WSTAA, nor any similar legal certainty provision in any legislation enacted, or rule or regulation promulgated, on or after the date of this Master Confirmation, shall limit or otherwise impair either party’s otherwise applicable rights to terminate, renegotiate, modify, amend or supplement any Supplemental Confirmation, this Master Confirmation or the Agreement, as applicable, arising from a termination event, force majeure, illegality, increased costs, regulatory change or similar event under any Supplemental Confirmation, this Master Confirmation, the Equity Definitions incorporated herein, or the Agreement (including, without limitation, rights arising from Change in Law, Loss of Stock Borrow, Increased Cost of Stock Borrow, Hedging Disruption, Increased Cost of Hedging, or Illegality).</w:t>
      </w:r>
    </w:p>
    <w:p>
      <w:pPr>
        <w:spacing w:after="0" w:line="64" w:lineRule="exact"/>
        <w:rPr>
          <w:rFonts w:ascii="Arial" w:cs="Arial" w:eastAsia="Arial" w:hAnsi="Arial"/>
          <w:sz w:val="16"/>
          <w:szCs w:val="16"/>
          <w:b w:val="1"/>
          <w:bCs w:val="1"/>
          <w:color w:val="auto"/>
        </w:rPr>
      </w:pPr>
    </w:p>
    <w:p>
      <w:pPr>
        <w:ind w:left="424" w:right="120" w:hanging="424"/>
        <w:spacing w:after="0" w:line="314" w:lineRule="auto"/>
        <w:tabs>
          <w:tab w:leader="none" w:pos="42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Communications with Employees of J.P. Morgan Securities LLC</w:t>
      </w:r>
      <w:r>
        <w:rPr>
          <w:rFonts w:ascii="Arial" w:cs="Arial" w:eastAsia="Arial" w:hAnsi="Arial"/>
          <w:sz w:val="16"/>
          <w:szCs w:val="16"/>
          <w:b w:val="1"/>
          <w:bCs w:val="1"/>
          <w:color w:val="auto"/>
        </w:rPr>
        <w:t xml:space="preserve">. </w:t>
      </w:r>
      <w:r>
        <w:rPr>
          <w:rFonts w:ascii="Arial" w:cs="Arial" w:eastAsia="Arial" w:hAnsi="Arial"/>
          <w:sz w:val="16"/>
          <w:szCs w:val="16"/>
          <w:color w:val="auto"/>
        </w:rPr>
        <w:t>If Counterparty interacts with any employee of J.P. Morgan Securities LLC</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Transaction, Counterparty is hereby notified that such employee will act solely as an authorized representative of JPMorgan Chase Bank, N.A. (and not as a representative of J.P. Morgan Securities LLC) in connection with such Transaction.</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4" w:name="page25"/>
    <w:bookmarkEnd w:id="24"/>
    <w:p>
      <w:pPr>
        <w:ind w:left="424" w:right="80" w:hanging="424"/>
        <w:spacing w:after="0" w:line="268" w:lineRule="auto"/>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WAIVES, TO THE FULLEST EXTENT PERMITTED BY APPLICABLE LAW, ANY RIGHT IT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TO A TRIAL BY JURY IN RESPECT OF ANY SUIT, ACTION OR PROCEEDING RELATING TO THE AGREEMENT, THIS MASTER CONFIRMATION, EACH SUPPLEMENTAL CONFIRMATION, THE TRANSACTIONS HEREUNDER AND ALL MATTERS ARISING IN CONNECTION WITH THE AGREEMENT, THIS MASTER CONFIRMATION AND ANY SUPPLEMENTAL CONFIRMATION AND THE TRANSACTIONS HEREUNDER. EACH PARTY (I) CERTIFIES THAT NO REPRESENTATIVE, AGENT OR ATTORNEY OF THE OTHER PARTY HAS REPRESENTED, EXPRESSLY OR OTHERWISE, THAT SUCH OTHER PARTY WOULD NOT, IN THE EVENT OF SUCH A SUIT, ACTION OR PROCEEDING, SEEK TO ENFORCE THE FOREGOING WAIVER AND</w:t>
      </w:r>
    </w:p>
    <w:p>
      <w:pPr>
        <w:spacing w:after="0" w:line="2" w:lineRule="exact"/>
        <w:rPr>
          <w:rFonts w:ascii="Arial" w:cs="Arial" w:eastAsia="Arial" w:hAnsi="Arial"/>
          <w:sz w:val="17"/>
          <w:szCs w:val="17"/>
          <w:b w:val="1"/>
          <w:bCs w:val="1"/>
          <w:color w:val="auto"/>
        </w:rPr>
      </w:pPr>
    </w:p>
    <w:p>
      <w:pPr>
        <w:ind w:left="424" w:right="620"/>
        <w:spacing w:after="0" w:line="290" w:lineRule="auto"/>
        <w:rPr>
          <w:rFonts w:ascii="Arial" w:cs="Arial" w:eastAsia="Arial" w:hAnsi="Arial"/>
          <w:sz w:val="17"/>
          <w:szCs w:val="17"/>
          <w:b w:val="1"/>
          <w:bCs w:val="1"/>
          <w:color w:val="auto"/>
        </w:rPr>
      </w:pPr>
      <w:r>
        <w:rPr>
          <w:rFonts w:ascii="Arial" w:cs="Arial" w:eastAsia="Arial" w:hAnsi="Arial"/>
          <w:sz w:val="17"/>
          <w:szCs w:val="17"/>
          <w:color w:val="auto"/>
        </w:rPr>
        <w:t>(II) ACKNOWLEDGES THAT IT AND THE OTHER PARTY HAVE BEEN INDUCED TO ENTER INTO THE TRANSACTIONS, AS APPLICABLE, BY, AMONG OTHER THINGS, THE MUTUAL WAIVERS AND CERTIFICATIONS PROVIDED HEREIN.</w:t>
      </w:r>
    </w:p>
    <w:p>
      <w:pPr>
        <w:spacing w:after="0" w:line="62" w:lineRule="exact"/>
        <w:rPr>
          <w:rFonts w:ascii="Arial" w:cs="Arial" w:eastAsia="Arial" w:hAnsi="Arial"/>
          <w:sz w:val="17"/>
          <w:szCs w:val="17"/>
          <w:b w:val="1"/>
          <w:bCs w:val="1"/>
          <w:color w:val="auto"/>
        </w:rPr>
      </w:pPr>
    </w:p>
    <w:p>
      <w:pPr>
        <w:ind w:left="424" w:right="740" w:hanging="424"/>
        <w:spacing w:after="0" w:line="312" w:lineRule="auto"/>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Master Confirmation may be executed in any number of counterparts, all of which shall constitute one and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and any party hereto may execute this Master Confirmation by signing and delivering one or more counterparts.</w:t>
      </w:r>
    </w:p>
    <w:p>
      <w:pPr>
        <w:spacing w:after="0" w:line="45" w:lineRule="exact"/>
        <w:rPr>
          <w:rFonts w:ascii="Arial" w:cs="Arial" w:eastAsia="Arial" w:hAnsi="Arial"/>
          <w:sz w:val="17"/>
          <w:szCs w:val="17"/>
          <w:b w:val="1"/>
          <w:bCs w:val="1"/>
          <w:color w:val="auto"/>
        </w:rPr>
      </w:pPr>
    </w:p>
    <w:p>
      <w:pPr>
        <w:ind w:left="424" w:right="120" w:hanging="424"/>
        <w:spacing w:after="0" w:line="277" w:lineRule="auto"/>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Non-Confidentiality</w:t>
      </w:r>
      <w:r>
        <w:rPr>
          <w:rFonts w:ascii="Arial" w:cs="Arial" w:eastAsia="Arial" w:hAnsi="Arial"/>
          <w:sz w:val="17"/>
          <w:szCs w:val="17"/>
          <w:color w:val="auto"/>
        </w:rPr>
        <w:t>. Notwithstanding any provision in this Master Confirmation to the contrary, in connection with Section 1.6011-4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Regulations, the parties hereby agree that each party (and each employee, representative, or other agent of such party) may disclose to any and all persons, without limitation of any kind, the U.S. tax treatment and U.S. tax structure of any Transaction and all materials of any kind (including opinions or other tax analyses) that are provided to such party relating to such U.S. tax treatment and U.S. tax structure, other than any information for which nondisclosure is reasonably necessary in order to comply with applicable securities laws.</w:t>
      </w:r>
    </w:p>
    <w:p>
      <w:pPr>
        <w:spacing w:after="0" w:line="73" w:lineRule="exact"/>
        <w:rPr>
          <w:rFonts w:ascii="Arial" w:cs="Arial" w:eastAsia="Arial" w:hAnsi="Arial"/>
          <w:sz w:val="17"/>
          <w:szCs w:val="17"/>
          <w:b w:val="1"/>
          <w:bCs w:val="1"/>
          <w:color w:val="auto"/>
        </w:rPr>
      </w:pPr>
    </w:p>
    <w:p>
      <w:pPr>
        <w:ind w:left="424" w:hanging="424"/>
        <w:spacing w:after="0" w:line="285" w:lineRule="auto"/>
        <w:tabs>
          <w:tab w:leader="none" w:pos="42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U.S. Resolution Stay Protocol</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(i) to the extent that prior to the date hereof both parties have adhered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2018 ISDA U.S. Resolution Stay Protocol (the “</w:t>
      </w:r>
      <w:r>
        <w:rPr>
          <w:rFonts w:ascii="Arial" w:cs="Arial" w:eastAsia="Arial" w:hAnsi="Arial"/>
          <w:sz w:val="16"/>
          <w:szCs w:val="16"/>
          <w:b w:val="1"/>
          <w:bCs w:val="1"/>
          <w:color w:val="auto"/>
        </w:rPr>
        <w:t>Protocol</w:t>
      </w:r>
      <w:r>
        <w:rPr>
          <w:rFonts w:ascii="Arial" w:cs="Arial" w:eastAsia="Arial" w:hAnsi="Arial"/>
          <w:sz w:val="16"/>
          <w:szCs w:val="16"/>
          <w:color w:val="auto"/>
        </w:rPr>
        <w:t>”), the terms of the Protocol are incorporated into and form a part of the Agreement, and for such purposes the Agreement shall be deemed a Protocol Covered Agreement, JPMorgan shall be deemed a Regulated Entity and Counterparty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Arial" w:cs="Arial" w:eastAsia="Arial" w:hAnsi="Arial"/>
          <w:sz w:val="16"/>
          <w:szCs w:val="16"/>
          <w:b w:val="1"/>
          <w:bCs w:val="1"/>
          <w:color w:val="auto"/>
        </w:rPr>
        <w:t>Bilateral</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terms of the Bilateral Agreement are incorporated into and form a part of the Agreement, and for such purposes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a Covered Agreement, JPMorgan shall be deemed a Covered Entity and Counterparty shall be deemed a Counterparty Entity; or (iii) if clause (i) and clause (ii) do not apply, the terms of Section 1 and Section 2 and the related defined terms (together, the “</w:t>
      </w:r>
      <w:r>
        <w:rPr>
          <w:rFonts w:ascii="Arial" w:cs="Arial" w:eastAsia="Arial" w:hAnsi="Arial"/>
          <w:sz w:val="16"/>
          <w:szCs w:val="16"/>
          <w:b w:val="1"/>
          <w:bCs w:val="1"/>
          <w:color w:val="auto"/>
        </w:rPr>
        <w:t>Bilateral Terms</w:t>
      </w:r>
      <w:r>
        <w:rPr>
          <w:rFonts w:ascii="Arial" w:cs="Arial" w:eastAsia="Arial" w:hAnsi="Arial"/>
          <w:sz w:val="16"/>
          <w:szCs w:val="16"/>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JPMorgan shall be deemed a “Covered Entity” and Counterparty shall be deemed a “Counterparty Entity.” In the event that, after the date of the Agreement, both parties hereto become adhering parties to the Protocol, the terms of the Protocol will replace the terms of this paragraph. In the event of any inconsistencies between the Agreement and the terms of the Protocol, the Bilateral Agreement or the Bilateral Terms (each, the “</w:t>
      </w:r>
      <w:r>
        <w:rPr>
          <w:rFonts w:ascii="Arial" w:cs="Arial" w:eastAsia="Arial" w:hAnsi="Arial"/>
          <w:sz w:val="16"/>
          <w:szCs w:val="16"/>
          <w:b w:val="1"/>
          <w:bCs w:val="1"/>
          <w:color w:val="auto"/>
        </w:rPr>
        <w:t>QFC Stay Terms</w:t>
      </w:r>
      <w:r>
        <w:rPr>
          <w:rFonts w:ascii="Arial" w:cs="Arial" w:eastAsia="Arial" w:hAnsi="Arial"/>
          <w:sz w:val="16"/>
          <w:szCs w:val="16"/>
          <w:color w:val="auto"/>
        </w:rPr>
        <w:t>”),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 In addition, the parties agree that the terms of this paragraph shall be incorporated into any related covered affiliate credit enhancements, with all references to JPMorgan replaced by references to the covered affiliate support provider.</w:t>
      </w:r>
    </w:p>
    <w:p>
      <w:pPr>
        <w:spacing w:after="0" w:line="276" w:lineRule="exact"/>
        <w:rPr>
          <w:rFonts w:ascii="Arial" w:cs="Arial" w:eastAsia="Arial" w:hAnsi="Arial"/>
          <w:sz w:val="16"/>
          <w:szCs w:val="16"/>
          <w:b w:val="1"/>
          <w:bCs w:val="1"/>
          <w:color w:val="auto"/>
        </w:rPr>
      </w:pPr>
    </w:p>
    <w:p>
      <w:pPr>
        <w:ind w:left="444" w:right="20"/>
        <w:spacing w:after="0" w:line="258" w:lineRule="auto"/>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QFC Stay Rules</w:t>
      </w:r>
      <w:r>
        <w:rPr>
          <w:rFonts w:ascii="Arial" w:cs="Arial" w:eastAsia="Arial" w:hAnsi="Arial"/>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0" w:right="439" w:bottom="1440" w:gutter="0" w:footer="0" w:header="0"/>
        </w:sectPr>
      </w:pPr>
    </w:p>
    <w:bookmarkStart w:id="25" w:name="page26"/>
    <w:bookmarkEnd w:id="25"/>
    <w:p>
      <w:pPr>
        <w:ind w:left="424" w:hanging="424"/>
        <w:spacing w:after="0" w:line="286" w:lineRule="auto"/>
        <w:tabs>
          <w:tab w:leader="none" w:pos="42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CARES Act</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Counterparty represents and warrants that it has not applied, and throughout the term of any Transaction shall not apply, for a loan,</w:t>
      </w:r>
      <w:r>
        <w:rPr>
          <w:rFonts w:ascii="Arial" w:cs="Arial" w:eastAsia="Arial" w:hAnsi="Arial"/>
          <w:sz w:val="16"/>
          <w:szCs w:val="16"/>
          <w:b w:val="1"/>
          <w:bCs w:val="1"/>
          <w:color w:val="auto"/>
        </w:rPr>
        <w:t xml:space="preserve"> </w:t>
      </w:r>
      <w:r>
        <w:rPr>
          <w:rFonts w:ascii="Arial" w:cs="Arial" w:eastAsia="Arial" w:hAnsi="Arial"/>
          <w:sz w:val="16"/>
          <w:szCs w:val="16"/>
          <w:color w:val="auto"/>
        </w:rPr>
        <w:t>loan guarantee, direct loan (as that term is defined in the Coronavirus Aid, Relief, and Economic Security Act (the “</w:t>
      </w:r>
      <w:r>
        <w:rPr>
          <w:rFonts w:ascii="Arial" w:cs="Arial" w:eastAsia="Arial" w:hAnsi="Arial"/>
          <w:sz w:val="16"/>
          <w:szCs w:val="16"/>
          <w:b w:val="1"/>
          <w:bCs w:val="1"/>
          <w:color w:val="auto"/>
        </w:rPr>
        <w:t>CARES Act</w:t>
      </w:r>
      <w:r>
        <w:rPr>
          <w:rFonts w:ascii="Arial" w:cs="Arial" w:eastAsia="Arial" w:hAnsi="Arial"/>
          <w:sz w:val="16"/>
          <w:szCs w:val="16"/>
          <w:color w:val="auto"/>
        </w:rPr>
        <w:t>”)) or other investment, or to receive any financial assistance or relief (howsoever defined) under any program or facility that (a) is established under applicable law (whether in existence as of the Trade Date for such Transaction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Counterparty further represents and warrants that the Prepayment Amount for any Transaction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for such Transaction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Shares pursuant to any Transaction (either by specific reference thereto or by general reference to transactions with the attributes thereof in all relevant respects).</w:t>
      </w:r>
    </w:p>
    <w:p>
      <w:pPr>
        <w:spacing w:after="0" w:line="101"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4"/>
          </w:cols>
          <w:pgMar w:left="436" w:top="270" w:right="599" w:bottom="1440" w:gutter="0" w:footer="0" w:header="0"/>
        </w:sectPr>
      </w:pPr>
    </w:p>
    <w:bookmarkStart w:id="26" w:name="page27"/>
    <w:bookmarkEnd w:id="2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74320"/>
                    </a:xfrm>
                    <a:prstGeom prst="rect">
                      <a:avLst/>
                    </a:prstGeom>
                    <a:noFill/>
                  </pic:spPr>
                </pic:pic>
              </a:graphicData>
            </a:graphic>
          </wp:anchor>
        </w:drawing>
        <w:t>Please confirm that the foregoing correctly sets forth the terms of our agreement by executing this Master Confirmation and returning it to us.</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JPMORGAN CHASE BANK, NATIONAL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Brett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Brett Chalmers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forth above: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Theodore S. Kim</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Master Confirmation – Signature Page</w:t>
      </w:r>
    </w:p>
    <w:p>
      <w:pPr>
        <w:sectPr>
          <w:pgSz w:w="11900" w:h="16838" w:orient="portrait"/>
          <w:cols w:equalWidth="0" w:num="1">
            <w:col w:w="10640"/>
          </w:cols>
          <w:pgMar w:left="440" w:top="854" w:right="8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74320"/>
                    </a:xfrm>
                    <a:prstGeom prst="rect">
                      <a:avLst/>
                    </a:prstGeom>
                    <a:noFill/>
                  </pic:spPr>
                </pic:pic>
              </a:graphicData>
            </a:graphic>
          </wp:anchor>
        </w:drawing>
        <w:t>SCHEDULE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SUPPLEMENTAL CONFIRMATION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ind w:left="8344"/>
        <w:spacing w:after="0"/>
        <w:rPr>
          <w:sz w:val="20"/>
          <w:szCs w:val="20"/>
          <w:color w:val="auto"/>
        </w:rPr>
      </w:pPr>
      <w:r>
        <w:rPr>
          <w:rFonts w:ascii="Arial" w:cs="Arial" w:eastAsia="Arial" w:hAnsi="Arial"/>
          <w:sz w:val="18"/>
          <w:szCs w:val="18"/>
          <w:color w:val="auto"/>
        </w:rPr>
        <w:t>[__________], 20[__]</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Magnachip Semiconductor</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V-PLEX Bldg., 15th Fl.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Theodore S. Kim, Chief Compliance Officer and General Counsel</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tab/>
        <w:t>Supplemental Confirmation—Uncollared Accelerated Share Repurchase</w:t>
      </w:r>
    </w:p>
    <w:p>
      <w:pPr>
        <w:spacing w:after="0" w:line="117"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The purpose of this Supplemental Confirmation is to confirm the terms and conditions of the Transaction entered into between JPMorgan Chase Bank, National Association (“</w:t>
      </w:r>
      <w:r>
        <w:rPr>
          <w:rFonts w:ascii="Arial" w:cs="Arial" w:eastAsia="Arial" w:hAnsi="Arial"/>
          <w:sz w:val="18"/>
          <w:szCs w:val="18"/>
          <w:b w:val="1"/>
          <w:bCs w:val="1"/>
          <w:color w:val="auto"/>
        </w:rPr>
        <w:t>JPMorgan</w:t>
      </w:r>
      <w:r>
        <w:rPr>
          <w:rFonts w:ascii="Arial" w:cs="Arial" w:eastAsia="Arial" w:hAnsi="Arial"/>
          <w:sz w:val="18"/>
          <w:szCs w:val="18"/>
          <w:color w:val="auto"/>
        </w:rPr>
        <w:t>”) and Magnachip Semiconductor Corporation, a Delaware corporation (“</w:t>
      </w:r>
      <w:r>
        <w:rPr>
          <w:rFonts w:ascii="Arial" w:cs="Arial" w:eastAsia="Arial" w:hAnsi="Arial"/>
          <w:sz w:val="18"/>
          <w:szCs w:val="18"/>
          <w:b w:val="1"/>
          <w:bCs w:val="1"/>
          <w:color w:val="auto"/>
        </w:rPr>
        <w:t>Counterparty</w:t>
      </w:r>
      <w:r>
        <w:rPr>
          <w:rFonts w:ascii="Arial" w:cs="Arial" w:eastAsia="Arial" w:hAnsi="Arial"/>
          <w:sz w:val="18"/>
          <w:szCs w:val="18"/>
          <w:color w:val="auto"/>
        </w:rPr>
        <w:t>”) on the Trade Date specified below. This Supplemental Confirmation is a binding contract between JPMorgan and Counterparty as of the relevant Trade Date for the Transaction referenced below.</w:t>
      </w:r>
    </w:p>
    <w:p>
      <w:pPr>
        <w:spacing w:after="0" w:line="183" w:lineRule="exact"/>
        <w:rPr>
          <w:sz w:val="20"/>
          <w:szCs w:val="20"/>
          <w:color w:val="auto"/>
        </w:rPr>
      </w:pPr>
    </w:p>
    <w:p>
      <w:pPr>
        <w:ind w:left="4" w:right="100" w:hanging="4"/>
        <w:spacing w:after="0" w:line="266" w:lineRule="auto"/>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Supplemental Confirmation supplements, forms part of, and is subject to the Master Confirmation, dated as of December 21, 2021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Confirmation</w:t>
      </w:r>
      <w:r>
        <w:rPr>
          <w:rFonts w:ascii="Arial" w:cs="Arial" w:eastAsia="Arial" w:hAnsi="Arial"/>
          <w:sz w:val="18"/>
          <w:szCs w:val="18"/>
          <w:color w:val="auto"/>
        </w:rPr>
        <w:t>”), between JPMorgan and Counterparty, as amended and supplemented from time to time. All provisions contained in the Master</w:t>
      </w:r>
      <w:r>
        <w:rPr>
          <w:rFonts w:ascii="Arial" w:cs="Arial" w:eastAsia="Arial" w:hAnsi="Arial"/>
          <w:sz w:val="18"/>
          <w:szCs w:val="18"/>
          <w:b w:val="1"/>
          <w:bCs w:val="1"/>
          <w:color w:val="auto"/>
        </w:rPr>
        <w:t xml:space="preserve"> </w:t>
      </w:r>
      <w:r>
        <w:rPr>
          <w:rFonts w:ascii="Arial" w:cs="Arial" w:eastAsia="Arial" w:hAnsi="Arial"/>
          <w:sz w:val="18"/>
          <w:szCs w:val="18"/>
          <w:color w:val="auto"/>
        </w:rPr>
        <w:t>Confirmation govern this Supplemental Confirmation except as expressly modified below.</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the Transaction to which this Supplemental Confirmation relates are as follows:</w:t>
      </w:r>
    </w:p>
    <w:p>
      <w:pPr>
        <w:sectPr>
          <w:pgSz w:w="11900" w:h="16838" w:orient="portrait"/>
          <w:cols w:equalWidth="0" w:num="1">
            <w:col w:w="11024"/>
          </w:cols>
          <w:pgMar w:left="436" w:top="850"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Forward Price Adjustment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 [___]</w:t>
      </w:r>
    </w:p>
    <w:p>
      <w:pPr>
        <w:spacing w:after="0" w:line="129"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Calculation Period Start Date: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color w:val="auto"/>
        </w:rPr>
        <w:t>Scheduled Termination Date: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First Acceleration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39"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Prepayment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 [___]</w:t>
      </w:r>
    </w:p>
    <w:p>
      <w:pPr>
        <w:spacing w:after="0" w:line="129"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Prepayment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Initial Shares:</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 xml:space="preserve">[___]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in connection with the Transaction, JPMorgan is unable to borrow or otherwise acquire a number of Shares equal to the Initial Shares for delivery to Counterparty on the Initial Share Delivery Date, the Initial Shares delivered on the Initial Share Delivery Date shall be reduced to such number of Shares that JPMorgan is able to so borrow or otherwise acquire. All Shares delivered to Counterparty in respect of the Transaction pursuant to this paragraph shall be the “Initial Shares” for purposes of “Number of Shares to be Delivered” in the Master Confirmation; and thereafter JPMorgan shall continue to use</w:t>
      </w:r>
    </w:p>
    <w:p>
      <w:pPr>
        <w:spacing w:after="0" w:line="110"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jc w:val="center"/>
        <w:ind w:right="16"/>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024"/>
          </w:cols>
          <w:pgMar w:left="436" w:top="850" w:right="439" w:bottom="1440" w:gutter="0" w:footer="0" w:header="0"/>
          <w:type w:val="continuous"/>
        </w:sectPr>
      </w:pPr>
    </w:p>
    <w:bookmarkStart w:id="28" w:name="page29"/>
    <w:bookmarkEnd w:id="28"/>
    <w:p>
      <w:pPr>
        <w:ind w:left="386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commercially reasonable efforts to borrow or otherwise acquire a number of Shares, at a stock borrow cost no greater than the Initial Stock Loan Rate, equal to the shortfall in the Initial Share Delivery and to deliver such additional Shares to Counterparty as soon as reasonably practicable (it being understood, for the avoidance of doubt, that in using such commercially reasonable efforts JPMorgan shall act in good faith and in accordance with its then current policies and procedures (including without limitation any policies, practices or procedures relating to counterparty risk, market risk, reputational risk, credit, documentation, legal, regulatory capital, compliance and collateral), and shall not be required to enter into any securities lending transaction or transact with any potential securities lender if such transaction would not be in accordance with such policies, practices and procedures) as long as such policies or procedures are generally applicable in similar situations and applied in a non-discriminatory manner. For the avoidance of doubt, the aggregate of all shares delivered to Counterparty in respect of the Transaction pursuant to this paragraph shall be the “number of Initial Shares” for purposes of “Number of Shares to be Delivered” in the Master Confirmation.</w:t>
      </w:r>
    </w:p>
    <w:p>
      <w:pPr>
        <w:sectPr>
          <w:pgSz w:w="11900" w:h="16838" w:orient="portrait"/>
          <w:cols w:equalWidth="0" w:num="1">
            <w:col w:w="11024"/>
          </w:cols>
          <w:pgMar w:left="436" w:top="274" w:right="439" w:bottom="1440" w:gutter="0" w:footer="0" w:header="0"/>
        </w:sectPr>
      </w:pPr>
    </w:p>
    <w:p>
      <w:pPr>
        <w:spacing w:after="0" w:line="7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Initial Share Delivery Date: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 basis points per annum</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 basis points per annum</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Maximum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w:t>
      </w:r>
      <w:r>
        <w:rPr>
          <w:rFonts w:ascii="Arial" w:cs="Arial" w:eastAsia="Arial" w:hAnsi="Arial"/>
          <w:sz w:val="13"/>
          <w:szCs w:val="13"/>
          <w:color w:val="auto"/>
        </w:rPr>
        <w:t>1</w:t>
      </w:r>
      <w:r>
        <w:rPr>
          <w:rFonts w:ascii="Arial" w:cs="Arial" w:eastAsia="Arial" w:hAnsi="Arial"/>
          <w:sz w:val="16"/>
          <w:szCs w:val="16"/>
          <w:color w:val="auto"/>
        </w:rPr>
        <w:t xml:space="preserve"> Shares</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Floor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 0.01 per Share</w:t>
      </w:r>
    </w:p>
    <w:p>
      <w:pPr>
        <w:spacing w:after="0" w:line="151"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Contract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 [___]</w:t>
      </w:r>
    </w:p>
    <w:p>
      <w:pPr>
        <w:spacing w:after="0" w:line="129"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Termination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[___] per Share</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Additional Relevant Days: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[___] Exchange Business Days immediately following the Calculation Period.</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Reserved Shares:</w:t>
      </w:r>
    </w:p>
    <w:p>
      <w:pPr>
        <w:spacing w:after="0" w:line="20" w:lineRule="exact"/>
        <w:rPr>
          <w:sz w:val="20"/>
          <w:szCs w:val="20"/>
          <w:color w:val="auto"/>
        </w:rPr>
      </w:pPr>
      <w:r>
        <w:rPr>
          <w:sz w:val="20"/>
          <w:szCs w:val="20"/>
          <w:color w:val="auto"/>
        </w:rPr>
        <w:br w:type="column"/>
      </w:r>
    </w:p>
    <w:p>
      <w:pPr>
        <w:ind w:right="640"/>
        <w:spacing w:after="0" w:line="308" w:lineRule="auto"/>
        <w:rPr>
          <w:sz w:val="20"/>
          <w:szCs w:val="20"/>
          <w:color w:val="auto"/>
        </w:rPr>
      </w:pPr>
      <w:r>
        <w:rPr>
          <w:rFonts w:ascii="Arial" w:cs="Arial" w:eastAsia="Arial" w:hAnsi="Arial"/>
          <w:sz w:val="17"/>
          <w:szCs w:val="17"/>
          <w:color w:val="auto"/>
        </w:rPr>
        <w:t>Notwithstanding anything to the contrary in the Master Confirmation, as of the date of this Supplemental Confirmation, the Reserved Shares shall be equal to [___] Shares.</w:t>
      </w:r>
    </w:p>
    <w:p>
      <w:pPr>
        <w:spacing w:after="0" w:line="38"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Designated OMR Threshold: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 of the ADTV (as defined in Rule 10b-18(a)(1))</w:t>
      </w:r>
    </w:p>
    <w:p>
      <w:pPr>
        <w:spacing w:after="0" w:line="20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spacing w:after="0" w:line="48" w:lineRule="exact"/>
        <w:rPr>
          <w:sz w:val="20"/>
          <w:szCs w:val="20"/>
          <w:color w:val="auto"/>
        </w:rPr>
      </w:pPr>
    </w:p>
    <w:p>
      <w:pPr>
        <w:ind w:left="4" w:right="200" w:hanging="4"/>
        <w:spacing w:after="0" w:line="259" w:lineRule="auto"/>
        <w:tabs>
          <w:tab w:leader="none" w:pos="1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Counterparty represents and warrants to JPMorgan that neither it nor any “affiliated purchaser” (as defined in Rule 10b-18 under the Exchange Act) has made any purchases of blocks pursuant to the proviso in Rule 10b-18(b)(4) under the Exchange Act during either (i) the four full calendar weeks immediately preceding the Trade Date or (ii) during the calendar week in which the Trade Date occurs, except as set forth in any notice delivered pursuant to Section 6(b)(xv) of the Master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364" w:right="4340" w:hanging="5364"/>
        <w:spacing w:after="0" w:line="449" w:lineRule="auto"/>
        <w:tabs>
          <w:tab w:leader="none" w:pos="428" w:val="left"/>
        </w:tabs>
        <w:numPr>
          <w:ilvl w:val="0"/>
          <w:numId w:val="35"/>
        </w:numPr>
        <w:rPr>
          <w:rFonts w:ascii="Arial" w:cs="Arial" w:eastAsia="Arial" w:hAnsi="Arial"/>
          <w:sz w:val="15"/>
          <w:szCs w:val="15"/>
          <w:color w:val="auto"/>
        </w:rPr>
      </w:pPr>
      <w:r>
        <w:rPr>
          <w:rFonts w:ascii="Arial" w:cs="Arial" w:eastAsia="Arial" w:hAnsi="Arial"/>
          <w:sz w:val="18"/>
          <w:szCs w:val="18"/>
          <w:color w:val="auto"/>
        </w:rPr>
        <w:t>To be approximately 50% of the total number of Shares outstanding on the Trade Date. A-2</w:t>
      </w:r>
    </w:p>
    <w:p>
      <w:pPr>
        <w:sectPr>
          <w:pgSz w:w="11900" w:h="16838" w:orient="portrait"/>
          <w:cols w:equalWidth="0" w:num="1">
            <w:col w:w="11024"/>
          </w:cols>
          <w:pgMar w:left="436" w:top="274" w:right="439" w:bottom="1440" w:gutter="0" w:footer="0" w:header="0"/>
          <w:type w:val="continuous"/>
        </w:sectPr>
      </w:pPr>
    </w:p>
    <w:bookmarkStart w:id="29" w:name="page30"/>
    <w:bookmarkEnd w:id="29"/>
    <w:p>
      <w:pPr>
        <w:ind w:left="4" w:hanging="4"/>
        <w:spacing w:after="0" w:line="277" w:lineRule="auto"/>
        <w:tabs>
          <w:tab w:leader="none" w:pos="184"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Supplemental Confirmation may be executed in any number of counterparts, all of which shall constitute one and the same instrument, and any party hereto may execute this Supplemental Confirmation by signing and delivering one or more counterparts.</w:t>
      </w:r>
    </w:p>
    <w:p>
      <w:pPr>
        <w:spacing w:after="0" w:line="103"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844"/>
          </w:cols>
          <w:pgMar w:left="436" w:top="274" w:right="619" w:bottom="1440" w:gutter="0" w:footer="0" w:header="0"/>
        </w:sectPr>
      </w:pPr>
    </w:p>
    <w:bookmarkStart w:id="30" w:name="page31"/>
    <w:bookmarkEnd w:id="3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74320"/>
                    </a:xfrm>
                    <a:prstGeom prst="rect">
                      <a:avLst/>
                    </a:prstGeom>
                    <a:noFill/>
                  </pic:spPr>
                </pic:pic>
              </a:graphicData>
            </a:graphic>
          </wp:anchor>
        </w:drawing>
        <w:t>Please confirm that the foregoing correctly sets forth the terms of our agreement by executing this Supplemental Confirmation and returning it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JPMORGAN CHASE BANK, NATIONAL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80"/>
          </w:cols>
          <w:pgMar w:left="440" w:top="854" w:right="5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CERTIFICATE OF RULE 10B-18 PURCHASES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[Letterhead of Counterparty]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ind w:left="4" w:right="9420" w:hanging="4"/>
        <w:spacing w:after="0" w:line="323" w:lineRule="auto"/>
        <w:tabs>
          <w:tab w:leader="none" w:pos="3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Madison Avenue New York, NY, 10179</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Uncollared Accelerated Share Repurchase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In connection with our entry into the Master Confirmation, dated as of December 21, 2021, between JPMorgan Chase Bank, National Association and Magnachip Semiconductor Corporation, a Delaware corporation, as amended and supplemented from time to time (the “</w:t>
      </w:r>
      <w:r>
        <w:rPr>
          <w:rFonts w:ascii="Arial" w:cs="Arial" w:eastAsia="Arial" w:hAnsi="Arial"/>
          <w:sz w:val="16"/>
          <w:szCs w:val="16"/>
          <w:b w:val="1"/>
          <w:bCs w:val="1"/>
          <w:color w:val="auto"/>
        </w:rPr>
        <w:t>Master Confirmation</w:t>
      </w:r>
      <w:r>
        <w:rPr>
          <w:rFonts w:ascii="Arial" w:cs="Arial" w:eastAsia="Arial" w:hAnsi="Arial"/>
          <w:sz w:val="16"/>
          <w:szCs w:val="16"/>
          <w:color w:val="auto"/>
        </w:rPr>
        <w:t>”) and the Supplemental Confirmation thereto, dated as of [__________], 20[__], we hereby represent that set forth below is the total number of shares of</w:t>
      </w:r>
    </w:p>
    <w:p>
      <w:pPr>
        <w:spacing w:after="0" w:line="2"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our common stock purchased by or for us or any of our affiliated purchasers in Rule 10b-18 purchases of blocks (all as defined in Rule 10b-18 under the Securities Exchange Act of 1934) pursuant to the once-a-week block exception set forth in Rule 10b-18(b)(4) during the four full calendar weeks immediately preceding the first day of the [Calculation Period][Settlement Valuation Period][Seller Termination Purchase Period] (as defined in the Master Confirmation) and the week during which the first day of such [Calculation Period][Settlement Valuation Period][Seller Termination Purchase Period] occurs.</w:t>
      </w:r>
    </w:p>
    <w:p>
      <w:pPr>
        <w:spacing w:after="0" w:line="191" w:lineRule="exact"/>
        <w:rPr>
          <w:sz w:val="20"/>
          <w:szCs w:val="20"/>
          <w:color w:val="auto"/>
        </w:rPr>
      </w:pPr>
    </w:p>
    <w:p>
      <w:pPr>
        <w:ind w:left="4"/>
        <w:spacing w:after="0"/>
        <w:tabs>
          <w:tab w:leader="none" w:pos="1524" w:val="left"/>
        </w:tabs>
        <w:rPr>
          <w:sz w:val="20"/>
          <w:szCs w:val="20"/>
          <w:color w:val="auto"/>
        </w:rPr>
      </w:pPr>
      <w:r>
        <w:rPr>
          <w:rFonts w:ascii="Arial" w:cs="Arial" w:eastAsia="Arial" w:hAnsi="Arial"/>
          <w:sz w:val="18"/>
          <w:szCs w:val="18"/>
          <w:color w:val="auto"/>
        </w:rPr>
        <w:t>Number of Shares:</w:t>
      </w:r>
      <w:r>
        <w:rPr>
          <w:sz w:val="20"/>
          <w:szCs w:val="20"/>
          <w:color w:val="auto"/>
        </w:rPr>
        <w:tab/>
      </w:r>
      <w:r>
        <w:rPr>
          <w:rFonts w:ascii="Arial" w:cs="Arial" w:eastAsia="Arial" w:hAnsi="Arial"/>
          <w:sz w:val="16"/>
          <w:szCs w:val="16"/>
          <w:color w:val="auto"/>
        </w:rPr>
        <w:t>__________________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understand that you will use this information in calculating trading volume for purposes of Rule 10b-18.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4"/>
          </w:cols>
          <w:pgMar w:left="436" w:top="270"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COUNTERPARTY SETTLEMENT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 The following Counterparty Settlement Provisions shall apply to any Transaction to the extent indicated under the Master Confirmation:</w:t>
      </w:r>
    </w:p>
    <w:p>
      <w:pPr>
        <w:sectPr>
          <w:pgSz w:w="11900" w:h="16838" w:orient="portrait"/>
          <w:cols w:equalWidth="0" w:num="1">
            <w:col w:w="11020"/>
          </w:cols>
          <w:pgMar w:left="440" w:top="270" w:right="4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Settlement Currency: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USD</w:t>
      </w:r>
    </w:p>
    <w:p>
      <w:pPr>
        <w:spacing w:after="0" w:line="129"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Method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Section 7.1 of the Equity Definitions is hereby amended by deleting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word “Physical” in the sixth line thereof and replacing it with the words “Net Share”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(ii) the Electing Party may make a settlement method election only if the Electing Party represents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warrants to JPMorgan in writing on the date it notifies JPMorgan of its election that, as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the Electing Party is not aware of any material non-public information regarding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Counterparty or the Shares and is electing the settlement method in good faith and not as part of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or scheme to evade compliance with the federal securities laws.</w:t>
      </w:r>
    </w:p>
    <w:p>
      <w:pPr>
        <w:spacing w:after="0" w:line="103"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Electing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w:t>
      </w:r>
    </w:p>
    <w:p>
      <w:pPr>
        <w:spacing w:after="0" w:line="140"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Method Election Date:</w:t>
      </w:r>
    </w:p>
    <w:p>
      <w:pPr>
        <w:spacing w:after="0" w:line="20" w:lineRule="exact"/>
        <w:rPr>
          <w:sz w:val="20"/>
          <w:szCs w:val="20"/>
          <w:color w:val="auto"/>
        </w:rPr>
      </w:pPr>
      <w:r>
        <w:rPr>
          <w:sz w:val="20"/>
          <w:szCs w:val="20"/>
          <w:color w:val="auto"/>
        </w:rPr>
        <w:br w:type="column"/>
      </w:r>
    </w:p>
    <w:p>
      <w:pPr>
        <w:ind w:right="260"/>
        <w:spacing w:after="0" w:line="301" w:lineRule="auto"/>
        <w:rPr>
          <w:sz w:val="20"/>
          <w:szCs w:val="20"/>
          <w:color w:val="auto"/>
        </w:rPr>
      </w:pPr>
      <w:r>
        <w:rPr>
          <w:rFonts w:ascii="Arial" w:cs="Arial" w:eastAsia="Arial" w:hAnsi="Arial"/>
          <w:sz w:val="16"/>
          <w:szCs w:val="16"/>
          <w:color w:val="auto"/>
        </w:rPr>
        <w:t>The earlier of (i) the Scheduled Termination Date and (ii) the second Exchange Business Day immediately following the Accelerated Termination Date (in which case the election under Section 7.1 of the Equity Definitions shall be made no later than 10 minutes prior to the open of trading on the Exchange on such second Exchange Business Day), as the case may be.</w:t>
      </w:r>
    </w:p>
    <w:p>
      <w:pPr>
        <w:spacing w:after="0" w:line="49"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Cash Settlement</w:t>
      </w:r>
    </w:p>
    <w:p>
      <w:pPr>
        <w:spacing w:after="0" w:line="151"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Forward Cash Settlement Amount:</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 xml:space="preserve">An amount equal to (a) the Number of Shares to be Delivered,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Settlement Price.</w:t>
      </w:r>
    </w:p>
    <w:p>
      <w:pPr>
        <w:spacing w:after="0" w:line="62"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Price:</w:t>
      </w:r>
    </w:p>
    <w:p>
      <w:pPr>
        <w:spacing w:after="0" w:line="20" w:lineRule="exact"/>
        <w:rPr>
          <w:sz w:val="20"/>
          <w:szCs w:val="20"/>
          <w:color w:val="auto"/>
        </w:rPr>
      </w:pPr>
      <w:r>
        <w:rPr>
          <w:sz w:val="20"/>
          <w:szCs w:val="20"/>
          <w:color w:val="auto"/>
        </w:rPr>
        <w:br w:type="column"/>
      </w:r>
    </w:p>
    <w:p>
      <w:pPr>
        <w:ind w:right="540"/>
        <w:spacing w:after="0" w:line="263" w:lineRule="auto"/>
        <w:rPr>
          <w:sz w:val="20"/>
          <w:szCs w:val="20"/>
          <w:color w:val="auto"/>
        </w:rPr>
      </w:pPr>
      <w:r>
        <w:rPr>
          <w:rFonts w:ascii="Arial" w:cs="Arial" w:eastAsia="Arial" w:hAnsi="Arial"/>
          <w:sz w:val="18"/>
          <w:szCs w:val="18"/>
          <w:color w:val="auto"/>
        </w:rPr>
        <w:t>An amount equal to the average of the VWAP Prices for the Exchange Business Days in the Settlement Valuation Period, subject to Valuation Disruption as specified in the Master Confirmation.</w:t>
      </w:r>
    </w:p>
    <w:p>
      <w:pPr>
        <w:spacing w:after="0" w:line="76"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Valuation Period:</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A number of Scheduled Trading Days selected by JPMorgan in its reasonable discretion, based on the number of Scheduled Trading Days that would be appropriate to unwind a commercially reasonable hedge position as determined by JPMorgan, beginning on the Scheduled Trading Day immediately following the earlier of (i) the Scheduled Termination Date or (ii) the Exchange Business Day immediately following the Termination Date.</w:t>
      </w:r>
    </w:p>
    <w:p>
      <w:pPr>
        <w:spacing w:after="0" w:line="68"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Cash Settlement:</w:t>
      </w:r>
    </w:p>
    <w:p>
      <w:pPr>
        <w:spacing w:after="0" w:line="20" w:lineRule="exact"/>
        <w:rPr>
          <w:sz w:val="20"/>
          <w:szCs w:val="20"/>
          <w:color w:val="auto"/>
        </w:rPr>
      </w:pPr>
      <w:r>
        <w:rPr>
          <w:sz w:val="20"/>
          <w:szCs w:val="20"/>
          <w:color w:val="auto"/>
        </w:rPr>
        <w:br w:type="column"/>
      </w:r>
    </w:p>
    <w:p>
      <w:pPr>
        <w:ind w:right="540"/>
        <w:spacing w:after="0" w:line="308" w:lineRule="auto"/>
        <w:rPr>
          <w:sz w:val="20"/>
          <w:szCs w:val="20"/>
          <w:color w:val="auto"/>
        </w:rPr>
      </w:pPr>
      <w:r>
        <w:rPr>
          <w:rFonts w:ascii="Arial" w:cs="Arial" w:eastAsia="Arial" w:hAnsi="Arial"/>
          <w:sz w:val="17"/>
          <w:szCs w:val="17"/>
          <w:color w:val="auto"/>
        </w:rPr>
        <w:t>If Cash Settlement is applicable, then Buyer shall pay to JPMorgan the absolute value of the Forward Cash Settlement Amount on the Cash Settlement Payment Date.</w:t>
      </w:r>
    </w:p>
    <w:p>
      <w:pPr>
        <w:spacing w:after="0" w:line="38"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Cash Settlement Payment Date:</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The Exchange Business Day immediately following the last day of the Settlement Valuation Period.</w:t>
      </w:r>
    </w:p>
    <w:p>
      <w:pPr>
        <w:spacing w:after="0" w:line="103"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Annex A-1</w:t>
      </w:r>
    </w:p>
    <w:p>
      <w:pPr>
        <w:sectPr>
          <w:pgSz w:w="11900" w:h="16838" w:orient="portrait"/>
          <w:cols w:equalWidth="0" w:num="1">
            <w:col w:w="11020"/>
          </w:cols>
          <w:pgMar w:left="440" w:top="270"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5"/>
          <w:szCs w:val="15"/>
          <w:color w:val="auto"/>
        </w:rPr>
        <w:t>Net Share Settlement Procedures: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If Net Share Settlement is applicable, Net Share Settlement shall be made in accordance with paragraphs 2 through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-387985</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140" w:space="720"/>
            <w:col w:w="7100"/>
          </w:cols>
          <w:pgMar w:left="440" w:top="274" w:right="499" w:bottom="1440" w:gutter="0" w:footer="0" w:header="0"/>
        </w:sectPr>
      </w:pPr>
    </w:p>
    <w:p>
      <w:pPr>
        <w:ind w:firstLine="436"/>
        <w:spacing w:after="0" w:line="25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Share Settlement shall be made by delivery on the Cash Settlement Payment Date of a number of Shares satisfying the conditions set forth in paragraph 3 below (the “</w:t>
      </w:r>
      <w:r>
        <w:rPr>
          <w:rFonts w:ascii="Arial" w:cs="Arial" w:eastAsia="Arial" w:hAnsi="Arial"/>
          <w:sz w:val="18"/>
          <w:szCs w:val="18"/>
          <w:b w:val="1"/>
          <w:bCs w:val="1"/>
          <w:color w:val="auto"/>
        </w:rPr>
        <w:t>Registered Settlement Shares</w:t>
      </w:r>
      <w:r>
        <w:rPr>
          <w:rFonts w:ascii="Arial" w:cs="Arial" w:eastAsia="Arial" w:hAnsi="Arial"/>
          <w:sz w:val="18"/>
          <w:szCs w:val="18"/>
          <w:color w:val="auto"/>
        </w:rPr>
        <w:t>”), or a number of Shares not satisfying such conditions (the “</w:t>
      </w:r>
      <w:r>
        <w:rPr>
          <w:rFonts w:ascii="Arial" w:cs="Arial" w:eastAsia="Arial" w:hAnsi="Arial"/>
          <w:sz w:val="18"/>
          <w:szCs w:val="18"/>
          <w:b w:val="1"/>
          <w:bCs w:val="1"/>
          <w:color w:val="auto"/>
        </w:rPr>
        <w:t>Unregistered Settlement</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in either case with a value equal to the absolute value of the Forward Cash Settlement Amount, with such Shares’ value based on the value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to JPMorgan (which value shall, in the case of Unregistered Settlement Shares, take into account a commercially reasonable illiquidity discount, which discount shall only take into account the illiquidity resulting from the fact that the Unregistered Settlement Shares will not be registered for resale and any commercially reasonable fees and expenses of JPMorgan (and any affiliate thereof) in connection with any resale of such Shares), in each case as determined by the Calculation Agent. If all of the conditions for delivery of either Registered Settlement Shares or Unregistered Settlement Shares have not been satisfied, Cash Settlement shall be applicable in accordance with paragraph 1 notwithstanding Counterparty’s election of Net Share Settlement.</w:t>
      </w:r>
    </w:p>
    <w:p>
      <w:pPr>
        <w:spacing w:after="0" w:line="88" w:lineRule="exact"/>
        <w:rPr>
          <w:rFonts w:ascii="Arial" w:cs="Arial" w:eastAsia="Arial" w:hAnsi="Arial"/>
          <w:sz w:val="18"/>
          <w:szCs w:val="18"/>
          <w:color w:val="auto"/>
        </w:rPr>
      </w:pPr>
    </w:p>
    <w:p>
      <w:pPr>
        <w:ind w:left="620" w:hanging="184"/>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Counterparty may only deliver Registered Settlement Shares pursuant to paragraph 2 above if:</w:t>
      </w:r>
    </w:p>
    <w:p>
      <w:pPr>
        <w:spacing w:after="0" w:line="113" w:lineRule="exact"/>
        <w:rPr>
          <w:sz w:val="20"/>
          <w:szCs w:val="20"/>
          <w:color w:val="auto"/>
        </w:rPr>
      </w:pPr>
    </w:p>
    <w:p>
      <w:pPr>
        <w:ind w:firstLine="436"/>
        <w:spacing w:after="0" w:line="277" w:lineRule="auto"/>
        <w:tabs>
          <w:tab w:leader="none" w:pos="68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registration statement covering public resale of the Registered Settlement Shares by JPMorgan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without limitation, any prospectus supplement thereto, the “</w:t>
      </w:r>
      <w:r>
        <w:rPr>
          <w:rFonts w:ascii="Arial" w:cs="Arial" w:eastAsia="Arial" w:hAnsi="Arial"/>
          <w:sz w:val="17"/>
          <w:szCs w:val="17"/>
          <w:b w:val="1"/>
          <w:bCs w:val="1"/>
          <w:color w:val="auto"/>
        </w:rPr>
        <w:t>Prospectus</w:t>
      </w:r>
      <w:r>
        <w:rPr>
          <w:rFonts w:ascii="Arial" w:cs="Arial" w:eastAsia="Arial" w:hAnsi="Arial"/>
          <w:sz w:val="17"/>
          <w:szCs w:val="17"/>
          <w:color w:val="auto"/>
        </w:rPr>
        <w:t>”) shall have been delivered to JPMorgan, in such quantities as JPMorgan shall reasonably have requested, on or prior to the date of delivery;</w:t>
      </w:r>
    </w:p>
    <w:p>
      <w:pPr>
        <w:spacing w:after="0" w:line="63" w:lineRule="exact"/>
        <w:rPr>
          <w:rFonts w:ascii="Arial" w:cs="Arial" w:eastAsia="Arial" w:hAnsi="Arial"/>
          <w:sz w:val="17"/>
          <w:szCs w:val="17"/>
          <w:color w:val="auto"/>
        </w:rPr>
      </w:pPr>
    </w:p>
    <w:p>
      <w:pPr>
        <w:ind w:right="480" w:firstLine="436"/>
        <w:spacing w:after="0" w:line="27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and content of the Registration Statement and the Prospectus (including, without limitation, any sections describing the plan of distribution) shall be satisfactory to JPMorgan;</w:t>
      </w:r>
    </w:p>
    <w:p>
      <w:pPr>
        <w:spacing w:after="0" w:line="62" w:lineRule="exact"/>
        <w:rPr>
          <w:rFonts w:ascii="Arial" w:cs="Arial" w:eastAsia="Arial" w:hAnsi="Arial"/>
          <w:sz w:val="18"/>
          <w:szCs w:val="18"/>
          <w:color w:val="auto"/>
        </w:rPr>
      </w:pPr>
    </w:p>
    <w:p>
      <w:pPr>
        <w:ind w:right="320" w:firstLine="436"/>
        <w:spacing w:after="0" w:line="263"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or prior to the date of delivery, JPMorgan and its agents shall have been afforded a reasonable opportunity to conduct a due diligence investigation with respect to Counterparty customary in scope for underwritten offerings of equity securities by issuers of similar size in a similar industry and the results of such investigation are satisfactory to JPMorgan, in its discretion; and</w:t>
      </w:r>
    </w:p>
    <w:p>
      <w:pPr>
        <w:spacing w:after="0" w:line="71" w:lineRule="exact"/>
        <w:rPr>
          <w:rFonts w:ascii="Arial" w:cs="Arial" w:eastAsia="Arial" w:hAnsi="Arial"/>
          <w:sz w:val="18"/>
          <w:szCs w:val="18"/>
          <w:color w:val="auto"/>
        </w:rPr>
      </w:pPr>
    </w:p>
    <w:p>
      <w:pPr>
        <w:ind w:firstLine="436"/>
        <w:spacing w:after="0" w:line="256"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the date of delivery, an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shall have been entered into with JPMorgan in connection with the public resale of the Registered Settlement Shares by JPMorgan substantially similar to underwriting agreements customary for underwritten offerings of equity securities by issuers of similar size in a similar industry, in form and substance satisfactory to JPMorgan, which Underwriting Agreement shall include, without limitation, provisions substantially similar to those contained in such underwriting agreements relating, without limitation, to the indemnification of, and contribution in connection with the liability of, JPMorgan and its Affiliates and the provision of customary opinions, accountants’ comfort letters and lawyers’ negative assurance letters.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If Counterparty delivers Unregistered Settlement Shares pursuant to paragraph 2 above:</w:t>
      </w:r>
    </w:p>
    <w:p>
      <w:pPr>
        <w:spacing w:after="0" w:line="117" w:lineRule="exact"/>
        <w:rPr>
          <w:sz w:val="20"/>
          <w:szCs w:val="20"/>
          <w:color w:val="auto"/>
        </w:rPr>
      </w:pPr>
    </w:p>
    <w:p>
      <w:pPr>
        <w:ind w:right="320" w:firstLine="436"/>
        <w:spacing w:after="0" w:line="277"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Unregistered Settlement Shares shall be delivered to JPMorgan (or any Affiliate of JPMorgan designated by JPMorgan) pursuant to the exemption from the registration requirements of the Securities Act provided by Section 4(a)(2) thereof;</w:t>
      </w:r>
    </w:p>
    <w:p>
      <w:pPr>
        <w:spacing w:after="0" w:line="62" w:lineRule="exact"/>
        <w:rPr>
          <w:rFonts w:ascii="Arial" w:cs="Arial" w:eastAsia="Arial" w:hAnsi="Arial"/>
          <w:sz w:val="18"/>
          <w:szCs w:val="18"/>
          <w:color w:val="auto"/>
        </w:rPr>
      </w:pPr>
    </w:p>
    <w:p>
      <w:pPr>
        <w:ind w:firstLine="436"/>
        <w:spacing w:after="0" w:line="273"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as of or prior to the date of delivery, JPMorgan and any potential purchaser of any such shares from JPMorgan (or any Affiliate of JPMorgan designated by JPMorgan) identified by JPMorgan shall be afforded a commercially reasonable opportunity to conduct a due diligence investigation with respect to Counterparty customary in scope for private placements of equity securities by issuers of similar size in a similar industry (including, without limitation, the right to have made available to them for inspection all financial and other records, pertinent corporate documents and other information reasonably requested by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potential purchaser may be required by Counterparty to enter into a customary non-disclosure agreement with Counterparty in respect of such due diligence investigation;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A-2</w:t>
      </w:r>
    </w:p>
    <w:p>
      <w:pPr>
        <w:sectPr>
          <w:pgSz w:w="11900" w:h="16838" w:orient="portrait"/>
          <w:cols w:equalWidth="0" w:num="1">
            <w:col w:w="10960"/>
          </w:cols>
          <w:pgMar w:left="440" w:top="274" w:right="499" w:bottom="1440" w:gutter="0" w:footer="0" w:header="0"/>
          <w:type w:val="continuous"/>
        </w:sectPr>
      </w:pPr>
    </w:p>
    <w:bookmarkStart w:id="34" w:name="page35"/>
    <w:bookmarkEnd w:id="34"/>
    <w:p>
      <w:pPr>
        <w:ind w:right="80" w:firstLine="436"/>
        <w:spacing w:after="0" w:line="269" w:lineRule="auto"/>
        <w:tabs>
          <w:tab w:leader="none" w:pos="685"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of delivery, Counterparty shall enter into an agreement (a “</w:t>
      </w:r>
      <w:r>
        <w:rPr>
          <w:rFonts w:ascii="Arial" w:cs="Arial" w:eastAsia="Arial" w:hAnsi="Arial"/>
          <w:sz w:val="17"/>
          <w:szCs w:val="17"/>
          <w:b w:val="1"/>
          <w:bCs w:val="1"/>
          <w:color w:val="auto"/>
        </w:rPr>
        <w:t>Private Placement Agreement</w:t>
      </w:r>
      <w:r>
        <w:rPr>
          <w:rFonts w:ascii="Arial" w:cs="Arial" w:eastAsia="Arial" w:hAnsi="Arial"/>
          <w:sz w:val="17"/>
          <w:szCs w:val="17"/>
          <w:color w:val="auto"/>
        </w:rPr>
        <w:t>”) with JPMorgan (or any Affiliate of JPMorgan designated by JPMorgan) in connection with the private placement of such shares by Counterparty to JPMorgan (or any such Affiliate) and the private resale of such shares by JPMorgan (or any such Affiliate), substantially similar to private placement purchase agreements customary for private placements of equity securities, in form and substance commercially reasonably satisfactory to JPMorgan, which Private Placement Agreement shall include, without limitation, provisions substantially similar to those contained in such private placement purchase agreements relating, without limitation, to the indemnification of, and contribution in connection with the liability of, JPMorgan and its Affiliates and the provision of customary opinions, accountants’ comfort letters and lawyers’ negative assurance letters, and shall provide for the payment by Counterparty of all reasonable fees and actual documented out-of-pocket expenses of JPMorgan (and any such Affiliate) in connection with such resale, including, without limitation, all fees and expenses of counsel for JPMorgan, and shall contain representations, warranties, covenants and agreements of Counterparty reasonably necessary or advisable to establish and maintain the availability of an exemption from the registration requirements of the Securities Act for such resales; and</w:t>
      </w:r>
    </w:p>
    <w:p>
      <w:pPr>
        <w:spacing w:after="0" w:line="77" w:lineRule="exact"/>
        <w:rPr>
          <w:rFonts w:ascii="Arial" w:cs="Arial" w:eastAsia="Arial" w:hAnsi="Arial"/>
          <w:sz w:val="17"/>
          <w:szCs w:val="17"/>
          <w:color w:val="auto"/>
        </w:rPr>
      </w:pPr>
    </w:p>
    <w:p>
      <w:pPr>
        <w:ind w:right="20" w:firstLine="436"/>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the private placement of such shares by Counterparty to JPMorgan (or any such Affiliate) and the private resale of such shares by JPMorgan (or any such Affiliate), Counterparty shall, if so requested by JPMorgan, prepare, in cooperation with JPMorgan, a private placement memorandum in form and substance reasonably satisfactory to JPMorgan and customary for private placements of equity securities of similar companies.</w:t>
      </w:r>
    </w:p>
    <w:p>
      <w:pPr>
        <w:spacing w:after="0" w:line="75" w:lineRule="exact"/>
        <w:rPr>
          <w:sz w:val="20"/>
          <w:szCs w:val="20"/>
          <w:color w:val="auto"/>
        </w:rPr>
      </w:pPr>
    </w:p>
    <w:p>
      <w:pPr>
        <w:ind w:right="20" w:firstLine="436"/>
        <w:spacing w:after="0" w:line="26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JPMorgan, itself or through an Affiliate (the “</w:t>
      </w:r>
      <w:r>
        <w:rPr>
          <w:rFonts w:ascii="Arial" w:cs="Arial" w:eastAsia="Arial" w:hAnsi="Arial"/>
          <w:sz w:val="17"/>
          <w:szCs w:val="17"/>
          <w:b w:val="1"/>
          <w:bCs w:val="1"/>
          <w:color w:val="auto"/>
        </w:rPr>
        <w:t>Selling Agent</w:t>
      </w:r>
      <w:r>
        <w:rPr>
          <w:rFonts w:ascii="Arial" w:cs="Arial" w:eastAsia="Arial" w:hAnsi="Arial"/>
          <w:sz w:val="17"/>
          <w:szCs w:val="17"/>
          <w:color w:val="auto"/>
        </w:rPr>
        <w:t>”) or any underwriter(s), will sell all, or such lesser portion as may be required hereunder, of the Registered Settlement Shares or Unregistered Settlement Shares and any Makewhole Shares (as defined below) (together, the “</w:t>
      </w:r>
      <w:r>
        <w:rPr>
          <w:rFonts w:ascii="Arial" w:cs="Arial" w:eastAsia="Arial" w:hAnsi="Arial"/>
          <w:sz w:val="17"/>
          <w:szCs w:val="17"/>
          <w:b w:val="1"/>
          <w:bCs w:val="1"/>
          <w:color w:val="auto"/>
        </w:rPr>
        <w:t>Settlement Shares</w:t>
      </w:r>
      <w:r>
        <w:rPr>
          <w:rFonts w:ascii="Arial" w:cs="Arial" w:eastAsia="Arial" w:hAnsi="Arial"/>
          <w:sz w:val="17"/>
          <w:szCs w:val="17"/>
          <w:color w:val="auto"/>
        </w:rPr>
        <w:t>”) delivered by Counterparty to JPMorgan pursuant to paragraph 6 below commencing on the Cash Settlement Payment Date and continuing until the date on which the aggregate Net Proceeds (as such term is defined below) of such sales, as determined by JPMorgan, is equal to the absolute value of the Forward Cash Settlement Amount (such date, the “</w:t>
      </w:r>
      <w:r>
        <w:rPr>
          <w:rFonts w:ascii="Arial" w:cs="Arial" w:eastAsia="Arial" w:hAnsi="Arial"/>
          <w:sz w:val="17"/>
          <w:szCs w:val="17"/>
          <w:b w:val="1"/>
          <w:bCs w:val="1"/>
          <w:color w:val="auto"/>
        </w:rPr>
        <w:t>Final Resale Date</w:t>
      </w:r>
      <w:r>
        <w:rPr>
          <w:rFonts w:ascii="Arial" w:cs="Arial" w:eastAsia="Arial" w:hAnsi="Arial"/>
          <w:sz w:val="17"/>
          <w:szCs w:val="17"/>
          <w:color w:val="auto"/>
        </w:rPr>
        <w:t>”). If the proceeds of any sale(s) made by JPMorgan, the Selling Agent or any underwriter(s), net of any fees and commissions (including, without limitation, underwriting or placement fees) customary for similar transactions by issuers of similar size in a similar industry under the circumstances at the time of the offering, together with carrying charges and expenses incurred in connection with the offer and sale of the Shares (including, without limitation, the covering of any over-allotment or short position (syndicate or otherwise)) (the “</w:t>
      </w:r>
      <w:r>
        <w:rPr>
          <w:rFonts w:ascii="Arial" w:cs="Arial" w:eastAsia="Arial" w:hAnsi="Arial"/>
          <w:sz w:val="17"/>
          <w:szCs w:val="17"/>
          <w:b w:val="1"/>
          <w:bCs w:val="1"/>
          <w:color w:val="auto"/>
        </w:rPr>
        <w:t>Net Proceeds</w:t>
      </w:r>
      <w:r>
        <w:rPr>
          <w:rFonts w:ascii="Arial" w:cs="Arial" w:eastAsia="Arial" w:hAnsi="Arial"/>
          <w:sz w:val="17"/>
          <w:szCs w:val="17"/>
          <w:color w:val="auto"/>
        </w:rPr>
        <w:t>”) exceed the absolute value of the Forward Cash Settlement Amount, JPMorgan will refund, in USD, such excess to Counterparty on the date that is three (3) Currency Business Days following the Final Resale Date, and, if any portion of the Settlement Shares remains unsold, JPMorgan shall return to Counterparty on that date such unsold Shares.</w:t>
      </w:r>
    </w:p>
    <w:p>
      <w:pPr>
        <w:spacing w:after="0" w:line="77" w:lineRule="exact"/>
        <w:rPr>
          <w:rFonts w:ascii="Arial" w:cs="Arial" w:eastAsia="Arial" w:hAnsi="Arial"/>
          <w:sz w:val="17"/>
          <w:szCs w:val="17"/>
          <w:color w:val="auto"/>
        </w:rPr>
      </w:pPr>
    </w:p>
    <w:p>
      <w:pPr>
        <w:ind w:firstLine="436"/>
        <w:spacing w:after="0" w:line="286"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Calculation Agent determines that the Net Proceeds received from the sale of the Registered Settlement Shares or Unregistered Settlement Shares or any Makewhole Shares, if any, pursuant to this paragraph 6 are less than the absolute value of the Forward Cash Settlement Amount (the amount in USD by which the Net Proceeds are less than the absolute value of the Forward Cash Settlement Amount being the “</w:t>
      </w:r>
      <w:r>
        <w:rPr>
          <w:rFonts w:ascii="Arial" w:cs="Arial" w:eastAsia="Arial" w:hAnsi="Arial"/>
          <w:sz w:val="16"/>
          <w:szCs w:val="16"/>
          <w:b w:val="1"/>
          <w:bCs w:val="1"/>
          <w:color w:val="auto"/>
        </w:rPr>
        <w:t>Shortfall</w:t>
      </w:r>
      <w:r>
        <w:rPr>
          <w:rFonts w:ascii="Arial" w:cs="Arial" w:eastAsia="Arial" w:hAnsi="Arial"/>
          <w:sz w:val="16"/>
          <w:szCs w:val="16"/>
          <w:color w:val="auto"/>
        </w:rPr>
        <w:t>” and the date on which such determination is made, the “</w:t>
      </w:r>
      <w:r>
        <w:rPr>
          <w:rFonts w:ascii="Arial" w:cs="Arial" w:eastAsia="Arial" w:hAnsi="Arial"/>
          <w:sz w:val="16"/>
          <w:szCs w:val="16"/>
          <w:b w:val="1"/>
          <w:bCs w:val="1"/>
          <w:color w:val="auto"/>
        </w:rPr>
        <w:t>Deficiency Determination Date</w:t>
      </w:r>
      <w:r>
        <w:rPr>
          <w:rFonts w:ascii="Arial" w:cs="Arial" w:eastAsia="Arial" w:hAnsi="Arial"/>
          <w:sz w:val="16"/>
          <w:szCs w:val="16"/>
          <w:color w:val="auto"/>
        </w:rPr>
        <w:t>”), Counterparty shall on the Exchange Business Day next succeeding the Deficiency Determination Date (the “</w:t>
      </w:r>
      <w:r>
        <w:rPr>
          <w:rFonts w:ascii="Arial" w:cs="Arial" w:eastAsia="Arial" w:hAnsi="Arial"/>
          <w:sz w:val="16"/>
          <w:szCs w:val="16"/>
          <w:b w:val="1"/>
          <w:bCs w:val="1"/>
          <w:color w:val="auto"/>
        </w:rPr>
        <w:t>Makewhole Notice Date</w:t>
      </w:r>
      <w:r>
        <w:rPr>
          <w:rFonts w:ascii="Arial" w:cs="Arial" w:eastAsia="Arial" w:hAnsi="Arial"/>
          <w:sz w:val="16"/>
          <w:szCs w:val="16"/>
          <w:color w:val="auto"/>
        </w:rPr>
        <w:t>”) deliver to JPMorgan, through the Selling Agent, a notice of Counterparty’s election that Counterparty shall either (i) pay an amount in cash equal to the Shortfall on the day that is one Currency Business Day after the Makewhole Notice Date, or (ii) deliver additional Shares. If Counterparty elects to deliver to JPMorgan additional Shares, then Counterparty shall deliver additional Shares in compliance with the terms and conditions of paragraph 3 or paragraph 4 above, as the case may be (the “</w:t>
      </w:r>
      <w:r>
        <w:rPr>
          <w:rFonts w:ascii="Arial" w:cs="Arial" w:eastAsia="Arial" w:hAnsi="Arial"/>
          <w:sz w:val="16"/>
          <w:szCs w:val="16"/>
          <w:b w:val="1"/>
          <w:bCs w:val="1"/>
          <w:color w:val="auto"/>
        </w:rPr>
        <w:t>Makewhole Shares</w:t>
      </w:r>
      <w:r>
        <w:rPr>
          <w:rFonts w:ascii="Arial" w:cs="Arial" w:eastAsia="Arial" w:hAnsi="Arial"/>
          <w:sz w:val="16"/>
          <w:szCs w:val="16"/>
          <w:color w:val="auto"/>
        </w:rPr>
        <w:t xml:space="preserve">”), on the first Clearance System Business Day which is also an Exchange Business Day following the Makewhole Notice Date in such number as the Calculation Agent reasonably believes would have a market value on that Exchange Business Day equal to the Shortfall. Such Makewhole Shares shall be sold by JPMorgan in accordance with the provisions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sum of the Net Proceeds from the sale of the originally delivered Shares and the Net Proceeds from the sale of any Makewhole Shares is less than the absolute value of the Forward Cash Settlement Amount then Counterparty shall, at its election, either make such cash payment or deliver to JPMorgan further Makewhole Shares until such Shortfall has been reduced to zero.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ectPr>
          <w:pgSz w:w="11900" w:h="16838" w:orient="portrait"/>
          <w:cols w:equalWidth="0" w:num="1">
            <w:col w:w="11000"/>
          </w:cols>
          <w:pgMar w:left="440" w:top="270" w:right="459" w:bottom="1440" w:gutter="0" w:footer="0" w:header="0"/>
        </w:sectPr>
      </w:pPr>
    </w:p>
    <w:bookmarkStart w:id="35" w:name="page36"/>
    <w:bookmarkEnd w:id="35"/>
    <w:p>
      <w:pPr>
        <w:ind w:firstLine="436"/>
        <w:spacing w:after="0" w:line="301" w:lineRule="auto"/>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in no event shall the aggregate number of Settlement Shares for any Transaction be greater than the Reserved Shares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any Shares actually delivered by Counterparty under any other Transaction under this Master Confirmation (the result of such calculation, the “</w:t>
      </w:r>
      <w:r>
        <w:rPr>
          <w:rFonts w:ascii="Arial" w:cs="Arial" w:eastAsia="Arial" w:hAnsi="Arial"/>
          <w:sz w:val="16"/>
          <w:szCs w:val="16"/>
          <w:b w:val="1"/>
          <w:bCs w:val="1"/>
          <w:color w:val="auto"/>
        </w:rPr>
        <w:t>Capped Number</w:t>
      </w:r>
      <w:r>
        <w:rPr>
          <w:rFonts w:ascii="Arial" w:cs="Arial" w:eastAsia="Arial" w:hAnsi="Arial"/>
          <w:sz w:val="16"/>
          <w:szCs w:val="16"/>
          <w:color w:val="auto"/>
        </w:rPr>
        <w:t>”). Counterparty represents and warrants (which shall be deemed to be repeated on each day that a Transaction is outstanding) that the Capped Number is equal to or less than the number of Shares determined according to the following formula: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B</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authorized but unissued shares of Counterparty that are not reserved for future issuance on the date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the Capped Number;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maximum number of Shares required to be delivered to third parties if Counterparty elected Net Share Settlement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in the Shares (other than Transactions in the Shares under this Master Confirmation) with all third parties that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then currently outstanding and unexercised.</w:t>
      </w:r>
    </w:p>
    <w:p>
      <w:pPr>
        <w:spacing w:after="0" w:line="200" w:lineRule="exact"/>
        <w:rPr>
          <w:sz w:val="20"/>
          <w:szCs w:val="20"/>
          <w:color w:val="auto"/>
        </w:rPr>
      </w:pPr>
    </w:p>
    <w:p>
      <w:pPr>
        <w:sectPr>
          <w:pgSz w:w="11900" w:h="16838" w:orient="portrait"/>
          <w:cols w:equalWidth="0" w:num="3">
            <w:col w:w="920" w:space="160"/>
            <w:col w:w="280" w:space="460"/>
            <w:col w:w="9180"/>
          </w:cols>
          <w:pgMar w:left="440" w:top="274" w:right="45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Reserved Shares</w:t>
      </w:r>
      <w:r>
        <w:rPr>
          <w:rFonts w:ascii="Arial" w:cs="Arial" w:eastAsia="Arial" w:hAnsi="Arial"/>
          <w:sz w:val="16"/>
          <w:szCs w:val="16"/>
          <w:color w:val="auto"/>
        </w:rPr>
        <w:t>” means initially, 5,920,000 Shares. The Reserved Shares may be increased or decreased in a Supplemental Confirmation.</w:t>
      </w:r>
    </w:p>
    <w:p>
      <w:pPr>
        <w:spacing w:after="0" w:line="25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If at any time, as a result of this paragraph 7, Counterparty fails to deliver to JPMorgan any Settlement Shares, Counterparty shall, to the extent that Counterparty has at such time authorized but unissued Shares not reserved for other purposes, promptly notify JPMorgan thereof and deliver to JPMorgan a number of Shares not previously delivered as a result of this paragraph 7. Counterparty agrees to use its best efforts to cause the number of authorized but unissued Shares to be increased, if necessary, to an amount sufficient to permit Counterparty to fulfill its obligation to deliver any Settlement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w:t>
      </w:r>
    </w:p>
    <w:p>
      <w:pPr>
        <w:sectPr>
          <w:pgSz w:w="11900" w:h="16838" w:orient="portrait"/>
          <w:cols w:equalWidth="0" w:num="1">
            <w:col w:w="11000"/>
          </w:cols>
          <w:pgMar w:left="440" w:top="274" w:right="45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PROCEDURES</w:t>
      </w:r>
    </w:p>
    <w:p>
      <w:pPr>
        <w:spacing w:after="0" w:line="22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December 21, 2021</w:t>
      </w:r>
    </w:p>
    <w:p>
      <w:pPr>
        <w:spacing w:after="0" w:line="252" w:lineRule="exact"/>
        <w:rPr>
          <w:sz w:val="20"/>
          <w:szCs w:val="20"/>
          <w:color w:val="auto"/>
        </w:rPr>
      </w:pPr>
    </w:p>
    <w:p>
      <w:pPr>
        <w:ind w:left="960" w:hanging="53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113"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color w:val="auto"/>
        </w:rPr>
        <w:t>Magnachip Semiconductor Corporation (“</w:t>
      </w:r>
      <w:r>
        <w:rPr>
          <w:rFonts w:ascii="Arial" w:cs="Arial" w:eastAsia="Arial" w:hAnsi="Arial"/>
          <w:sz w:val="17"/>
          <w:szCs w:val="17"/>
          <w:b w:val="1"/>
          <w:bCs w:val="1"/>
          <w:color w:val="auto"/>
        </w:rPr>
        <w:t>Counterparty</w:t>
      </w:r>
      <w:r>
        <w:rPr>
          <w:rFonts w:ascii="Arial" w:cs="Arial" w:eastAsia="Arial" w:hAnsi="Arial"/>
          <w:sz w:val="17"/>
          <w:szCs w:val="17"/>
          <w:color w:val="auto"/>
        </w:rPr>
        <w:t>”) and JPMorgan Chase Bank, National Association (“</w:t>
      </w:r>
      <w:r>
        <w:rPr>
          <w:rFonts w:ascii="Arial" w:cs="Arial" w:eastAsia="Arial" w:hAnsi="Arial"/>
          <w:sz w:val="17"/>
          <w:szCs w:val="17"/>
          <w:b w:val="1"/>
          <w:bCs w:val="1"/>
          <w:color w:val="auto"/>
        </w:rPr>
        <w:t>JPMorgan</w:t>
      </w:r>
      <w:r>
        <w:rPr>
          <w:rFonts w:ascii="Arial" w:cs="Arial" w:eastAsia="Arial" w:hAnsi="Arial"/>
          <w:sz w:val="17"/>
          <w:szCs w:val="17"/>
          <w:color w:val="auto"/>
        </w:rPr>
        <w:t>”) have adopted these communications procedures (the “</w:t>
      </w:r>
      <w:r>
        <w:rPr>
          <w:rFonts w:ascii="Arial" w:cs="Arial" w:eastAsia="Arial" w:hAnsi="Arial"/>
          <w:sz w:val="17"/>
          <w:szCs w:val="17"/>
          <w:b w:val="1"/>
          <w:bCs w:val="1"/>
          <w:color w:val="auto"/>
        </w:rPr>
        <w:t>Communications Procedures</w:t>
      </w:r>
      <w:r>
        <w:rPr>
          <w:rFonts w:ascii="Arial" w:cs="Arial" w:eastAsia="Arial" w:hAnsi="Arial"/>
          <w:sz w:val="17"/>
          <w:szCs w:val="17"/>
          <w:color w:val="auto"/>
        </w:rPr>
        <w:t>”) in connection with entering into the Master Confirmation (the “</w:t>
      </w:r>
      <w:r>
        <w:rPr>
          <w:rFonts w:ascii="Arial" w:cs="Arial" w:eastAsia="Arial" w:hAnsi="Arial"/>
          <w:sz w:val="17"/>
          <w:szCs w:val="17"/>
          <w:b w:val="1"/>
          <w:bCs w:val="1"/>
          <w:color w:val="auto"/>
        </w:rPr>
        <w:t>Master</w:t>
      </w:r>
      <w:r>
        <w:rPr>
          <w:rFonts w:ascii="Arial" w:cs="Arial" w:eastAsia="Arial" w:hAnsi="Arial"/>
          <w:sz w:val="17"/>
          <w:szCs w:val="17"/>
          <w:color w:val="auto"/>
        </w:rPr>
        <w:t xml:space="preserve"> </w:t>
      </w:r>
      <w:r>
        <w:rPr>
          <w:rFonts w:ascii="Arial" w:cs="Arial" w:eastAsia="Arial" w:hAnsi="Arial"/>
          <w:sz w:val="17"/>
          <w:szCs w:val="17"/>
          <w:b w:val="1"/>
          <w:bCs w:val="1"/>
          <w:color w:val="auto"/>
        </w:rPr>
        <w:t>Confirmation</w:t>
      </w:r>
      <w:r>
        <w:rPr>
          <w:rFonts w:ascii="Arial" w:cs="Arial" w:eastAsia="Arial" w:hAnsi="Arial"/>
          <w:sz w:val="17"/>
          <w:szCs w:val="17"/>
          <w:color w:val="auto"/>
        </w:rPr>
        <w:t>”), dated as of December 21, 2021, between JPMorgan and Counterparty relating to Uncollared Accelerated Share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These Communications Procedures supplement, form part of, and are subject to the Master Confirmation.</w:t>
      </w:r>
    </w:p>
    <w:p>
      <w:pPr>
        <w:spacing w:after="0" w:line="196" w:lineRule="exact"/>
        <w:rPr>
          <w:sz w:val="20"/>
          <w:szCs w:val="20"/>
          <w:color w:val="auto"/>
        </w:rPr>
      </w:pPr>
    </w:p>
    <w:p>
      <w:pPr>
        <w:ind w:left="960" w:hanging="53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Communications Rules</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For each Transaction, from the Trade Date for such Transaction until the date all payments or deliveries of Shares have been made with respect to such Transaction, Counterparty and its Employees and Designees shall not engage in any Program-Related Communication with, or disclose any Material Non-Public Information to, any EDG Trading Personnel. Except as set forth in the preceding sentence, the Master Confirmation shall not limit Counterparty and its Employees and Designees in their communication with Affiliates and Employees of JPMorgan, including, without limitation, Employees who are EDG Permitted Contacts.</w:t>
      </w:r>
    </w:p>
    <w:p>
      <w:pPr>
        <w:spacing w:after="0" w:line="215"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If, in the sole judgment of any EDG Trading Personnel or any Affiliate or Employee of JPMorgan participating in any Communication with Counterparty or any Employee or Designee of Counterparty, such Communication would not be permitted by these Communications Procedures, such EDG Trading Personnel or Affiliate or Employee of JPMorgan shall immediately terminate such Communication. In such case, or if such EDG Trading Personnel or Affiliate or Employee of JPMorgan determines following completion of any Communication with Counterparty or any Employee or Designee of Counterparty that such Communication was not permitted by these Communications Procedures, such EDG Trading Personnel or such Affiliate or Employee of JPMorgan shall promptly consult with his or her supervisors and with counsel for JPMorgan regarding such Communication. If, in the reasonable judgment of JPMorgan’s counsel following such consultation, there is a more than insignificant risk that such Communication could materially jeopardize the availability of the affirmative defenses provided in Rule 10b5-1 under the Exchange Act with respect to any ongoing or contemplated activities of JPMorgan or its Affiliates in respect of any Transaction pursuant to the Master Confirmation, it shall be an Additional Termination Event pursuant to Section 19(a) of the Master Confirmation, with Counterparty as the sole Affected Party and all Transactions under the Master Confirmation as Affected Transactions.</w:t>
      </w:r>
    </w:p>
    <w:p>
      <w:pPr>
        <w:spacing w:after="0" w:line="20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Capitalized terms used and not otherwise defined herein shall have the meanings ascribed to them in the Master Confirmation. As used herein, the following words and phrases shall have the following meanings:</w:t>
      </w:r>
    </w:p>
    <w:p>
      <w:pPr>
        <w:spacing w:after="0" w:line="58"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means any contact or communication (whether written, electronic, oral or otherwise) between Counterparty or any of its Employees or Designees, on the one hand, and JPMorgan or any of its Affiliates or Employees, on the other hand.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Designee</w:t>
      </w:r>
      <w:r>
        <w:rPr>
          <w:rFonts w:ascii="Arial" w:cs="Arial" w:eastAsia="Arial" w:hAnsi="Arial"/>
          <w:sz w:val="17"/>
          <w:szCs w:val="17"/>
          <w:color w:val="auto"/>
        </w:rPr>
        <w:t>” means a person designated, in writing or orally, by Counterparty to communicate with JPMorgan on behalf of Counterparty.</w:t>
      </w:r>
    </w:p>
    <w:p>
      <w:pPr>
        <w:spacing w:after="0" w:line="129"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EDG Permitted Contact</w:t>
      </w:r>
      <w:r>
        <w:rPr>
          <w:rFonts w:ascii="Arial" w:cs="Arial" w:eastAsia="Arial" w:hAnsi="Arial"/>
          <w:sz w:val="18"/>
          <w:szCs w:val="18"/>
          <w:color w:val="auto"/>
        </w:rPr>
        <w:t xml:space="preserve">” means any of Mr. David Aidelson, Mr. Elliot Chalom, Ms. Yana Chernobilsky, Mr. Ganaraj S. Hegde, Mr. Noah L. Wynkoop, Mr. Brett Chalmers and Mr. Sanjeet Dewal or any of their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JPMorgan may amend the list of EDG Permitted Contacts by delivering a revised list of EDG Permitted Contacts to Counterparty.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1020"/>
          </w:cols>
          <w:pgMar w:left="440" w:top="270" w:right="439" w:bottom="1440" w:gutter="0" w:footer="0" w:header="0"/>
        </w:sectPr>
      </w:pPr>
    </w:p>
    <w:bookmarkStart w:id="37" w:name="page38"/>
    <w:bookmarkEnd w:id="37"/>
    <w:p>
      <w:pPr>
        <w:jc w:val="both"/>
        <w:ind w:right="20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EDG Trading Personnel</w:t>
      </w:r>
      <w:r>
        <w:rPr>
          <w:rFonts w:ascii="Arial" w:cs="Arial" w:eastAsia="Arial" w:hAnsi="Arial"/>
          <w:sz w:val="18"/>
          <w:szCs w:val="18"/>
          <w:color w:val="auto"/>
        </w:rPr>
        <w:t xml:space="preserve">” means Mr. Derek Brown, Mr. Michael Captain, Mr. Spyros Kallipolitis, Ms. Alexandra Molino, Mr. Michael Tatro and any other Employee of the public side of the Equity Derivatives Group of JPMorgan Chase &amp; Co.;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JPMorgan may amend the list of EDG Trading Personnel by delivering a revised list of EDG Trading Personnel to Counterparty;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for the avoidance of doubt, the persons listed as EDG Permitted Contacts are not EDG Trading Personnel.</w:t>
      </w:r>
    </w:p>
    <w:p>
      <w:pPr>
        <w:spacing w:after="0" w:line="7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with respect to any entity, any owner, principal, officer, director, employee or other agent or representative of such entity, and any Affiliate of any of such owner, principal, officer, director, employee, agent or representative.</w:t>
      </w:r>
    </w:p>
    <w:p>
      <w:pPr>
        <w:spacing w:after="0" w:line="5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Non-Public Information</w:t>
      </w:r>
      <w:r>
        <w:rPr>
          <w:rFonts w:ascii="Arial" w:cs="Arial" w:eastAsia="Arial" w:hAnsi="Arial"/>
          <w:sz w:val="17"/>
          <w:szCs w:val="17"/>
          <w:color w:val="auto"/>
        </w:rPr>
        <w:t>” means information relating to Counterparty or the Shares that (a) has not been widely disseminated by wire service, in one or more newspapers of general circulation, by communication from Counterparty to its shareholders or in a press release, or contained in a public filing made by Counterparty with the Securities and Exchange Commission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orders, significant merger or acquisition proposals or agreements, significant new products or discoveries, extraordinary borrowing, major litigation, major liquidity problems, extraordinary management developments, or purchase or sale of substantial assets and similar matters.</w:t>
      </w:r>
    </w:p>
    <w:p>
      <w:pPr>
        <w:spacing w:after="0" w:line="64" w:lineRule="exact"/>
        <w:rPr>
          <w:sz w:val="20"/>
          <w:szCs w:val="20"/>
          <w:color w:val="auto"/>
        </w:rPr>
      </w:pPr>
    </w:p>
    <w:p>
      <w:pPr>
        <w:jc w:val="both"/>
        <w:ind w:right="6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Program-Related Communication</w:t>
      </w:r>
      <w:r>
        <w:rPr>
          <w:rFonts w:ascii="Arial" w:cs="Arial" w:eastAsia="Arial" w:hAnsi="Arial"/>
          <w:sz w:val="18"/>
          <w:szCs w:val="18"/>
          <w:color w:val="auto"/>
        </w:rPr>
        <w:t>” means any Communication the subject matter of which relates to the Master Confirmation or any Transaction under the Master Confirmation or any activities of JPMorgan (or any of its Affiliates) in respect of the Master Confirmation or any Transaction under the Master Confirmation.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B-2</w:t>
      </w:r>
    </w:p>
    <w:p>
      <w:pPr>
        <w:sectPr>
          <w:pgSz w:w="11900" w:h="16838" w:orient="portrait"/>
          <w:cols w:equalWidth="0" w:num="1">
            <w:col w:w="10980"/>
          </w:cols>
          <w:pgMar w:left="440" w:top="270" w:right="4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85670" cy="428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856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Announces New $75 Million Stock Repurchase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Magnachip initiates $37.5 Million Accelerated Stock Repurchase Agreement</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SEOUL, South Korea, December 21, 2021 </w:t>
      </w:r>
      <w:r>
        <w:rPr>
          <w:rFonts w:ascii="Arial" w:cs="Arial" w:eastAsia="Arial" w:hAnsi="Arial"/>
          <w:sz w:val="18"/>
          <w:szCs w:val="18"/>
          <w:color w:val="auto"/>
        </w:rPr>
        <w:t>— Magnachip Semiconductor Corporation (“Magnachip Corp.” or the “Company”) (NYSE: MX),</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the Board of Directors has authorized the Company to repurchase up to $75 million of the Company’s common stock. As an immediate step towards implementing the approved stock repurchase program, the Company has entered into an accelerated stock repurchase agreement (the “ASR Agreement”) with JPMorgan Chase Bank, National Association (“JPM”) to repurchase an aggregate of $37.5 million of Magnachip’s common stock.</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Pursuant to the terms of the ASR Agreement dated December 21, 2021, the Company will pay JPM $37.5 million in cash and will receive an initial delivery of approximately 1.0 million shares of the Company’s common stock. The final number of shares of common stock to ultimately be repurchased by the Company will generally be based on the average of the daily volume-weighted average stock prices of the Company’s common stock during the valuation period of the ASR Agreement, less a discount and subject to adjustments. Upon final settlement of the ASR Agreement, the Company may be entitled to receive additional shares of common stock from JPM or, under certain circumstances specified in the ASR Agreement, the Company may be required to deliver shares of common stock or make a cash payment, at its option, to JPM. The ASR Agreement contains provisions customary for agreements of this type, including provisions for adjustments to the transaction terms, the circumstances under which the ASR Agreement may be accelerated, extended or terminated early by JPM and various acknowledgments, representations and warranties made by the parties to one another. Final settlement of the ASR Agreement is expected to occur during the fiscal quarter ending March 31, 2022.</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“Today’s announcement reflects the confidence of the management team and our Board of Directors in Magnachip’s financial strength, long-term growth strategy and ability to generate sustainable cash flow,” said YJ Kim, Magnachip’s chief executive officer. “It is also consistent with our commitment to enhance and return value to our shareholders. Our business has sound long-term fundamentals and we are poised to accelerate our MX 3.0 strategy, which we look forward to articulating in more detail at our investor call on January 6,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 xml:space="preserve">Magnachip will host an investor conference call at 5:00 pm Eastern time on January 6, 2022. The investor call will be webcast live and also is available by dialing toll-free at </w:t>
      </w:r>
      <w:r>
        <w:rPr>
          <w:rFonts w:ascii="Arial" w:cs="Arial" w:eastAsia="Arial" w:hAnsi="Arial"/>
          <w:sz w:val="17"/>
          <w:szCs w:val="17"/>
          <w:b w:val="1"/>
          <w:bCs w:val="1"/>
          <w:color w:val="auto"/>
        </w:rPr>
        <w:t>1-844-536-5472</w:t>
      </w:r>
      <w:r>
        <w:rPr>
          <w:rFonts w:ascii="Arial" w:cs="Arial" w:eastAsia="Arial" w:hAnsi="Arial"/>
          <w:sz w:val="17"/>
          <w:szCs w:val="17"/>
          <w:color w:val="auto"/>
        </w:rPr>
        <w:t xml:space="preserve"> in US/Canada. International call-in participants can dial </w:t>
      </w:r>
      <w:r>
        <w:rPr>
          <w:rFonts w:ascii="Arial" w:cs="Arial" w:eastAsia="Arial" w:hAnsi="Arial"/>
          <w:sz w:val="17"/>
          <w:szCs w:val="17"/>
          <w:b w:val="1"/>
          <w:bCs w:val="1"/>
          <w:color w:val="auto"/>
        </w:rPr>
        <w:t>1-614-999-9318</w:t>
      </w:r>
      <w:r>
        <w:rPr>
          <w:rFonts w:ascii="Arial" w:cs="Arial" w:eastAsia="Arial" w:hAnsi="Arial"/>
          <w:sz w:val="17"/>
          <w:szCs w:val="17"/>
          <w:color w:val="auto"/>
        </w:rPr>
        <w:t>. The conference ID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VPLEX 15F, 501 Teheran-ro, Gangnam-gu, Seoul, South Korea 06168</w:t>
      </w:r>
    </w:p>
    <w:p>
      <w:pPr>
        <w:sectPr>
          <w:pgSz w:w="11900" w:h="16838" w:orient="portrait"/>
          <w:cols w:equalWidth="0" w:num="1">
            <w:col w:w="11020"/>
          </w:cols>
          <w:pgMar w:left="440" w:top="121" w:right="439" w:bottom="1440" w:gutter="0" w:footer="0" w:header="0"/>
        </w:sectPr>
      </w:pPr>
    </w:p>
    <w:bookmarkStart w:id="39" w:name="page40"/>
    <w:bookmarkEnd w:id="39"/>
    <w:p>
      <w:pPr>
        <w:ind w:right="2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57175"/>
                    </a:xfrm>
                    <a:prstGeom prst="rect">
                      <a:avLst/>
                    </a:prstGeom>
                    <a:noFill/>
                  </pic:spPr>
                </pic:pic>
              </a:graphicData>
            </a:graphic>
          </wp:anchor>
        </w:drawing>
        <w:t xml:space="preserve">number is </w:t>
      </w:r>
      <w:r>
        <w:rPr>
          <w:rFonts w:ascii="Arial" w:cs="Arial" w:eastAsia="Arial" w:hAnsi="Arial"/>
          <w:sz w:val="18"/>
          <w:szCs w:val="18"/>
          <w:b w:val="1"/>
          <w:bCs w:val="1"/>
          <w:color w:val="auto"/>
        </w:rPr>
        <w:t>9163925.</w:t>
      </w:r>
      <w:r>
        <w:rPr>
          <w:rFonts w:ascii="Arial" w:cs="Arial" w:eastAsia="Arial" w:hAnsi="Arial"/>
          <w:sz w:val="18"/>
          <w:szCs w:val="18"/>
          <w:color w:val="auto"/>
        </w:rPr>
        <w:t xml:space="preserve"> Participants are encouraged to initiate their calls at least 10 minutes in advance of the start time to ensure a timely connection. A live and archived webcast of the call will be accessible from the ‘Investors’ section of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A replay of the conference call will be available until 8:00 pm ET on January 13, 2022. The replay dial-in numbers are </w:t>
      </w:r>
      <w:r>
        <w:rPr>
          <w:rFonts w:ascii="Arial" w:cs="Arial" w:eastAsia="Arial" w:hAnsi="Arial"/>
          <w:sz w:val="18"/>
          <w:szCs w:val="18"/>
          <w:b w:val="1"/>
          <w:bCs w:val="1"/>
          <w:color w:val="auto"/>
        </w:rPr>
        <w:t>1-404-537-3406</w:t>
      </w:r>
      <w:r>
        <w:rPr>
          <w:rFonts w:ascii="Arial" w:cs="Arial" w:eastAsia="Arial" w:hAnsi="Arial"/>
          <w:sz w:val="18"/>
          <w:szCs w:val="18"/>
          <w:color w:val="auto"/>
        </w:rPr>
        <w:t xml:space="preserve"> or toll-free at </w:t>
      </w:r>
      <w:r>
        <w:rPr>
          <w:rFonts w:ascii="Arial" w:cs="Arial" w:eastAsia="Arial" w:hAnsi="Arial"/>
          <w:sz w:val="18"/>
          <w:szCs w:val="18"/>
          <w:b w:val="1"/>
          <w:bCs w:val="1"/>
          <w:color w:val="auto"/>
        </w:rPr>
        <w:t>1-855-859-2056</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9163925.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impact of changes in macroeconomic and/or general economic conditions, including those caused by or related to the COVID-19 outbreak, recessions, economic instability and the outbreak of disease;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823" w:right="459" w:bottom="1440" w:gutter="0" w:footer="0" w:header="0"/>
        </w:sectPr>
      </w:pPr>
    </w:p>
    <w:bookmarkStart w:id="40" w:name="page41"/>
    <w:bookmarkEnd w:id="40"/>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57175"/>
                    </a:xfrm>
                    <a:prstGeom prst="rect">
                      <a:avLst/>
                    </a:prstGeom>
                    <a:noFill/>
                  </pic:spPr>
                </pic:pic>
              </a:graphicData>
            </a:graphic>
          </wp:anchor>
        </w:drawing>
        <w:t xml:space="preserve">well as reduced consumer and business spending affecting demand for Magnachip’s products due to government and private sector mandatory business closures, travel restrictions or the like to prevent the spread of disease;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the Company undertakes no obligation to update them in light of new information or future events.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the United States: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Jeong Consulting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investor.relations@magnachip.com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82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lowerRoman"/>
      <w:start w:val="1"/>
    </w:lvl>
  </w:abstractNum>
  <w:abstractNum w:abstractNumId="3">
    <w:nsid w:val="79838CB2"/>
    <w:multiLevelType w:val="hybridMultilevel"/>
    <w:lvl w:ilvl="0">
      <w:lvlJc w:val="left"/>
      <w:lvlText w:val="(%1)"/>
      <w:numFmt w:val="lowerRoman"/>
      <w:start w:val="1"/>
    </w:lvl>
  </w:abstractNum>
  <w:abstractNum w:abstractNumId="4">
    <w:nsid w:val="4353D0CD"/>
    <w:multiLevelType w:val="hybridMultilevel"/>
    <w:lvl w:ilvl="0">
      <w:lvlJc w:val="left"/>
      <w:lvlText w:val="(%1)"/>
      <w:numFmt w:val="lowerRoman"/>
      <w:start w:val="2"/>
    </w:lvl>
  </w:abstractNum>
  <w:abstractNum w:abstractNumId="5">
    <w:nsid w:val="B03E0C6"/>
    <w:multiLevelType w:val="hybridMultilevel"/>
    <w:lvl w:ilvl="0">
      <w:lvlJc w:val="left"/>
      <w:lvlText w:val="(%1)"/>
      <w:numFmt w:val="lowerRoman"/>
      <w:start w:val="2"/>
    </w:lvl>
  </w:abstractNum>
  <w:abstractNum w:abstractNumId="6">
    <w:nsid w:val="189A769B"/>
    <w:multiLevelType w:val="hybridMultilevel"/>
    <w:lvl w:ilvl="0">
      <w:lvlJc w:val="left"/>
      <w:lvlText w:val="%1."/>
      <w:numFmt w:val="decimal"/>
      <w:start w:val="3"/>
    </w:lvl>
    <w:lvl w:ilvl="1">
      <w:lvlJc w:val="left"/>
      <w:lvlText w:val="(%2)"/>
      <w:numFmt w:val="lowerLetter"/>
      <w:start w:val="1"/>
    </w:lvl>
  </w:abstractNum>
  <w:abstractNum w:abstractNumId="7">
    <w:nsid w:val="54E49EB4"/>
    <w:multiLevelType w:val="hybridMultilevel"/>
    <w:lvl w:ilvl="0">
      <w:lvlJc w:val="left"/>
      <w:lvlText w:val="(%1)"/>
      <w:numFmt w:val="lowerLetter"/>
      <w:start w:val="2"/>
    </w:lvl>
  </w:abstractNum>
  <w:abstractNum w:abstractNumId="8">
    <w:nsid w:val="71F32454"/>
    <w:multiLevelType w:val="hybridMultilevel"/>
    <w:lvl w:ilvl="0">
      <w:lvlJc w:val="left"/>
      <w:lvlText w:val="%1."/>
      <w:numFmt w:val="decimal"/>
      <w:start w:val="4"/>
    </w:lvl>
    <w:lvl w:ilvl="1">
      <w:lvlJc w:val="left"/>
      <w:lvlText w:val="(%2)"/>
      <w:numFmt w:val="lowerLetter"/>
      <w:start w:val="1"/>
    </w:lvl>
  </w:abstractNum>
  <w:abstractNum w:abstractNumId="9">
    <w:nsid w:val="2CA88611"/>
    <w:multiLevelType w:val="hybridMultilevel"/>
    <w:lvl w:ilvl="0">
      <w:lvlJc w:val="left"/>
      <w:lvlText w:val="(%1)"/>
      <w:numFmt w:val="lowerLetter"/>
      <w:start w:val="2"/>
    </w:lvl>
  </w:abstractNum>
  <w:abstractNum w:abstractNumId="10">
    <w:nsid w:val="836C40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2901D82"/>
    <w:multiLevelType w:val="hybridMultilevel"/>
    <w:lvl w:ilvl="0">
      <w:lvlJc w:val="left"/>
      <w:lvlText w:val="(%1)"/>
      <w:numFmt w:val="lowerLetter"/>
      <w:start w:val="2"/>
    </w:lvl>
    <w:lvl w:ilvl="1">
      <w:lvlJc w:val="left"/>
      <w:lvlText w:val="(%2)"/>
      <w:numFmt w:val="lowerRoman"/>
      <w:start w:val="1"/>
    </w:lvl>
  </w:abstractNum>
  <w:abstractNum w:abstractNumId="12">
    <w:nsid w:val="3A95F874"/>
    <w:multiLevelType w:val="hybridMultilevel"/>
    <w:lvl w:ilvl="0">
      <w:lvlJc w:val="left"/>
      <w:lvlText w:val="(%1)"/>
      <w:numFmt w:val="lowerRoman"/>
      <w:start w:val="11"/>
    </w:lvl>
  </w:abstractNum>
  <w:abstractNum w:abstractNumId="13">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6"/>
    </w:lvl>
  </w:abstractNum>
  <w:abstractNum w:abstractNumId="14">
    <w:nsid w:val="1E7FF52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7C3DBD3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
    <w:nsid w:val="737B8DDC"/>
    <w:multiLevelType w:val="hybridMultilevel"/>
    <w:lvl w:ilvl="0">
      <w:lvlJc w:val="left"/>
      <w:lvlText w:val="%1."/>
      <w:numFmt w:val="decimal"/>
      <w:start w:val="8"/>
    </w:lvl>
    <w:lvl w:ilvl="1">
      <w:lvlJc w:val="left"/>
      <w:lvlText w:val="(%2)"/>
      <w:numFmt w:val="lowerLetter"/>
      <w:start w:val="1"/>
    </w:lvl>
  </w:abstractNum>
  <w:abstractNum w:abstractNumId="17">
    <w:nsid w:val="6CEAF08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8">
    <w:nsid w:val="22221A7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9">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
    <w:nsid w:val="3006C8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614FD4A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2">
    <w:nsid w:val="419AC241"/>
    <w:multiLevelType w:val="hybridMultilevel"/>
    <w:lvl w:ilvl="0">
      <w:lvlJc w:val="left"/>
      <w:lvlText w:val="%1."/>
      <w:numFmt w:val="decimal"/>
      <w:start w:val="15"/>
    </w:lvl>
  </w:abstractNum>
  <w:abstractNum w:abstractNumId="23">
    <w:nsid w:val="5577F8E1"/>
    <w:multiLevelType w:val="hybridMultilevel"/>
    <w:lvl w:ilvl="0">
      <w:lvlJc w:val="left"/>
      <w:lvlText w:val="%1."/>
      <w:numFmt w:val="decimal"/>
      <w:start w:val="17"/>
    </w:lvl>
    <w:lvl w:ilvl="1">
      <w:lvlJc w:val="left"/>
      <w:lvlText w:val="(%2)"/>
      <w:numFmt w:val="lowerLetter"/>
      <w:start w:val="1"/>
    </w:lvl>
  </w:abstractNum>
  <w:abstractNum w:abstractNumId="24">
    <w:nsid w:val="440BADFC"/>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25">
    <w:nsid w:val="5072367"/>
    <w:multiLevelType w:val="hybridMultilevel"/>
    <w:lvl w:ilvl="0">
      <w:lvlJc w:val="left"/>
      <w:lvlText w:val="%1"/>
      <w:numFmt w:val="lowerLetter"/>
      <w:start w:val="1"/>
    </w:lvl>
    <w:lvl w:ilvl="1">
      <w:lvlJc w:val="left"/>
      <w:lvlText w:val="(%2)"/>
      <w:numFmt w:val="lowerLetter"/>
      <w:start w:val="35"/>
    </w:lvl>
  </w:abstractNum>
  <w:abstractNum w:abstractNumId="26">
    <w:nsid w:val="3804823E"/>
    <w:multiLevelType w:val="hybridMultilevel"/>
    <w:lvl w:ilvl="0">
      <w:lvlJc w:val="left"/>
      <w:lvlText w:val="(%1)"/>
      <w:numFmt w:val="lowerLetter"/>
      <w:start w:val="7"/>
    </w:lvl>
    <w:lvl w:ilvl="1">
      <w:lvlJc w:val="left"/>
      <w:lvlText w:val="(%2)"/>
      <w:numFmt w:val="lowerLetter"/>
      <w:start w:val="9"/>
    </w:lvl>
  </w:abstractNum>
  <w:abstractNum w:abstractNumId="27">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8">
    <w:nsid w:val="7724C67E"/>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29">
    <w:nsid w:val="5C482A97"/>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abstractNum>
  <w:abstractNum w:abstractNumId="30">
    <w:nsid w:val="2463B9EA"/>
    <w:multiLevelType w:val="hybridMultilevel"/>
    <w:lvl w:ilvl="0">
      <w:lvlJc w:val="left"/>
      <w:lvlText w:val="%1."/>
      <w:numFmt w:val="decimal"/>
      <w:start w:val="28"/>
    </w:lvl>
  </w:abstractNum>
  <w:abstractNum w:abstractNumId="31">
    <w:nsid w:val="5E884ADC"/>
    <w:multiLevelType w:val="hybridMultilevel"/>
    <w:lvl w:ilvl="0">
      <w:lvlJc w:val="left"/>
      <w:lvlText w:val="%1."/>
      <w:numFmt w:val="decimal"/>
      <w:start w:val="32"/>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3"/>
    </w:lvl>
  </w:abstractNum>
  <w:abstractNum w:abstractNumId="34">
    <w:nsid w:val="580BD78F"/>
    <w:multiLevelType w:val="hybridMultilevel"/>
    <w:lvl w:ilvl="0">
      <w:lvlJc w:val="left"/>
      <w:lvlText w:val="1"/>
      <w:numFmt w:val="bullet"/>
      <w:start w:val="1"/>
    </w:lvl>
  </w:abstractNum>
  <w:abstractNum w:abstractNumId="35">
    <w:nsid w:val="153EA438"/>
    <w:multiLevelType w:val="hybridMultilevel"/>
    <w:lvl w:ilvl="0">
      <w:lvlJc w:val="left"/>
      <w:lvlText w:val="%1."/>
      <w:numFmt w:val="decimal"/>
      <w:start w:val="4"/>
    </w:lvl>
  </w:abstractNum>
  <w:abstractNum w:abstractNumId="36">
    <w:nsid w:val="3855585C"/>
    <w:multiLevelType w:val="hybridMultilevel"/>
    <w:lvl w:ilvl="0">
      <w:lvlJc w:val="left"/>
      <w:lvlText w:val="%1"/>
      <w:numFmt w:val="decimal"/>
      <w:start w:val="383"/>
    </w:lvl>
  </w:abstractNum>
  <w:abstractNum w:abstractNumId="37">
    <w:nsid w:val="70A64E2A"/>
    <w:multiLevelType w:val="hybridMultilevel"/>
    <w:lvl w:ilvl="0">
      <w:lvlJc w:val="left"/>
      <w:lvlText w:val="%1."/>
      <w:numFmt w:val="decimal"/>
      <w:start w:val="2"/>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3"/>
    </w:lvl>
  </w:abstractNum>
  <w:abstractNum w:abstractNumId="41">
    <w:nsid w:val="725A06FB"/>
    <w:multiLevelType w:val="hybridMultilevel"/>
    <w:lvl w:ilvl="0">
      <w:lvlJc w:val="left"/>
      <w:lvlText w:val="%1."/>
      <w:numFmt w:val="decimal"/>
      <w:start w:val="5"/>
    </w:lvl>
  </w:abstractNum>
  <w:abstractNum w:abstractNumId="42">
    <w:nsid w:val="2CD89A32"/>
    <w:multiLevelType w:val="hybridMultilevel"/>
    <w:lvl w:ilvl="0">
      <w:lvlJc w:val="left"/>
      <w:lvlText w:val="%1."/>
      <w:numFmt w:val="decimal"/>
      <w:start w:val="7"/>
    </w:lvl>
  </w:abstractNum>
  <w:abstractNum w:abstractNumId="43">
    <w:nsid w:val="57E4CCAF"/>
    <w:multiLevelType w:val="hybridMultilevel"/>
    <w:lvl w:ilvl="0">
      <w:lvlJc w:val="left"/>
      <w:lvlText w:val="%1."/>
      <w:numFmt w:val="upperLetter"/>
      <w:start w:val="9"/>
    </w:lvl>
  </w:abstractNum>
  <w:abstractNum w:abstractNumId="44">
    <w:nsid w:val="7A6D8D3C"/>
    <w:multiLevelType w:val="hybridMultilevel"/>
    <w:lvl w:ilvl="0">
      <w:lvlJc w:val="left"/>
      <w:lvlText w:val="%1."/>
      <w:numFmt w:val="upperLetter"/>
      <w:start w:val="35"/>
    </w:lvl>
  </w:abstractNum>
  <w:abstractNum w:abstractNumId="45">
    <w:nsid w:val="4B588F54"/>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2021-12-23T05:10:47Z</dcterms:created>
  <dcterms:modified xsi:type="dcterms:W3CDTF">2021-12-23T05:10:47Z</dcterms:modified>
</cp:coreProperties>
</file>