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MAGNACHIP SEMICONDUCTOR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be converted into MagnaChip Semiconductor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60" w:type="dxa"/>
            <w:vAlign w:val="bottom"/>
          </w:tcPr>
          <w:p>
            <w:pPr>
              <w:jc w:val="center"/>
              <w:ind w:right="333"/>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54"/>
              <w:spacing w:after="0"/>
              <w:rPr>
                <w:sz w:val="20"/>
                <w:szCs w:val="20"/>
                <w:color w:val="auto"/>
              </w:rPr>
            </w:pPr>
            <w:r>
              <w:rPr>
                <w:rFonts w:ascii="Arial" w:cs="Arial" w:eastAsia="Arial" w:hAnsi="Arial"/>
                <w:sz w:val="18"/>
                <w:szCs w:val="18"/>
                <w:b w:val="1"/>
                <w:bCs w:val="1"/>
                <w:color w:val="auto"/>
                <w:w w:val="89"/>
              </w:rPr>
              <w:t>26-1815025</w:t>
            </w:r>
          </w:p>
        </w:tc>
      </w:tr>
      <w:tr>
        <w:trPr>
          <w:trHeight w:val="230"/>
        </w:trPr>
        <w:tc>
          <w:tcPr>
            <w:tcW w:w="5860" w:type="dxa"/>
            <w:vAlign w:val="bottom"/>
          </w:tcPr>
          <w:p>
            <w:pPr>
              <w:jc w:val="center"/>
              <w:ind w:right="353"/>
              <w:spacing w:after="0"/>
              <w:rPr>
                <w:sz w:val="20"/>
                <w:szCs w:val="20"/>
                <w:color w:val="auto"/>
              </w:rPr>
            </w:pPr>
            <w:r>
              <w:rPr>
                <w:rFonts w:ascii="Arial" w:cs="Arial" w:eastAsia="Arial" w:hAnsi="Arial"/>
                <w:sz w:val="18"/>
                <w:szCs w:val="18"/>
                <w:color w:val="auto"/>
                <w:w w:val="91"/>
              </w:rPr>
              <w:t>(State of incorporation or organization)</w:t>
            </w:r>
          </w:p>
        </w:tc>
        <w:tc>
          <w:tcPr>
            <w:tcW w:w="5560" w:type="dxa"/>
            <w:vAlign w:val="bottom"/>
          </w:tcPr>
          <w:p>
            <w:pPr>
              <w:jc w:val="center"/>
              <w:ind w:left="54"/>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860" w:type="dxa"/>
            <w:vAlign w:val="bottom"/>
          </w:tcPr>
          <w:p>
            <w:pPr>
              <w:jc w:val="center"/>
              <w:ind w:right="333"/>
              <w:spacing w:after="0"/>
              <w:rPr>
                <w:sz w:val="20"/>
                <w:szCs w:val="20"/>
                <w:color w:val="auto"/>
              </w:rPr>
            </w:pPr>
            <w:r>
              <w:rPr>
                <w:rFonts w:ascii="Arial" w:cs="Arial" w:eastAsia="Arial" w:hAnsi="Arial"/>
                <w:sz w:val="18"/>
                <w:szCs w:val="18"/>
                <w:b w:val="1"/>
                <w:bCs w:val="1"/>
                <w:color w:val="auto"/>
                <w:w w:val="90"/>
              </w:rPr>
              <w:t>c/o MagnaChip Semiconductor S.A.</w:t>
            </w:r>
          </w:p>
        </w:tc>
        <w:tc>
          <w:tcPr>
            <w:tcW w:w="5560" w:type="dxa"/>
            <w:vAlign w:val="bottom"/>
          </w:tcPr>
          <w:p>
            <w:pPr>
              <w:spacing w:after="0"/>
              <w:rPr>
                <w:sz w:val="24"/>
                <w:szCs w:val="24"/>
                <w:color w:val="auto"/>
              </w:rPr>
            </w:pPr>
          </w:p>
        </w:tc>
      </w:tr>
      <w:tr>
        <w:trPr>
          <w:trHeight w:val="216"/>
        </w:trPr>
        <w:tc>
          <w:tcPr>
            <w:tcW w:w="5860" w:type="dxa"/>
            <w:vAlign w:val="bottom"/>
          </w:tcPr>
          <w:p>
            <w:pPr>
              <w:jc w:val="center"/>
              <w:ind w:right="333"/>
              <w:spacing w:after="0"/>
              <w:rPr>
                <w:sz w:val="20"/>
                <w:szCs w:val="20"/>
                <w:color w:val="auto"/>
              </w:rPr>
            </w:pPr>
            <w:r>
              <w:rPr>
                <w:rFonts w:ascii="Arial" w:cs="Arial" w:eastAsia="Arial" w:hAnsi="Arial"/>
                <w:sz w:val="18"/>
                <w:szCs w:val="18"/>
                <w:b w:val="1"/>
                <w:bCs w:val="1"/>
                <w:color w:val="auto"/>
                <w:w w:val="92"/>
              </w:rPr>
              <w:t>74, rue de Merl, B.P. 709, L-2146</w:t>
            </w:r>
          </w:p>
        </w:tc>
        <w:tc>
          <w:tcPr>
            <w:tcW w:w="5560" w:type="dxa"/>
            <w:vAlign w:val="bottom"/>
          </w:tcPr>
          <w:p>
            <w:pPr>
              <w:spacing w:after="0"/>
              <w:rPr>
                <w:sz w:val="18"/>
                <w:szCs w:val="18"/>
                <w:color w:val="auto"/>
              </w:rPr>
            </w:pPr>
          </w:p>
        </w:tc>
      </w:tr>
      <w:tr>
        <w:trPr>
          <w:trHeight w:val="216"/>
        </w:trPr>
        <w:tc>
          <w:tcPr>
            <w:tcW w:w="5860" w:type="dxa"/>
            <w:vAlign w:val="bottom"/>
          </w:tcPr>
          <w:p>
            <w:pPr>
              <w:jc w:val="center"/>
              <w:ind w:right="353"/>
              <w:spacing w:after="0"/>
              <w:rPr>
                <w:sz w:val="20"/>
                <w:szCs w:val="20"/>
                <w:color w:val="auto"/>
              </w:rPr>
            </w:pPr>
            <w:r>
              <w:rPr>
                <w:rFonts w:ascii="Arial" w:cs="Arial" w:eastAsia="Arial" w:hAnsi="Arial"/>
                <w:sz w:val="18"/>
                <w:szCs w:val="18"/>
                <w:b w:val="1"/>
                <w:bCs w:val="1"/>
                <w:color w:val="auto"/>
                <w:w w:val="91"/>
              </w:rPr>
              <w:t>Luxembourg R.C.S.,</w:t>
            </w:r>
          </w:p>
        </w:tc>
        <w:tc>
          <w:tcPr>
            <w:tcW w:w="5560" w:type="dxa"/>
            <w:vAlign w:val="bottom"/>
          </w:tcPr>
          <w:p>
            <w:pPr>
              <w:spacing w:after="0"/>
              <w:rPr>
                <w:sz w:val="18"/>
                <w:szCs w:val="18"/>
                <w:color w:val="auto"/>
              </w:rPr>
            </w:pPr>
          </w:p>
        </w:tc>
      </w:tr>
      <w:tr>
        <w:trPr>
          <w:trHeight w:val="220"/>
        </w:trPr>
        <w:tc>
          <w:tcPr>
            <w:tcW w:w="5860" w:type="dxa"/>
            <w:vAlign w:val="bottom"/>
          </w:tcPr>
          <w:p>
            <w:pPr>
              <w:jc w:val="center"/>
              <w:ind w:right="353"/>
              <w:spacing w:after="0"/>
              <w:rPr>
                <w:sz w:val="20"/>
                <w:szCs w:val="20"/>
                <w:color w:val="auto"/>
              </w:rPr>
            </w:pPr>
            <w:r>
              <w:rPr>
                <w:rFonts w:ascii="Arial" w:cs="Arial" w:eastAsia="Arial" w:hAnsi="Arial"/>
                <w:sz w:val="18"/>
                <w:szCs w:val="18"/>
                <w:b w:val="1"/>
                <w:bCs w:val="1"/>
                <w:color w:val="auto"/>
                <w:w w:val="91"/>
              </w:rPr>
              <w:t>Luxembourg B97483</w:t>
            </w:r>
          </w:p>
        </w:tc>
        <w:tc>
          <w:tcPr>
            <w:tcW w:w="5560" w:type="dxa"/>
            <w:vAlign w:val="bottom"/>
          </w:tcPr>
          <w:p>
            <w:pPr>
              <w:jc w:val="center"/>
              <w:ind w:left="34"/>
              <w:spacing w:after="0"/>
              <w:rPr>
                <w:sz w:val="20"/>
                <w:szCs w:val="20"/>
                <w:color w:val="auto"/>
              </w:rPr>
            </w:pPr>
            <w:r>
              <w:rPr>
                <w:rFonts w:ascii="Arial" w:cs="Arial" w:eastAsia="Arial" w:hAnsi="Arial"/>
                <w:sz w:val="18"/>
                <w:szCs w:val="18"/>
                <w:b w:val="1"/>
                <w:bCs w:val="1"/>
                <w:color w:val="auto"/>
                <w:w w:val="92"/>
              </w:rPr>
              <w:t>Not Applicable</w:t>
            </w:r>
          </w:p>
        </w:tc>
      </w:tr>
      <w:tr>
        <w:trPr>
          <w:trHeight w:val="230"/>
        </w:trPr>
        <w:tc>
          <w:tcPr>
            <w:tcW w:w="5860" w:type="dxa"/>
            <w:vAlign w:val="bottom"/>
          </w:tcPr>
          <w:p>
            <w:pPr>
              <w:jc w:val="center"/>
              <w:ind w:right="353"/>
              <w:spacing w:after="0"/>
              <w:rPr>
                <w:sz w:val="20"/>
                <w:szCs w:val="20"/>
                <w:color w:val="auto"/>
              </w:rPr>
            </w:pPr>
            <w:r>
              <w:rPr>
                <w:rFonts w:ascii="Arial" w:cs="Arial" w:eastAsia="Arial" w:hAnsi="Arial"/>
                <w:sz w:val="18"/>
                <w:szCs w:val="18"/>
                <w:color w:val="auto"/>
                <w:w w:val="92"/>
              </w:rPr>
              <w:t>(Address of principal executive offices)</w:t>
            </w:r>
          </w:p>
        </w:tc>
        <w:tc>
          <w:tcPr>
            <w:tcW w:w="5560" w:type="dxa"/>
            <w:vAlign w:val="bottom"/>
          </w:tcPr>
          <w:p>
            <w:pPr>
              <w:jc w:val="center"/>
              <w:ind w:left="34"/>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2"/>
          </w:tcPr>
          <w:p>
            <w:pPr>
              <w:ind w:left="3440"/>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346"/>
        </w:trPr>
        <w:tc>
          <w:tcPr>
            <w:tcW w:w="5860" w:type="dxa"/>
            <w:vAlign w:val="bottom"/>
          </w:tcPr>
          <w:p>
            <w:pPr>
              <w:jc w:val="center"/>
              <w:ind w:right="333"/>
              <w:spacing w:after="0"/>
              <w:rPr>
                <w:sz w:val="20"/>
                <w:szCs w:val="20"/>
                <w:color w:val="auto"/>
              </w:rPr>
            </w:pPr>
            <w:r>
              <w:rPr>
                <w:rFonts w:ascii="Arial" w:cs="Arial" w:eastAsia="Arial" w:hAnsi="Arial"/>
                <w:sz w:val="14"/>
                <w:szCs w:val="14"/>
                <w:color w:val="auto"/>
                <w:w w:val="92"/>
              </w:rPr>
              <w:t>Title of each class</w:t>
            </w:r>
          </w:p>
        </w:tc>
        <w:tc>
          <w:tcPr>
            <w:tcW w:w="5560" w:type="dxa"/>
            <w:vAlign w:val="bottom"/>
          </w:tcPr>
          <w:p>
            <w:pPr>
              <w:jc w:val="center"/>
              <w:ind w:left="54"/>
              <w:spacing w:after="0"/>
              <w:rPr>
                <w:sz w:val="20"/>
                <w:szCs w:val="20"/>
                <w:color w:val="auto"/>
              </w:rPr>
            </w:pPr>
            <w:r>
              <w:rPr>
                <w:rFonts w:ascii="Arial" w:cs="Arial" w:eastAsia="Arial" w:hAnsi="Arial"/>
                <w:sz w:val="14"/>
                <w:szCs w:val="14"/>
                <w:color w:val="auto"/>
                <w:w w:val="91"/>
              </w:rPr>
              <w:t>Name of each exchange on which</w:t>
            </w:r>
          </w:p>
        </w:tc>
      </w:tr>
      <w:tr>
        <w:trPr>
          <w:trHeight w:val="167"/>
        </w:trPr>
        <w:tc>
          <w:tcPr>
            <w:tcW w:w="58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color w:val="auto"/>
                <w:w w:val="89"/>
              </w:rPr>
              <w:t>to be so registered</w:t>
            </w:r>
          </w:p>
        </w:tc>
        <w:tc>
          <w:tcPr>
            <w:tcW w:w="556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color w:val="auto"/>
                <w:w w:val="90"/>
              </w:rPr>
              <w:t>each class is to be registered</w:t>
            </w:r>
          </w:p>
        </w:tc>
      </w:tr>
      <w:tr>
        <w:trPr>
          <w:trHeight w:val="223"/>
        </w:trPr>
        <w:tc>
          <w:tcPr>
            <w:tcW w:w="5860" w:type="dxa"/>
            <w:vAlign w:val="bottom"/>
            <w:tcBorders>
              <w:bottom w:val="single" w:sz="8" w:color="auto"/>
            </w:tcBorders>
          </w:tcPr>
          <w:p>
            <w:pPr>
              <w:jc w:val="center"/>
              <w:ind w:right="353"/>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556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b w:val="1"/>
                <w:bCs w:val="1"/>
                <w:color w:val="auto"/>
                <w:w w:val="89"/>
              </w:rPr>
              <w:t>New York Stock Exchange</w:t>
            </w:r>
            <w:r>
              <w:rPr>
                <w:rFonts w:ascii="Arial" w:cs="Arial" w:eastAsia="Arial" w:hAnsi="Arial"/>
                <w:sz w:val="18"/>
                <w:szCs w:val="18"/>
                <w:color w:val="auto"/>
                <w:w w:val="89"/>
              </w:rPr>
              <w:t>†</w:t>
            </w:r>
          </w:p>
        </w:tc>
      </w:tr>
      <w:tr>
        <w:trPr>
          <w:trHeight w:val="205"/>
        </w:trPr>
        <w:tc>
          <w:tcPr>
            <w:tcW w:w="5860" w:type="dxa"/>
            <w:vAlign w:val="bottom"/>
          </w:tcPr>
          <w:p>
            <w:pPr>
              <w:jc w:val="center"/>
              <w:ind w:right="373"/>
              <w:spacing w:after="0" w:line="205" w:lineRule="exact"/>
              <w:rPr>
                <w:sz w:val="20"/>
                <w:szCs w:val="20"/>
                <w:color w:val="auto"/>
              </w:rPr>
            </w:pPr>
            <w:r>
              <w:rPr>
                <w:rFonts w:ascii="Arial" w:cs="Arial" w:eastAsia="Arial" w:hAnsi="Arial"/>
                <w:sz w:val="18"/>
                <w:szCs w:val="18"/>
                <w:b w:val="1"/>
                <w:bCs w:val="1"/>
                <w:color w:val="auto"/>
                <w:w w:val="87"/>
              </w:rPr>
              <w:t>Depositary Shares, each representing one</w:t>
            </w:r>
          </w:p>
        </w:tc>
        <w:tc>
          <w:tcPr>
            <w:tcW w:w="5560" w:type="dxa"/>
            <w:vAlign w:val="bottom"/>
          </w:tcPr>
          <w:p>
            <w:pPr>
              <w:jc w:val="center"/>
              <w:ind w:left="34"/>
              <w:spacing w:after="0" w:line="205" w:lineRule="exact"/>
              <w:rPr>
                <w:sz w:val="20"/>
                <w:szCs w:val="20"/>
                <w:color w:val="auto"/>
              </w:rPr>
            </w:pPr>
            <w:r>
              <w:rPr>
                <w:rFonts w:ascii="Arial" w:cs="Arial" w:eastAsia="Arial" w:hAnsi="Arial"/>
                <w:sz w:val="18"/>
                <w:szCs w:val="18"/>
                <w:b w:val="1"/>
                <w:bCs w:val="1"/>
                <w:color w:val="auto"/>
                <w:w w:val="89"/>
              </w:rPr>
              <w:t>New York Stock Exchange</w:t>
            </w:r>
            <w:r>
              <w:rPr>
                <w:rFonts w:ascii="Arial" w:cs="Arial" w:eastAsia="Arial" w:hAnsi="Arial"/>
                <w:sz w:val="18"/>
                <w:szCs w:val="18"/>
                <w:color w:val="auto"/>
                <w:w w:val="89"/>
              </w:rPr>
              <w:t>†</w:t>
            </w:r>
          </w:p>
        </w:tc>
      </w:tr>
      <w:tr>
        <w:trPr>
          <w:trHeight w:val="234"/>
        </w:trPr>
        <w:tc>
          <w:tcPr>
            <w:tcW w:w="5860" w:type="dxa"/>
            <w:vAlign w:val="bottom"/>
          </w:tcPr>
          <w:p>
            <w:pPr>
              <w:jc w:val="center"/>
              <w:ind w:right="353"/>
              <w:spacing w:after="0"/>
              <w:rPr>
                <w:sz w:val="20"/>
                <w:szCs w:val="20"/>
                <w:color w:val="auto"/>
              </w:rPr>
            </w:pPr>
            <w:r>
              <w:rPr>
                <w:rFonts w:ascii="Arial" w:cs="Arial" w:eastAsia="Arial" w:hAnsi="Arial"/>
                <w:sz w:val="18"/>
                <w:szCs w:val="18"/>
                <w:b w:val="1"/>
                <w:bCs w:val="1"/>
                <w:color w:val="auto"/>
                <w:w w:val="88"/>
              </w:rPr>
              <w:t>share of common stock, par value $0.01</w:t>
            </w:r>
          </w:p>
        </w:tc>
        <w:tc>
          <w:tcPr>
            <w:tcW w:w="5560" w:type="dxa"/>
            <w:vAlign w:val="bottom"/>
          </w:tcPr>
          <w:p>
            <w:pPr>
              <w:spacing w:after="0"/>
              <w:rPr>
                <w:sz w:val="20"/>
                <w:szCs w:val="20"/>
                <w:color w:val="auto"/>
              </w:rPr>
            </w:pPr>
          </w:p>
        </w:tc>
      </w:tr>
    </w:tbl>
    <w:p>
      <w:pPr>
        <w:spacing w:after="0" w:line="94"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333-165467</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121" w:lineRule="exact"/>
        <w:rPr>
          <w:sz w:val="24"/>
          <w:szCs w:val="24"/>
          <w:color w:val="auto"/>
        </w:rPr>
      </w:pPr>
    </w:p>
    <w:p>
      <w:pPr>
        <w:ind w:left="220" w:right="60" w:hanging="212"/>
        <w:spacing w:after="0" w:line="259"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MagnaChip Semiconductor LLC, a limited liability company organized under the laws of Delaware, is the registrant filing this Registration Statement. Prior to the listing of the common stock and depositary shares on the New York Stock Exchange, MagnaChip Semiconductor LLC will be converted into a corporation organized under the laws of Delaware, pursuant to the Delaware Limited Liability Company Act Section 18-216 and the Delaware General Corporation Law Section 265 and renamed MagnaChip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546100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Semiconductor Corporation. The common stock and depositary shares to be listed on the New York Stock Exchange and referred to herein are securities of 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3" w:lineRule="exact"/>
        <w:rPr>
          <w:sz w:val="20"/>
          <w:szCs w:val="20"/>
          <w:color w:val="auto"/>
        </w:rPr>
      </w:pPr>
    </w:p>
    <w:p>
      <w:pPr>
        <w:ind w:left="46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disclosed in the registration statement on Form S-1 (No. 333-165467) relating to the registrant’s initial public offering (the “Registration Statement”), all of the shares of common stock sold in such offering will be sold in the form of depositary shares. Each depositary share represents an ownership interest in one share of common stock. Approximately forty-five days after the effective date of the Registration Statement, each holder of depositary shares will be credited with a number of shares of common stock equal to the number of depositary shares held by such holder on that date, and the depositary shares will be canceled. Until such cancellation of the depositary shares, holders of depositary shares will be entitled to all proportional rights and preferences of the shares of common stock underlying such depositary shares. Accordingly, application is made for listing of the common stock of the registrant, but such shares will not trade until the depositary shares are 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For a description of the securities to be registered hereunder, reference is made to the information set forth under the headings “Description of Capital Stock” and “Description of Depositary Shares” in the prospectus included in the registrant’s Registration Statement on Form S-1 (File No. 333-165467), originally filed with the Securities and Exchange Commission on March 15, 2010, as amended by any amendments to such Registration Statement, which description is incorporated by reference herein. In addition, any prospectus subsequently filed pursuant to Rule 424(b) under the Securities Act of 1933, as amended, is deemed to be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r>
        <w:rPr>
          <w:rFonts w:ascii="Arial" w:cs="Arial" w:eastAsia="Arial" w:hAnsi="Arial"/>
          <w:sz w:val="18"/>
          <w:szCs w:val="18"/>
          <w:color w:val="auto"/>
        </w:rPr>
        <w:t>.</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registered on the New York Stock Exchange and the securities registered hereby are not being registered pursuant to Section 12(g)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MAGNACHIP SEMICONDUCTOR LLC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June 21, 2010</w:t>
      </w:r>
      <w:r>
        <w:rPr>
          <w:sz w:val="20"/>
          <w:szCs w:val="20"/>
          <w:color w:val="auto"/>
        </w:rPr>
        <w:tab/>
      </w:r>
      <w:r>
        <w:rPr>
          <w:rFonts w:ascii="Arial" w:cs="Arial" w:eastAsia="Arial" w:hAnsi="Arial"/>
          <w:sz w:val="16"/>
          <w:szCs w:val="16"/>
          <w:color w:val="auto"/>
        </w:rPr>
        <w:t>By:  /s/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14605</wp:posOffset>
            </wp:positionV>
            <wp:extent cx="2795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John McFarland</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1220"/>
      </w:cols>
      <w:pgMar w:left="240" w:top="95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2019-12-11T01:47:02Z</dcterms:created>
  <dcterms:modified xsi:type="dcterms:W3CDTF">2019-12-11T01:47:02Z</dcterms:modified>
</cp:coreProperties>
</file>