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540" w:right="100" w:hanging="424"/>
        <w:spacing w:after="0" w:line="262"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80"/>
        <w:spacing w:after="0"/>
        <w:tabs>
          <w:tab w:leader="none" w:pos="6700" w:val="left"/>
          <w:tab w:leader="none" w:pos="7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431165</wp:posOffset>
            </wp:positionV>
            <wp:extent cx="2777490"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83-0406195</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 MagnaChip Semiconductor S.A.</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 Allée Scheffer, L-2520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Luxembourg, Grand Duchy of Luxembourg</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(352) 45-62-62</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left="120" w:right="2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26" w:right="439" w:bottom="0" w:gutter="0" w:footer="0" w:header="0"/>
        </w:sectPr>
      </w:pP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340"/>
            <w:col w:w="5760" w:space="720"/>
            <w:col w:w="1700" w:space="720"/>
            <w:col w:w="160"/>
          </w:cols>
          <w:pgMar w:left="320" w:top="226" w:right="439" w:bottom="0" w:gutter="0" w:footer="0" w:header="0"/>
          <w:type w:val="continuous"/>
        </w:sectPr>
      </w:pP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40" w:space="440"/>
            <w:col w:w="5760" w:space="720"/>
            <w:col w:w="1960" w:space="460"/>
            <w:col w:w="160"/>
          </w:cols>
          <w:pgMar w:left="320" w:top="226" w:right="439" w:bottom="0" w:gutter="0" w:footer="0" w:header="0"/>
          <w:type w:val="continuous"/>
        </w:sectPr>
      </w:pPr>
    </w:p>
    <w:bookmarkStart w:id="1" w:name="page2"/>
    <w:bookmarkEnd w:id="1"/>
    <w:p>
      <w:pPr>
        <w:ind w:left="8440"/>
        <w:spacing w:after="0" w:line="207" w:lineRule="exact"/>
        <w:tabs>
          <w:tab w:leader="none" w:pos="108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ind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31, 2022, the registrant had 44,903,718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0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PART I FINANCIAL INFORMATION</w:t>
            </w:r>
          </w:p>
        </w:tc>
        <w:tc>
          <w:tcPr>
            <w:tcW w:w="7560" w:type="dxa"/>
            <w:vAlign w:val="bottom"/>
            <w:gridSpan w:val="17"/>
            <w:vMerge w:val="restart"/>
          </w:tcPr>
          <w:p>
            <w:pPr>
              <w:spacing w:after="0"/>
              <w:rPr>
                <w:sz w:val="15"/>
                <w:szCs w:val="15"/>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8"/>
            <w:vMerge w:val="continue"/>
          </w:tcPr>
          <w:p>
            <w:pPr>
              <w:spacing w:after="0"/>
              <w:rPr>
                <w:sz w:val="13"/>
                <w:szCs w:val="13"/>
                <w:color w:val="auto"/>
              </w:rPr>
            </w:pPr>
          </w:p>
        </w:tc>
        <w:tc>
          <w:tcPr>
            <w:tcW w:w="7560" w:type="dxa"/>
            <w:vAlign w:val="bottom"/>
            <w:gridSpan w:val="17"/>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39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Interim Consolidated Financial Statements (Unaudited)</w:t>
            </w:r>
          </w:p>
        </w:tc>
        <w:tc>
          <w:tcPr>
            <w:tcW w:w="5200" w:type="dxa"/>
            <w:vAlign w:val="bottom"/>
            <w:gridSpan w:val="11"/>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Balance Sheets as of June 30, 2022 and</w:t>
            </w:r>
          </w:p>
        </w:tc>
        <w:tc>
          <w:tcPr>
            <w:tcW w:w="12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December 31, 2021</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Statements of Operations for the Three and Six</w:t>
            </w:r>
          </w:p>
        </w:tc>
        <w:tc>
          <w:tcPr>
            <w:tcW w:w="6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Months Ended June 30, 2022 and 2021</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Statements of Comprehensive Loss for the Three and</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June 30, 2022 and 2021</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Statements of Changes in Stockholders’ Equity for</w:t>
            </w:r>
          </w:p>
        </w:tc>
        <w:tc>
          <w:tcPr>
            <w:tcW w:w="4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the Three and Six Months Ended June 30, 2022 and 2021</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Consolidated Statements of Cash Flows for the Six Months Ended</w:t>
            </w:r>
          </w:p>
        </w:tc>
        <w:tc>
          <w:tcPr>
            <w:tcW w:w="2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June 30, 2022 and 2021</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and Subsidiaries Notes to Consolidated Financial Statements</w:t>
            </w:r>
          </w:p>
        </w:tc>
        <w:tc>
          <w:tcPr>
            <w:tcW w:w="190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tcPr>
          <w:p>
            <w:pPr>
              <w:spacing w:after="0"/>
              <w:rPr>
                <w:sz w:val="17"/>
                <w:szCs w:val="17"/>
                <w:color w:val="auto"/>
              </w:rPr>
            </w:pPr>
          </w:p>
        </w:tc>
        <w:tc>
          <w:tcPr>
            <w:tcW w:w="274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7420" w:type="dxa"/>
            <w:vAlign w:val="bottom"/>
            <w:gridSpan w:val="1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04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7860" w:type="dxa"/>
            <w:vAlign w:val="bottom"/>
            <w:gridSpan w:val="1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840" w:type="dxa"/>
            <w:vAlign w:val="bottom"/>
            <w:gridSpan w:val="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6860" w:type="dxa"/>
            <w:vAlign w:val="bottom"/>
            <w:gridSpan w:val="1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Mine Safety Disclosures</w:t>
            </w:r>
          </w:p>
        </w:tc>
        <w:tc>
          <w:tcPr>
            <w:tcW w:w="7420" w:type="dxa"/>
            <w:vAlign w:val="bottom"/>
            <w:gridSpan w:val="1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880" w:type="dxa"/>
            <w:vAlign w:val="bottom"/>
            <w:gridSpan w:val="20"/>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Interim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273,797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279,547</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50,954</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39,370</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receivables (Note 16)</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25,895</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Hedge collateral (Note 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 (Note 17)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23"/>
        </w:trPr>
        <w:tc>
          <w:tcPr>
            <w:tcW w:w="79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96,832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107,882</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4,275</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41,095</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575,725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583,654</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38,143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37,593</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6,289</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 (Note 6)</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11,823</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 (Notes 7 and 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23"/>
        </w:trPr>
        <w:tc>
          <w:tcPr>
            <w:tcW w:w="79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33,064</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10,395</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127,578</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56,234,774 shares issued and</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44,903,718 outstanding at June 30, 2022 and 55,905,320 shares issued and 45,659,304 outstanding at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241,197</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343,542</w:t>
            </w:r>
          </w:p>
        </w:tc>
        <w:tc>
          <w:tcPr>
            <w:tcW w:w="0" w:type="dxa"/>
            <w:vAlign w:val="bottom"/>
          </w:tcPr>
          <w:p>
            <w:pPr>
              <w:spacing w:after="0"/>
              <w:rPr>
                <w:sz w:val="1"/>
                <w:szCs w:val="1"/>
                <w:color w:val="auto"/>
              </w:rPr>
            </w:pPr>
          </w:p>
        </w:tc>
      </w:tr>
      <w:tr>
        <w:trPr>
          <w:trHeight w:val="198"/>
        </w:trPr>
        <w:tc>
          <w:tcPr>
            <w:tcW w:w="79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Treasury stock, 11,331,056 shares at June 30, 2022 and 10,246,016 shares at December 31, 2021,</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(148,523)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(130,306)</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448,147</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452,762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575,725</w:t>
            </w:r>
          </w:p>
        </w:tc>
        <w:tc>
          <w:tcPr>
            <w:tcW w:w="1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0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4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55"/>
        </w:trPr>
        <w:tc>
          <w:tcPr>
            <w:tcW w:w="4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center"/>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4"/>
              </w:rPr>
              <w:t>thousands of U.S.</w:t>
            </w:r>
          </w:p>
        </w:tc>
        <w:tc>
          <w:tcPr>
            <w:tcW w:w="4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w w:val="80"/>
              </w:rPr>
              <w:t>dollars,</w:t>
            </w: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except share</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data)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91,288</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103,268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185,298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216,174</w:t>
            </w: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10,608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20,171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20,721</w:t>
            </w:r>
          </w:p>
        </w:tc>
      </w:tr>
      <w:tr>
        <w:trPr>
          <w:trHeight w:val="223"/>
        </w:trPr>
        <w:tc>
          <w:tcPr>
            <w:tcW w:w="4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205,469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236,895</w:t>
            </w:r>
          </w:p>
        </w:tc>
        <w:tc>
          <w:tcPr>
            <w:tcW w:w="12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70,409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119,700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149,656</w:t>
            </w: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9,497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17,828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18,887</w:t>
            </w:r>
          </w:p>
        </w:tc>
      </w:tr>
      <w:tr>
        <w:trPr>
          <w:trHeight w:val="230"/>
        </w:trPr>
        <w:tc>
          <w:tcPr>
            <w:tcW w:w="4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137,528</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168,543</w:t>
            </w:r>
          </w:p>
        </w:tc>
        <w:tc>
          <w:tcPr>
            <w:tcW w:w="12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33,970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67,941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68,352</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14,001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26,899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26,635</w:t>
            </w: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13,322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25,364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26,745</w:t>
            </w: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Merger-related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2,459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12,290</w:t>
            </w: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2,561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3,146</w:t>
            </w:r>
          </w:p>
        </w:tc>
      </w:tr>
      <w:tr>
        <w:trPr>
          <w:trHeight w:val="27"/>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32,343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53,060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68,816</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(7,702)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(4,421)</w:t>
            </w: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1,231</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2,601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2,586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2,891</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44,897,278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w w:val="98"/>
              </w:rPr>
              <w:t>46,322,027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w w:val="96"/>
              </w:rPr>
              <w:t>45,248,293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43,324,088</w:t>
            </w:r>
          </w:p>
        </w:tc>
      </w:tr>
      <w:tr>
        <w:trPr>
          <w:trHeight w:val="216"/>
        </w:trPr>
        <w:tc>
          <w:tcPr>
            <w:tcW w:w="4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44,897,278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w w:val="98"/>
              </w:rPr>
              <w:t>46,322,027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w w:val="96"/>
              </w:rPr>
              <w:t>46,329,559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43,324,088</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(Unaudited)</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7"/>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6"/>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1"/>
        </w:trPr>
        <w:tc>
          <w:tcPr>
            <w:tcW w:w="7480" w:type="dxa"/>
            <w:vAlign w:val="bottom"/>
          </w:tcPr>
          <w:p>
            <w:pPr>
              <w:spacing w:after="0"/>
              <w:rPr>
                <w:sz w:val="11"/>
                <w:szCs w:val="11"/>
                <w:color w:val="auto"/>
              </w:rPr>
            </w:pPr>
          </w:p>
        </w:tc>
        <w:tc>
          <w:tcPr>
            <w:tcW w:w="760" w:type="dxa"/>
            <w:vAlign w:val="bottom"/>
            <w:tcBorders>
              <w:top w:val="single" w:sz="8" w:color="auto"/>
            </w:tcBorders>
            <w:gridSpan w:val="4"/>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1"/>
                <w:szCs w:val="11"/>
                <w:color w:val="auto"/>
              </w:rPr>
            </w:pPr>
          </w:p>
        </w:tc>
      </w:tr>
      <w:tr>
        <w:trPr>
          <w:trHeight w:val="173"/>
        </w:trPr>
        <w:tc>
          <w:tcPr>
            <w:tcW w:w="7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56"/>
        </w:trPr>
        <w:tc>
          <w:tcPr>
            <w:tcW w:w="7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1"/>
              </w:rPr>
              <w:t>(In</w:t>
            </w:r>
          </w:p>
        </w:tc>
        <w:tc>
          <w:tcPr>
            <w:tcW w:w="84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thousands of</w:t>
            </w:r>
          </w:p>
        </w:tc>
        <w:tc>
          <w:tcPr>
            <w:tcW w:w="880" w:type="dxa"/>
            <w:vAlign w:val="bottom"/>
            <w:gridSpan w:val="3"/>
          </w:tcPr>
          <w:p>
            <w:pPr>
              <w:jc w:val="right"/>
              <w:ind w:right="1"/>
              <w:spacing w:after="0" w:line="155"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adjustments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Fair valuation of derivatives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16"/>
        </w:trPr>
        <w:tc>
          <w:tcPr>
            <w:tcW w:w="7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Reclassification adjustment for loss (gain) on derivatives included in net income (loss)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7"/>
        </w:trPr>
        <w:tc>
          <w:tcPr>
            <w:tcW w:w="7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(12,299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69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Borders>
              <w:bottom w:val="single" w:sz="8" w:color="auto"/>
            </w:tcBorders>
            <w:gridSpan w:val="5"/>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281"/>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280" w:type="dxa"/>
            <w:vAlign w:val="bottom"/>
            <w:gridSpan w:val="2"/>
            <w:vMerge w:val="restart"/>
          </w:tcPr>
          <w:p>
            <w:pPr>
              <w:spacing w:after="0"/>
              <w:rPr>
                <w:sz w:val="10"/>
                <w:szCs w:val="10"/>
                <w:color w:val="auto"/>
              </w:rPr>
            </w:pPr>
          </w:p>
        </w:tc>
        <w:tc>
          <w:tcPr>
            <w:tcW w:w="110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4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1000" w:type="dxa"/>
            <w:vAlign w:val="bottom"/>
            <w:gridSpan w:val="2"/>
          </w:tcPr>
          <w:p>
            <w:pPr>
              <w:jc w:val="right"/>
              <w:ind w:right="281"/>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940" w:type="dxa"/>
            <w:vAlign w:val="bottom"/>
            <w:tcBorders>
              <w:bottom w:val="single" w:sz="8" w:color="auto"/>
            </w:tcBorders>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000" w:type="dxa"/>
            <w:vAlign w:val="bottom"/>
            <w:gridSpan w:val="2"/>
          </w:tcPr>
          <w:p>
            <w:pPr>
              <w:jc w:val="right"/>
              <w:ind w:right="381"/>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940" w:type="dxa"/>
            <w:vAlign w:val="bottom"/>
            <w:gridSpan w:val="2"/>
          </w:tcPr>
          <w:p>
            <w:pPr>
              <w:jc w:val="center"/>
              <w:ind w:right="301"/>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44,894,385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562</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$261,830</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$353,070</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$(148,523)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(5,777)</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$461,162</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1,988</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8,333</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(11,543)</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(11,543)</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23"/>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44,903,718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263,698</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349,730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(148,523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448,147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46,257,413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555</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$250,829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$279,361</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$(109,407)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(991)</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$420,347</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2,405</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92,532</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66</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46,350,945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253,244</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279,163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(109,407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422,631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5"/>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281"/>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280" w:type="dxa"/>
            <w:vAlign w:val="bottom"/>
            <w:gridSpan w:val="2"/>
            <w:vMerge w:val="restart"/>
          </w:tcPr>
          <w:p>
            <w:pPr>
              <w:spacing w:after="0"/>
              <w:rPr>
                <w:sz w:val="10"/>
                <w:szCs w:val="10"/>
                <w:color w:val="auto"/>
              </w:rPr>
            </w:pPr>
          </w:p>
        </w:tc>
        <w:tc>
          <w:tcPr>
            <w:tcW w:w="110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4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1000" w:type="dxa"/>
            <w:vAlign w:val="bottom"/>
            <w:gridSpan w:val="2"/>
          </w:tcPr>
          <w:p>
            <w:pPr>
              <w:jc w:val="right"/>
              <w:ind w:right="281"/>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940" w:type="dxa"/>
            <w:vAlign w:val="bottom"/>
            <w:tcBorders>
              <w:bottom w:val="single" w:sz="8" w:color="auto"/>
            </w:tcBorders>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000" w:type="dxa"/>
            <w:vAlign w:val="bottom"/>
            <w:gridSpan w:val="2"/>
          </w:tcPr>
          <w:p>
            <w:pPr>
              <w:jc w:val="right"/>
              <w:ind w:right="381"/>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3"/>
          </w:tcPr>
          <w:p>
            <w:pPr>
              <w:jc w:val="center"/>
              <w:ind w:right="81"/>
              <w:spacing w:after="0" w:line="160"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45,659,304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559</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$241,197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$343,542</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$(130,306)</w:t>
            </w:r>
          </w:p>
        </w:tc>
        <w:tc>
          <w:tcPr>
            <w:tcW w:w="2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(2,230)</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$452,762</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152,326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1,785</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177,128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(53,464)</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Accelerated stock repurchase</w:t>
            </w:r>
          </w:p>
        </w:tc>
        <w:tc>
          <w:tcPr>
            <w:tcW w:w="11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(1,031,576)</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17,217</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(17,217)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(15,090)</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(15,090)</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44,903,718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263,698</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349,730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(148,523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448,147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35,783,347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450</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$163,010</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$286,834</w:t>
            </w: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$(108,397)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3,703</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$345,600</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4,051</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Exchange of exchangeable senior notes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10,144,131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83,639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83,740</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176,760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2,547</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298,162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1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(51,455)</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(4,628)</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(7,671)</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46,350,945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253,244</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279,163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(109,407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422,631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8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8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56"/>
        </w:trPr>
        <w:tc>
          <w:tcPr>
            <w:tcW w:w="894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of</w:t>
            </w:r>
          </w:p>
        </w:tc>
        <w:tc>
          <w:tcPr>
            <w:tcW w:w="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20" w:type="dxa"/>
            <w:vAlign w:val="bottom"/>
          </w:tcPr>
          <w:p>
            <w:pPr>
              <w:spacing w:after="0"/>
              <w:rPr>
                <w:sz w:val="13"/>
                <w:szCs w:val="13"/>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6,188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(7,671)</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7,602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6,998</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3,240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3,507</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100" w:type="dxa"/>
            <w:vAlign w:val="bottom"/>
          </w:tcPr>
          <w:p>
            <w:pPr>
              <w:spacing w:after="0"/>
              <w:rPr>
                <w:sz w:val="18"/>
                <w:szCs w:val="18"/>
                <w:color w:val="auto"/>
              </w:rPr>
            </w:pPr>
          </w:p>
        </w:tc>
        <w:tc>
          <w:tcPr>
            <w:tcW w:w="10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foreign currency,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29,183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13,353</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0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5,282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3,346</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3,626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4,051</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(12,377)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5,098</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(5,486)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(7,170)</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11,640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(4,841)</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8,623</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2,429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(5,861)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(2,298)</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(11,513)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(10,249)</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(2,153)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(2,934)</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(2,836)</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24,965</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10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2,805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(6,844)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(4,866)</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100" w:type="dxa"/>
            <w:vAlign w:val="bottom"/>
          </w:tcPr>
          <w:p>
            <w:pPr>
              <w:spacing w:after="0"/>
              <w:rPr>
                <w:sz w:val="18"/>
                <w:szCs w:val="18"/>
                <w:color w:val="auto"/>
              </w:rPr>
            </w:pPr>
          </w:p>
        </w:tc>
        <w:tc>
          <w:tcPr>
            <w:tcW w:w="10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(1,049)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(4,960)</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(6,738)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(9,550)</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1,786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2,549</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(1,826)</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principal portion of finance lease liabilities</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(23,644)</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(9,451)</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(5,750)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(8,060)</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279,547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279,940</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273,797</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271,880</w:t>
            </w:r>
          </w:p>
        </w:tc>
        <w:tc>
          <w:tcPr>
            <w:tcW w:w="12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2,094</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14,022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11,227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additions in other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4,050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of exchangeable senior notes into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83,740</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698" w:right="4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40"/>
          </w:cols>
          <w:pgMar w:left="320" w:top="698"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Magnachip Semiconductor Corporation (together with its subsidiaries, the “Company”) is a designer and manufacturer of analog and mixed-signal semiconductor platform solutions for communications, Internet of Things (“IoT”) applications, consumer, computing, industrial and automotive applications.</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computing, servers, automotive, and industrial applications.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September 1, 2020, the Company completed the sale of the Company’s Foundry Services Group business and its fabrication facility located in Cheongju, Korea, known as “Fab 4”. Following the consummation of the sale, and for up to three years, the Company is expected to provide transitional foundry services associated with its fabrication facility located in Gumi, Korea, known as “Fab 3”, at an agreed upon cost plus mark-up (the “Transitional Fab 3 Foundry Services”).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and six months ended June 30, 2022 are not necessarily indicative of the results to be expected for a full year or for any other periods.</w:t>
      </w:r>
    </w:p>
    <w:p>
      <w:pPr>
        <w:spacing w:after="0" w:line="17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December 31, 2021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2021.</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of and for the six months ended June 30, 2022 as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compared to the significant accounting policies described in the Company’s Annual Report on Form 10-K for the fiscal year ended December 31, 2021.</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No. 2020-06, “Debt—Debt with Conversion and Other Options (Subtopic 470-20) and Derivatives and Hedging—Contracts in Entity’s Own Equity (Subtopic 815-40)” (“ASU 2020-06”), which updates various codification topics to simplify the accounting guidance for certain financial instruments with characteristics of liabilities and equity, with a specific focus on convertible instruments and the derivative scope exception for contracts in an entity’s own equity and amends the diluted EPS computation for these instruments. The Company adopted ASU 2020-06 as of January 1, 2022, and the adoption of ASU 2020-06 did not have an impact on the Company’s consolidated financial statements.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ASU 2021-04 clarifies the accounting for modifications or exchanges of freestanding equity-classified written call options so that the transaction should be treated as an exchange of the original instrument for a new instrument. The Company adopted ASU 2021-04 as of January 1, 2022, and the adoption of ASU 2021-04 did not have an impact on the Company’s consolidated financial statements.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as of June 30, 2022 and December 31, 2021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1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 and work-in-process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30,443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25,968</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10,305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Materials in-transit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inventory reserve</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(10,206)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(5,730)</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39,370</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inventory reserve for the three and six months ended June 30, 2022 and 2021 are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73"/>
        </w:trPr>
        <w:tc>
          <w:tcPr>
            <w:tcW w:w="5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1120" w:type="dxa"/>
            <w:vAlign w:val="bottom"/>
            <w:gridSpan w:val="2"/>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5"/>
                <w:szCs w:val="15"/>
                <w:color w:val="auto"/>
              </w:rPr>
            </w:pPr>
          </w:p>
        </w:tc>
        <w:tc>
          <w:tcPr>
            <w:tcW w:w="100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56"/>
        </w:trPr>
        <w:tc>
          <w:tcPr>
            <w:tcW w:w="52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June</w:t>
            </w:r>
          </w:p>
        </w:tc>
        <w:tc>
          <w:tcPr>
            <w:tcW w:w="5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30, 2022</w:t>
            </w: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June</w:t>
            </w:r>
          </w:p>
        </w:tc>
        <w:tc>
          <w:tcPr>
            <w:tcW w:w="5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30, 2021</w:t>
            </w: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(5,555)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(6,281)</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reserve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reserve charged to costs of sales</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(7,700)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(3,186)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previously reserved inventory</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2,324</w:t>
            </w:r>
          </w:p>
        </w:tc>
        <w:tc>
          <w:tcPr>
            <w:tcW w:w="160" w:type="dxa"/>
            <w:vAlign w:val="bottom"/>
          </w:tcPr>
          <w:p>
            <w:pPr>
              <w:spacing w:after="0"/>
              <w:rPr>
                <w:sz w:val="18"/>
                <w:szCs w:val="18"/>
                <w:color w:val="auto"/>
              </w:rPr>
            </w:pPr>
          </w:p>
        </w:tc>
        <w:tc>
          <w:tcPr>
            <w:tcW w:w="10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1,343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1,977</w:t>
            </w:r>
          </w:p>
        </w:tc>
      </w:tr>
      <w:tr>
        <w:trPr>
          <w:trHeight w:val="27"/>
        </w:trPr>
        <w:tc>
          <w:tcPr>
            <w:tcW w:w="5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(5,376)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Write off</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8"/>
                <w:szCs w:val="18"/>
                <w:color w:val="auto"/>
              </w:rPr>
            </w:pPr>
          </w:p>
        </w:tc>
        <w:tc>
          <w:tcPr>
            <w:tcW w:w="10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54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320" w:top="482" w:right="8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as of June 30, 2022 and December 31, 2021 are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related structures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97,397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30,554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32,396</w:t>
            </w:r>
          </w:p>
        </w:tc>
      </w:tr>
      <w:tr>
        <w:trPr>
          <w:trHeight w:val="27"/>
        </w:trPr>
        <w:tc>
          <w:tcPr>
            <w:tcW w:w="6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150,903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162,285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(92,527)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(94,119)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12,744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25,712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25,818</w:t>
            </w:r>
          </w:p>
        </w:tc>
      </w:tr>
      <w:tr>
        <w:trPr>
          <w:trHeight w:val="27"/>
        </w:trPr>
        <w:tc>
          <w:tcPr>
            <w:tcW w:w="6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96,832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107,882</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depreciation expenses totaled $7,239 thousand and $6,626 thousand for the six months ended June 30, 2022 and 2021,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as of June 30, 2022 and December 31, 2021 are comprised of the following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1"/>
        </w:trPr>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0" w:type="dxa"/>
            <w:vAlign w:val="bottom"/>
            <w:gridSpan w:val="4"/>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1"/>
                <w:szCs w:val="11"/>
                <w:color w:val="auto"/>
              </w:rPr>
            </w:pPr>
          </w:p>
        </w:tc>
      </w:t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8,711</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360" w:type="dxa"/>
            <w:vAlign w:val="bottom"/>
            <w:tcBorders>
              <w:top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1,979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8,711</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360" w:type="dxa"/>
            <w:vAlign w:val="bottom"/>
          </w:tcPr>
          <w:p>
            <w:pPr>
              <w:jc w:val="right"/>
              <w:ind w:right="281"/>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1,979</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1"/>
        </w:trPr>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0" w:type="dxa"/>
            <w:vAlign w:val="bottom"/>
            <w:gridSpan w:val="4"/>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1"/>
                <w:szCs w:val="11"/>
                <w:color w:val="auto"/>
              </w:rPr>
            </w:pPr>
          </w:p>
        </w:tc>
      </w:t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9,312</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360" w:type="dxa"/>
            <w:vAlign w:val="bottom"/>
            <w:tcBorders>
              <w:top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2,377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9,312</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360" w:type="dxa"/>
            <w:vAlign w:val="bottom"/>
          </w:tcPr>
          <w:p>
            <w:pPr>
              <w:jc w:val="right"/>
              <w:ind w:right="281"/>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2,377</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Aggregate amortization expenses for intangible assets totaled $363 thousand and $372 thousand for the six months ended June 30, 2022 and 2021,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operating and finance leases for buildings and other assets such as vehicles and office equipment. The Company’s leases have remaining lease terms ranging from 1 year to 4 years.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tables below present financial information related to the Company’s leases.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balance sheets information related to leases as of June 30, 2022 and December 31, 2021 are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60" w:type="dxa"/>
            <w:vAlign w:val="bottom"/>
            <w:vMerge w:val="restart"/>
          </w:tcPr>
          <w:p>
            <w:pPr>
              <w:spacing w:after="0"/>
              <w:rPr>
                <w:sz w:val="13"/>
                <w:szCs w:val="13"/>
                <w:color w:val="auto"/>
              </w:rPr>
            </w:pPr>
          </w:p>
        </w:tc>
        <w:tc>
          <w:tcPr>
            <w:tcW w:w="282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6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940" w:type="dxa"/>
            <w:vAlign w:val="bottom"/>
            <w:gridSpan w:val="4"/>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3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w:t>
            </w: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$3,322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4,275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w:t>
            </w:r>
          </w:p>
        </w:tc>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3,409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$1,838</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w:t>
            </w: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Non-current operating lease liabilities</w:t>
            </w: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w:t>
            </w:r>
          </w:p>
        </w:tc>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3,421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w:t>
            </w: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2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2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2.2 years</w:t>
            </w:r>
          </w:p>
        </w:tc>
        <w:tc>
          <w:tcPr>
            <w:tcW w:w="16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2.4 years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 years</w:t>
            </w: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8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2820" w:type="dxa"/>
            <w:vAlign w:val="bottom"/>
          </w:tcPr>
          <w:p>
            <w:pPr>
              <w:spacing w:after="0"/>
              <w:rPr>
                <w:sz w:val="20"/>
                <w:szCs w:val="20"/>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7.75%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lease cost included in the Company’s consolidated statements of operations, are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780" w:type="dxa"/>
            <w:vAlign w:val="bottom"/>
            <w:tcBorders>
              <w:top w:val="single" w:sz="8" w:color="auto"/>
            </w:tcBorders>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5"/>
                <w:szCs w:val="15"/>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7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746</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table does not include an immaterial cost of short-term leases for the six months ended June 30, 2022 and 2021.</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320" w:top="482" w:right="6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lease information is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1"/>
        </w:trPr>
        <w:tc>
          <w:tcPr>
            <w:tcW w:w="6620" w:type="dxa"/>
            <w:vAlign w:val="bottom"/>
          </w:tcPr>
          <w:p>
            <w:pPr>
              <w:spacing w:after="0"/>
              <w:rPr>
                <w:sz w:val="11"/>
                <w:szCs w:val="11"/>
                <w:color w:val="auto"/>
              </w:rPr>
            </w:pPr>
          </w:p>
        </w:tc>
        <w:tc>
          <w:tcPr>
            <w:tcW w:w="7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1"/>
                <w:szCs w:val="11"/>
                <w:color w:val="auto"/>
              </w:rPr>
            </w:pPr>
          </w:p>
        </w:tc>
      </w:tr>
      <w:tr>
        <w:trPr>
          <w:trHeight w:val="173"/>
        </w:trPr>
        <w:tc>
          <w:tcPr>
            <w:tcW w:w="662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8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5"/>
                <w:szCs w:val="15"/>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7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612</w:t>
            </w: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727</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$1,407</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future lease payments for operating and finance leases as of June 30, 2022 are as follows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future payments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as of June 30, 2022 and December 31, 2021 are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benefits and related taxes, excluding severance benefits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 attributable to intercompany interest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2,871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service fees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1,395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15,426</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698" w:right="8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Derivative Financial Instruments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Company’s Korean subsidiary from time to time has entered into zero cost collar contracts to hedge the risk of changes in the functional-currency-equivalent cash flows attributable to currency rate changes on U.S. dollar denominated revenues.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Details of the zero cost collar contracts as of June 30, 2022 are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880" w:type="dxa"/>
            <w:vAlign w:val="bottom"/>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20" w:type="dxa"/>
            <w:vAlign w:val="bottom"/>
          </w:tcPr>
          <w:p>
            <w:pPr>
              <w:spacing w:after="0"/>
              <w:rPr>
                <w:sz w:val="16"/>
                <w:szCs w:val="16"/>
                <w:color w:val="auto"/>
              </w:rPr>
            </w:pPr>
          </w:p>
        </w:tc>
        <w:tc>
          <w:tcPr>
            <w:tcW w:w="23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Month of settlement</w:t>
            </w:r>
          </w:p>
        </w:tc>
      </w:tr>
      <w:tr>
        <w:trPr>
          <w:trHeight w:val="203"/>
        </w:trPr>
        <w:tc>
          <w:tcPr>
            <w:tcW w:w="880" w:type="dxa"/>
            <w:vAlign w:val="bottom"/>
          </w:tcPr>
          <w:p>
            <w:pPr>
              <w:spacing w:after="0"/>
              <w:rPr>
                <w:sz w:val="17"/>
                <w:szCs w:val="17"/>
                <w:color w:val="auto"/>
              </w:rPr>
            </w:pPr>
          </w:p>
        </w:tc>
        <w:tc>
          <w:tcPr>
            <w:tcW w:w="4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13, 2021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July 2022 to September 2022</w:t>
            </w:r>
          </w:p>
        </w:tc>
      </w:tr>
      <w:tr>
        <w:trPr>
          <w:trHeight w:val="216"/>
        </w:trPr>
        <w:tc>
          <w:tcPr>
            <w:tcW w:w="8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13, 2021</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2022 to December 2022</w:t>
            </w:r>
          </w:p>
        </w:tc>
      </w:tr>
      <w:tr>
        <w:trPr>
          <w:trHeight w:val="216"/>
        </w:trPr>
        <w:tc>
          <w:tcPr>
            <w:tcW w:w="88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04, 2022</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39,000</w:t>
            </w: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2022 to June 2023</w:t>
            </w:r>
          </w:p>
        </w:tc>
      </w:tr>
      <w:tr>
        <w:trPr>
          <w:trHeight w:val="216"/>
        </w:trPr>
        <w:tc>
          <w:tcPr>
            <w:tcW w:w="8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07, 2022</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24,000</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2023 to December 2023</w:t>
            </w:r>
          </w:p>
        </w:tc>
      </w:tr>
      <w:tr>
        <w:trPr>
          <w:trHeight w:val="216"/>
        </w:trPr>
        <w:tc>
          <w:tcPr>
            <w:tcW w:w="88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27, 2022</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51,000</w:t>
            </w: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October 2022 to December 2023</w:t>
            </w:r>
          </w:p>
        </w:tc>
      </w:tr>
      <w:tr>
        <w:trPr>
          <w:trHeight w:val="432"/>
        </w:trPr>
        <w:tc>
          <w:tcPr>
            <w:tcW w:w="6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Details of the zero cost collar contracts as of December 31, 2021 are as follows (in thousands):</w:t>
            </w: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2"/>
        </w:trPr>
        <w:tc>
          <w:tcPr>
            <w:tcW w:w="88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322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20" w:type="dxa"/>
            <w:vAlign w:val="bottom"/>
          </w:tcPr>
          <w:p>
            <w:pPr>
              <w:spacing w:after="0"/>
              <w:rPr>
                <w:sz w:val="24"/>
                <w:szCs w:val="24"/>
                <w:color w:val="auto"/>
              </w:rPr>
            </w:pPr>
          </w:p>
        </w:tc>
        <w:tc>
          <w:tcPr>
            <w:tcW w:w="23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Month of settlement</w:t>
            </w:r>
          </w:p>
        </w:tc>
      </w:tr>
      <w:tr>
        <w:trPr>
          <w:trHeight w:val="203"/>
        </w:trPr>
        <w:tc>
          <w:tcPr>
            <w:tcW w:w="880" w:type="dxa"/>
            <w:vAlign w:val="bottom"/>
          </w:tcPr>
          <w:p>
            <w:pPr>
              <w:spacing w:after="0"/>
              <w:rPr>
                <w:sz w:val="17"/>
                <w:szCs w:val="17"/>
                <w:color w:val="auto"/>
              </w:rPr>
            </w:pPr>
          </w:p>
        </w:tc>
        <w:tc>
          <w:tcPr>
            <w:tcW w:w="4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13, 2021</w:t>
            </w:r>
          </w:p>
        </w:tc>
        <w:tc>
          <w:tcPr>
            <w:tcW w:w="48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39,000</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January 2022 to September 2022</w:t>
            </w:r>
          </w:p>
        </w:tc>
      </w:tr>
      <w:tr>
        <w:trPr>
          <w:trHeight w:val="234"/>
        </w:trPr>
        <w:tc>
          <w:tcPr>
            <w:tcW w:w="88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13, 2021</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48,000</w:t>
            </w:r>
          </w:p>
        </w:tc>
        <w:tc>
          <w:tcPr>
            <w:tcW w:w="22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2022 to December 2022</w:t>
            </w:r>
          </w:p>
        </w:tc>
      </w:tr>
    </w:tbl>
    <w:p>
      <w:pPr>
        <w:spacing w:after="0" w:line="17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outstanding zero cost collar contracts recorded as liabilities as of June 30, 2022 and December 31, 2021 are as follows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4360" w:type="dxa"/>
            <w:vAlign w:val="bottom"/>
          </w:tcPr>
          <w:p>
            <w:pPr>
              <w:spacing w:after="0"/>
              <w:rPr>
                <w:sz w:val="13"/>
                <w:szCs w:val="13"/>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auto"/>
            </w:tcBorders>
            <w:vMerge w:val="continue"/>
          </w:tcPr>
          <w:p>
            <w:pPr>
              <w:spacing w:after="0"/>
              <w:rPr>
                <w:sz w:val="15"/>
                <w:szCs w:val="15"/>
                <w:color w:val="auto"/>
              </w:rPr>
            </w:pPr>
          </w:p>
        </w:tc>
        <w:tc>
          <w:tcPr>
            <w:tcW w:w="4360" w:type="dxa"/>
            <w:vAlign w:val="bottom"/>
          </w:tcPr>
          <w:p>
            <w:pPr>
              <w:spacing w:after="0"/>
              <w:rPr>
                <w:sz w:val="15"/>
                <w:szCs w:val="15"/>
                <w:color w:val="auto"/>
              </w:rPr>
            </w:pPr>
          </w:p>
        </w:tc>
        <w:tc>
          <w:tcPr>
            <w:tcW w:w="720" w:type="dxa"/>
            <w:vAlign w:val="bottom"/>
            <w:gridSpan w:val="2"/>
          </w:tcPr>
          <w:p>
            <w:pPr>
              <w:jc w:val="center"/>
              <w:ind w:left="119"/>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Liability Derivatives:</w:t>
            </w:r>
          </w:p>
        </w:tc>
        <w:tc>
          <w:tcPr>
            <w:tcW w:w="4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43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gridSpan w:val="2"/>
          </w:tcPr>
          <w:p>
            <w:pPr>
              <w:jc w:val="center"/>
              <w:ind w:left="119"/>
              <w:spacing w:after="0"/>
              <w:rPr>
                <w:sz w:val="20"/>
                <w:szCs w:val="20"/>
                <w:color w:val="auto"/>
              </w:rPr>
            </w:pPr>
            <w:r>
              <w:rPr>
                <w:rFonts w:ascii="Times New Roman" w:cs="Times New Roman" w:eastAsia="Times New Roman" w:hAnsi="Times New Roman"/>
                <w:sz w:val="18"/>
                <w:szCs w:val="18"/>
                <w:color w:val="auto"/>
              </w:rPr>
              <w:t>$5,677</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436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2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8"/>
                <w:szCs w:val="18"/>
                <w:color w:val="auto"/>
              </w:rPr>
              <w:t>$1,348</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Offsetting of derivative liabilities as of June 30, 2022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200" w:type="dxa"/>
            <w:vAlign w:val="bottom"/>
          </w:tcPr>
          <w:p>
            <w:pPr>
              <w:spacing w:after="0"/>
              <w:rPr>
                <w:sz w:val="13"/>
                <w:szCs w:val="13"/>
                <w:color w:val="auto"/>
              </w:rPr>
            </w:pPr>
          </w:p>
        </w:tc>
        <w:tc>
          <w:tcPr>
            <w:tcW w:w="13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11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20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4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60"/>
        </w:trPr>
        <w:tc>
          <w:tcPr>
            <w:tcW w:w="25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3"/>
                <w:szCs w:val="13"/>
                <w:color w:val="auto"/>
              </w:rPr>
            </w:pPr>
          </w:p>
        </w:tc>
        <w:tc>
          <w:tcPr>
            <w:tcW w:w="134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118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200" w:type="dxa"/>
            <w:vAlign w:val="bottom"/>
          </w:tcPr>
          <w:p>
            <w:pPr>
              <w:spacing w:after="0"/>
              <w:rPr>
                <w:sz w:val="13"/>
                <w:szCs w:val="13"/>
                <w:color w:val="auto"/>
              </w:rPr>
            </w:pPr>
          </w:p>
        </w:tc>
        <w:tc>
          <w:tcPr>
            <w:tcW w:w="11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3"/>
                <w:szCs w:val="13"/>
                <w:color w:val="auto"/>
              </w:rPr>
            </w:pPr>
          </w:p>
        </w:tc>
        <w:tc>
          <w:tcPr>
            <w:tcW w:w="1200" w:type="dxa"/>
            <w:vAlign w:val="bottom"/>
            <w:gridSpan w:val="2"/>
          </w:tcPr>
          <w:p>
            <w:pPr>
              <w:jc w:val="right"/>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Liability Derivatives:</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7,025</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(5,990)</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1,035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Offsetting of derivative liabilities as of December 31, 2021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20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400" w:type="dxa"/>
            <w:vAlign w:val="bottom"/>
          </w:tcPr>
          <w:p>
            <w:pPr>
              <w:spacing w:after="0"/>
              <w:rPr>
                <w:sz w:val="13"/>
                <w:szCs w:val="13"/>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60" w:type="dxa"/>
            <w:vAlign w:val="bottom"/>
          </w:tcPr>
          <w:p>
            <w:pPr>
              <w:spacing w:after="0"/>
              <w:rPr>
                <w:sz w:val="10"/>
                <w:szCs w:val="10"/>
                <w:color w:val="auto"/>
              </w:rPr>
            </w:pPr>
          </w:p>
        </w:tc>
        <w:tc>
          <w:tcPr>
            <w:tcW w:w="11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400" w:type="dxa"/>
            <w:vAlign w:val="bottom"/>
          </w:tcPr>
          <w:p>
            <w:pPr>
              <w:spacing w:after="0"/>
              <w:rPr>
                <w:sz w:val="10"/>
                <w:szCs w:val="10"/>
                <w:color w:val="auto"/>
              </w:rPr>
            </w:pPr>
          </w:p>
        </w:tc>
        <w:tc>
          <w:tcPr>
            <w:tcW w:w="11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20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44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60"/>
        </w:trPr>
        <w:tc>
          <w:tcPr>
            <w:tcW w:w="3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3"/>
                <w:szCs w:val="13"/>
                <w:color w:val="auto"/>
              </w:rPr>
            </w:pPr>
          </w:p>
        </w:tc>
        <w:tc>
          <w:tcPr>
            <w:tcW w:w="9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400" w:type="dxa"/>
            <w:vAlign w:val="bottom"/>
          </w:tcPr>
          <w:p>
            <w:pPr>
              <w:spacing w:after="0"/>
              <w:rPr>
                <w:sz w:val="13"/>
                <w:szCs w:val="13"/>
                <w:color w:val="auto"/>
              </w:rPr>
            </w:pPr>
          </w:p>
        </w:tc>
        <w:tc>
          <w:tcPr>
            <w:tcW w:w="118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200" w:type="dxa"/>
            <w:vAlign w:val="bottom"/>
          </w:tcPr>
          <w:p>
            <w:pPr>
              <w:spacing w:after="0"/>
              <w:rPr>
                <w:sz w:val="13"/>
                <w:szCs w:val="13"/>
                <w:color w:val="auto"/>
              </w:rPr>
            </w:pPr>
          </w:p>
        </w:tc>
        <w:tc>
          <w:tcPr>
            <w:tcW w:w="7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Liability Derivatives: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(2,060)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46"/>
        </w:trPr>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impact of derivative instruments on the consolidated statements of operations for the three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2022 and 2021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Income</w:t>
            </w:r>
          </w:p>
        </w:tc>
        <w:tc>
          <w:tcPr>
            <w:tcW w:w="250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Location/Amount of Gain</w:t>
            </w: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ASC</w:t>
            </w:r>
          </w:p>
        </w:tc>
        <w:tc>
          <w:tcPr>
            <w:tcW w:w="1200" w:type="dxa"/>
            <w:vAlign w:val="bottom"/>
          </w:tcPr>
          <w:p>
            <w:pPr>
              <w:spacing w:after="0"/>
              <w:rPr>
                <w:sz w:val="12"/>
                <w:szCs w:val="12"/>
                <w:color w:val="auto"/>
              </w:rPr>
            </w:pPr>
          </w:p>
        </w:tc>
        <w:tc>
          <w:tcPr>
            <w:tcW w:w="1000" w:type="dxa"/>
            <w:vAlign w:val="bottom"/>
            <w:gridSpan w:val="3"/>
          </w:tcPr>
          <w:p>
            <w:pPr>
              <w:jc w:val="center"/>
              <w:ind w:left="386"/>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6"/>
            <w:vMerge w:val="continue"/>
          </w:tcPr>
          <w:p>
            <w:pPr>
              <w:spacing w:after="0"/>
              <w:rPr>
                <w:sz w:val="12"/>
                <w:szCs w:val="12"/>
                <w:color w:val="auto"/>
              </w:rPr>
            </w:pPr>
          </w:p>
        </w:tc>
        <w:tc>
          <w:tcPr>
            <w:tcW w:w="2480" w:type="dxa"/>
            <w:vAlign w:val="bottom"/>
            <w:gridSpan w:val="5"/>
            <w:vMerge w:val="restart"/>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Location/Amount of Gain (Loss)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1620" w:type="dxa"/>
            <w:vAlign w:val="bottom"/>
            <w:gridSpan w:val="5"/>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880" w:type="dxa"/>
            <w:vAlign w:val="bottom"/>
          </w:tcPr>
          <w:p>
            <w:pPr>
              <w:spacing w:after="0"/>
              <w:rPr>
                <w:sz w:val="12"/>
                <w:szCs w:val="12"/>
                <w:color w:val="auto"/>
              </w:rPr>
            </w:pPr>
          </w:p>
        </w:tc>
        <w:tc>
          <w:tcPr>
            <w:tcW w:w="8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815 Cash Flow Hedging</w:t>
            </w:r>
          </w:p>
        </w:tc>
        <w:tc>
          <w:tcPr>
            <w:tcW w:w="1200" w:type="dxa"/>
            <w:vAlign w:val="bottom"/>
          </w:tcPr>
          <w:p>
            <w:pPr>
              <w:spacing w:after="0"/>
              <w:rPr>
                <w:sz w:val="12"/>
                <w:szCs w:val="12"/>
                <w:color w:val="auto"/>
              </w:rPr>
            </w:pPr>
          </w:p>
        </w:tc>
        <w:tc>
          <w:tcPr>
            <w:tcW w:w="162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AOCI on</w:t>
            </w:r>
          </w:p>
        </w:tc>
        <w:tc>
          <w:tcPr>
            <w:tcW w:w="250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2300" w:type="dxa"/>
            <w:vAlign w:val="bottom"/>
            <w:gridSpan w:val="4"/>
          </w:tcPr>
          <w:p>
            <w:pPr>
              <w:jc w:val="center"/>
              <w:ind w:left="564"/>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200" w:type="dxa"/>
            <w:vAlign w:val="bottom"/>
          </w:tcPr>
          <w:p>
            <w:pPr>
              <w:spacing w:after="0"/>
              <w:rPr>
                <w:sz w:val="14"/>
                <w:szCs w:val="14"/>
                <w:color w:val="auto"/>
              </w:rPr>
            </w:pP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5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Into Statement of Operations</w:t>
            </w:r>
          </w:p>
        </w:tc>
        <w:tc>
          <w:tcPr>
            <w:tcW w:w="30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Statement of Operations on Derivatives</w:t>
            </w:r>
          </w:p>
        </w:tc>
        <w:tc>
          <w:tcPr>
            <w:tcW w:w="0" w:type="dxa"/>
            <w:vAlign w:val="bottom"/>
          </w:tcPr>
          <w:p>
            <w:pPr>
              <w:spacing w:after="0"/>
              <w:rPr>
                <w:sz w:val="1"/>
                <w:szCs w:val="1"/>
                <w:color w:val="auto"/>
              </w:rPr>
            </w:pPr>
          </w:p>
        </w:tc>
      </w:tr>
      <w:tr>
        <w:trPr>
          <w:trHeight w:val="137"/>
        </w:trPr>
        <w:tc>
          <w:tcPr>
            <w:tcW w:w="840" w:type="dxa"/>
            <w:vAlign w:val="bottom"/>
            <w:tcBorders>
              <w:top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60" w:type="dxa"/>
            <w:vAlign w:val="bottom"/>
            <w:tcBorders>
              <w:top w:val="single" w:sz="8" w:color="auto"/>
            </w:tcBorders>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5"/>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Borders>
              <w:bottom w:val="single" w:sz="8" w:color="auto"/>
            </w:tcBorders>
            <w:gridSpan w:val="3"/>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Borders>
              <w:bottom w:val="single" w:sz="8" w:color="auto"/>
            </w:tcBorders>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4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0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Zero cost collars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(6,477)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(1,796)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derivative instruments on the consolidated statements of operations for the six months ended June 30, 2022 and 2021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ASC</w:t>
            </w:r>
          </w:p>
        </w:tc>
        <w:tc>
          <w:tcPr>
            <w:tcW w:w="1180" w:type="dxa"/>
            <w:vAlign w:val="bottom"/>
          </w:tcPr>
          <w:p>
            <w:pPr>
              <w:spacing w:after="0"/>
              <w:rPr>
                <w:sz w:val="13"/>
                <w:szCs w:val="13"/>
                <w:color w:val="auto"/>
              </w:rPr>
            </w:pPr>
          </w:p>
        </w:tc>
        <w:tc>
          <w:tcPr>
            <w:tcW w:w="16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25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Location/Amount of Gain</w:t>
            </w:r>
          </w:p>
        </w:tc>
        <w:tc>
          <w:tcPr>
            <w:tcW w:w="2480" w:type="dxa"/>
            <w:vAlign w:val="bottom"/>
            <w:gridSpan w:val="5"/>
            <w:vMerge w:val="restart"/>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Location/Amount of Gain (Loss)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4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164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880" w:type="dxa"/>
            <w:vAlign w:val="bottom"/>
          </w:tcPr>
          <w:p>
            <w:pPr>
              <w:spacing w:after="0"/>
              <w:rPr>
                <w:sz w:val="12"/>
                <w:szCs w:val="12"/>
                <w:color w:val="auto"/>
              </w:rPr>
            </w:pPr>
          </w:p>
        </w:tc>
        <w:tc>
          <w:tcPr>
            <w:tcW w:w="8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815 Cash Flow Hedging</w:t>
            </w:r>
          </w:p>
        </w:tc>
        <w:tc>
          <w:tcPr>
            <w:tcW w:w="1180" w:type="dxa"/>
            <w:vAlign w:val="bottom"/>
          </w:tcPr>
          <w:p>
            <w:pPr>
              <w:spacing w:after="0"/>
              <w:rPr>
                <w:sz w:val="12"/>
                <w:szCs w:val="12"/>
                <w:color w:val="auto"/>
              </w:rPr>
            </w:pPr>
          </w:p>
        </w:tc>
        <w:tc>
          <w:tcPr>
            <w:tcW w:w="16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AOCI on</w:t>
            </w:r>
          </w:p>
        </w:tc>
        <w:tc>
          <w:tcPr>
            <w:tcW w:w="250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2300" w:type="dxa"/>
            <w:vAlign w:val="bottom"/>
            <w:gridSpan w:val="4"/>
          </w:tcPr>
          <w:p>
            <w:pPr>
              <w:jc w:val="center"/>
              <w:ind w:left="564"/>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18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5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Into Statement of Operations</w:t>
            </w:r>
          </w:p>
        </w:tc>
        <w:tc>
          <w:tcPr>
            <w:tcW w:w="30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Statement of Operations on Derivatives</w:t>
            </w:r>
          </w:p>
        </w:tc>
        <w:tc>
          <w:tcPr>
            <w:tcW w:w="0" w:type="dxa"/>
            <w:vAlign w:val="bottom"/>
          </w:tcPr>
          <w:p>
            <w:pPr>
              <w:spacing w:after="0"/>
              <w:rPr>
                <w:sz w:val="1"/>
                <w:szCs w:val="1"/>
                <w:color w:val="auto"/>
              </w:rPr>
            </w:pPr>
          </w:p>
        </w:tc>
      </w:tr>
      <w:tr>
        <w:trPr>
          <w:trHeight w:val="137"/>
        </w:trPr>
        <w:tc>
          <w:tcPr>
            <w:tcW w:w="840" w:type="dxa"/>
            <w:vAlign w:val="bottom"/>
            <w:tcBorders>
              <w:top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60" w:type="dxa"/>
            <w:vAlign w:val="bottom"/>
            <w:tcBorders>
              <w:top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c>
          <w:tcPr>
            <w:tcW w:w="100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4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0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8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Zero cost collars</w:t>
            </w: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(7,741)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(1,693)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(2,558)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the amount expected to be reclassified from accumulated other comprehensive loss into loss within the next 12 months is $5,294 thousand.</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Company set aside cash deposits to the counterparties, Nomura Financial Investment (Korea) Co., Ltd. (“NFIK”) and Standard Chartered Bank Korea Limited (“SC”), as required for the zero cost collar contracts. These cash deposits are recorded as hedge collateral on the consolidated balance sheets. Cash deposits as of June 30, 2022 and December 31, 2021 are as follows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Counterparties</w:t>
            </w:r>
          </w:p>
        </w:tc>
        <w:tc>
          <w:tcPr>
            <w:tcW w:w="55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6020" w:type="dxa"/>
            <w:vAlign w:val="bottom"/>
            <w:gridSpan w:val="2"/>
          </w:tcPr>
          <w:p>
            <w:pPr>
              <w:jc w:val="right"/>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SC</w:t>
            </w:r>
          </w:p>
        </w:tc>
        <w:tc>
          <w:tcPr>
            <w:tcW w:w="5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is required to deposit additional cash collateral with NFIK and SC for any exposure in excess of $500 thousand. As of June 30, 2022, $5,290 thousand and $700 thousand of additional cash collateral was required by NFIK and SC, respectively, and recorded as hedge collateral on the consolidated balance sheet. As of December 31, 2021, $760 thousand and $1,300 thousand of additional cash collateral was required by NFIK and SC, respectively, and recorded as hedge collateral on the consolidated balance sheet.</w:t>
      </w:r>
    </w:p>
    <w:p>
      <w:pPr>
        <w:spacing w:after="0" w:line="180"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These zero cost collar contracts may be terminated by the counterparties if the Company’s total cash and cash equivalents is less than $30,000 thousand at the end of a fiscal quarter, unless a waiver is obtained.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the following table represents the Company’s liabilities measured at fair value on a recurring basis and the basis for that measurement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(Level 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 (other current liabilities)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5,677</w:t>
            </w: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5,677</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liabilities (other non-current liabilities)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1,348</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1,348</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following table represents the Company’s liabilities measured at fair value on a recurring basis and the basis for that measurement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5"/>
                <w:szCs w:val="15"/>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(Level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 (other current liabilities)</w:t>
            </w: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Accrued Severance Benefits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2022, 97% of all employees of the Company were eligible for severance benefits.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accrued severance benefits are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gridSpan w:val="2"/>
          </w:tcPr>
          <w:p>
            <w:pPr>
              <w:spacing w:after="0"/>
              <w:rPr>
                <w:sz w:val="15"/>
                <w:szCs w:val="15"/>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20" w:type="dxa"/>
            <w:vAlign w:val="bottom"/>
            <w:gridSpan w:val="2"/>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5"/>
                <w:szCs w:val="15"/>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r>
      <w:tr>
        <w:trPr>
          <w:trHeight w:val="156"/>
        </w:trPr>
        <w:tc>
          <w:tcPr>
            <w:tcW w:w="26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209"/>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50,771</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52,553</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54,452</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1,736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3,507</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4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(1,545)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(2,934)</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(1,343)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(2,836)</w:t>
            </w: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420" w:type="dxa"/>
            <w:vAlign w:val="bottom"/>
          </w:tcPr>
          <w:p>
            <w:pPr>
              <w:spacing w:after="0"/>
              <w:rPr>
                <w:sz w:val="19"/>
                <w:szCs w:val="19"/>
                <w:color w:val="auto"/>
              </w:rPr>
            </w:pP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(3,210)</w:t>
            </w: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(4,287)</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2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47,586</w:t>
            </w:r>
          </w:p>
        </w:tc>
        <w:tc>
          <w:tcPr>
            <w:tcW w:w="6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53,105</w:t>
            </w:r>
          </w:p>
        </w:tc>
        <w:tc>
          <w:tcPr>
            <w:tcW w:w="6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53,105</w:t>
            </w:r>
          </w:p>
        </w:tc>
        <w:tc>
          <w:tcPr>
            <w:tcW w:w="100" w:type="dxa"/>
            <w:vAlign w:val="bottom"/>
            <w:shd w:val="clear" w:color="auto" w:fill="CCEEFF"/>
          </w:tcPr>
          <w:p>
            <w:pPr>
              <w:spacing w:after="0"/>
              <w:rPr>
                <w:sz w:val="18"/>
                <w:szCs w:val="18"/>
                <w:color w:val="auto"/>
              </w:rPr>
            </w:pPr>
          </w:p>
        </w:tc>
      </w:tr>
      <w:tr>
        <w:trPr>
          <w:trHeight w:val="198"/>
        </w:trPr>
        <w:tc>
          <w:tcPr>
            <w:tcW w:w="3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Cumulative contributions to</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severance insurance deposit</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w:t>
            </w:r>
          </w:p>
        </w:tc>
        <w:tc>
          <w:tcPr>
            <w:tcW w:w="420" w:type="dxa"/>
            <w:vAlign w:val="bottom"/>
          </w:tcPr>
          <w:p>
            <w:pPr>
              <w:spacing w:after="0"/>
              <w:rPr>
                <w:sz w:val="20"/>
                <w:szCs w:val="20"/>
                <w:color w:val="auto"/>
              </w:rPr>
            </w:pP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(16,894)</w:t>
            </w: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(16,894)</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(13,316)</w:t>
            </w: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(13,316)</w:t>
            </w:r>
          </w:p>
        </w:tc>
      </w:tr>
      <w:tr>
        <w:trPr>
          <w:trHeight w:val="216"/>
        </w:trPr>
        <w:tc>
          <w:tcPr>
            <w:tcW w:w="3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National Pension Fund</w:t>
            </w:r>
          </w:p>
        </w:tc>
        <w:tc>
          <w:tcPr>
            <w:tcW w:w="4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198"/>
        </w:trPr>
        <w:tc>
          <w:tcPr>
            <w:tcW w:w="320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Group severance insurance</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plan</w:t>
            </w:r>
          </w:p>
        </w:tc>
        <w:tc>
          <w:tcPr>
            <w:tcW w:w="420" w:type="dxa"/>
            <w:vAlign w:val="bottom"/>
          </w:tcPr>
          <w:p>
            <w:pPr>
              <w:spacing w:after="0"/>
              <w:rPr>
                <w:sz w:val="20"/>
                <w:szCs w:val="20"/>
                <w:color w:val="auto"/>
              </w:rPr>
            </w:pP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(182)</w:t>
            </w: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5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39,520</w:t>
            </w:r>
          </w:p>
        </w:tc>
        <w:tc>
          <w:tcPr>
            <w:tcW w:w="6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39,520</w:t>
            </w:r>
          </w:p>
        </w:tc>
        <w:tc>
          <w:tcPr>
            <w:tcW w:w="100" w:type="dxa"/>
            <w:vAlign w:val="bottom"/>
            <w:tcBorders>
              <w:top w:val="single" w:sz="8" w:color="CCEEFF"/>
            </w:tcBorders>
            <w:shd w:val="clear" w:color="auto" w:fill="CCEEFF"/>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Beginning in July 2018, the Company contributes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liable to pay the following future benefits to its non-executive employees upon their normal retirement age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Severance benefit</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 2032</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18,987</w:t>
            </w:r>
          </w:p>
        </w:tc>
      </w:tr>
    </w:tbl>
    <w:p>
      <w:pPr>
        <w:spacing w:after="0" w:line="19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Korea’s mandatory retirement age is 60 under the Employment Promotion for the Aged Act.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82"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Foreign Currency Gain (Loss), Net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June 30, 2022 and December 31, 2021, the outstanding intercompany loan balances including accrued interest between the Korean subsidiary and the Dutch subsidiary were $352,589 thousand and $344,411 thousand, respectively. The Korean won to U.S. dollar exchange rates were 1,292.9:1 and 1,185.5:1 using the first base rate as of June 30, 2022 and December 31, 2021, respectively, as quoted by the KEB Hana Bank.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Korea, the U.S. and in various other jurisdictions. The Company is subject to income or non-income tax examinations by tax authorities of these jurisdictions for all open tax years.</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the Company recorded an income tax benefit of $897 thousand primarily attributable to a decrease in its Korean subsidiary’s pre-tax income for the respective period due to the foreign currency translation loss recorded in its Korean subsidiary in connection with intercompany loans. For the six months ended June 30, 2022, the Company recorded an income tax expense of $2,586 thousand, primarily attributable to interest on intercompany loan balances and income tax in its Korean subsidiary and the U.S. parent entity based on the Company’s estimated taxable income for the respective period.</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2021, the Company recorded an income tax expense of $2,601 thousand and $2,891 thousand, primarily attributable to interest on intercompany loan balances. During the second quarter of 2021, income tax expense of $624 thousand was also recorded for certain income-based tax assessments as a result of a regular tax examination completed for the Company’s Korean subsidiary for multiple tax years.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698"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Geographic and 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information relating to the single operating segment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1"/>
        </w:trPr>
        <w:tc>
          <w:tcPr>
            <w:tcW w:w="5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1"/>
                <w:szCs w:val="11"/>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105,496</w:t>
            </w:r>
          </w:p>
        </w:tc>
      </w:tr>
      <w:tr>
        <w:trPr>
          <w:trHeight w:val="216"/>
        </w:trPr>
        <w:tc>
          <w:tcPr>
            <w:tcW w:w="5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127,777</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110,678</w:t>
            </w:r>
          </w:p>
        </w:tc>
      </w:tr>
      <w:tr>
        <w:trPr>
          <w:trHeight w:val="27"/>
        </w:trPr>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185,298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216,174</w:t>
            </w: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Transitional Fab 3 foundry services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20,171</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20,721</w:t>
            </w:r>
          </w:p>
        </w:tc>
      </w:tr>
      <w:tr>
        <w:trPr>
          <w:trHeight w:val="27"/>
        </w:trPr>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205,469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236,895</w:t>
            </w:r>
          </w:p>
        </w:tc>
      </w:tr>
      <w:tr>
        <w:trPr>
          <w:trHeight w:val="20"/>
        </w:trPr>
        <w:tc>
          <w:tcPr>
            <w:tcW w:w="5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1"/>
        </w:trPr>
        <w:tc>
          <w:tcPr>
            <w:tcW w:w="5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1"/>
                <w:szCs w:val="11"/>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27,668</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65,598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66,518</w:t>
            </w: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Transitional Fab 3 foundry services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1,834</w:t>
            </w:r>
          </w:p>
        </w:tc>
      </w:tr>
      <w:tr>
        <w:trPr>
          <w:trHeight w:val="223"/>
        </w:trPr>
        <w:tc>
          <w:tcPr>
            <w:tcW w:w="5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33,970</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67,941</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68,352</w:t>
            </w:r>
          </w:p>
        </w:tc>
        <w:tc>
          <w:tcPr>
            <w:tcW w:w="4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1"/>
        </w:trPr>
        <w:tc>
          <w:tcPr>
            <w:tcW w:w="5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1"/>
                <w:szCs w:val="11"/>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57,302</w:t>
            </w: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69,352</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114,328</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153,092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3,416</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2,449</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185,298</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216,174</w:t>
            </w:r>
          </w:p>
        </w:tc>
        <w:tc>
          <w:tcPr>
            <w:tcW w:w="4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and 2021, of the Company’s net sales – standard products business in Asia Pacific (other than Korea), net sales – standard products business in China and Hong Kong represented 56.5% and 60.6%, respectively, and net sales—standard products business in Vietnam represented 26.7% and 32.0%, respectively. For the six months ended June 30, 2022 and 2021, of the Company’s net sales – standard products business in Asia Pacific (other than Korea), net sales – standard products business in China and Hong Kong represented 64.0% and 58.6%, respectively, and net sales—standard products business in Vietnam represented 20.4% and 35.0%, respectively.</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Net sales from the Company’s top ten largest customers in the standard products business (which does not include the Transitional Fab 3 Foundry Services) accounted for 73% and 80% for the three months ended June 30, 2022 and 2021, respectively, and 72% and 81% for the six months ended June 30, 2022 and 2021, respectively.</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the Company had two customers that represented 26.7% and 13.3% of its net sales – standard products business. For the six months ended June 30, 2022, the Company had two customers that represented 26.1% and 13.1% of its net sales – standard products business. For the three months ended June 30, 2021, the Company had two customers that represented 40.0% and 11.7% of its net sales – standard products business. For the six months ended June 30, 2021, the Company had two customers that represented 44.6% and 10.8% of its net sales – standard products business.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June 30, 2022, two customers of the Company’s standard products business accounted for 35.1% and 18.9% of its accounts receivable – standard products business (which does not include the Transitional Fab 3 Foundry Services), respectively. As of December 31, 2021, two customers of the Company’s standard products business accounted for 31.5% and 16.1% of its accounts receivable – standard products business (which does not include the Transitional Fab 3 Foundry Services), respectively.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82"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as of June 30, 2022 and December 31, 2021, respectively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$(10,677)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Derivative adjustments</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(6,643)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r>
      <w:tr>
        <w:trPr>
          <w:trHeight w:val="27"/>
        </w:trPr>
        <w:tc>
          <w:tcPr>
            <w:tcW w:w="6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(17,320)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(2,230)</w:t>
            </w:r>
          </w:p>
        </w:tc>
      </w:tr>
      <w:tr>
        <w:trPr>
          <w:trHeight w:val="20"/>
        </w:trPr>
        <w:tc>
          <w:tcPr>
            <w:tcW w:w="6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Changes in accumulated other comprehensive loss for the three months ended June 30, 2022 and 2021 are as follows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6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2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3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(3,815)</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(5,777)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3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(6,643)</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6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2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3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for the six months ended June 30, 2022 and 2021 are as follows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6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02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36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(1,460)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(6,643)</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(17,320)</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6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02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36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1,634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3,703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364"/>
        </w:trPr>
        <w:tc>
          <w:tcPr>
            <w:tcW w:w="5680" w:type="dxa"/>
            <w:vAlign w:val="bottom"/>
            <w:gridSpan w:val="3"/>
          </w:tcPr>
          <w:p>
            <w:pPr>
              <w:ind w:left="454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320" w:top="482" w:right="9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Accelerated Stock Repurchase Program</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21, 2021, the Board of Directors authorized the Company to repurchase up to $75,000 thousand of the Company’s outstanding common stock and the Company entered into an accelerated stock repurchase agreement (the “ASR Agreement”) with JPMorgan Chase Bank, National Association (“JPM”) to repurchase an aggregate of $37,500 thousand of the Company’s common stock.</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ASR Agreement dated December 21, 2021, the Company paid to JPM $37,500 thousand in cash and received an initial delivery of 994,695 shares of its common stock in the open market for an aggregate purchase price of $20,073 thousand and a price per share of $20.18 on December 22, 2021.</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accounted for the remaining portion of the ASR Agreement as a forward contract indexed to its own common stock and recorded $17,427 thousand in additional paid-in capital in stockholders’ equity in its consolidated balance sheets.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March 2022, the previously announced repurchase of $37,500 thousand of the Company’s common stock was completed pursuant to the ASR Agreement, and as a result, the Company additionally received 1,031,576 shares of its common stock for an aggregate purchase price of $</w:t>
      </w: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17,217 thousand at a price per share of $16.69, which was reclassified as treasury stock from additional paid-in capital in stockholder’s equity in the Company’s consolidated balance sheets.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82"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Earnings (Loss)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the computation of basic and diluted earnings (loss) per common share for the three and six months ended June 30,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and 2021:</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3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60" w:type="dxa"/>
            <w:vAlign w:val="bottom"/>
            <w:gridSpan w:val="8"/>
          </w:tcPr>
          <w:p>
            <w:pPr>
              <w:ind w:left="9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44,897,278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46,322,027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45,248,293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43,324,088</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44,897,278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46,322,027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45,248,293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43,324,088</w:t>
            </w: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effect of dilutive equity awards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1,081,266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stock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44,897,278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46,322,027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46,329,559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43,324,088</w:t>
            </w: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bl>
    <w:p>
      <w:pPr>
        <w:spacing w:after="0" w:line="17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outstanding instruments were excluded from the computation of diluted loss per share, as they have an anti-dilutive effect on the calculation:</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7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6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720" w:type="dxa"/>
            <w:vAlign w:val="bottom"/>
          </w:tcPr>
          <w:p>
            <w:pPr>
              <w:spacing w:after="0"/>
              <w:rPr>
                <w:sz w:val="10"/>
                <w:szCs w:val="10"/>
                <w:color w:val="auto"/>
              </w:rPr>
            </w:pPr>
          </w:p>
        </w:tc>
        <w:tc>
          <w:tcPr>
            <w:tcW w:w="136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40" w:type="dxa"/>
            <w:vAlign w:val="bottom"/>
            <w:tcBorders>
              <w:top w:val="single" w:sz="8" w:color="auto"/>
            </w:tcBorders>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Pr>
          <w:p>
            <w:pPr>
              <w:spacing w:after="0"/>
              <w:rPr>
                <w:sz w:val="10"/>
                <w:szCs w:val="10"/>
                <w:color w:val="auto"/>
              </w:rPr>
            </w:pPr>
          </w:p>
        </w:tc>
        <w:tc>
          <w:tcPr>
            <w:tcW w:w="138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40" w:type="dxa"/>
            <w:vAlign w:val="bottom"/>
            <w:tcBorders>
              <w:top w:val="single" w:sz="8" w:color="auto"/>
            </w:tcBorders>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 w:type="dxa"/>
            <w:vAlign w:val="bottom"/>
          </w:tcPr>
          <w:p>
            <w:pPr>
              <w:spacing w:after="0"/>
              <w:rPr>
                <w:sz w:val="10"/>
                <w:szCs w:val="10"/>
                <w:color w:val="auto"/>
              </w:rPr>
            </w:pPr>
          </w:p>
        </w:tc>
      </w:tr>
      <w:tr>
        <w:trPr>
          <w:trHeight w:val="173"/>
        </w:trPr>
        <w:tc>
          <w:tcPr>
            <w:tcW w:w="47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1,145,551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1,470,421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1,470,421</w:t>
            </w:r>
          </w:p>
        </w:tc>
        <w:tc>
          <w:tcPr>
            <w:tcW w:w="40" w:type="dxa"/>
            <w:vAlign w:val="bottom"/>
            <w:shd w:val="clear" w:color="auto" w:fill="CCEEFF"/>
          </w:tcPr>
          <w:p>
            <w:pPr>
              <w:spacing w:after="0"/>
              <w:rPr>
                <w:sz w:val="18"/>
                <w:szCs w:val="18"/>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1,121,574</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1,012,197</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1,012,197</w:t>
            </w:r>
          </w:p>
        </w:tc>
      </w:tr>
    </w:tbl>
    <w:p>
      <w:pPr>
        <w:spacing w:after="0" w:line="17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2,875,982 shares, of potential common stock from the assumed conversion of Exchangeable Notes were also excluded from the computation of diluted loss per share as the effect were anti-dilutive for the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Plan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Company entered into a Rights Agreement, dated as of December 13, 2021, between the Company and American Stock Transfer &amp; Trust Company, LLC, as rights agent (the “Rights Agreement”), and the Board of Directors of the Company authorized and declared a dividend of one preferred stock purchase right (a “Right” and collectively, the “Rights”) for each share of the Company’s common stock, par value $0.01 per share, outstanding at the close of business on December 23, 2021. Each Right, once exercisable, will entitle the registered holder to purchase from the Company one one-thousandth of a share of Series A-1 Junior Participating Preferred Stock, par value $0.01 per share, at a purchase price of $80, subject to adjustment (the “Purchase Price”). The Rights are not presently exercisable and remain attached to the shares of common stock unless and until the occurrence of the earlier of the following (the “Distribution Date”): (i) the tenth day after the public announcement or disclosure by the Company or any person or group of affiliated or associated persons that any person or group of affiliated or associated persons has become an “Acquiring Person” by obtaining beneficial ownership of 12.5% (or 20% in the case of a “passive institutional investor,” which is defined generally as any person who has reported beneficial ownership of shares of common stock on Schedule 13G under the Securities Exchange Act of 1934) or more of the Company’s outstanding common stock, subject to certain exceptions; or (ii) the tenth business day (or such later date as the Company’s Board of Directors may designate before a person or group of affiliated or associated persons becomes an Acquiring Person) after (and not including) the commencement of, or first public announcement of the intent of any person to commence, a tender or exchange offer by any person or group of affiliated or associated persons, which would, if consummated, result in such person or group becoming an Acquiring Person. The Board of Directors may redeem all of the Rights for $0.001 per Right at any time before any person or group of affiliated or associated persons becomes an Acquiring Person. In addition, at any time on or after any person or group of affiliated or associated persons becomes an Acquiring Person (but before any person or group of affiliated or associated persons becomes the owner of 50% or more of the Company’s outstanding common stock), the Board of Directors may exchange all or part of the Rights (other than the Rights beneficially owned by the Acquiring Person and certain affiliated persons) for shares of common stock at an exchange ratio of one share of common stock per Right. The Rights will expire at the close of business on December 12, 2022, unless redeemed or exchanged prior to that time.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any person or group of affiliated or associated persons becomes an Acquiring Person, then, after the Distribution Date, each Right (other than Rights beneficially owned by the Acquiring Person and certain affiliated persons or transferees thereof) will entitle the holder to purchase, for the Purchase Price, a number of shares of common stock having a market value of twice the Purchase Price. Alternatively, if, after any person or group of affiliated or associated persons becomes an Acquiring Person, (1) the Company is involved in a merger or other business combination in which the Company is not the surviving corporation or its common stock is changed into or exchanged for other securities or assets; or (2) the Company or one or more of its subsidiaries sell or otherwise transfer assets or earning power aggregating more than 50% of the assets or earning power of the Company and its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Merger Agreement</w:t>
      </w:r>
    </w:p>
    <w:p>
      <w:pPr>
        <w:spacing w:after="0" w:line="121" w:lineRule="exact"/>
        <w:rPr>
          <w:sz w:val="20"/>
          <w:szCs w:val="20"/>
          <w:color w:val="auto"/>
        </w:rPr>
      </w:pPr>
    </w:p>
    <w:p>
      <w:pPr>
        <w:jc w:val="both"/>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On March 25, 2021,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Parent.</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closing of the Merger was subject to certain conditions, including clearance by the Committee on Foreign Investment in the United States (“CFIUS”) under the Defense Production Act of 1950, as amended. The Company and Parent were advised that CFIUS clearance of the Merger would not be forthcoming and received permission from CFIUS to withdraw their joint filing. In connection therewith, the Company and Parent entered into a Termination and Settlement Agreement, dated December 13, 2021 (the “Termination Agreement”), pursuant to which Parent agreed to pay</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$70,200 thousand (the “Termination Fee”) to the Company on the terms specified in the Termination Agreement in satisfaction of Parent’s obligation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 a termination fee in connection with the termination of the Merger Agreement. On December 20, 2021, the Merger Agreement was terminated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Termination Agreement after the Company’s receipt of a fee of $51,000 thousand from Parent and a standby letter of credit,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secures a deferred fee of $19,200 thousand from Parent due on or before March 31, 2022. As of December 31, 2021, of the Termination Fee,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$19,200 thousand deferred fee was recorded as other receivables. In connection therewith, the Company, Parent and Wise Road entered into a First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Amendment to the Termination Agreement, dated April 4, 2022, pursuant to which Parent paid $14,400 thousand on April 4, 2022, with</w:t>
      </w:r>
    </w:p>
    <w:p>
      <w:pPr>
        <w:spacing w:after="0" w:line="9"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$4,800 thousand remaining outstanding. As of June 30, 2022, the remaining fee of $4,800 thousand was recorded as other receivables. The Company, Parent and Wise Road entered into a Second Amendment to the Termination Agreement, dated August 5, 2022 pursuant to which Parent paid $3,000 thousand on August 5, 2022, of the deferred fee and payment of the remaining $1,800 thousand is due on or before October 31, 2022.</w:t>
      </w:r>
    </w:p>
    <w:p>
      <w:pPr>
        <w:spacing w:after="0" w:line="18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2021, the Company incurred $2,459 thousand and $12,290 thousand, respectively, of professional fees and certain transaction related-expenses incurred in connection with the Merger, which were recognized in merger-related costs in the consolidated statements of operations.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698"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Advances to Suppliers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make advances in form of prepayments or deposits to suppliers, including external foundries, to meet its planned production. The Company recorded advances of $6,081 thousand and $1,708 thousand as other current assets as of June 30, 2022 and December 31, 2021,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experienced some minor disruption in its Power Solutions business from assembly and test subcontractors located in China in the first quarter of 2020 as a result of the COVID-19 pandemic. To date, its external Display Solutions business contractors and sub-contractors have not been materially impacted by the COVID-19 pandemic. The Company is, however, unable to accurately predict the full impact that the COVID-19 pandemic will have on its future results of operations due to numerous uncertainties. The extent to which the COVID-19 pandemic impacts the Company’s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including the Delta and Omicron variants and any future variants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The Company cannot presently predict the scope and severity of any potential business shutdowns or disruptions, but if the Company or any of its customers and suppliers were to experience prolonged business shutdowns or other disruptions, its ability to conduct its business could be materially and negatively affected, which could have a material adverse impact on its business, results of operations and financial condition.</w:t>
      </w:r>
    </w:p>
    <w:p>
      <w:pPr>
        <w:spacing w:after="0" w:line="187"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Company continues to closely monitor and evaluate the nature and scope of the impact of the COVID-19 pandemic to its business, consolidated results of operations, and financial condition, and may take further actions altering its business operations and managing its costs and liquidity that the Company deems necessary or appropriate to respond to this ongoing and uncertain global health crisis and the resulting global economic consequences.</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2021 filed on February 23, 2022 (“2021 Form 10-K”) (including that the impact of the COVID-19 pandemic may also exacerbate the risks discussed therein).</w:t>
      </w:r>
    </w:p>
    <w:p>
      <w:pPr>
        <w:spacing w:after="0" w:line="194"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1,100 registered patents and pending applications and extensive engineering and manufacturing process expertise.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organic light emitting diodes (OLED) and Micro light emitting diode (Micro LED) televisions. Our Display Solutions products support some of the industry’s most advanced display technologies, such as OLEDs, low temperature polysilicons thin film transistors (LTPS TFTs), as well as high-volume display technologies such as amorphous silicon thin film transistors (a-Si TFTs). Since 2007, we have designed and manufactured OLED display driver integrated circuit (IC) products. Our current portfolio of OLED solutions address a wide range of resolutions ranging from HD (High Definition) to WQHD (Wide Quadruple High Definition) for applications including smartphones, TVs, and other mobile devices.</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e-bikes, solar inverters, LED lighting and motor drives.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 in Korea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are managing to ensure outsourcing wafers at competitive price and produce quality products.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3"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organic light emitting diodes (OLED). We believe this balanced capital investment strategy enables us to optimize our capital investments and facilitates more diversified product and service offerings.</w:t>
      </w:r>
    </w:p>
    <w:p>
      <w:pPr>
        <w:spacing w:after="0" w:line="194"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 after the sale of our fabrication facility located in Cheongju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under the current global shortage of foundry services. Although we are working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w:t>
      </w:r>
    </w:p>
    <w:p>
      <w:pPr>
        <w:spacing w:after="0" w:line="17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Semiconductor Chip Shortage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Increases in demand for semiconductor products may result in a global shortage of manufacturing capacity. As a result, we may experience increased costs to manufacture our products and may not be able to manufacture and deliver all of the orders placed by our customers. Specifically, if we are unable to secure manufacturing capacity from the external foundries we rely on, our ability to deliver products to our customers may be negatively impacted. Also, shortage of manufacturing capacity may lead to an increase in our manufacturing costs. Our principal pricing strategy is to pass on the increased manufacturing costs to our customers; however, we may not be fully able to do this in all cases. Total revenues for the three and six months ended June 30, 2022 were severely impacted by these persisting supply shortages, in particular for 28nm 12-inch OLED wafers.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an effort to minimize the potential adverse impact of the supply shortage, we are working strategically with certain external foundries to help ensure long-term wafer capacity. If these efforts are unsuccessful, however, such shortage could limit our ability to meet demand for our products in the future, which would adversely affect our reputation and competitive position, resulting in a negative impact on results of operations.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are not able to foresee when the current shortage of manufacturing capacity will subside. A prolonged global supply shortage could negatively impact our financial condition, potentially resulting in a need for additional capital to fund strategic initiatives or operating activities.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experienced some minor disruption in our Power Solutions business line from assembly and test subcontractors located in China in the first quarter of 2020 as a result of the COVID-19 pandemic. To date, our external Display Solutions business line contractors and sub-contractors have not been materially impacted by the COVID-19 pandemic. We are, however, unable to accurately predict the full impact that the COVID-19 pandemic will have on future results of operations due to numerous uncertainties. The extent to which the COVID-19 pandemic impacts our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including the Delta and Omicron variants and any future variants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We cannot presently predict the scope and severity of any potential business shutdowns or disruptions, but if we or any of our customers and suppliers were to experience prolonged business shutdowns or other disruptions, our ability to conduct our business could be materially and negatively affected, which could have a material adverse impact on our business, results of operations and financial condition.</w:t>
      </w:r>
    </w:p>
    <w:p>
      <w:pPr>
        <w:spacing w:after="0" w:line="18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ongoing and uncertain global health crisis and the resulting global economic consequences.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Explanation and Reconciliation of Non-U.S. GAAP Measures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Operating Income and Adjusted Net Income</w:t>
      </w:r>
    </w:p>
    <w:p>
      <w:pPr>
        <w:spacing w:after="0" w:line="121" w:lineRule="exact"/>
        <w:rPr>
          <w:sz w:val="20"/>
          <w:szCs w:val="20"/>
          <w:color w:val="auto"/>
        </w:rPr>
      </w:pPr>
    </w:p>
    <w:p>
      <w:pPr>
        <w:jc w:val="both"/>
        <w:ind w:left="120" w:right="520" w:firstLine="440"/>
        <w:spacing w:after="0" w:line="272" w:lineRule="auto"/>
        <w:rPr>
          <w:sz w:val="20"/>
          <w:szCs w:val="20"/>
          <w:color w:val="auto"/>
        </w:rPr>
      </w:pPr>
      <w:r>
        <w:rPr>
          <w:rFonts w:ascii="Times New Roman" w:cs="Times New Roman" w:eastAsia="Times New Roman" w:hAnsi="Times New Roman"/>
          <w:sz w:val="17"/>
          <w:szCs w:val="17"/>
          <w:color w:val="auto"/>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(gain), net, (iii) derivative valuation loss (gain), net,</w:t>
      </w:r>
    </w:p>
    <w:p>
      <w:pPr>
        <w:spacing w:after="0" w:line="2" w:lineRule="exact"/>
        <w:rPr>
          <w:sz w:val="20"/>
          <w:szCs w:val="20"/>
          <w:color w:val="auto"/>
        </w:rPr>
      </w:pPr>
    </w:p>
    <w:p>
      <w:pPr>
        <w:ind w:left="120" w:right="40" w:hanging="4"/>
        <w:spacing w:after="0" w:line="260" w:lineRule="auto"/>
        <w:tabs>
          <w:tab w:leader="none" w:pos="4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Merger-related costs and (v) other charges. EBITDA for the periods indicated is defined as net income (loss) before interest income, net, income tax expense (benefit), and depreciation and amortization.</w:t>
      </w:r>
    </w:p>
    <w:p>
      <w:pPr>
        <w:spacing w:after="0" w:line="18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the footnotes to the table below for further information regarding these items. We present Adjusted EBITDA as a supplemental measure of our performance because:</w:t>
      </w:r>
    </w:p>
    <w:p>
      <w:pPr>
        <w:spacing w:after="0" w:line="67" w:lineRule="exact"/>
        <w:rPr>
          <w:sz w:val="20"/>
          <w:szCs w:val="20"/>
          <w:color w:val="auto"/>
        </w:rPr>
      </w:pPr>
    </w:p>
    <w:p>
      <w:pPr>
        <w:ind w:left="540" w:right="60" w:hanging="316"/>
        <w:spacing w:after="0" w:line="266"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1" w:lineRule="exact"/>
        <w:rPr>
          <w:rFonts w:ascii="Times New Roman" w:cs="Times New Roman" w:eastAsia="Times New Roman" w:hAnsi="Times New Roman"/>
          <w:sz w:val="18"/>
          <w:szCs w:val="18"/>
          <w:color w:val="auto"/>
        </w:rPr>
      </w:pPr>
    </w:p>
    <w:p>
      <w:pPr>
        <w:ind w:left="540" w:right="140" w:hanging="316"/>
        <w:spacing w:after="0" w:line="266"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p>
      <w:pPr>
        <w:spacing w:after="0" w:line="81" w:lineRule="exact"/>
        <w:rPr>
          <w:rFonts w:ascii="Times New Roman" w:cs="Times New Roman" w:eastAsia="Times New Roman" w:hAnsi="Times New Roman"/>
          <w:sz w:val="18"/>
          <w:szCs w:val="18"/>
          <w:color w:val="auto"/>
        </w:rPr>
      </w:pPr>
    </w:p>
    <w:p>
      <w:pPr>
        <w:ind w:left="540" w:right="940" w:hanging="316"/>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useful for investors, among other reasons, to assess a company’s period-to-period core operating performance and to understand and assess the manner in which management analyzes operating performance.</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EBITDA in a number of ways, including:</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enterprise level business strategies;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of Directors concerning our consolidated financial performance;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(loss) to Adjusted EBITDA is as follows:</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4"/>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loss (gain), net(b)</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valuation loss (gain), net(c)</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Merger-related costs(d)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charges(e)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85" w:lineRule="exact"/>
        <w:rPr>
          <w:rFonts w:ascii="Times New Roman" w:cs="Times New Roman" w:eastAsia="Times New Roman" w:hAnsi="Times New Roman"/>
          <w:sz w:val="18"/>
          <w:szCs w:val="18"/>
          <w:color w:val="auto"/>
        </w:rPr>
      </w:pPr>
    </w:p>
    <w:p>
      <w:pPr>
        <w:ind w:left="540" w:right="100" w:hanging="424"/>
        <w:spacing w:after="0" w:line="256"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92"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85"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2021, this adjustment eliminates professional service fees and expenses incurred in connection with the contemplated Merger transaction (see “Note 16. Merger Agreement” to our consolidated financial statements under “Item 1. Interim Consolidated Financial Statements”).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85" w:lineRule="exact"/>
        <w:rPr>
          <w:rFonts w:ascii="Times New Roman" w:cs="Times New Roman" w:eastAsia="Times New Roman" w:hAnsi="Times New Roman"/>
          <w:sz w:val="18"/>
          <w:szCs w:val="18"/>
          <w:color w:val="auto"/>
        </w:rPr>
      </w:pPr>
    </w:p>
    <w:p>
      <w:pPr>
        <w:ind w:left="540" w:right="60" w:hanging="424"/>
        <w:spacing w:after="0" w:line="258"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2022, we recorded $0.8 million of professional service fees and expenses incurred in connection with certain strategic evaluations. For the three and six months ended June 30, 2021, this adjustment eliminates non-recurring professional service fees and expenses incurred in connection with the regulatory requests. As these adjustments meaningfully impacted our operating results and are not expected to represent ongoing operating expenses to us, we believe our operating performance results are more usefully compared if these adjustments are excluded.</w:t>
      </w:r>
    </w:p>
    <w:p>
      <w:pPr>
        <w:spacing w:after="0" w:line="75"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limiting its usefulness as a comparative measure.</w:t>
      </w:r>
    </w:p>
    <w:p>
      <w:pPr>
        <w:spacing w:after="0" w:line="117"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present Adjusted Operating Income as supplemental measures of our performance. We prepare Adjusted Operating Income by adjusting operating income (loss)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(ii) Merger-related costs and (iii) other charges.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adjustments to operating income that we make in order to calculate Adjusted Operating Income (loss)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5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320" w:type="dxa"/>
            <w:vAlign w:val="bottom"/>
          </w:tcPr>
          <w:p>
            <w:pPr>
              <w:spacing w:after="0"/>
              <w:rPr>
                <w:sz w:val="13"/>
                <w:szCs w:val="13"/>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6"/>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Merger-related costs(b)</w:t>
            </w:r>
          </w:p>
        </w:tc>
        <w:tc>
          <w:tcPr>
            <w:tcW w:w="140" w:type="dxa"/>
            <w:vAlign w:val="bottom"/>
          </w:tcPr>
          <w:p>
            <w:pPr>
              <w:spacing w:after="0"/>
              <w:rPr>
                <w:sz w:val="18"/>
                <w:szCs w:val="18"/>
                <w:color w:val="auto"/>
              </w:rPr>
            </w:pPr>
          </w:p>
        </w:tc>
        <w:tc>
          <w:tcPr>
            <w:tcW w:w="13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charges(c)</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19.</w:t>
            </w:r>
            <w:r>
              <w:rPr>
                <w:rFonts w:ascii="Times New Roman" w:cs="Times New Roman" w:eastAsia="Times New Roman" w:hAnsi="Times New Roman"/>
                <w:sz w:val="18"/>
                <w:szCs w:val="18"/>
                <w:u w:val="single" w:color="auto"/>
                <w:color w:val="auto"/>
                <w:w w:val="88"/>
              </w:rPr>
              <w:t>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u w:val="single" w:color="auto"/>
                <w:color w:val="auto"/>
              </w:rPr>
              <w:t>0</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55"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2021, this adjustment eliminates professional service fees and expenses incurred in connection with the contemplated Merger transaction (see “Note 16. Merger Agreement” to our consolidated financial statements under “Item 1. Interim Consolidated Financial Statements”).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1"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2022, we recorded $0.8 million of professional service fees and expenses incurred in connection with certain strategic evaluations. For the three and six months ended June 30, 2021, this adjustment eliminates non-recurring professional service fees and expenses incurred in connection with the regulatory requests. As these adjustments meaningfully impacted our operating results and are not expected to represent ongoing operating expenses to us, we believe our operating performance results are more usefully compared if these adjustments are excluded.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present Adjusted Net Income (including on a per share basis) as a further supplemental measure of our performance. We prepare Adjusted Net Income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89" w:lineRule="exact"/>
        <w:rPr>
          <w:sz w:val="20"/>
          <w:szCs w:val="20"/>
          <w:color w:val="auto"/>
        </w:rPr>
      </w:pPr>
    </w:p>
    <w:p>
      <w:pPr>
        <w:ind w:left="1080" w:right="1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Adjusted Net Income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net income (loss), adjusted to exclude (i) equity-based compensation expense, (ii) foreign currency loss (gain), net, (iii) derivative valuation loss (gain), net, (iv) Merger-related costs, (v) other charges and (vi) income tax effect on non-GAAP adjustments.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adjustments to net income (loss) that we make in order to calculate Adjusted Net Income (including on a per share basis) from continuing operations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80" w:type="dxa"/>
            <w:vAlign w:val="bottom"/>
          </w:tcPr>
          <w:p>
            <w:pPr>
              <w:spacing w:after="0"/>
              <w:rPr>
                <w:sz w:val="13"/>
                <w:szCs w:val="13"/>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2"/>
              </w:rPr>
              <w:t>(Dollars in millions, except</w:t>
            </w:r>
          </w:p>
        </w:tc>
        <w:tc>
          <w:tcPr>
            <w:tcW w:w="1500" w:type="dxa"/>
            <w:vAlign w:val="bottom"/>
            <w:gridSpan w:val="3"/>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loss (gain), net(b)</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valuation loss (gain), net(c)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Merger-related costs(d)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charges(e)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effect on non-GAAP adjustments(f)</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Reported earnings (loss) per share – basic</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earnings (loss) per share – diluted</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44,897,278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45,248,293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8"/>
              </w:rPr>
              <w:t>46,322,027</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43,324,088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44,897,278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46,329,559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8"/>
              </w:rPr>
              <w:t>46,322,027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43,324,088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 per share – basic</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per share – diluted</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0.23</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0.51</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44,897,278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45,248,293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8"/>
              </w:rPr>
              <w:t>46,322,027</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43,324,088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45,937,515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46,329,559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8"/>
              </w:rPr>
              <w:t>47,846,217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47,685,875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line="255"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100" w:hanging="424"/>
        <w:spacing w:after="0" w:line="25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ectPr>
          <w:pgSz w:w="11900" w:h="16838" w:orient="portrait"/>
          <w:cols w:equalWidth="0" w:num="1">
            <w:col w:w="11120"/>
          </w:cols>
          <w:pgMar w:left="320" w:top="482" w:right="459" w:bottom="1440" w:gutter="0" w:footer="0" w:header="0"/>
        </w:sectPr>
      </w:pP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2021, this adjustment eliminates professional service fees and expenses incurred in connection with the contemplated Merger transaction (see “Note 16. Merger Agreement” to our consolidated financial statements under “Item 1. Interim Consolidated Financial Statements”).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2022, we recorded $0.8 million of professional service fees and expenses incurred in connection with certain strategic evaluations. For the three and six months ended June 30, 2021, this adjustment eliminates non-recurring professional service fees and expenses incurred in connection with the regulatory requests. As these adjustments meaningfully impacted our operating results and are not expected to represent ongoing operating expenses to us, we believe our operating performance results are more usefully compared if these adjustments are excluded.</w:t>
      </w:r>
    </w:p>
    <w:p>
      <w:pPr>
        <w:spacing w:after="0" w:line="1"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2022, this adjustment eliminates the income tax effect on non-GAAP adjustments of $4.3 million and $5.2 million, respectively, which mainly related to our Korean subsidiary using a calculation method that we compare the tax expense with and without the non-GAAP adjustments.</w:t>
      </w:r>
    </w:p>
    <w:p>
      <w:pPr>
        <w:spacing w:after="0" w:line="7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all adjustments to net income (loss) used to calculate Adjusted Net Income was applied consistently to the periods presented.</w:t>
      </w:r>
    </w:p>
    <w:p>
      <w:pPr>
        <w:spacing w:after="0" w:line="117"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Net Income differently than we do, limiting its usefulness as a comparative measure.</w:t>
      </w:r>
    </w:p>
    <w:p>
      <w:pPr>
        <w:spacing w:after="0" w:line="54"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17" w:lineRule="exact"/>
        <w:rPr>
          <w:sz w:val="20"/>
          <w:szCs w:val="20"/>
          <w:color w:val="auto"/>
        </w:rPr>
      </w:pPr>
    </w:p>
    <w:p>
      <w:pPr>
        <w:ind w:left="120" w:right="26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Sales. </w:t>
      </w:r>
      <w:r>
        <w:rPr>
          <w:rFonts w:ascii="Times New Roman" w:cs="Times New Roman" w:eastAsia="Times New Roman" w:hAnsi="Times New Roman"/>
          <w:sz w:val="17"/>
          <w:szCs w:val="17"/>
          <w:color w:val="auto"/>
        </w:rPr>
        <w:t>We derive substantially all of our sales (net of sales returns and allowances) from our standard products business. We outsource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w:t>
      </w:r>
    </w:p>
    <w:p>
      <w:pPr>
        <w:spacing w:after="0" w:line="16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when a customer obtains control of the product, which is generally upon product shipment, delivery at the customer’s location or upon customer acceptance, depending on the terms of the arrangement. For the six months ended June 30, 2022 and 2021, we sold products to 158 and 165 customers, respectively, and our net sales to our ten largest customers represented 72% and 81% of our net sales—standard products business, respectively.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provide the Transitional Fab 3 Foundry Services up to September 1, 2023 at an agreed upon cost plus a mark-up.</w:t>
      </w:r>
    </w:p>
    <w:p>
      <w:pPr>
        <w:spacing w:after="0" w:line="221"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Our overall gross profit generally fluctuates as a result of changes in overall sales volumes and in the average selling prices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79"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Selling Prices. </w:t>
      </w:r>
      <w:r>
        <w:rPr>
          <w:rFonts w:ascii="Times New Roman" w:cs="Times New Roman" w:eastAsia="Times New Roman" w:hAnsi="Times New Roman"/>
          <w:sz w:val="18"/>
          <w:szCs w:val="18"/>
          <w:color w:val="auto"/>
        </w:rPr>
        <w:t>Average selling prices for our products tend to be highest at the time of introduction of new products which utilize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Costs. </w:t>
      </w:r>
      <w:r>
        <w:rPr>
          <w:rFonts w:ascii="Times New Roman" w:cs="Times New Roman" w:eastAsia="Times New Roman" w:hAnsi="Times New Roman"/>
          <w:sz w:val="18"/>
          <w:szCs w:val="18"/>
          <w:color w:val="auto"/>
        </w:rPr>
        <w:t>Our material costs consist of costs of raw materials, such as silicon wafers, chemicals, gases and tape and packaging supplies.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71"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Costs. </w:t>
      </w:r>
      <w:r>
        <w:rPr>
          <w:rFonts w:ascii="Times New Roman" w:cs="Times New Roman" w:eastAsia="Times New Roman" w:hAnsi="Times New Roman"/>
          <w:sz w:val="18"/>
          <w:szCs w:val="18"/>
          <w:color w:val="auto"/>
        </w:rPr>
        <w:t>A significant portion of our employees are located in Korea. Under Korean labor laws, most employees and certain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with one or more years of service are entitled to severance benefits upon the termination of their employment based on their length of service and rate of pay. As of June 30, 2022, approximately 97% of our employees were eligible for severance benefits.</w:t>
      </w:r>
    </w:p>
    <w:p>
      <w:pPr>
        <w:spacing w:after="0" w:line="171"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Expense. </w:t>
      </w:r>
      <w:r>
        <w:rPr>
          <w:rFonts w:ascii="Times New Roman" w:cs="Times New Roman" w:eastAsia="Times New Roman" w:hAnsi="Times New Roman"/>
          <w:sz w:val="18"/>
          <w:szCs w:val="18"/>
          <w:color w:val="auto"/>
        </w:rPr>
        <w:t>We periodically evaluate the carrying values of long-lived assets, including property, plant and equipment and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8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Expenses. </w:t>
      </w:r>
      <w:r>
        <w:rPr>
          <w:rFonts w:ascii="Times New Roman" w:cs="Times New Roman" w:eastAsia="Times New Roman" w:hAnsi="Times New Roman"/>
          <w:sz w:val="18"/>
          <w:szCs w:val="18"/>
          <w:color w:val="auto"/>
        </w:rPr>
        <w:t>We sell our products worldwide through a direct sales force as well as a network of sales agents and representatives to OEMs,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76"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of the costs of various corporate operations,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rapid technological change and product obsolescence that characterize our industry require us to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ectPr>
          <w:pgSz w:w="11900" w:h="16838" w:orient="portrait"/>
          <w:cols w:equalWidth="0" w:num="1">
            <w:col w:w="11080"/>
          </w:cols>
          <w:pgMar w:left="320" w:top="482" w:right="499" w:bottom="1440" w:gutter="0" w:footer="0" w:header="0"/>
        </w:sectPr>
      </w:pP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82" w:right="4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Foreign Currency Exchange Rates on Reported Results of Operations. </w:t>
      </w:r>
      <w:r>
        <w:rPr>
          <w:rFonts w:ascii="Times New Roman" w:cs="Times New Roman" w:eastAsia="Times New Roman" w:hAnsi="Times New Roman"/>
          <w:sz w:val="18"/>
          <w:szCs w:val="18"/>
          <w:color w:val="auto"/>
        </w:rPr>
        <w:t>Historically, a portion of our revenues and cost of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June 30, 2022, the outstanding intercompany loan balance including accrued interest between our Korean subsidiary and our Dutch subsidiary was $352.6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7. Derivative Financial Instruments” to our consolidated financial statements under “Item 1. Interim Consolidated Financial Statements” for additional information regarding our foreign exchange hedging activities.</w:t>
      </w:r>
    </w:p>
    <w:p>
      <w:pPr>
        <w:spacing w:after="0" w:line="188"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 or Loss. </w:t>
      </w:r>
      <w:r>
        <w:rPr>
          <w:rFonts w:ascii="Times New Roman" w:cs="Times New Roman" w:eastAsia="Times New Roman" w:hAnsi="Times New Roman"/>
          <w:sz w:val="18"/>
          <w:szCs w:val="18"/>
          <w:color w:val="auto"/>
        </w:rPr>
        <w:t>Foreign currency translation gains or losses on transactions by us or our subsidiaries in a currency other than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 our income taxes in each of the tax jurisdictions in which we operate. This process involves using an asset and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8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54"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We primarily invest in manufacturing equipment, software design tools and other tangible assets mainly for fabrication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We monitor our inventory levels in light of product development changes and market expectations. We may be required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Three Months Ended June 30,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consolidated results of operations for the three months ended June 30, 2022 and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5"/>
                <w:szCs w:val="15"/>
                <w:color w:val="auto"/>
              </w:rPr>
            </w:pPr>
          </w:p>
        </w:tc>
        <w:tc>
          <w:tcPr>
            <w:tcW w:w="208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92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90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32"/>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0" w:type="dxa"/>
            <w:vAlign w:val="bottom"/>
            <w:gridSpan w:val="4"/>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91.3</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w:t>
            </w: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costs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0"/>
                <w:szCs w:val="20"/>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6"/>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5"/>
                <w:szCs w:val="15"/>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gridSpan w:val="2"/>
            <w:vMerge w:val="restart"/>
          </w:tcPr>
          <w:p>
            <w:pPr>
              <w:spacing w:after="0"/>
              <w:rPr>
                <w:sz w:val="10"/>
                <w:szCs w:val="10"/>
                <w:color w:val="auto"/>
              </w:rPr>
            </w:pPr>
          </w:p>
        </w:tc>
        <w:tc>
          <w:tcPr>
            <w:tcW w:w="840" w:type="dxa"/>
            <w:vAlign w:val="bottom"/>
            <w:tcBorders>
              <w:top w:val="single" w:sz="8" w:color="auto"/>
            </w:tcBorders>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gridSpan w:val="2"/>
            <w:vMerge w:val="restart"/>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Total revenues</w:t>
            </w:r>
          </w:p>
        </w:tc>
        <w:tc>
          <w:tcPr>
            <w:tcW w:w="32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revenues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5"/>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113.9</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6"/>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0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5"/>
                <w:szCs w:val="15"/>
                <w:color w:val="auto"/>
              </w:rPr>
            </w:pPr>
          </w:p>
        </w:tc>
        <w:tc>
          <w:tcPr>
            <w:tcW w:w="20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vMerge w:val="restart"/>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vMerge w:val="restart"/>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5"/>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 – standard products business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27.7</w:t>
            </w:r>
          </w:p>
        </w:tc>
        <w:tc>
          <w:tcPr>
            <w:tcW w:w="11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 transitional Fab 3 foundry services</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Borders>
              <w:right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10.5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9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vMerge w:val="continue"/>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Total revenues were $101.4 million for the three months ended June 30, 2022, a $12.5 million, or 11.0%, decrease compared to $113.9 million for the three months ended June 30, 2021. This decrease was primarily due to a decrease in revenue related to our standard products business as described below.</w:t>
      </w:r>
    </w:p>
    <w:p>
      <w:pPr>
        <w:spacing w:after="0" w:line="17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Net sales from our standard products business were $91.3 million for the three months ended June 30, 2022,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$12.0 million, or 11.6%, decrease compared to $103.3 million for the three months ended June 30, 2021. The decrease in net sales from our Display Solutions business line was primarily attributable to a decrease in revenue from our mobile OLED display driver ICs stemming from a continuing severe shortage in manufacturing capacity (in particular for 28nm 12-inch OLED wafers), as we outsource manufacturing of these products to external 12-inch foundries, and lower customer demand resulting from a slowdown in the Chinese smartphone market in the second quarter of 2022, which was offset in part by a higher demand for our auto-LCD display driver ICs and OLED TV display driver ICs. The increase in net sales from our Power Solutions business line was attributable to a strong demand for power products such as MOSFETs, including high-end MOSFETs, primarily for TVs and e-bikes, and IGBTs mainly for solar inverters.</w:t>
      </w:r>
    </w:p>
    <w:p>
      <w:pPr>
        <w:spacing w:after="0" w:line="18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transitional Fab 3 foundry services. </w:t>
      </w:r>
      <w:r>
        <w:rPr>
          <w:rFonts w:ascii="Times New Roman" w:cs="Times New Roman" w:eastAsia="Times New Roman" w:hAnsi="Times New Roman"/>
          <w:sz w:val="18"/>
          <w:szCs w:val="18"/>
          <w:color w:val="auto"/>
        </w:rPr>
        <w:t>Net sales from the transitional Fab 3 foundry services were $10.1 million and $10.6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2022 and 2021, respectively.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Total gross profit was $28.9 million for the three months ended June 30, 2022 compared to $34.0 million for the three months ended June 30, 2021, a $5.0 million, or 14.8%, decrease. Gross profit as a percentage of net sales for the three months ended June 30, 2022 decreased to 28.6% compared to 29.8% for the three months ended June 30, 2021. The decrease in both gross profit and gross profit as a percentage of net sales was primarily due to our standard products business as further described below.</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Gross profit from our standard products business was $27.7 million for the three months ended June 30,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represented a $5.2 million, or 15.8%, decrease from gross profit of $32.9 million for the three months ended June 30, 2021. Gross profit as a percentage of net sales for the three months ended June 30, 2022 decreased to 30.3% compared to 31.8% for the three months ended June 30, 2021. The decrease in both gross profit and gross profit as a percentage of net sales was primarily attributable to certain inventory reserve related to 12-inch display products resulted from lower demand for China smartphone, and an increase in certain foundry-related extra charges relating to 12-inch wafers. These decreases were offset in part by an improved product mix and an increase in average selling price benefited from the favorable pricing environment, primarily for our Power Solutions business line.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Sales – Standard Products Business by Geographic Region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June 30, 2022 and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8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17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104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780" w:type="dxa"/>
            <w:vAlign w:val="bottom"/>
            <w:gridSpan w:val="3"/>
            <w:vMerge w:val="continue"/>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4"/>
              </w:rPr>
              <w:t>(Dollars in millions)</w:t>
            </w:r>
          </w:p>
        </w:tc>
        <w:tc>
          <w:tcPr>
            <w:tcW w:w="6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1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69.4</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7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103.3</w:t>
            </w:r>
          </w:p>
        </w:tc>
        <w:tc>
          <w:tcPr>
            <w:tcW w:w="260" w:type="dxa"/>
            <w:vAlign w:val="bottom"/>
            <w:vMerge w:val="continue"/>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Net sales – standard products business in Korea for the three months ended June 30, 2022 increased from $30.9 million to $31.2 million compared to the three months ended June 30, 2021, or by $0.3 million, or 1.0%, primarily due to a higher demand for OLED TV display driver ICs, which was offset by weaker demand for power products such as MOSFETs, including high-end MOSFETs, primarily for TVs.</w:t>
      </w:r>
    </w:p>
    <w:p>
      <w:pPr>
        <w:spacing w:after="0" w:line="17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Net sales – standard products business in Asia Pacific (other than Korea) for the three months ended June 30, 2022 decreased to $56.1 million from $69.4 million in the three months ended June 30, 2021, or by $13.3 million, or 19.2%, primarily due to a decrease in revenue from our mobile OLED display driver ICs stemming from a continuing severe shortage in manufacturing capacity (in particular for 28nm 12-inch OLED wafers), as we outsource manufacturing of these products to external 12-inch foundries, and lower customer demand resulting from a slowdown in the Chinese smartphone market in the second quarter of 2022, which was offset in part by a higher demand for power products such as MOSFETs, including high-end MOSFETs, primarily for TVs and e-bike, and IGBTs mainly for solar inverters. The increased demand for our auto-LCD display driver ICs also favorably affected in this quarter.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$12.7 million, or 12.6% of total revenues,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June 30, 2022, compared to $14.0 million, or 12.3% of total revenues, for the three months ended June 30, 2021. The decrease of $1.3 million, or 9.0%, was primarily attributable to a decrease in professional fees mainly comprised of legal and consulting fees. This decrease was also resulted from certain non-income-based tax assessments of $0.6 million as a result of a regular tax examination completed in the second quarter of 2021 for our primary operating entity in Korea for multiple tax years.</w:t>
      </w:r>
    </w:p>
    <w:p>
      <w:pPr>
        <w:spacing w:after="0" w:line="179"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$13.4 million, or 13.2% of total revenues,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2022, which remained flat, compared to $13.3 million, or 11.7% of total revenues, for the three months ended June 30, 2021.</w:t>
      </w:r>
    </w:p>
    <w:p>
      <w:pPr>
        <w:spacing w:after="0" w:line="15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Merger-related Costs. </w:t>
      </w:r>
      <w:r>
        <w:rPr>
          <w:rFonts w:ascii="Times New Roman" w:cs="Times New Roman" w:eastAsia="Times New Roman" w:hAnsi="Times New Roman"/>
          <w:sz w:val="18"/>
          <w:szCs w:val="18"/>
          <w:color w:val="auto"/>
        </w:rPr>
        <w:t>For the three months ended June 30, 2021, we recorded $2.5 million of professional service fees and expenses incurred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contemplated Merger transaction.</w:t>
      </w:r>
    </w:p>
    <w:p>
      <w:pPr>
        <w:spacing w:after="0" w:line="15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Charges. </w:t>
      </w:r>
      <w:r>
        <w:rPr>
          <w:rFonts w:ascii="Times New Roman" w:cs="Times New Roman" w:eastAsia="Times New Roman" w:hAnsi="Times New Roman"/>
          <w:sz w:val="18"/>
          <w:szCs w:val="18"/>
          <w:color w:val="auto"/>
        </w:rPr>
        <w:t>For the three months ended June 30, 2022, we recorded $0.8 million of professional service fees and expenses incurred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certain strategic evaluations. For the three months ended June 30, 2021, we recorded $2.6 million of non-recurring professional service fees and expenses incurred in connection with the regulatory requests.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foregoing, operating income was $2.0 million for the three months ended June 30, 2022 compared to operating income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 million the three months ended June 30, 2021. As discussed above, the increase in operating income of $0.4 million resulted primarily from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 million decrease in Merger-related costs, a $1.8 million decrease in other charges and a $1.3 million decrease in selling, general and administrative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This increase was offset in part by a $5.0 million decrease in gross profit.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expenses was $0.5 million and $0.1 million for the three months ended June 30, 2022 and June 30, 2021, respectively.</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Loss (Gain), Net. </w:t>
      </w:r>
      <w:r>
        <w:rPr>
          <w:rFonts w:ascii="Times New Roman" w:cs="Times New Roman" w:eastAsia="Times New Roman" w:hAnsi="Times New Roman"/>
          <w:sz w:val="18"/>
          <w:szCs w:val="18"/>
          <w:color w:val="auto"/>
        </w:rPr>
        <w:t>Net foreign currency loss for the three months ended June 30, 2022 was $7.0 million compared to net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gain of $0.3 million for the three months ended June 30, 2021. The net foreign currency loss for the three months ended June 30, 2022 was due to the depreciation in value of the Korean won relative to the U.S. dollar during the period. The net foreign currency gain for the three months ended June 30, 2021 was due to the appreciation in value of the Korean won relative to the U.S. dollar during the period.</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June 30, 2022 and June 30, 2021, the outstanding intercompany loan balances, including accrued interest between our Korean subsidiary and our Dutch subsidiary, were $353 million and $387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83" w:lineRule="exact"/>
        <w:rPr>
          <w:sz w:val="20"/>
          <w:szCs w:val="20"/>
          <w:color w:val="auto"/>
        </w:rPr>
      </w:pPr>
    </w:p>
    <w:p>
      <w:pPr>
        <w:ind w:left="120" w:right="1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Others, Net. </w:t>
      </w:r>
      <w:r>
        <w:rPr>
          <w:rFonts w:ascii="Times New Roman" w:cs="Times New Roman" w:eastAsia="Times New Roman" w:hAnsi="Times New Roman"/>
          <w:sz w:val="17"/>
          <w:szCs w:val="17"/>
          <w:color w:val="auto"/>
        </w:rPr>
        <w:t>Others were comprised of interest income, rental income, and gains and losses from valuation of derivatives which were designated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hedging instruments. Others for the three months ended June 30, 2022 and June 30, 2021 was $1.3 million and $0.6 million, respectively.</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Income tax benefit was $0.9 million for the three months ended June 30, 2022, which was primarily attributable to a decrease in our Korean subsidiary’s pre-tax income for the respective period due to the foreign currency translation loss recorded in our Korean subsidiary in connection with intercompany loans. Income tax expense was $2.6 million for the three months ended June 30, 2021, which was primarily attributable to interest on intercompany loan balances, and certain income-based tax assessments of $0.6 million as a result of a regular tax examination completed for our Korean subsidiary for multiple tax years.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120" w:right="740" w:firstLine="440"/>
        <w:spacing w:after="0" w:line="276" w:lineRule="auto"/>
        <w:rPr>
          <w:sz w:val="20"/>
          <w:szCs w:val="20"/>
          <w:color w:val="auto"/>
        </w:rPr>
      </w:pPr>
      <w:r>
        <w:rPr>
          <w:rFonts w:ascii="Times New Roman" w:cs="Times New Roman" w:eastAsia="Times New Roman" w:hAnsi="Times New Roman"/>
          <w:sz w:val="17"/>
          <w:szCs w:val="17"/>
          <w:color w:val="auto"/>
        </w:rPr>
        <w:t>As a result of the foregoing, a net loss of $3.3 million was recorded for the three months ended June 30, 2022 compared to a net loss of $0.2 million for the three months ended June 30, 2021. As discussed above, the $3.1 million increase in net loss was primarily attributable to a</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$7.3 million increase in net foreign currency loss, which was offset in part by a $3.5 million decrease in income tax expense and a $0.4 million increase in operating income.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Six Months Ended June 30,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consolidated results of operations for the six months ended June 30, 2022 and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5"/>
                <w:szCs w:val="15"/>
                <w:color w:val="auto"/>
              </w:rPr>
            </w:pPr>
          </w:p>
        </w:tc>
        <w:tc>
          <w:tcPr>
            <w:tcW w:w="208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92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90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0" w:type="dxa"/>
            <w:vAlign w:val="bottom"/>
            <w:gridSpan w:val="4"/>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185.3</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0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119.7</w:t>
            </w: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0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costs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0"/>
                <w:szCs w:val="20"/>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6"/>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5"/>
                <w:szCs w:val="15"/>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gridSpan w:val="2"/>
            <w:vMerge w:val="restart"/>
          </w:tcPr>
          <w:p>
            <w:pPr>
              <w:spacing w:after="0"/>
              <w:rPr>
                <w:sz w:val="10"/>
                <w:szCs w:val="10"/>
                <w:color w:val="auto"/>
              </w:rPr>
            </w:pPr>
          </w:p>
        </w:tc>
        <w:tc>
          <w:tcPr>
            <w:tcW w:w="840" w:type="dxa"/>
            <w:vAlign w:val="bottom"/>
            <w:tcBorders>
              <w:top w:val="single" w:sz="8" w:color="auto"/>
            </w:tcBorders>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gridSpan w:val="2"/>
            <w:vMerge w:val="restart"/>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Total revenues</w:t>
            </w:r>
          </w:p>
        </w:tc>
        <w:tc>
          <w:tcPr>
            <w:tcW w:w="32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revenues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5"/>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90.2</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216.2</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205.5</w:t>
            </w:r>
          </w:p>
        </w:tc>
        <w:tc>
          <w:tcPr>
            <w:tcW w:w="1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236.9</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6"/>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5"/>
                <w:szCs w:val="15"/>
                <w:color w:val="auto"/>
              </w:rPr>
            </w:pPr>
          </w:p>
        </w:tc>
        <w:tc>
          <w:tcPr>
            <w:tcW w:w="20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vMerge w:val="restart"/>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vMerge w:val="restart"/>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5"/>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 – standard products business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65.6</w:t>
            </w:r>
          </w:p>
        </w:tc>
        <w:tc>
          <w:tcPr>
            <w:tcW w:w="11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 transitional Fab 3 foundry services</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tcBorders>
              <w:right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9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vMerge w:val="continue"/>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Total revenues were $205.5 million for the six months ended June 30, 2022, a $31.4 million, or 13.3%, decrease compared to $236.9 million for the six months ended June 30, 2021. This decrease was primarily due to a decrease in revenue related to our standard products business as described below.</w:t>
      </w:r>
    </w:p>
    <w:p>
      <w:pPr>
        <w:spacing w:after="0" w:line="17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Net sales from our standard products business were $185.3 million for the six months ended June 30, 2022,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$30.9 million, or 14.3%, decrease compared to $216.2 million for the six months ended June 30, 2021. The decrease in net sales from our Display Solutions business line was primarily attributable to a decrease in revenue from our mobile OLED display driver ICs stemming from a continuing severe shortage in manufacturing capacity (in particular for 28nm 12-inch OLED wafers), as we outsource manufacturing of these products to external 12-inch foundries, and lower customer demand resulting from a slowdown in the Chinese smartphone market in the first half of 2022, which was offset in part by a higher demand for our OLED TV display driver ICs and auto-LCD display driver ICs. The increase in net sales from our Power Solutions business line was attributable to a strong demand for power products such as MOSFETs, including high-end MOSFETs, primarily for TVs and e-bikes, and IGBTs mainly for solar inverters.</w:t>
      </w:r>
    </w:p>
    <w:p>
      <w:pPr>
        <w:spacing w:after="0" w:line="18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transitional Fab 3 foundry services. </w:t>
      </w:r>
      <w:r>
        <w:rPr>
          <w:rFonts w:ascii="Times New Roman" w:cs="Times New Roman" w:eastAsia="Times New Roman" w:hAnsi="Times New Roman"/>
          <w:sz w:val="18"/>
          <w:szCs w:val="18"/>
          <w:color w:val="auto"/>
        </w:rPr>
        <w:t>Net sales from the transitional Fab 3 foundry services were $20.2 million and $20.7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2022 and 2021, respectively.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Total gross profit was $67.9 million for the six months ended June 30, 2022 compared to $68.4 million for the six months ended June 30, 2021, a $0.4 million, or 0.6%, decrease. Gross profit as a percentage of net sales for the six months ended June 30, 2022 increased to 33.1% compared to 28.9% for the six months ended June 30, 2021. The increase in gross profit as a percentage of net sales was primarily due to our standard products business as further described below.</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Gross profit from our standard products business was $65.6 million for the six months ended June 30,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represented a $0.9 million, or 1.4%, decrease from gross profit of $66.5 million for the six months ended June 30, 2021. Gross profit as a percentage of net sales for the six months ended June 30, 2022 increased to 35.4% compared to 30.8% for the six months ended June 30, 2021. The increase in gross profit margin was primarily attributable to an improved product mix and an increase in average selling price benefited from the favorable pricing environment. A higher utilization rate of our internal fabrication facility also had a favorable effect on the gross profit as a percentage of net sales. These increases were offset in part by certain inventory reserve related to 12-inch display products resulted from lower demand for China smartphone, and an increase in certain foundry-related extra charges relating to 12-inch wafers.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Sales – Standard Products Business by Geographic Region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six months ended June 30, 2022 and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gridSpan w:val="2"/>
            <w:vMerge w:val="restart"/>
          </w:tcPr>
          <w:p>
            <w:pPr>
              <w:spacing w:after="0"/>
              <w:rPr>
                <w:sz w:val="12"/>
                <w:szCs w:val="12"/>
                <w:color w:val="auto"/>
              </w:rPr>
            </w:pPr>
          </w:p>
        </w:tc>
        <w:tc>
          <w:tcPr>
            <w:tcW w:w="920" w:type="dxa"/>
            <w:vAlign w:val="bottom"/>
            <w:gridSpan w:val="2"/>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vMerge w:val="restart"/>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420" w:type="dxa"/>
            <w:vAlign w:val="bottom"/>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gridSpan w:val="5"/>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57.3</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10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114.3</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153.1</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7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185.3</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216.2</w:t>
            </w:r>
          </w:p>
        </w:tc>
        <w:tc>
          <w:tcPr>
            <w:tcW w:w="260" w:type="dxa"/>
            <w:vAlign w:val="bottom"/>
            <w:vMerge w:val="continue"/>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Net sales – standard products business in Korea for the six months ended June 30, 2022 increased from $57.3 million to $62.2 million compared to the six months ended June 30, 2021, or by $4.9 million, or 8.5%, primarily due to an increase in revenue from our mobile OLED display driver ICs and OLED TV display driver ICs. This increase was also favorably affected by a strong demand for power products such as MOSFETs, including high-end MOSFETs, primarily for TVs and smartphone applications.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Net sales – standard products business in Asia Pacific (other than Korea) for the six months ended June 30, 2022 decreased to $114.3 million from $153.1 million in the six months ended June 30, 2021, or by $38.8 million, or 25.3%, primarily due to a decrease in revenue from our mobile OLED display driver ICs stemming from a continuing severe shortage in manufacturing capacity (in particular for 28nm 12-inch OLED wafers), as we outsource manufacturing of these products to external 12-inch foundries, and lower customer demand resulting from a slowdown in the Chinese smartphone market in the first half of 2022, which was offset in part by a higher demand for power products such as MOSFETs, including high-end MOSFETs, primarily for TVs and e-bike, and IGBTs mainly for solar inverters. The increased demand for our auto-LCD display driver ICs also favorably affected in the first half of 2022.</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$26.9 million, or 13.1% of total revenues, for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six months ended June 30, 2022, compared to $26.6 million, or 11.2% of total revenues, for the six months ended June 30, 2021. The increase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$0.3 million, or 1.0%, was primarily attributable to an increase in employee compensation including certain incentive and benefit related accruals.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was offset in part by a decrease in professional fees mainly comprised of legal and consulting fees, and certain non-income-based tax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assessments of $0.6 million as a result of a regular tax examination completed in the second quarter of 2021 for our primary operating entity in Korea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multiple tax years.</w:t>
      </w:r>
    </w:p>
    <w:p>
      <w:pPr>
        <w:spacing w:after="0" w:line="203"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$25.4 million, or 12.3% of total revenues, for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2022, compared to $26.7 million, or 11.3% of total revenues, for the six months ended June 30, 2021. The decrease of $1.4 million, or 5.2%, was primarily attributable to the timing of development activities for our 28-nanometer OLED display driver ICs.</w:t>
      </w:r>
    </w:p>
    <w:p>
      <w:pPr>
        <w:spacing w:after="0" w:line="171" w:lineRule="exact"/>
        <w:rPr>
          <w:sz w:val="20"/>
          <w:szCs w:val="20"/>
          <w:color w:val="auto"/>
        </w:rPr>
      </w:pPr>
    </w:p>
    <w:p>
      <w:pPr>
        <w:jc w:val="both"/>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Merger-related Costs. </w:t>
      </w:r>
      <w:r>
        <w:rPr>
          <w:rFonts w:ascii="Times New Roman" w:cs="Times New Roman" w:eastAsia="Times New Roman" w:hAnsi="Times New Roman"/>
          <w:sz w:val="18"/>
          <w:szCs w:val="18"/>
          <w:color w:val="auto"/>
        </w:rPr>
        <w:t>For the six months ended June 30, 2021, we recorded $12.3 million of professional service fees and expenses incurred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contemplated Merger transaction.</w:t>
      </w:r>
    </w:p>
    <w:p>
      <w:pPr>
        <w:spacing w:after="0" w:line="155"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Charges. </w:t>
      </w:r>
      <w:r>
        <w:rPr>
          <w:rFonts w:ascii="Times New Roman" w:cs="Times New Roman" w:eastAsia="Times New Roman" w:hAnsi="Times New Roman"/>
          <w:sz w:val="18"/>
          <w:szCs w:val="18"/>
          <w:color w:val="auto"/>
        </w:rPr>
        <w:t>For the six months ended June 30, 2022, we recorded $0.8 million of professional service fees and expenses incurred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certain strategic evaluations. For the six months ended June 30, 2021, we recorded $3.1 million of non-recurring professional service fees and expenses incurred in connection with the regulatory requests.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foregoing, operating income was $14.9 million for the six months ended June 30, 2022 compared to operating loss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$0.5 million the six months ended June 30, 2021. As discussed above, the increase in operating income of $15.3 million resulted primarily from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$12.3 million decrease in Merger-related costs, a $2.3 million decrease in other charges and a $1.4 million decrease in 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This increase was offset in part by a $0.4 million decrease in gross profit and a $0.3 million increase in in selling, general and administrative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w:t>
      </w:r>
    </w:p>
    <w:p>
      <w:pPr>
        <w:sectPr>
          <w:pgSz w:w="11900" w:h="16838" w:orient="portrait"/>
          <w:cols w:equalWidth="0" w:num="1">
            <w:col w:w="11140"/>
          </w:cols>
          <w:pgMar w:left="320" w:top="482" w:right="439" w:bottom="1440" w:gutter="0" w:footer="0" w:header="0"/>
        </w:sectPr>
      </w:pP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expenses was $0.6 million and $1.1 million for the six months ended June 30, 2022 and June 30, 2021, respectively.</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Loss, Net. </w:t>
      </w:r>
      <w:r>
        <w:rPr>
          <w:rFonts w:ascii="Times New Roman" w:cs="Times New Roman" w:eastAsia="Times New Roman" w:hAnsi="Times New Roman"/>
          <w:sz w:val="18"/>
          <w:szCs w:val="18"/>
          <w:color w:val="auto"/>
        </w:rPr>
        <w:t>Net foreign currency loss for the six months ended June 30, 2022 was $7.7 million compared to net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of $4.4 million for the six months ended June 30, 2021. The net foreign currency loss for the six months ended June 30, 2022 and June 30, 2021 was due to the depreciation in value of the Korean won relative to the U.S. dollar during the period.</w:t>
      </w:r>
    </w:p>
    <w:p>
      <w:pPr>
        <w:spacing w:after="0" w:line="17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June 30, 2022 and June 30, 2021, the outstanding intercompany loan balances, including accrued interest between our Korean subsidiary and our Dutch subsidiary, were $353 million and $387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83"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Others, Net. </w:t>
      </w:r>
      <w:r>
        <w:rPr>
          <w:rFonts w:ascii="Times New Roman" w:cs="Times New Roman" w:eastAsia="Times New Roman" w:hAnsi="Times New Roman"/>
          <w:sz w:val="18"/>
          <w:szCs w:val="18"/>
          <w:color w:val="auto"/>
        </w:rPr>
        <w:t>Others were comprised of interest income, rental income and gains and losses from valuation of derivatives which were designated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hedging instruments. Others for the six months ended June 30, 2022 and June 30, 2021 was $2.2 million and $1.2 million, respectively.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Income tax expense was $2.6 million and $2.9 million for the six months ended June 30, 2022 and 2021, respectively, and was primarily attributable to interest on intercompany loan balances and income tax in our Korean subsidiary and the U.S. parent entity based on the estimated taxable income for the respective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21"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a net income of $6.2 million was recorded for the six months ended June 30, 2022 compared to a net loss of $7.7 million for the six months ended June 30, 2021. As discussed above, the $13.9 million increase in net income was primarily attributable to a $15.3 million increase in operating income, which was offset in part by a $3.3 million increase in net foreign currency loss.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are to fund sales and marketing, invest in research and development and capital equipment, and to fund working capital needs. We calculate working capital as current assets less current liabilities.</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June 30, 2022, we did not have any accounts payable on extended terms or payment deferment with our vendors.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June 29, 2018, our Korean subsidiary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June 30, 2022, the outstanding obligation of this arrangement is approximately $20.2 million for remaining service term through 2028.</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cash and cash equivalents held by our Korean subsidiary were $264.5 million, which represents 97%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Our working capital balance as of June 30, 2022 was $331.2 million compared to $323.6 million as of December 31, 2021. The $7.6 million increase was primarily attributable to an $8.9 million increase in account receivables, net and a $4.4 million increase in advance payments to certain suppliers, including external foundries to meet our planned production, which was offset in part by a decrease in a $5.8 million decrease in cash and cash equivalents.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Cash inflow provided by operating activities totaled $25.0 million for the six months ended June 30, 2022, compared to $10.4 million of cash inflow provided by operating activities for the six months ended June 30, 2021. The net operating cash inflow for the six months ended June 30, 2022 reflects our net income of $6.2 million, as adjusted favorably by $49.6 million, which mainly consisted of depreciation and amortization, provision for severance benefits, stock-based compensation and net foreign currency loss, and net unfavorable impact of $30.9 million from changes of operating assets and liabilities.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outflow used in investing activities totaled $6.7 million for the six months ended June 30, 2022, compared to $9.6 million of cash outflow used in investing activities for the six months ended June 30, 2021. The $2.8 million decrease was primarily attributable to a $3.6 million net decrease in guarantee deposits and a $3.4 million decrease in purchase of property, plant and equipment, which was offset in part by a $4.4 million net increase in hedge collateral.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Cash outflow used in financing activities totaled $0.3 million for the six months ended June 30, 2022, compared to $0.6 million of cash inflow provided by financing activities for the six months ended June 30, 2021. The financing cash outflow for the six months ended June 30, 2022 was primarily attributable to a payment of $1.8 million for the repurchase of our common stock to satisfy tax withholding obligations in connection with the vesting of restricted stock units, which was offset entirely by $1.8 million of proceeds received from the issuance of common stock in connection with the exercise of stock options. The financing cash inflow for the six months ended June 30, 2021 was primarily attributable to $2.5 million of proceeds received from the issuance of common stock in connection with the exercise of stock options, which was offset in part by a payment of $1.7 million for the repurchase of our common stock to satisfy tax withholding obligations in connection with the vesting of restricted stock units.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routinely make capital expenditures for fabrication facility maintenance, enhancement of our existing facility and reinforcement of our global research and development capability. For the six months ended June 30, 2022, capital expenditures for property, plant and equipment were $1.5 million, a $3.4 million, or 68.9%, decrease from $4.9 million for the six months ended June 30, 2021. The capital expenditures for the six months ended June 30, 2022 and 2021 were related to meeting our customer demand and supporting technology and facility improvement at our fabrication facility.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that our significant accounting policies, which are described further in Note 1 to our consolidated financial statements in our Annual Report on Form 10-K for our fiscal year ended December 31, 2021, or our 2021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judgement appears in our 2021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2021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Exposures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June 30, 2022 for our Korean subsidiary, a 10% devaluation of the Korean won against the U.S. dollar would have resulted in a decrease of $2.2 million in our U.S. dollar financial instruments and cash balances.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connection with the preparation of this Report, we carried out an evaluation under the supervision of and with the participation of our management, including our Chief Executive Officer and Chief Financial Officer, as of June 30, 2022,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2022 that have materially affected, or are reasonably likely to materially affect, our internal control over financial reporting.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40"/>
          </w:cols>
          <w:pgMar w:left="320" w:top="482"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discussion of legal proceedings, see “Part I: Item 3. Legal Proceedings” of our 2021 Form 10-K.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also “Item 1A. Risk Factors” in this Report and “Part I: Item 1A. Risk Factors” of our 2021 Form 10-K for additional information.</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is subject to risks and uncertainties, any of which could have a significant or material adverse effect on our business, financial condition, liquidity or consolidated financial statements.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particular, the Company has been exposed to the risks and uncertainties associated with adverse changes in global, regional or local economic and business conditions, including: inflation; higher interest rates; currency exchange rate fluctuations; changes or uncertainty in fiscal, monetary or trade policies; the COVID-19 pandemic or other outbreaks of disease; geopolitical conflict between Russia and Ukraine, and any sanctions, export controls or other retaliatory actions against, or restrictions on doing business with, Russia; and any disruption, instability or volatility in the global markets, industries and supply chains resulting from such changes. The foregoing macroeconomic conditions may result in unstable consumer spending and demand, which may in turn adversely affect growth rates in our markets and limit our ability to forecast operating results. We cannot predict the ultimate impact and can provide no assurance that these macroeconomic conditions will not adversely impact our revenues, results of operations and financial condition in the future.</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risks described herein and therein are not the only ones we face. This information should be considered carefully together with the other information contained in this Report and the other reports and materials the Company files with the SEC, including the risk factors disclosed in Part I, Item 1A of our 2021 Form 10-K.</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40"/>
          </w:cols>
          <w:pgMar w:left="320" w:top="482" w:right="539" w:bottom="1440" w:gutter="0" w:footer="0" w:header="0"/>
        </w:sectPr>
      </w:pPr>
    </w:p>
    <w:bookmarkStart w:id="50" w:name="page51"/>
    <w:bookmarkEnd w:id="50"/>
    <w:p>
      <w:pPr>
        <w:spacing w:after="0" w:line="196" w:lineRule="auto"/>
        <w:framePr w:w="840" w:h="160" w:wrap="auto" w:vAnchor="page" w:hAnchor="page" w:x="400" w:y="678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Footnotes:</w:t>
      </w: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rFonts w:ascii="Times New Roman" w:cs="Times New Roman" w:eastAsia="Times New Roman" w:hAnsi="Times New Roman"/>
          <w:sz w:val="17"/>
          <w:szCs w:val="17"/>
          <w:color w:val="auto"/>
        </w:rPr>
      </w:pPr>
    </w:p>
    <w:tbl>
      <w:tblPr>
        <w:tblLayout w:type="fixed"/>
        <w:tblInd w:w="120" w:type="dxa"/>
        <w:tblCellMar>
          <w:top w:w="0" w:type="dxa"/>
          <w:left w:w="0" w:type="dxa"/>
          <w:bottom w:w="0" w:type="dxa"/>
          <w:right w:w="0" w:type="dxa"/>
        </w:tblCellMar>
      </w:tblPr>
      <w:tr>
        <w:trPr>
          <w:trHeight w:val="238"/>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0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67"/>
        </w:trPr>
        <w:tc>
          <w:tcPr>
            <w:tcW w:w="12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320" w:type="dxa"/>
            <w:vAlign w:val="bottom"/>
            <w:gridSpan w:val="7"/>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First Amendment to Termination and Settlement Agreement, dated as of April 4, 2022, by and between Magnachip Semiconductor</w:t>
              </w:r>
            </w:hyperlink>
          </w:p>
        </w:tc>
        <w:tc>
          <w:tcPr>
            <w:tcW w:w="320" w:type="dxa"/>
            <w:vAlign w:val="bottom"/>
            <w:gridSpan w:val="2"/>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Corporation, South Dearborn Limited and Wise Road Capital LTD. (incorporated by reference to Exhibit 10.1 to our Current Report on</w:t>
              </w:r>
            </w:hyperlink>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8-K filed on April 6, 2022).</w:t>
              </w:r>
            </w:hyperlink>
          </w:p>
        </w:tc>
      </w:tr>
      <w:tr>
        <w:trPr>
          <w:trHeight w:val="20"/>
        </w:trPr>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2"/>
                <w:szCs w:val="22"/>
                <w:color w:val="auto"/>
                <w:vertAlign w:val="superscript"/>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 13a-14(a) or Rule 15d-14(a) of the Securities Exchange Act of 1934 of the Chief Executive Officer.</w:t>
            </w:r>
          </w:p>
        </w:tc>
        <w:tc>
          <w:tcPr>
            <w:tcW w:w="380" w:type="dxa"/>
            <w:vAlign w:val="bottom"/>
            <w:gridSpan w:val="3"/>
          </w:tcPr>
          <w:p>
            <w:pPr>
              <w:spacing w:after="0"/>
              <w:rPr>
                <w:sz w:val="24"/>
                <w:szCs w:val="24"/>
                <w:color w:val="auto"/>
              </w:rPr>
            </w:pPr>
          </w:p>
        </w:tc>
      </w:tr>
      <w:tr>
        <w:trPr>
          <w:trHeight w:val="304"/>
        </w:trPr>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2"/>
                <w:szCs w:val="22"/>
                <w:color w:val="auto"/>
                <w:vertAlign w:val="superscript"/>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pursuant to Rule 13a-14(a) or Rule 15d-14(a) of the Securities Exchange Act of 1934 of the Chief Financial Officer.</w:t>
            </w:r>
          </w:p>
        </w:tc>
      </w:tr>
      <w:tr>
        <w:trPr>
          <w:trHeight w:val="20"/>
        </w:trPr>
        <w:tc>
          <w:tcPr>
            <w:tcW w:w="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98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of the Chief</w:t>
            </w:r>
          </w:p>
        </w:tc>
        <w:tc>
          <w:tcPr>
            <w:tcW w:w="1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Executive Officer.</w:t>
            </w:r>
          </w:p>
        </w:tc>
        <w:tc>
          <w:tcPr>
            <w:tcW w:w="8420" w:type="dxa"/>
            <w:vAlign w:val="bottom"/>
            <w:gridSpan w:val="8"/>
          </w:tcPr>
          <w:p>
            <w:pPr>
              <w:spacing w:after="0"/>
              <w:rPr>
                <w:sz w:val="17"/>
                <w:szCs w:val="17"/>
                <w:color w:val="auto"/>
              </w:rPr>
            </w:pPr>
          </w:p>
        </w:tc>
      </w:tr>
      <w:tr>
        <w:trPr>
          <w:trHeight w:val="304"/>
        </w:trPr>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of the Chief</w:t>
            </w:r>
          </w:p>
        </w:tc>
        <w:tc>
          <w:tcPr>
            <w:tcW w:w="1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r>
      <w:tr>
        <w:trPr>
          <w:trHeight w:val="20"/>
        </w:trPr>
        <w:tc>
          <w:tcPr>
            <w:tcW w:w="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80" w:type="dxa"/>
            <w:vAlign w:val="bottom"/>
            <w:gridSpan w:val="9"/>
          </w:tcPr>
          <w:p>
            <w:pPr>
              <w:spacing w:after="0" w:line="20" w:lineRule="exact"/>
              <w:rPr>
                <w:sz w:val="1"/>
                <w:szCs w:val="1"/>
                <w:color w:val="auto"/>
              </w:rPr>
            </w:pPr>
          </w:p>
        </w:tc>
      </w:tr>
      <w:tr>
        <w:trPr>
          <w:trHeight w:val="407"/>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2"/>
                <w:szCs w:val="22"/>
                <w:color w:val="auto"/>
                <w:vertAlign w:val="superscript"/>
              </w:rPr>
              <w:t>#</w:t>
            </w:r>
          </w:p>
        </w:tc>
        <w:tc>
          <w:tcPr>
            <w:tcW w:w="2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r>
              <w:rPr>
                <w:rFonts w:ascii="Times New Roman" w:cs="Times New Roman" w:eastAsia="Times New Roman" w:hAnsi="Times New Roman"/>
                <w:sz w:val="22"/>
                <w:szCs w:val="22"/>
                <w:color w:val="auto"/>
                <w:vertAlign w:val="superscript"/>
              </w:rPr>
              <w:t>#</w:t>
            </w:r>
          </w:p>
        </w:tc>
        <w:tc>
          <w:tcPr>
            <w:tcW w:w="2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r>
              <w:rPr>
                <w:rFonts w:ascii="Times New Roman" w:cs="Times New Roman" w:eastAsia="Times New Roman" w:hAnsi="Times New Roman"/>
                <w:sz w:val="22"/>
                <w:szCs w:val="22"/>
                <w:color w:val="auto"/>
                <w:vertAlign w:val="superscript"/>
              </w:rPr>
              <w:t>#</w:t>
            </w:r>
          </w:p>
        </w:tc>
        <w:tc>
          <w:tcPr>
            <w:tcW w:w="2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r>
              <w:rPr>
                <w:rFonts w:ascii="Times New Roman" w:cs="Times New Roman" w:eastAsia="Times New Roman" w:hAnsi="Times New Roman"/>
                <w:sz w:val="22"/>
                <w:szCs w:val="22"/>
                <w:color w:val="auto"/>
                <w:vertAlign w:val="superscript"/>
              </w:rPr>
              <w:t>#</w:t>
            </w:r>
          </w:p>
        </w:tc>
        <w:tc>
          <w:tcPr>
            <w:tcW w:w="2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r>
              <w:rPr>
                <w:rFonts w:ascii="Times New Roman" w:cs="Times New Roman" w:eastAsia="Times New Roman" w:hAnsi="Times New Roman"/>
                <w:sz w:val="22"/>
                <w:szCs w:val="22"/>
                <w:color w:val="auto"/>
                <w:vertAlign w:val="superscript"/>
              </w:rPr>
              <w:t>#</w:t>
            </w:r>
          </w:p>
        </w:tc>
        <w:tc>
          <w:tcPr>
            <w:tcW w:w="2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r>
              <w:rPr>
                <w:rFonts w:ascii="Times New Roman" w:cs="Times New Roman" w:eastAsia="Times New Roman" w:hAnsi="Times New Roman"/>
                <w:sz w:val="22"/>
                <w:szCs w:val="22"/>
                <w:color w:val="auto"/>
                <w:vertAlign w:val="superscript"/>
              </w:rPr>
              <w:t>#</w:t>
            </w:r>
          </w:p>
        </w:tc>
        <w:tc>
          <w:tcPr>
            <w:tcW w:w="2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62"/>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317" w:lineRule="exact"/>
        <w:rPr>
          <w:sz w:val="20"/>
          <w:szCs w:val="20"/>
          <w:color w:val="auto"/>
        </w:rPr>
      </w:pPr>
    </w:p>
    <w:p>
      <w:pPr>
        <w:ind w:left="340" w:hanging="224"/>
        <w:spacing w:after="0"/>
        <w:tabs>
          <w:tab w:leader="none" w:pos="3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Filed herewith</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320" w:top="482" w:right="5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MAGNACHIP SEMICONDUCTOR CORPORATION</w:t>
            </w:r>
          </w:p>
        </w:tc>
      </w:tr>
      <w:tr>
        <w:trPr>
          <w:trHeight w:val="234"/>
        </w:trPr>
        <w:tc>
          <w:tcPr>
            <w:tcW w:w="352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2022</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Young-Joon Kim</w:t>
            </w:r>
          </w:p>
        </w:tc>
      </w:tr>
      <w:tr>
        <w:trPr>
          <w:trHeight w:val="191"/>
        </w:trPr>
        <w:tc>
          <w:tcPr>
            <w:tcW w:w="3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Young-Joon Kim</w:t>
            </w:r>
          </w:p>
        </w:tc>
      </w:tr>
      <w:tr>
        <w:trPr>
          <w:trHeight w:val="216"/>
        </w:trPr>
        <w:tc>
          <w:tcPr>
            <w:tcW w:w="3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2022</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Shin Young Park</w:t>
            </w:r>
          </w:p>
        </w:tc>
      </w:tr>
      <w:tr>
        <w:trPr>
          <w:trHeight w:val="191"/>
        </w:trPr>
        <w:tc>
          <w:tcPr>
            <w:tcW w:w="3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Shin Young Park</w:t>
            </w:r>
          </w:p>
        </w:tc>
      </w:tr>
      <w:tr>
        <w:trPr>
          <w:trHeight w:val="216"/>
        </w:trPr>
        <w:tc>
          <w:tcPr>
            <w:tcW w:w="3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378"/>
        </w:trPr>
        <w:tc>
          <w:tcPr>
            <w:tcW w:w="3520" w:type="dxa"/>
            <w:vAlign w:val="bottom"/>
          </w:tcPr>
          <w:p>
            <w:pPr>
              <w:spacing w:after="0"/>
              <w:rPr>
                <w:sz w:val="24"/>
                <w:szCs w:val="24"/>
                <w:color w:val="auto"/>
              </w:rPr>
            </w:pPr>
          </w:p>
        </w:tc>
        <w:tc>
          <w:tcPr>
            <w:tcW w:w="24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51</w:t>
            </w: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Young-Joon Kim, certify that:</w:t>
      </w:r>
    </w:p>
    <w:p>
      <w:pPr>
        <w:spacing w:after="0" w:line="117" w:lineRule="exact"/>
        <w:rPr>
          <w:sz w:val="20"/>
          <w:szCs w:val="20"/>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40" w:right="140" w:hanging="4"/>
        <w:spacing w:after="0" w:line="266"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40" w:right="60" w:hanging="4"/>
        <w:spacing w:after="0" w:line="26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640" w:hanging="4"/>
        <w:spacing w:after="0" w:line="312" w:lineRule="auto"/>
        <w:tabs>
          <w:tab w:leader="none" w:pos="68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440" w:right="80" w:hanging="4"/>
        <w:spacing w:after="0" w:line="26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80" w:firstLine="436"/>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40" w:right="40" w:hanging="4"/>
        <w:spacing w:after="0" w:line="282"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540" w:hanging="4"/>
        <w:spacing w:after="0" w:line="282"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Shin Young Park, certify that:</w:t>
      </w:r>
    </w:p>
    <w:p>
      <w:pPr>
        <w:spacing w:after="0" w:line="117" w:lineRule="exact"/>
        <w:rPr>
          <w:sz w:val="20"/>
          <w:szCs w:val="20"/>
          <w:color w:val="auto"/>
        </w:rPr>
      </w:pPr>
    </w:p>
    <w:p>
      <w:pPr>
        <w:ind w:left="620" w:hanging="184"/>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40" w:right="140" w:hanging="4"/>
        <w:spacing w:after="0" w:line="266"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40" w:right="60" w:hanging="4"/>
        <w:spacing w:after="0" w:line="266"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640" w:hanging="4"/>
        <w:spacing w:after="0" w:line="312" w:lineRule="auto"/>
        <w:tabs>
          <w:tab w:leader="none" w:pos="68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440" w:right="80" w:hanging="4"/>
        <w:spacing w:after="0" w:line="266"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80" w:firstLine="436"/>
        <w:spacing w:after="0" w:line="282"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40" w:right="40" w:hanging="4"/>
        <w:spacing w:after="0" w:line="28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540" w:hanging="4"/>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Shin Young Park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020"/>
          </w:cols>
          <w:pgMar w:left="440" w:top="117"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54" w:lineRule="exact"/>
        <w:rPr>
          <w:sz w:val="20"/>
          <w:szCs w:val="20"/>
          <w:color w:val="auto"/>
        </w:rPr>
      </w:pPr>
    </w:p>
    <w:p>
      <w:pPr>
        <w:ind w:right="260" w:firstLine="436"/>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2022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67" w:lineRule="exact"/>
        <w:rPr>
          <w:rFonts w:ascii="Times New Roman" w:cs="Times New Roman" w:eastAsia="Times New Roman" w:hAnsi="Times New Roman"/>
          <w:sz w:val="18"/>
          <w:szCs w:val="18"/>
          <w:color w:val="auto"/>
        </w:rPr>
      </w:pPr>
    </w:p>
    <w:p>
      <w:pPr>
        <w:ind w:right="720" w:firstLine="436"/>
        <w:spacing w:after="0" w:line="282" w:lineRule="auto"/>
        <w:tabs>
          <w:tab w:leader="none" w:pos="7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August 9, 2022</w:t>
      </w:r>
      <w:r>
        <w:rPr>
          <w:sz w:val="20"/>
          <w:szCs w:val="20"/>
          <w:color w:val="auto"/>
        </w:rPr>
        <w:tab/>
      </w:r>
      <w:r>
        <w:rPr>
          <w:rFonts w:ascii="Times New Roman" w:cs="Times New Roman" w:eastAsia="Times New Roman" w:hAnsi="Times New Roman"/>
          <w:sz w:val="17"/>
          <w:szCs w:val="17"/>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17"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54" w:lineRule="exact"/>
        <w:rPr>
          <w:sz w:val="20"/>
          <w:szCs w:val="20"/>
          <w:color w:val="auto"/>
        </w:rPr>
      </w:pPr>
    </w:p>
    <w:p>
      <w:pPr>
        <w:ind w:right="260" w:firstLine="436"/>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2022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67" w:lineRule="exact"/>
        <w:rPr>
          <w:rFonts w:ascii="Times New Roman" w:cs="Times New Roman" w:eastAsia="Times New Roman" w:hAnsi="Times New Roman"/>
          <w:sz w:val="18"/>
          <w:szCs w:val="18"/>
          <w:color w:val="auto"/>
        </w:rPr>
      </w:pPr>
    </w:p>
    <w:p>
      <w:pPr>
        <w:ind w:right="720" w:firstLine="436"/>
        <w:spacing w:after="0" w:line="282"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August 9, 2022</w:t>
      </w:r>
      <w:r>
        <w:rPr>
          <w:sz w:val="20"/>
          <w:szCs w:val="20"/>
          <w:color w:val="auto"/>
        </w:rPr>
        <w:tab/>
      </w:r>
      <w:r>
        <w:rPr>
          <w:rFonts w:ascii="Times New Roman" w:cs="Times New Roman" w:eastAsia="Times New Roman" w:hAnsi="Times New Roman"/>
          <w:sz w:val="17"/>
          <w:szCs w:val="17"/>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Shin Young Park</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2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4"/>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lvl w:ilvl="1">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3"/>
    </w:lvl>
    <w:lvl w:ilvl="1">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68" Type="http://schemas.openxmlformats.org/officeDocument/2006/relationships/hyperlink" Target="http://www.sec.gov/Archives/edgar/data/1325702/000119312522097445/d34790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2022-08-09T17:22:41Z</dcterms:created>
  <dcterms:modified xsi:type="dcterms:W3CDTF">2022-08-09T17:22:41Z</dcterms:modified>
</cp:coreProperties>
</file>