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rPr/>
      </w:pPr>
      <w:r>
        <w:rPr/>
      </w:r>
    </w:p>
    <w:p>
      <w:pPr>
        <w:pStyle w:val="TextBody"/>
        <w:spacing w:before="0" w:after="0"/>
        <w:jc w:val="center"/>
        <w:rPr>
          <w:rFonts w:ascii="Times New Roman" w:hAnsi="Times New Roman"/>
          <w:b/>
          <w:sz w:val="28"/>
        </w:rPr>
      </w:pPr>
      <w:r>
        <w:rPr>
          <w:rFonts w:ascii="Times New Roman" w:hAnsi="Times New Roman"/>
          <w:b/>
          <w:sz w:val="28"/>
        </w:rPr>
        <w:t>UNITED STATES</w:t>
      </w:r>
    </w:p>
    <w:p>
      <w:pPr>
        <w:pStyle w:val="TextBody"/>
        <w:spacing w:before="0" w:after="0"/>
        <w:jc w:val="center"/>
        <w:rPr>
          <w:rFonts w:ascii="Times New Roman" w:hAnsi="Times New Roman"/>
          <w:b/>
          <w:sz w:val="28"/>
        </w:rPr>
      </w:pPr>
      <w:r>
        <w:rPr>
          <w:rFonts w:ascii="Times New Roman" w:hAnsi="Times New Roman"/>
          <w:b/>
          <w:sz w:val="28"/>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rPr/>
      </w:pPr>
      <w:r>
        <w:rPr/>
        <w:t xml:space="preserve">  </w:t>
      </w:r>
    </w:p>
    <w:p>
      <w:pPr>
        <w:pStyle w:val="HorizontalLine"/>
        <w:rPr/>
      </w:pPr>
      <w:r>
        <w:rPr/>
      </w:r>
    </w:p>
    <w:p>
      <w:pPr>
        <w:pStyle w:val="TextBody"/>
        <w:spacing w:before="0" w:after="0"/>
        <w:jc w:val="left"/>
        <w:rPr>
          <w:rFonts w:ascii="Times New Roman" w:hAnsi="Times New Roman"/>
          <w:b w:val="false"/>
          <w:sz w:val="20"/>
        </w:rPr>
      </w:pPr>
      <w:r>
        <w:rPr>
          <w:rFonts w:ascii="Times New Roman" w:hAnsi="Times New Roman"/>
          <w:b w:val="false"/>
          <w:sz w:val="20"/>
        </w:rPr>
      </w:r>
    </w:p>
    <w:p>
      <w:pPr>
        <w:pStyle w:val="TextBody"/>
        <w:spacing w:before="0" w:after="0"/>
        <w:jc w:val="center"/>
        <w:rPr>
          <w:rFonts w:ascii="Times New Roman" w:hAnsi="Times New Roman"/>
          <w:b/>
          <w:sz w:val="36"/>
        </w:rPr>
      </w:pPr>
      <w:r>
        <w:rPr>
          <w:rFonts w:ascii="Times New Roman" w:hAnsi="Times New Roman"/>
          <w:b/>
          <w:sz w:val="36"/>
        </w:rPr>
        <w:t>FORM 8-K</w:t>
      </w:r>
    </w:p>
    <w:p>
      <w:pPr>
        <w:pStyle w:val="TextBody"/>
        <w:spacing w:before="0" w:after="0"/>
        <w:rPr/>
      </w:pPr>
      <w:r>
        <w:rPr/>
        <w:t xml:space="preserve">  </w:t>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center"/>
        <w:rPr>
          <w:rFonts w:ascii="Times New Roman" w:hAnsi="Times New Roman"/>
          <w:b/>
          <w:sz w:val="20"/>
        </w:rPr>
      </w:pPr>
      <w:r>
        <w:rPr>
          <w:rFonts w:ascii="Times New Roman" w:hAnsi="Times New Roman"/>
          <w:b/>
          <w:sz w:val="20"/>
        </w:rPr>
        <w:t>CURRENT REPORT</w:t>
      </w:r>
    </w:p>
    <w:p>
      <w:pPr>
        <w:pStyle w:val="TextBody"/>
        <w:spacing w:before="0" w:after="0"/>
        <w:jc w:val="center"/>
        <w:rPr>
          <w:rFonts w:ascii="Times New Roman" w:hAnsi="Times New Roman"/>
          <w:b/>
          <w:sz w:val="20"/>
        </w:rPr>
      </w:pPr>
      <w:r>
        <w:rPr>
          <w:rFonts w:ascii="Times New Roman" w:hAnsi="Times New Roman"/>
          <w:b/>
          <w:sz w:val="20"/>
        </w:rPr>
        <w:t>Pursuant to Section 13 or 15(d) of the</w:t>
      </w:r>
    </w:p>
    <w:p>
      <w:pPr>
        <w:pStyle w:val="TextBody"/>
        <w:spacing w:before="0" w:after="0"/>
        <w:jc w:val="center"/>
        <w:rPr>
          <w:rFonts w:ascii="Times New Roman" w:hAnsi="Times New Roman"/>
          <w:b/>
          <w:sz w:val="20"/>
        </w:rPr>
      </w:pPr>
      <w:r>
        <w:rPr>
          <w:rFonts w:ascii="Times New Roman" w:hAnsi="Times New Roman"/>
          <w:b/>
          <w:sz w:val="20"/>
        </w:rPr>
        <w:t>Securities Exchange Act of 1934</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Date of report (Date of earliest event reported): May 3, 2023</w:t>
      </w:r>
    </w:p>
    <w:p>
      <w:pPr>
        <w:pStyle w:val="TextBody"/>
        <w:spacing w:before="0" w:after="0"/>
        <w:rPr/>
      </w:pPr>
      <w:r>
        <w:rPr/>
        <w:t xml:space="preserve">  </w:t>
      </w:r>
    </w:p>
    <w:p>
      <w:pPr>
        <w:pStyle w:val="HorizontalLine"/>
        <w:rPr/>
      </w:pPr>
      <w:r>
        <w:rPr/>
      </w:r>
    </w:p>
    <w:p>
      <w:pPr>
        <w:pStyle w:val="TextBody"/>
        <w:spacing w:before="0" w:after="0"/>
        <w:jc w:val="left"/>
        <w:rPr>
          <w:rFonts w:ascii="Times New Roman" w:hAnsi="Times New Roman"/>
          <w:b w:val="false"/>
          <w:sz w:val="20"/>
        </w:rPr>
      </w:pPr>
      <w:r>
        <w:rPr>
          <w:rFonts w:ascii="Times New Roman" w:hAnsi="Times New Roman"/>
          <w:b w:val="false"/>
          <w:sz w:val="20"/>
        </w:rPr>
      </w:r>
    </w:p>
    <w:p>
      <w:pPr>
        <w:pStyle w:val="TextBody"/>
        <w:spacing w:before="0" w:after="0"/>
        <w:jc w:val="center"/>
        <w:rPr>
          <w:rFonts w:ascii="Times New Roman" w:hAnsi="Times New Roman"/>
          <w:b/>
          <w:sz w:val="48"/>
        </w:rPr>
      </w:pPr>
      <w:r>
        <w:rPr>
          <w:rFonts w:ascii="Times New Roman" w:hAnsi="Times New Roman"/>
          <w:b/>
          <w:sz w:val="48"/>
        </w:rPr>
        <w:t>Magnachip Semiconductor Corporation</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center"/>
        <w:rPr>
          <w:rFonts w:ascii="Times New Roman" w:hAnsi="Times New Roman"/>
          <w:b/>
          <w:sz w:val="20"/>
        </w:rPr>
      </w:pPr>
      <w:r>
        <w:rPr>
          <w:rFonts w:ascii="Times New Roman" w:hAnsi="Times New Roman"/>
          <w:b/>
          <w:sz w:val="20"/>
        </w:rPr>
      </w:r>
    </w:p>
    <w:p>
      <w:pPr>
        <w:pStyle w:val="HorizontalLine"/>
        <w:rPr/>
      </w:pPr>
      <w:r>
        <w:rPr/>
      </w:r>
    </w:p>
    <w:p>
      <w:pPr>
        <w:pStyle w:val="TextBody"/>
        <w:spacing w:before="0" w:after="0"/>
        <w:rPr/>
      </w:pPr>
      <w:r>
        <w:rPr/>
      </w:r>
    </w:p>
    <w:tbl>
      <w:tblPr>
        <w:tblW w:w="9075" w:type="dxa"/>
        <w:jc w:val="left"/>
        <w:tblInd w:w="0" w:type="dxa"/>
        <w:tblCellMar>
          <w:top w:w="0" w:type="dxa"/>
          <w:left w:w="0" w:type="dxa"/>
          <w:bottom w:w="0" w:type="dxa"/>
          <w:right w:w="0" w:type="dxa"/>
        </w:tblCellMar>
      </w:tblPr>
      <w:tblGrid>
        <w:gridCol w:w="3860"/>
        <w:gridCol w:w="2300"/>
        <w:gridCol w:w="2915"/>
      </w:tblGrid>
      <w:tr>
        <w:trPr/>
        <w:tc>
          <w:tcPr>
            <w:tcW w:w="386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Delaware</w:t>
            </w:r>
          </w:p>
        </w:tc>
        <w:tc>
          <w:tcPr>
            <w:tcW w:w="230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001-34791</w:t>
            </w:r>
          </w:p>
        </w:tc>
        <w:tc>
          <w:tcPr>
            <w:tcW w:w="291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83-0406195</w:t>
            </w:r>
          </w:p>
        </w:tc>
      </w:tr>
      <w:tr>
        <w:trPr/>
        <w:tc>
          <w:tcPr>
            <w:tcW w:w="386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(State or Other Jurisdiction of Incorporation)</w:t>
            </w:r>
          </w:p>
        </w:tc>
        <w:tc>
          <w:tcPr>
            <w:tcW w:w="230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(Commission File Number)</w:t>
            </w:r>
          </w:p>
        </w:tc>
        <w:tc>
          <w:tcPr>
            <w:tcW w:w="291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spacing w:before="0" w:after="0"/>
        <w:rPr/>
      </w:pPr>
      <w:r>
        <w:rPr/>
      </w:r>
    </w:p>
    <w:tbl>
      <w:tblPr>
        <w:tblW w:w="6445" w:type="dxa"/>
        <w:jc w:val="left"/>
        <w:tblInd w:w="0" w:type="dxa"/>
        <w:tblCellMar>
          <w:top w:w="0" w:type="dxa"/>
          <w:left w:w="0" w:type="dxa"/>
          <w:bottom w:w="0" w:type="dxa"/>
          <w:right w:w="0" w:type="dxa"/>
        </w:tblCellMar>
      </w:tblPr>
      <w:tblGrid>
        <w:gridCol w:w="5105"/>
        <w:gridCol w:w="60"/>
        <w:gridCol w:w="1280"/>
      </w:tblGrid>
      <w:tr>
        <w:trPr/>
        <w:tc>
          <w:tcPr>
            <w:tcW w:w="510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c/o Magnachip Semiconductor, Ltd.</w:t>
            </w:r>
          </w:p>
          <w:p>
            <w:pPr>
              <w:pStyle w:val="TableContents"/>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spacing w:before="0" w:after="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Not Applicable</w:t>
            </w:r>
          </w:p>
        </w:tc>
      </w:tr>
      <w:tr>
        <w:trPr/>
        <w:tc>
          <w:tcPr>
            <w:tcW w:w="510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(Zip Code)</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spacing w:before="0" w:after="0"/>
        <w:rPr/>
      </w:pPr>
      <w:r>
        <w:rPr/>
        <w:t xml:space="preserve">  </w:t>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rFonts w:ascii="Times New Roman" w:hAnsi="Times New Roman"/>
          <w:sz w:val="20"/>
        </w:rPr>
      </w:pPr>
      <w:r>
        <w:rPr>
          <w:rFonts w:ascii="Times New Roman" w:hAnsi="Times New Roman"/>
          <w:sz w:val="20"/>
        </w:rPr>
      </w:r>
    </w:p>
    <w:tbl>
      <w:tblPr>
        <w:tblW w:w="8850" w:type="dxa"/>
        <w:jc w:val="left"/>
        <w:tblInd w:w="0" w:type="dxa"/>
        <w:tblCellMar>
          <w:top w:w="0" w:type="dxa"/>
          <w:left w:w="0" w:type="dxa"/>
          <w:bottom w:w="0" w:type="dxa"/>
          <w:right w:w="0" w:type="dxa"/>
        </w:tblCellMar>
      </w:tblPr>
      <w:tblGrid>
        <w:gridCol w:w="3560"/>
        <w:gridCol w:w="1505"/>
        <w:gridCol w:w="3785"/>
      </w:tblGrid>
      <w:tr>
        <w:trPr/>
        <w:tc>
          <w:tcPr>
            <w:tcW w:w="3560" w:type="dxa"/>
            <w:tcBorders/>
            <w:shd w:fill="auto" w:val="clear"/>
            <w:vAlign w:val="center"/>
          </w:tcPr>
          <w:p>
            <w:pPr>
              <w:pStyle w:val="TableContents"/>
              <w:spacing w:before="0" w:after="0"/>
              <w:jc w:val="center"/>
              <w:rPr>
                <w:rFonts w:ascii="Times New Roman" w:hAnsi="Times New Roman"/>
                <w:b/>
                <w:sz w:val="20"/>
                <w:u w:val="single"/>
              </w:rPr>
            </w:pPr>
            <w:r>
              <w:rPr>
                <w:rFonts w:ascii="Times New Roman" w:hAnsi="Times New Roman"/>
                <w:b/>
                <w:sz w:val="20"/>
                <w:u w:val="single"/>
              </w:rPr>
              <w:t>Title of each class</w:t>
            </w:r>
          </w:p>
        </w:tc>
        <w:tc>
          <w:tcPr>
            <w:tcW w:w="1505" w:type="dxa"/>
            <w:tcBorders/>
            <w:shd w:fill="auto" w:val="clear"/>
            <w:vAlign w:val="center"/>
          </w:tcPr>
          <w:p>
            <w:pPr>
              <w:pStyle w:val="TableContents"/>
              <w:spacing w:before="0" w:after="0"/>
              <w:jc w:val="center"/>
              <w:rPr>
                <w:rFonts w:ascii="Times New Roman" w:hAnsi="Times New Roman"/>
                <w:b/>
                <w:sz w:val="20"/>
                <w:u w:val="single"/>
              </w:rPr>
            </w:pPr>
            <w:r>
              <w:rPr>
                <w:rFonts w:ascii="Times New Roman" w:hAnsi="Times New Roman"/>
                <w:b/>
                <w:sz w:val="20"/>
                <w:u w:val="single"/>
              </w:rPr>
              <w:t xml:space="preserve">Trading Symbol  </w:t>
            </w:r>
          </w:p>
        </w:tc>
        <w:tc>
          <w:tcPr>
            <w:tcW w:w="3785" w:type="dxa"/>
            <w:tcBorders/>
            <w:shd w:fill="auto" w:val="clear"/>
            <w:vAlign w:val="center"/>
          </w:tcPr>
          <w:p>
            <w:pPr>
              <w:pStyle w:val="TableContents"/>
              <w:spacing w:before="0" w:after="0"/>
              <w:jc w:val="center"/>
              <w:rPr>
                <w:rFonts w:ascii="Times New Roman" w:hAnsi="Times New Roman"/>
                <w:b/>
                <w:sz w:val="20"/>
                <w:u w:val="single"/>
              </w:rPr>
            </w:pPr>
            <w:r>
              <w:rPr>
                <w:rFonts w:ascii="Times New Roman" w:hAnsi="Times New Roman"/>
                <w:b/>
                <w:sz w:val="20"/>
                <w:u w:val="single"/>
              </w:rPr>
              <w:t xml:space="preserve">Name of each exchange on which registered  </w:t>
            </w:r>
          </w:p>
        </w:tc>
      </w:tr>
      <w:tr>
        <w:trPr/>
        <w:tc>
          <w:tcPr>
            <w:tcW w:w="356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Common Stock, par value $0.01 per share</w:t>
            </w:r>
          </w:p>
        </w:tc>
        <w:tc>
          <w:tcPr>
            <w:tcW w:w="1505" w:type="dxa"/>
            <w:tcBorders/>
            <w:shd w:fill="auto" w:val="clear"/>
            <w:vAlign w:val="center"/>
          </w:tcPr>
          <w:p>
            <w:pPr>
              <w:pStyle w:val="TableContents"/>
              <w:spacing w:before="0" w:after="283"/>
              <w:jc w:val="center"/>
              <w:rPr>
                <w:b/>
              </w:rPr>
            </w:pPr>
            <w:r>
              <w:rPr>
                <w:b/>
              </w:rPr>
              <w:t>MX</w:t>
            </w:r>
          </w:p>
        </w:tc>
        <w:tc>
          <w:tcPr>
            <w:tcW w:w="378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New York Stock Exchange</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Emerging growth company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HorizontalLine"/>
        <w:rPr/>
      </w:pPr>
      <w:r>
        <w:rPr/>
      </w:r>
    </w:p>
    <w:p>
      <w:pPr>
        <w:pStyle w:val="HorizontalLine"/>
        <w:spacing w:before="200" w:after="200"/>
        <w:rPr/>
      </w:pPr>
      <w:r>
        <w:rPr/>
      </w:r>
    </w:p>
    <w:tbl>
      <w:tblPr>
        <w:tblW w:w="4855" w:type="dxa"/>
        <w:jc w:val="left"/>
        <w:tblInd w:w="0" w:type="dxa"/>
        <w:tblCellMar>
          <w:top w:w="0" w:type="dxa"/>
          <w:left w:w="0" w:type="dxa"/>
          <w:bottom w:w="0" w:type="dxa"/>
          <w:right w:w="0" w:type="dxa"/>
        </w:tblCellMar>
      </w:tblPr>
      <w:tblGrid>
        <w:gridCol w:w="875"/>
        <w:gridCol w:w="3980"/>
      </w:tblGrid>
      <w:tr>
        <w:trPr/>
        <w:tc>
          <w:tcPr>
            <w:tcW w:w="875"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2.02.</w:t>
            </w:r>
          </w:p>
        </w:tc>
        <w:tc>
          <w:tcPr>
            <w:tcW w:w="39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Attached hereto as Exhibit 99.1 and incorporated by reference herein is financial information for Magnachip Semiconductor Corporation and its consolidated subsidiaries for the first quarter ended March 31, 2023, as presented in a press release dated May 3, 2023.</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spacing w:before="0" w:after="0"/>
        <w:rPr/>
      </w:pPr>
      <w:r>
        <w:rPr/>
        <w:t> </w:t>
      </w:r>
    </w:p>
    <w:tbl>
      <w:tblPr>
        <w:tblW w:w="3880" w:type="dxa"/>
        <w:jc w:val="left"/>
        <w:tblInd w:w="0" w:type="dxa"/>
        <w:tblCellMar>
          <w:top w:w="0" w:type="dxa"/>
          <w:left w:w="0" w:type="dxa"/>
          <w:bottom w:w="0" w:type="dxa"/>
          <w:right w:w="0" w:type="dxa"/>
        </w:tblCellMar>
      </w:tblPr>
      <w:tblGrid>
        <w:gridCol w:w="920"/>
        <w:gridCol w:w="2960"/>
      </w:tblGrid>
      <w:tr>
        <w:trPr/>
        <w:tc>
          <w:tcPr>
            <w:tcW w:w="92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spacing w:before="0" w:after="0"/>
        <w:rPr/>
      </w:pPr>
      <w:r>
        <w:rPr/>
        <w:t> </w:t>
      </w:r>
    </w:p>
    <w:tbl>
      <w:tblPr>
        <w:tblW w:w="1068" w:type="dxa"/>
        <w:jc w:val="left"/>
        <w:tblInd w:w="0" w:type="dxa"/>
        <w:tblCellMar>
          <w:top w:w="0" w:type="dxa"/>
          <w:left w:w="0" w:type="dxa"/>
          <w:bottom w:w="0" w:type="dxa"/>
          <w:right w:w="0" w:type="dxa"/>
        </w:tblCellMar>
      </w:tblPr>
      <w:tblGrid>
        <w:gridCol w:w="38"/>
        <w:gridCol w:w="245"/>
        <w:gridCol w:w="785"/>
      </w:tblGrid>
      <w:tr>
        <w:trPr/>
        <w:tc>
          <w:tcPr>
            <w:tcW w:w="38" w:type="dxa"/>
            <w:tcBorders/>
            <w:shd w:fill="auto" w:val="clear"/>
            <w:vAlign w:val="center"/>
          </w:tcPr>
          <w:p>
            <w:pPr>
              <w:pStyle w:val="TableContents"/>
              <w:spacing w:before="0" w:after="283"/>
              <w:rPr/>
            </w:pPr>
            <w:r>
              <w:rPr/>
            </w:r>
          </w:p>
        </w:tc>
        <w:tc>
          <w:tcPr>
            <w:tcW w:w="245"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(d)</w:t>
            </w:r>
          </w:p>
        </w:tc>
        <w:tc>
          <w:tcPr>
            <w:tcW w:w="7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Exhibits.</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The following exhibit is furnished as part of this report:</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Exhibit</w:t>
            </w:r>
          </w:p>
          <w:p>
            <w:pPr>
              <w:pStyle w:val="TableContents"/>
              <w:spacing w:before="0" w:after="0"/>
              <w:jc w:val="center"/>
              <w:rPr>
                <w:rFonts w:ascii="Times New Roman" w:hAnsi="Times New Roman"/>
                <w:b/>
                <w:sz w:val="20"/>
              </w:rPr>
            </w:pPr>
            <w:r>
              <w:rPr>
                <w:rFonts w:ascii="Times New Roman" w:hAnsi="Times New Roman"/>
                <w:b/>
                <w:sz w:val="20"/>
              </w:rPr>
              <w:t>No.</w:t>
            </w:r>
          </w:p>
        </w:tc>
        <w:tc>
          <w:tcPr>
            <w:tcW w:w="60" w:type="dxa"/>
            <w:tcBorders/>
            <w:shd w:fill="auto" w:val="clear"/>
            <w:tcMar>
              <w:bottom w:w="0" w:type="dxa"/>
            </w:tcMar>
            <w:vAlign w:val="center"/>
          </w:tcPr>
          <w:p>
            <w:pPr>
              <w:pStyle w:val="TableContents"/>
              <w:spacing w:before="0" w:after="283"/>
              <w:rPr/>
            </w:pPr>
            <w:r>
              <w:rPr/>
              <w:t> </w:t>
            </w:r>
          </w:p>
        </w:tc>
        <w:tc>
          <w:tcPr>
            <w:tcW w:w="9495" w:type="dxa"/>
            <w:tcBorders>
              <w:bottom w:val="single" w:sz="12" w:space="0" w:color="000000"/>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Description</w:t>
            </w:r>
          </w:p>
        </w:tc>
      </w:tr>
      <w:tr>
        <w:trPr/>
        <w:tc>
          <w:tcPr>
            <w:tcW w:w="6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95" w:type="dxa"/>
            <w:tcBorders/>
            <w:shd w:fill="auto" w:val="clear"/>
            <w:tcMar>
              <w:bottom w:w="0" w:type="dxa"/>
            </w:tcMar>
            <w:vAlign w:val="center"/>
          </w:tcPr>
          <w:p>
            <w:pPr>
              <w:pStyle w:val="TableContents"/>
              <w:spacing w:before="0" w:after="283"/>
              <w:rPr/>
            </w:pPr>
            <w:r>
              <w:rPr/>
              <w:t> </w:t>
            </w:r>
          </w:p>
        </w:tc>
      </w:tr>
      <w:tr>
        <w:trPr/>
        <w:tc>
          <w:tcPr>
            <w:tcW w:w="650" w:type="dxa"/>
            <w:tcBorders/>
            <w:shd w:fill="auto" w:val="clear"/>
            <w:tcMar>
              <w:bottom w:w="0" w:type="dxa"/>
            </w:tcMar>
            <w:vAlign w:val="center"/>
          </w:tcPr>
          <w:p>
            <w:pPr>
              <w:pStyle w:val="TableContents"/>
              <w:spacing w:before="0" w:after="0"/>
              <w:jc w:val="left"/>
              <w:rPr/>
            </w:pPr>
            <w:hyperlink w:anchor="brhc20052425_ex99-1.htm">
              <w:r>
                <w:rPr>
                  <w:rStyle w:val="InternetLink"/>
                  <w:rFonts w:ascii="Times New Roman" w:hAnsi="Times New Roman"/>
                  <w:sz w:val="20"/>
                </w:rPr>
                <w:t>99.1</w:t>
              </w:r>
            </w:hyperlink>
          </w:p>
        </w:tc>
        <w:tc>
          <w:tcPr>
            <w:tcW w:w="60" w:type="dxa"/>
            <w:tcBorders/>
            <w:shd w:fill="auto" w:val="clear"/>
            <w:tcMar>
              <w:bottom w:w="0" w:type="dxa"/>
            </w:tcMar>
            <w:vAlign w:val="center"/>
          </w:tcPr>
          <w:p>
            <w:pPr>
              <w:pStyle w:val="TableContents"/>
              <w:spacing w:before="0" w:after="283"/>
              <w:rPr/>
            </w:pPr>
            <w:r>
              <w:rPr/>
              <w:t> </w:t>
            </w:r>
          </w:p>
        </w:tc>
        <w:tc>
          <w:tcPr>
            <w:tcW w:w="9495" w:type="dxa"/>
            <w:tcBorders/>
            <w:shd w:fill="auto" w:val="clear"/>
            <w:tcMar>
              <w:bottom w:w="0" w:type="dxa"/>
            </w:tcMar>
            <w:vAlign w:val="center"/>
          </w:tcPr>
          <w:p>
            <w:pPr>
              <w:pStyle w:val="TableContents"/>
              <w:spacing w:before="0" w:after="0"/>
              <w:ind w:left="108" w:right="0" w:hanging="0"/>
              <w:jc w:val="left"/>
              <w:rPr>
                <w:rFonts w:ascii="Times New Roman" w:hAnsi="Times New Roman"/>
                <w:sz w:val="20"/>
              </w:rPr>
            </w:pPr>
            <w:r>
              <w:rPr>
                <w:rFonts w:ascii="Times New Roman" w:hAnsi="Times New Roman"/>
                <w:sz w:val="20"/>
              </w:rPr>
              <w:t>Press release for Magnachip Semiconductor Corporation dated May 3, 2023, announcing the results for the first quarter ended March 31, 2023.</w:t>
            </w:r>
          </w:p>
        </w:tc>
      </w:tr>
    </w:tbl>
    <w:p>
      <w:pPr>
        <w:pStyle w:val="TextBody"/>
        <w:spacing w:before="0" w:after="0"/>
        <w:rPr/>
      </w:pPr>
      <w:r>
        <w:rPr/>
        <w:t> </w:t>
      </w:r>
    </w:p>
    <w:p>
      <w:pPr>
        <w:pStyle w:val="HorizontalLine"/>
        <w:spacing w:before="200" w:after="200"/>
        <w:rPr/>
      </w:pPr>
      <w:r>
        <w:rPr/>
      </w:r>
    </w:p>
    <w:p>
      <w:pPr>
        <w:pStyle w:val="TextBody"/>
        <w:spacing w:before="0" w:after="0"/>
        <w:jc w:val="center"/>
        <w:rPr>
          <w:rFonts w:ascii="Times New Roman" w:hAnsi="Times New Roman"/>
          <w:b/>
          <w:sz w:val="20"/>
        </w:rPr>
      </w:pPr>
      <w:r>
        <w:rPr>
          <w:rFonts w:ascii="Times New Roman" w:hAnsi="Times New Roman"/>
          <w:b/>
          <w:sz w:val="20"/>
        </w:rPr>
        <w:t>SIGNATURE</w:t>
      </w:r>
    </w:p>
    <w:p>
      <w:pPr>
        <w:pStyle w:val="TextBody"/>
        <w:spacing w:before="0" w:after="0"/>
        <w:rPr/>
      </w:pPr>
      <w:r>
        <w:rPr/>
        <w:t> </w:t>
      </w:r>
    </w:p>
    <w:p>
      <w:pPr>
        <w:pStyle w:val="TextBody"/>
        <w:spacing w:before="0" w:after="0"/>
        <w:ind w:left="0" w:right="0" w:firstLine="49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r>
    </w:p>
    <w:tbl>
      <w:tblPr>
        <w:tblW w:w="6645" w:type="dxa"/>
        <w:jc w:val="left"/>
        <w:tblInd w:w="0" w:type="dxa"/>
        <w:tblCellMar>
          <w:top w:w="0" w:type="dxa"/>
          <w:left w:w="0" w:type="dxa"/>
          <w:bottom w:w="0" w:type="dxa"/>
          <w:right w:w="0" w:type="dxa"/>
        </w:tblCellMar>
      </w:tblPr>
      <w:tblGrid>
        <w:gridCol w:w="1640"/>
        <w:gridCol w:w="320"/>
        <w:gridCol w:w="4685"/>
      </w:tblGrid>
      <w:tr>
        <w:trPr/>
        <w:tc>
          <w:tcPr>
            <w:tcW w:w="1640" w:type="dxa"/>
            <w:tcBorders/>
            <w:shd w:fill="auto" w:val="clear"/>
            <w:vAlign w:val="center"/>
          </w:tcPr>
          <w:p>
            <w:pPr>
              <w:pStyle w:val="TableContents"/>
              <w:spacing w:before="0" w:after="283"/>
              <w:rPr/>
            </w:pPr>
            <w:r>
              <w:rPr/>
              <w:t> </w:t>
            </w:r>
          </w:p>
        </w:tc>
        <w:tc>
          <w:tcPr>
            <w:tcW w:w="5005"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MAGNACHIP SEMICONDUCTOR CORPORATION</w:t>
            </w:r>
          </w:p>
        </w:tc>
      </w:tr>
      <w:tr>
        <w:trPr/>
        <w:tc>
          <w:tcPr>
            <w:tcW w:w="164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Dated: May 3, 2023</w:t>
            </w:r>
          </w:p>
        </w:tc>
        <w:tc>
          <w:tcPr>
            <w:tcW w:w="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685" w:type="dxa"/>
            <w:tcBorders>
              <w:bottom w:val="single" w:sz="12" w:space="0" w:color="000000"/>
            </w:tcBorders>
            <w:shd w:fill="auto" w:val="clear"/>
            <w:tcMar>
              <w:bottom w:w="28" w:type="dxa"/>
            </w:tcMar>
            <w:vAlign w:val="center"/>
          </w:tcPr>
          <w:p>
            <w:pPr>
              <w:pStyle w:val="TableContents"/>
              <w:spacing w:before="0" w:after="0"/>
              <w:jc w:val="left"/>
              <w:rPr/>
            </w:pPr>
            <w:r>
              <w:rPr/>
              <w:t xml:space="preserve">/s/ Theodore Kim </w:t>
            </w:r>
          </w:p>
        </w:tc>
      </w:tr>
      <w:tr>
        <w:trPr/>
        <w:tc>
          <w:tcPr>
            <w:tcW w:w="164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Theodore Kim</w:t>
            </w:r>
          </w:p>
        </w:tc>
      </w:tr>
      <w:tr>
        <w:trPr/>
        <w:tc>
          <w:tcPr>
            <w:tcW w:w="164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Compliance Officer, General Counsel and Secretary</w:t>
            </w:r>
          </w:p>
        </w:tc>
      </w:tr>
    </w:tbl>
    <w:p>
      <w:pPr>
        <w:pStyle w:val="TextBody"/>
        <w:spacing w:before="0" w:after="0"/>
        <w:rPr/>
      </w:pPr>
      <w:r>
        <w:rPr/>
        <w:t> </w:t>
      </w:r>
    </w:p>
    <w:p>
      <w:pPr>
        <w:pStyle w:val="TextBody"/>
        <w:spacing w:before="0" w:after="0"/>
        <w:rPr/>
      </w:pPr>
      <w:r>
        <w:rPr/>
      </w:r>
    </w:p>
    <w:p>
      <w:pPr>
        <w:pStyle w:val="HorizontalLine"/>
        <w:rPr/>
      </w:pPr>
      <w:r>
        <w:rPr/>
      </w:r>
      <w:r>
        <w:br w:type="page"/>
      </w:r>
    </w:p>
    <w:p>
      <w:pPr>
        <w:pStyle w:val="HorizontalLine"/>
        <w:pBdr>
          <w:bottom w:val="single" w:sz="20" w:space="0" w:color="808080"/>
        </w:pBdr>
        <w:rPr/>
      </w:pPr>
      <w:r>
        <w:rPr/>
      </w:r>
      <w:bookmarkStart w:id="0" w:name="brhc20052425_ex99-1.htm"/>
      <w:bookmarkStart w:id="1" w:name="ksbrhc20052425_ex991"/>
      <w:bookmarkStart w:id="2" w:name="brhc20052425_ex99-1.htm"/>
      <w:bookmarkStart w:id="3" w:name="ksbrhc20052425_ex991"/>
      <w:bookmarkEnd w:id="2"/>
      <w:bookmarkEnd w:id="3"/>
    </w:p>
    <w:p>
      <w:pPr>
        <w:pStyle w:val="TextBody"/>
        <w:spacing w:before="0" w:after="0"/>
        <w:jc w:val="right"/>
        <w:rPr>
          <w:rFonts w:ascii="Times New Roman" w:hAnsi="Times New Roman"/>
          <w:b/>
          <w:sz w:val="20"/>
        </w:rPr>
      </w:pPr>
      <w:bookmarkStart w:id="4" w:name="OLE_LINK46"/>
      <w:bookmarkStart w:id="5" w:name="OLE_LINK1"/>
      <w:bookmarkEnd w:id="4"/>
      <w:bookmarkEnd w:id="5"/>
      <w:r>
        <w:rPr>
          <w:rFonts w:ascii="Times New Roman" w:hAnsi="Times New Roman"/>
          <w:b/>
          <w:sz w:val="20"/>
        </w:rPr>
        <w:t>Exhibit 99.1</w:t>
      </w: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left"/>
        <w:rPr/>
      </w:pPr>
      <w:r>
        <w:rPr/>
        <w:drawing>
          <wp:inline distT="0" distB="0" distL="0" distR="0">
            <wp:extent cx="24479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495300"/>
                    </a:xfrm>
                    <a:prstGeom prst="rect">
                      <a:avLst/>
                    </a:prstGeom>
                  </pic:spPr>
                </pic:pic>
              </a:graphicData>
            </a:graphic>
          </wp:inline>
        </w:drawing>
      </w:r>
    </w:p>
    <w:p>
      <w:pPr>
        <w:pStyle w:val="TextBody"/>
        <w:spacing w:before="0" w:after="0"/>
        <w:jc w:val="center"/>
        <w:rPr/>
      </w:pPr>
      <w:r>
        <w:rPr/>
      </w:r>
    </w:p>
    <w:p>
      <w:pPr>
        <w:pStyle w:val="TextBody"/>
        <w:spacing w:before="0" w:after="0"/>
        <w:jc w:val="center"/>
        <w:rPr>
          <w:rFonts w:ascii="Times New Roman" w:hAnsi="Times New Roman"/>
          <w:b/>
          <w:sz w:val="20"/>
        </w:rPr>
      </w:pPr>
      <w:r>
        <w:rPr>
          <w:rFonts w:ascii="Times New Roman" w:hAnsi="Times New Roman"/>
          <w:b/>
          <w:sz w:val="20"/>
        </w:rPr>
        <w:t>Magnachip Reports Results for First Quarter 2023</w:t>
      </w:r>
    </w:p>
    <w:p>
      <w:pPr>
        <w:pStyle w:val="TextBody"/>
        <w:spacing w:before="0" w:after="0"/>
        <w:rPr/>
      </w:pPr>
      <w:r>
        <w:rPr/>
      </w:r>
    </w:p>
    <w:p>
      <w:pPr>
        <w:pStyle w:val="Normal"/>
        <w:spacing w:before="0" w:after="0"/>
        <w:rPr>
          <w:sz w:val="4"/>
          <w:szCs w:val="4"/>
        </w:rPr>
      </w:pPr>
      <w:r>
        <w:rPr>
          <w:sz w:val="4"/>
          <w:szCs w:val="4"/>
        </w:rPr>
      </w:r>
      <w:bookmarkStart w:id="6" w:name="z5fb3abe514fa423fbe5fe440e1b56d36"/>
      <w:bookmarkStart w:id="7" w:name="z5fb3abe514fa423fbe5fe440e1b56d36"/>
      <w:bookmarkEnd w:id="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Revenue of $57.0 million was within our guidance range. YoY, our revenue decreased 45.2% primarily due to continued effects of last year’s 28nm wafer supply shortage that impacted second half 2022 design-wins and the ongoing inventory correction driven by weak consumer demand.</w:t>
            </w:r>
          </w:p>
        </w:tc>
      </w:tr>
    </w:tbl>
    <w:p>
      <w:pPr>
        <w:pStyle w:val="Normal"/>
        <w:spacing w:before="0" w:after="0"/>
        <w:rPr>
          <w:sz w:val="4"/>
          <w:szCs w:val="4"/>
        </w:rPr>
      </w:pPr>
      <w:r>
        <w:rPr>
          <w:sz w:val="4"/>
          <w:szCs w:val="4"/>
        </w:rPr>
      </w:r>
      <w:bookmarkStart w:id="8" w:name="z104e0e7dd8c845f58f82bf2b9db753df"/>
      <w:bookmarkStart w:id="9" w:name="z104e0e7dd8c845f58f82bf2b9db753df"/>
      <w:bookmarkEnd w:id="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bookmarkStart w:id="10" w:name="z_Hlk125811293"/>
            <w:bookmarkEnd w:id="10"/>
            <w:r>
              <w:rPr/>
              <w:t>•</w:t>
            </w:r>
          </w:p>
        </w:tc>
        <w:tc>
          <w:tcPr>
            <w:tcW w:w="10057"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Gross profit margin was 21.2%, at the low end of our guidance range. The sequential decrease was primarily due to lower utilization rate of our internal fabrication facility in response to the industry-wide slowdown and higher fab costs.</w:t>
            </w:r>
            <w:bookmarkStart w:id="11" w:name="OLE_LINK23"/>
            <w:bookmarkStart w:id="12" w:name="z_Hlk125811441"/>
            <w:bookmarkEnd w:id="11"/>
            <w:bookmarkEnd w:id="12"/>
          </w:p>
        </w:tc>
      </w:tr>
    </w:tbl>
    <w:p>
      <w:pPr>
        <w:pStyle w:val="Normal"/>
        <w:spacing w:before="0" w:after="0"/>
        <w:rPr>
          <w:sz w:val="4"/>
          <w:szCs w:val="4"/>
        </w:rPr>
      </w:pPr>
      <w:r>
        <w:rPr>
          <w:sz w:val="4"/>
          <w:szCs w:val="4"/>
        </w:rPr>
      </w:r>
      <w:bookmarkStart w:id="13" w:name="zaebee2f8b2b44c7ebd6c0b22a79ee506"/>
      <w:bookmarkStart w:id="14" w:name="zaebee2f8b2b44c7ebd6c0b22a79ee506"/>
      <w:bookmarkEnd w:id="14"/>
    </w:p>
    <w:tbl>
      <w:tblPr>
        <w:tblW w:w="3468" w:type="dxa"/>
        <w:jc w:val="left"/>
        <w:tblInd w:w="0" w:type="dxa"/>
        <w:tblCellMar>
          <w:top w:w="0" w:type="dxa"/>
          <w:left w:w="0" w:type="dxa"/>
          <w:bottom w:w="0" w:type="dxa"/>
          <w:right w:w="0" w:type="dxa"/>
        </w:tblCellMar>
      </w:tblPr>
      <w:tblGrid>
        <w:gridCol w:w="38"/>
        <w:gridCol w:w="110"/>
        <w:gridCol w:w="3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32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GAAP diluted loss per share was $0.49.</w:t>
            </w:r>
          </w:p>
        </w:tc>
      </w:tr>
    </w:tbl>
    <w:p>
      <w:pPr>
        <w:pStyle w:val="Normal"/>
        <w:spacing w:before="0" w:after="0"/>
        <w:rPr>
          <w:sz w:val="4"/>
          <w:szCs w:val="4"/>
        </w:rPr>
      </w:pPr>
      <w:r>
        <w:rPr>
          <w:sz w:val="4"/>
          <w:szCs w:val="4"/>
        </w:rPr>
      </w:r>
      <w:bookmarkStart w:id="15" w:name="ze5da5be9faca44d991dee7006e3799cb"/>
      <w:bookmarkStart w:id="16" w:name="ze5da5be9faca44d991dee7006e3799cb"/>
      <w:bookmarkEnd w:id="16"/>
    </w:p>
    <w:tbl>
      <w:tblPr>
        <w:tblW w:w="3873" w:type="dxa"/>
        <w:jc w:val="left"/>
        <w:tblInd w:w="0" w:type="dxa"/>
        <w:tblCellMar>
          <w:top w:w="0" w:type="dxa"/>
          <w:left w:w="0" w:type="dxa"/>
          <w:bottom w:w="0" w:type="dxa"/>
          <w:right w:w="0" w:type="dxa"/>
        </w:tblCellMar>
      </w:tblPr>
      <w:tblGrid>
        <w:gridCol w:w="38"/>
        <w:gridCol w:w="110"/>
        <w:gridCol w:w="37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72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Non-GAAP diluted loss per share was $0.24.</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SEOUL, South Korea, May 3, 2023</w:t>
      </w:r>
      <w:r>
        <w:rPr>
          <w:rFonts w:ascii="Times New Roman" w:hAnsi="Times New Roman"/>
          <w:color w:val="000000"/>
          <w:sz w:val="20"/>
        </w:rPr>
        <w:t xml:space="preserve"> -- Magnachip Semiconductor Corporation (NYSE: MX) (“Magnachip” or the “Company”) today announced financial results for the first quarter 2023.</w:t>
      </w:r>
    </w:p>
    <w:p>
      <w:pPr>
        <w:pStyle w:val="TextBody"/>
        <w:spacing w:before="0" w:after="0"/>
        <w:rPr/>
      </w:pPr>
      <w:r>
        <w:rPr/>
      </w:r>
    </w:p>
    <w:p>
      <w:pPr>
        <w:pStyle w:val="TextBody"/>
        <w:spacing w:before="0" w:after="0"/>
        <w:jc w:val="both"/>
        <w:rPr>
          <w:rFonts w:ascii="Times New Roman" w:hAnsi="Times New Roman"/>
          <w:color w:val="000000"/>
          <w:sz w:val="20"/>
        </w:rPr>
      </w:pPr>
      <w:bookmarkStart w:id="17" w:name="OLE_LINK71"/>
      <w:bookmarkStart w:id="18" w:name="OLE_LINK79"/>
      <w:bookmarkEnd w:id="17"/>
      <w:bookmarkEnd w:id="18"/>
      <w:r>
        <w:rPr>
          <w:rFonts w:ascii="Times New Roman" w:hAnsi="Times New Roman"/>
          <w:color w:val="000000"/>
          <w:sz w:val="20"/>
        </w:rPr>
        <w:t>YJ Kim, Magnachip’s chief executive officer commented, “Our Q1 results continued to be affected by last year’s OLED wafer shortages that impacted second half design-wins and the ongoing smartphone inventory correction in our Display business and weak consumer demand in our Power business. Despite the challenging environment, we remained focused on execution during the quarter. In our Display business, we successfully delivered our second OLED DDIC project sample ahead of schedule to a large non-Korean panel customer and remain on track for second half smartphone launches. We also completed the tape-out for a high-end smartphone project with a large Korean panel customer, with mass production on schedule near the end of this year.</w:t>
      </w:r>
      <w:bookmarkStart w:id="19" w:name="OLE_LINK72"/>
      <w:bookmarkEnd w:id="19"/>
      <w:r>
        <w:rPr>
          <w:rFonts w:ascii="Times New Roman" w:hAnsi="Times New Roman"/>
          <w:color w:val="000000"/>
          <w:sz w:val="20"/>
        </w:rPr>
        <w:t xml:space="preserve"> In our Power business, we continued our record pace of design-in and -win activities, driven by momentum in industrial, automotive and computing applications. Looking ahead, the macro environment remains uncertain. However, we believe we are bumping along the bottom for the Display business and we have hit the bottom in Q1 for our Power business.”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YJ Kim continued, “Overall, we expect our financial results to remain soft in the near term, but we believe both Display and Power are poised for a recovery in the second half of this year based on our current customer feedback.”</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Q1 2023 Financial Highlights</w:t>
      </w:r>
    </w:p>
    <w:p>
      <w:pPr>
        <w:pStyle w:val="TextBody"/>
        <w:spacing w:before="0" w:after="0"/>
        <w:rPr/>
      </w:pPr>
      <w:r>
        <w:rPr/>
      </w:r>
    </w:p>
    <w:p>
      <w:pPr>
        <w:pStyle w:val="Normal"/>
        <w:spacing w:before="0" w:after="0"/>
        <w:rPr>
          <w:sz w:val="4"/>
          <w:szCs w:val="4"/>
        </w:rPr>
      </w:pPr>
      <w:r>
        <w:rPr>
          <w:sz w:val="4"/>
          <w:szCs w:val="4"/>
        </w:rPr>
      </w:r>
      <w:bookmarkStart w:id="20" w:name="z9613e6b37acc4360a62a262f89e294c9"/>
      <w:bookmarkStart w:id="21" w:name="z9613e6b37acc4360a62a262f89e294c9"/>
      <w:bookmarkEnd w:id="21"/>
    </w:p>
    <w:tbl>
      <w:tblPr>
        <w:tblW w:w="9831" w:type="dxa"/>
        <w:jc w:val="left"/>
        <w:tblInd w:w="0" w:type="dxa"/>
        <w:tblCellMar>
          <w:top w:w="0" w:type="dxa"/>
          <w:left w:w="0" w:type="dxa"/>
          <w:bottom w:w="0" w:type="dxa"/>
          <w:right w:w="0" w:type="dxa"/>
        </w:tblCellMar>
      </w:tblPr>
      <w:tblGrid>
        <w:gridCol w:w="3710"/>
        <w:gridCol w:w="60"/>
        <w:gridCol w:w="60"/>
        <w:gridCol w:w="740"/>
        <w:gridCol w:w="185"/>
        <w:gridCol w:w="60"/>
        <w:gridCol w:w="60"/>
        <w:gridCol w:w="740"/>
        <w:gridCol w:w="185"/>
        <w:gridCol w:w="496"/>
        <w:gridCol w:w="63"/>
        <w:gridCol w:w="63"/>
        <w:gridCol w:w="401"/>
        <w:gridCol w:w="60"/>
        <w:gridCol w:w="425"/>
        <w:gridCol w:w="60"/>
        <w:gridCol w:w="60"/>
        <w:gridCol w:w="740"/>
        <w:gridCol w:w="185"/>
        <w:gridCol w:w="482"/>
        <w:gridCol w:w="61"/>
        <w:gridCol w:w="61"/>
        <w:gridCol w:w="389"/>
        <w:gridCol w:w="60"/>
        <w:gridCol w:w="425"/>
      </w:tblGrid>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76" w:type="dxa"/>
            <w:gridSpan w:val="21"/>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In thousands of U.S. dollars, except share data</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76" w:type="dxa"/>
            <w:gridSpan w:val="2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GAAP</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Q1 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Q4 2022</w:t>
            </w:r>
          </w:p>
        </w:tc>
        <w:tc>
          <w:tcPr>
            <w:tcW w:w="185" w:type="dxa"/>
            <w:tcBorders/>
            <w:shd w:fill="auto" w:val="clear"/>
            <w:vAlign w:val="bottom"/>
          </w:tcPr>
          <w:p>
            <w:pPr>
              <w:pStyle w:val="TableContents"/>
              <w:spacing w:before="0" w:after="283"/>
              <w:jc w:val="left"/>
              <w:rPr/>
            </w:pPr>
            <w:r>
              <w:rPr/>
              <w:t> </w:t>
            </w:r>
          </w:p>
        </w:tc>
        <w:tc>
          <w:tcPr>
            <w:tcW w:w="1023"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Q/Q change</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Q1 2022</w:t>
            </w:r>
          </w:p>
        </w:tc>
        <w:tc>
          <w:tcPr>
            <w:tcW w:w="185" w:type="dxa"/>
            <w:tcBorders/>
            <w:shd w:fill="auto" w:val="clear"/>
            <w:vAlign w:val="bottom"/>
          </w:tcPr>
          <w:p>
            <w:pPr>
              <w:pStyle w:val="TableContents"/>
              <w:spacing w:before="0" w:after="283"/>
              <w:jc w:val="left"/>
              <w:rPr/>
            </w:pPr>
            <w:r>
              <w:rPr/>
              <w:t> </w:t>
            </w:r>
          </w:p>
        </w:tc>
        <w:tc>
          <w:tcPr>
            <w:tcW w:w="993"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Y/Y change</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r>
      <w:tr>
        <w:trPr/>
        <w:tc>
          <w:tcPr>
            <w:tcW w:w="371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464"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482"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45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r>
          </w:p>
        </w:tc>
      </w:tr>
      <w:tr>
        <w:trPr/>
        <w:tc>
          <w:tcPr>
            <w:tcW w:w="371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Standard Products Business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49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46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48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r>
          </w:p>
        </w:tc>
      </w:tr>
      <w:tr>
        <w:trPr/>
        <w:tc>
          <w:tcPr>
            <w:tcW w:w="371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Display Solutions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10,841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7,556</w:t>
            </w:r>
          </w:p>
        </w:tc>
        <w:tc>
          <w:tcPr>
            <w:tcW w:w="185"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up</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jc w:val="left"/>
              <w:rPr/>
            </w:pPr>
            <w:r>
              <w:rPr/>
              <w:t> </w:t>
            </w:r>
          </w:p>
        </w:tc>
        <w:tc>
          <w:tcPr>
            <w:tcW w:w="40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43.5</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29,185</w:t>
            </w:r>
          </w:p>
        </w:tc>
        <w:tc>
          <w:tcPr>
            <w:tcW w:w="185" w:type="dxa"/>
            <w:tcBorders/>
            <w:shd w:fill="CCEEFF" w:val="clear"/>
            <w:vAlign w:val="bottom"/>
          </w:tcPr>
          <w:p>
            <w:pPr>
              <w:pStyle w:val="TableContents"/>
              <w:spacing w:before="0" w:after="283"/>
              <w:jc w:val="left"/>
              <w:rPr/>
            </w:pPr>
            <w:r>
              <w:rPr/>
              <w:t> </w:t>
            </w:r>
          </w:p>
        </w:tc>
        <w:tc>
          <w:tcPr>
            <w:tcW w:w="482"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38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62.9</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71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Power Solutions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40,673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46,271</w:t>
            </w:r>
          </w:p>
        </w:tc>
        <w:tc>
          <w:tcPr>
            <w:tcW w:w="185" w:type="dxa"/>
            <w:tcBorders/>
            <w:shd w:fill="auto" w:val="clear"/>
            <w:vAlign w:val="bottom"/>
          </w:tcPr>
          <w:p>
            <w:pPr>
              <w:pStyle w:val="TableContents"/>
              <w:spacing w:before="0" w:after="283"/>
              <w:jc w:val="left"/>
              <w:rPr/>
            </w:pPr>
            <w:r>
              <w:rPr/>
              <w:t> </w:t>
            </w:r>
          </w:p>
        </w:tc>
        <w:tc>
          <w:tcPr>
            <w:tcW w:w="49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c>
          <w:tcPr>
            <w:tcW w:w="40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12.1</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64,825</w:t>
            </w:r>
          </w:p>
        </w:tc>
        <w:tc>
          <w:tcPr>
            <w:tcW w:w="185" w:type="dxa"/>
            <w:tcBorders/>
            <w:shd w:fill="auto" w:val="clear"/>
            <w:vAlign w:val="bottom"/>
          </w:tcPr>
          <w:p>
            <w:pPr>
              <w:pStyle w:val="TableContents"/>
              <w:spacing w:before="0" w:after="283"/>
              <w:jc w:val="left"/>
              <w:rPr/>
            </w:pPr>
            <w:r>
              <w:rPr/>
              <w:t> </w:t>
            </w:r>
          </w:p>
        </w:tc>
        <w:tc>
          <w:tcPr>
            <w:tcW w:w="482"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38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37.3</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710" w:type="dxa"/>
            <w:tcBorders/>
            <w:shd w:fill="CCEEFF" w:val="clear"/>
            <w:vAlign w:val="bottom"/>
          </w:tcPr>
          <w:p>
            <w:pPr>
              <w:pStyle w:val="TableContents"/>
              <w:spacing w:lineRule="auto" w:line="240" w:before="0" w:after="0"/>
              <w:ind w:left="180" w:right="0" w:hanging="180"/>
              <w:jc w:val="left"/>
              <w:rPr>
                <w:rFonts w:ascii="Times New Roman" w:hAnsi="Times New Roman"/>
                <w:sz w:val="20"/>
              </w:rPr>
            </w:pPr>
            <w:r>
              <w:rPr>
                <w:rFonts w:ascii="Times New Roman" w:hAnsi="Times New Roman"/>
                <w:sz w:val="20"/>
              </w:rPr>
              <w:t>Transitional Fab 3 foundry services(1)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5,491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7,163</w:t>
            </w:r>
          </w:p>
        </w:tc>
        <w:tc>
          <w:tcPr>
            <w:tcW w:w="185"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jc w:val="left"/>
              <w:rPr/>
            </w:pPr>
            <w:r>
              <w:rPr/>
              <w:t> </w:t>
            </w:r>
          </w:p>
        </w:tc>
        <w:tc>
          <w:tcPr>
            <w:tcW w:w="40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23.3</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10,083</w:t>
            </w:r>
          </w:p>
        </w:tc>
        <w:tc>
          <w:tcPr>
            <w:tcW w:w="185" w:type="dxa"/>
            <w:tcBorders/>
            <w:shd w:fill="CCEEFF" w:val="clear"/>
            <w:vAlign w:val="bottom"/>
          </w:tcPr>
          <w:p>
            <w:pPr>
              <w:pStyle w:val="TableContents"/>
              <w:spacing w:before="0" w:after="283"/>
              <w:jc w:val="left"/>
              <w:rPr/>
            </w:pPr>
            <w:r>
              <w:rPr/>
              <w:t> </w:t>
            </w:r>
          </w:p>
        </w:tc>
        <w:tc>
          <w:tcPr>
            <w:tcW w:w="482"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38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45.5</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71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Gross Profit Margin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21.2</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26.4</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c>
          <w:tcPr>
            <w:tcW w:w="40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5.2</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%pts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37.5</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2"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38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16.3</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%pts</w:t>
            </w:r>
          </w:p>
        </w:tc>
      </w:tr>
      <w:tr>
        <w:trPr/>
        <w:tc>
          <w:tcPr>
            <w:tcW w:w="371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Operating Income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(21,818</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(10,117</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jc w:val="left"/>
              <w:rPr/>
            </w:pPr>
            <w:r>
              <w:rPr/>
              <w:t> </w:t>
            </w:r>
          </w:p>
        </w:tc>
        <w:tc>
          <w:tcPr>
            <w:tcW w:w="40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12,879</w:t>
            </w:r>
          </w:p>
        </w:tc>
        <w:tc>
          <w:tcPr>
            <w:tcW w:w="185" w:type="dxa"/>
            <w:tcBorders/>
            <w:shd w:fill="CCEEFF" w:val="clear"/>
            <w:vAlign w:val="bottom"/>
          </w:tcPr>
          <w:p>
            <w:pPr>
              <w:pStyle w:val="TableContents"/>
              <w:spacing w:before="0" w:after="283"/>
              <w:jc w:val="left"/>
              <w:rPr/>
            </w:pPr>
            <w:r>
              <w:rPr/>
              <w:t> </w:t>
            </w:r>
          </w:p>
        </w:tc>
        <w:tc>
          <w:tcPr>
            <w:tcW w:w="482"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38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Net Income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(21,470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2,971</w:t>
            </w:r>
          </w:p>
        </w:tc>
        <w:tc>
          <w:tcPr>
            <w:tcW w:w="185" w:type="dxa"/>
            <w:tcBorders/>
            <w:shd w:fill="auto" w:val="clear"/>
            <w:vAlign w:val="bottom"/>
          </w:tcPr>
          <w:p>
            <w:pPr>
              <w:pStyle w:val="TableContents"/>
              <w:spacing w:before="0" w:after="283"/>
              <w:jc w:val="left"/>
              <w:rPr/>
            </w:pPr>
            <w:r>
              <w:rPr/>
              <w:t> </w:t>
            </w:r>
          </w:p>
        </w:tc>
        <w:tc>
          <w:tcPr>
            <w:tcW w:w="49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c>
          <w:tcPr>
            <w:tcW w:w="40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9,528</w:t>
            </w:r>
          </w:p>
        </w:tc>
        <w:tc>
          <w:tcPr>
            <w:tcW w:w="185" w:type="dxa"/>
            <w:tcBorders/>
            <w:shd w:fill="auto" w:val="clear"/>
            <w:vAlign w:val="bottom"/>
          </w:tcPr>
          <w:p>
            <w:pPr>
              <w:pStyle w:val="TableContents"/>
              <w:spacing w:before="0" w:after="283"/>
              <w:jc w:val="left"/>
              <w:rPr/>
            </w:pPr>
            <w:r>
              <w:rPr/>
              <w:t> </w:t>
            </w:r>
          </w:p>
        </w:tc>
        <w:tc>
          <w:tcPr>
            <w:tcW w:w="482"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38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r>
      <w:tr>
        <w:trPr/>
        <w:tc>
          <w:tcPr>
            <w:tcW w:w="371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Basic Earnings (Loss) per Common Share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(0.49</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0.07</w:t>
            </w:r>
          </w:p>
        </w:tc>
        <w:tc>
          <w:tcPr>
            <w:tcW w:w="185"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jc w:val="left"/>
              <w:rPr/>
            </w:pPr>
            <w:r>
              <w:rPr/>
              <w:t> </w:t>
            </w:r>
          </w:p>
        </w:tc>
        <w:tc>
          <w:tcPr>
            <w:tcW w:w="40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0.21</w:t>
            </w:r>
          </w:p>
        </w:tc>
        <w:tc>
          <w:tcPr>
            <w:tcW w:w="185" w:type="dxa"/>
            <w:tcBorders/>
            <w:shd w:fill="CCEEFF" w:val="clear"/>
            <w:vAlign w:val="bottom"/>
          </w:tcPr>
          <w:p>
            <w:pPr>
              <w:pStyle w:val="TableContents"/>
              <w:spacing w:before="0" w:after="283"/>
              <w:jc w:val="left"/>
              <w:rPr/>
            </w:pPr>
            <w:r>
              <w:rPr/>
              <w:t> </w:t>
            </w:r>
          </w:p>
        </w:tc>
        <w:tc>
          <w:tcPr>
            <w:tcW w:w="482"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jc w:val="left"/>
              <w:rPr/>
            </w:pPr>
            <w:r>
              <w:rPr/>
              <w:t> </w:t>
            </w:r>
          </w:p>
        </w:tc>
        <w:tc>
          <w:tcPr>
            <w:tcW w:w="38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Diluted Earnings (Loss) per Common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(0.49</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0.07</w:t>
            </w:r>
          </w:p>
        </w:tc>
        <w:tc>
          <w:tcPr>
            <w:tcW w:w="185" w:type="dxa"/>
            <w:tcBorders/>
            <w:shd w:fill="auto" w:val="clear"/>
            <w:vAlign w:val="bottom"/>
          </w:tcPr>
          <w:p>
            <w:pPr>
              <w:pStyle w:val="TableContents"/>
              <w:spacing w:before="0" w:after="283"/>
              <w:jc w:val="left"/>
              <w:rPr/>
            </w:pPr>
            <w:r>
              <w:rPr/>
              <w:t> </w:t>
            </w:r>
          </w:p>
        </w:tc>
        <w:tc>
          <w:tcPr>
            <w:tcW w:w="49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c>
          <w:tcPr>
            <w:tcW w:w="40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0.20</w:t>
            </w:r>
          </w:p>
        </w:tc>
        <w:tc>
          <w:tcPr>
            <w:tcW w:w="185" w:type="dxa"/>
            <w:tcBorders/>
            <w:shd w:fill="auto" w:val="clear"/>
            <w:vAlign w:val="bottom"/>
          </w:tcPr>
          <w:p>
            <w:pPr>
              <w:pStyle w:val="TableContents"/>
              <w:spacing w:before="0" w:after="283"/>
              <w:jc w:val="left"/>
              <w:rPr/>
            </w:pPr>
            <w:r>
              <w:rPr/>
              <w:t> </w:t>
            </w:r>
          </w:p>
        </w:tc>
        <w:tc>
          <w:tcPr>
            <w:tcW w:w="482"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38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22" w:name="ze004905702df493fb2bfde8488d20cf5"/>
      <w:bookmarkStart w:id="23" w:name="ze004905702df493fb2bfde8488d20cf5"/>
      <w:bookmarkEnd w:id="23"/>
    </w:p>
    <w:tbl>
      <w:tblPr>
        <w:tblW w:w="9697" w:type="dxa"/>
        <w:jc w:val="left"/>
        <w:tblInd w:w="0" w:type="dxa"/>
        <w:tblCellMar>
          <w:top w:w="0" w:type="dxa"/>
          <w:left w:w="0" w:type="dxa"/>
          <w:bottom w:w="0" w:type="dxa"/>
          <w:right w:w="0" w:type="dxa"/>
        </w:tblCellMar>
      </w:tblPr>
      <w:tblGrid>
        <w:gridCol w:w="4640"/>
        <w:gridCol w:w="60"/>
        <w:gridCol w:w="60"/>
        <w:gridCol w:w="740"/>
        <w:gridCol w:w="80"/>
        <w:gridCol w:w="60"/>
        <w:gridCol w:w="60"/>
        <w:gridCol w:w="740"/>
        <w:gridCol w:w="80"/>
        <w:gridCol w:w="556"/>
        <w:gridCol w:w="71"/>
        <w:gridCol w:w="71"/>
        <w:gridCol w:w="325"/>
        <w:gridCol w:w="60"/>
        <w:gridCol w:w="60"/>
        <w:gridCol w:w="60"/>
        <w:gridCol w:w="60"/>
        <w:gridCol w:w="740"/>
        <w:gridCol w:w="60"/>
        <w:gridCol w:w="540"/>
        <w:gridCol w:w="69"/>
        <w:gridCol w:w="69"/>
        <w:gridCol w:w="316"/>
        <w:gridCol w:w="60"/>
        <w:gridCol w:w="60"/>
      </w:tblGrid>
      <w:tr>
        <w:trPr/>
        <w:tc>
          <w:tcPr>
            <w:tcW w:w="4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7" w:type="dxa"/>
            <w:gridSpan w:val="21"/>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In thousands of U.S. dollars, except share data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7" w:type="dxa"/>
            <w:gridSpan w:val="21"/>
            <w:tcBorders>
              <w:bottom w:val="single" w:sz="12" w:space="0" w:color="000000"/>
            </w:tcBorders>
            <w:shd w:fill="auto" w:val="clear"/>
            <w:tcMar>
              <w:bottom w:w="28" w:type="dxa"/>
            </w:tcMar>
            <w:vAlign w:val="bottom"/>
          </w:tcPr>
          <w:p>
            <w:pPr>
              <w:pStyle w:val="TableContents"/>
              <w:spacing w:lineRule="auto" w:line="240" w:before="0" w:after="0"/>
              <w:jc w:val="center"/>
              <w:rPr>
                <w:rFonts w:ascii="Times New Roman" w:hAnsi="Times New Roman"/>
                <w:b/>
                <w:sz w:val="20"/>
              </w:rPr>
            </w:pPr>
            <w:r>
              <w:rPr>
                <w:rFonts w:ascii="Times New Roman" w:hAnsi="Times New Roman"/>
                <w:b/>
                <w:sz w:val="20"/>
              </w:rPr>
              <w:t>Non-GAAP(2)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Q1 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Q4 2022</w:t>
            </w:r>
          </w:p>
        </w:tc>
        <w:tc>
          <w:tcPr>
            <w:tcW w:w="80" w:type="dxa"/>
            <w:tcBorders/>
            <w:shd w:fill="auto" w:val="clear"/>
            <w:vAlign w:val="bottom"/>
          </w:tcPr>
          <w:p>
            <w:pPr>
              <w:pStyle w:val="TableContents"/>
              <w:spacing w:before="0" w:after="283"/>
              <w:jc w:val="left"/>
              <w:rPr/>
            </w:pPr>
            <w:r>
              <w:rPr/>
              <w:t> </w:t>
            </w:r>
          </w:p>
        </w:tc>
        <w:tc>
          <w:tcPr>
            <w:tcW w:w="1023"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Q/Q change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sz w:val="20"/>
              </w:rPr>
            </w:pPr>
            <w:r>
              <w:rPr>
                <w:rFonts w:ascii="Times New Roman" w:hAnsi="Times New Roman"/>
                <w:b/>
                <w:sz w:val="20"/>
              </w:rPr>
              <w:t>Q1 2022</w:t>
            </w:r>
          </w:p>
        </w:tc>
        <w:tc>
          <w:tcPr>
            <w:tcW w:w="60" w:type="dxa"/>
            <w:tcBorders/>
            <w:shd w:fill="auto" w:val="clear"/>
            <w:vAlign w:val="bottom"/>
          </w:tcPr>
          <w:p>
            <w:pPr>
              <w:pStyle w:val="TableContents"/>
              <w:spacing w:before="0" w:after="283"/>
              <w:jc w:val="left"/>
              <w:rPr/>
            </w:pPr>
            <w:r>
              <w:rPr/>
              <w:t> </w:t>
            </w:r>
          </w:p>
        </w:tc>
        <w:tc>
          <w:tcPr>
            <w:tcW w:w="994"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Y/Y change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Adjusted Operating Income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(12,249</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(8,567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7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jc w:val="left"/>
              <w:rPr/>
            </w:pPr>
            <w:r>
              <w:rPr/>
              <w:t> </w:t>
            </w:r>
          </w:p>
        </w:tc>
        <w:tc>
          <w:tcPr>
            <w:tcW w:w="32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14,517</w:t>
            </w:r>
          </w:p>
        </w:tc>
        <w:tc>
          <w:tcPr>
            <w:tcW w:w="6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jc w:val="left"/>
              <w:rPr/>
            </w:pPr>
            <w:r>
              <w:rPr/>
              <w:t> </w:t>
            </w:r>
          </w:p>
        </w:tc>
        <w:tc>
          <w:tcPr>
            <w:tcW w:w="3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Adjusted EBITDA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(7,873</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(4,768</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down</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jc w:val="left"/>
              <w:rPr/>
            </w:pPr>
            <w:r>
              <w:rPr/>
              <w:t> </w:t>
            </w:r>
          </w:p>
        </w:tc>
        <w:tc>
          <w:tcPr>
            <w:tcW w:w="32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18,755</w:t>
            </w:r>
          </w:p>
        </w:tc>
        <w:tc>
          <w:tcPr>
            <w:tcW w:w="6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3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Adjusted Net Income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(10,367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(15,848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up</w:t>
            </w:r>
          </w:p>
        </w:tc>
        <w:tc>
          <w:tcPr>
            <w:tcW w:w="7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jc w:val="left"/>
              <w:rPr/>
            </w:pPr>
            <w:r>
              <w:rPr/>
              <w:t> </w:t>
            </w:r>
          </w:p>
        </w:tc>
        <w:tc>
          <w:tcPr>
            <w:tcW w:w="32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12,936</w:t>
            </w:r>
          </w:p>
        </w:tc>
        <w:tc>
          <w:tcPr>
            <w:tcW w:w="6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jc w:val="left"/>
              <w:rPr/>
            </w:pPr>
            <w:r>
              <w:rPr/>
              <w:t> </w:t>
            </w:r>
          </w:p>
        </w:tc>
        <w:tc>
          <w:tcPr>
            <w:tcW w:w="3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Adjusted Earnings (Loss) per Common Share—Diluted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(0.24</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(0.36</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up</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jc w:val="left"/>
              <w:rPr/>
            </w:pPr>
            <w:r>
              <w:rPr/>
              <w:t> </w:t>
            </w:r>
          </w:p>
        </w:tc>
        <w:tc>
          <w:tcPr>
            <w:tcW w:w="32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0.28</w:t>
            </w:r>
          </w:p>
        </w:tc>
        <w:tc>
          <w:tcPr>
            <w:tcW w:w="6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down</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3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jc w:val="right"/>
        <w:rPr/>
      </w:pPr>
      <w:r>
        <w:rPr/>
        <w:drawing>
          <wp:inline distT="0" distB="0" distL="0" distR="0">
            <wp:extent cx="14763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p>
      <w:pPr>
        <w:pStyle w:val="HorizontalLine"/>
        <w:pBdr>
          <w:bottom w:val="single" w:sz="20" w:space="0" w:color="808080"/>
        </w:pBdr>
        <w:rPr/>
      </w:pPr>
      <w:r>
        <w:rPr/>
      </w:r>
    </w:p>
    <w:p>
      <w:pPr>
        <w:pStyle w:val="TextBody"/>
        <w:spacing w:before="0" w:after="0"/>
        <w:rPr/>
      </w:pPr>
      <w:r>
        <w:rPr/>
      </w:r>
    </w:p>
    <w:p>
      <w:pPr>
        <w:pStyle w:val="Normal"/>
        <w:spacing w:before="0" w:after="0"/>
        <w:rPr>
          <w:sz w:val="4"/>
          <w:szCs w:val="4"/>
        </w:rPr>
      </w:pPr>
      <w:r>
        <w:rPr>
          <w:sz w:val="4"/>
          <w:szCs w:val="4"/>
        </w:rPr>
      </w:r>
      <w:bookmarkStart w:id="24" w:name="z8cfb422d1a184279a5d0d09cd18769e1"/>
      <w:bookmarkStart w:id="25" w:name="z8cfb422d1a184279a5d0d09cd18769e1"/>
      <w:bookmarkEnd w:id="25"/>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999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tc>
      </w:tr>
    </w:tbl>
    <w:p>
      <w:pPr>
        <w:pStyle w:val="TextBody"/>
        <w:spacing w:before="0" w:after="0"/>
        <w:rPr/>
      </w:pPr>
      <w:r>
        <w:rPr/>
      </w:r>
    </w:p>
    <w:p>
      <w:pPr>
        <w:pStyle w:val="Normal"/>
        <w:spacing w:before="0" w:after="0"/>
        <w:rPr>
          <w:sz w:val="4"/>
          <w:szCs w:val="4"/>
        </w:rPr>
      </w:pPr>
      <w:r>
        <w:rPr>
          <w:sz w:val="4"/>
          <w:szCs w:val="4"/>
        </w:rPr>
      </w:r>
      <w:bookmarkStart w:id="26" w:name="z55945967ad084b6b86b6e47e0cbeb678"/>
      <w:bookmarkStart w:id="27" w:name="z55945967ad084b6b86b6e47e0cbeb678"/>
      <w:bookmarkEnd w:id="27"/>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9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tc>
      </w:tr>
    </w:tbl>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Financial Guidance</w:t>
      </w:r>
    </w:p>
    <w:p>
      <w:pPr>
        <w:pStyle w:val="TextBody"/>
        <w:spacing w:before="0" w:after="0"/>
        <w:jc w:val="both"/>
        <w:rPr>
          <w:rFonts w:ascii="Times New Roman" w:hAnsi="Times New Roman"/>
          <w:color w:val="000000"/>
          <w:sz w:val="20"/>
        </w:rPr>
      </w:pPr>
      <w:r>
        <w:rPr>
          <w:rFonts w:ascii="Times New Roman" w:hAnsi="Times New Roman"/>
          <w:color w:val="000000"/>
          <w:sz w:val="20"/>
        </w:rPr>
        <w:t>While actual results may vary, Magnachip currently expects the following for Q2 2023:</w:t>
      </w:r>
    </w:p>
    <w:p>
      <w:pPr>
        <w:pStyle w:val="Normal"/>
        <w:spacing w:before="0" w:after="0"/>
        <w:rPr>
          <w:sz w:val="4"/>
          <w:szCs w:val="4"/>
        </w:rPr>
      </w:pPr>
      <w:r>
        <w:rPr>
          <w:sz w:val="4"/>
          <w:szCs w:val="4"/>
        </w:rPr>
      </w:r>
      <w:bookmarkStart w:id="28" w:name="ze42c8163598a4eff84e6ec66e718ad13"/>
      <w:bookmarkStart w:id="29" w:name="ze42c8163598a4eff84e6ec66e718ad13"/>
      <w:bookmarkEnd w:id="2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Revenue to be in the range of $58 million to $63 million, including about $8 millions of Transitional Fab 3 Foundry Services.</w:t>
            </w:r>
          </w:p>
        </w:tc>
      </w:tr>
    </w:tbl>
    <w:p>
      <w:pPr>
        <w:pStyle w:val="Normal"/>
        <w:spacing w:before="0" w:after="0"/>
        <w:rPr>
          <w:sz w:val="4"/>
          <w:szCs w:val="4"/>
        </w:rPr>
      </w:pPr>
      <w:r>
        <w:rPr>
          <w:sz w:val="4"/>
          <w:szCs w:val="4"/>
        </w:rPr>
      </w:r>
      <w:bookmarkStart w:id="30" w:name="z04b6f21c9afe46bca1935d6a1e541ff3"/>
      <w:bookmarkStart w:id="31" w:name="z04b6f21c9afe46bca1935d6a1e541ff3"/>
      <w:bookmarkEnd w:id="31"/>
    </w:p>
    <w:tbl>
      <w:tblPr>
        <w:tblW w:w="4503" w:type="dxa"/>
        <w:jc w:val="left"/>
        <w:tblInd w:w="0" w:type="dxa"/>
        <w:tblCellMar>
          <w:top w:w="0" w:type="dxa"/>
          <w:left w:w="0" w:type="dxa"/>
          <w:bottom w:w="0" w:type="dxa"/>
          <w:right w:w="0" w:type="dxa"/>
        </w:tblCellMar>
      </w:tblPr>
      <w:tblGrid>
        <w:gridCol w:w="38"/>
        <w:gridCol w:w="110"/>
        <w:gridCol w:w="43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43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Gross profit margin to be in the range of 21% to 23%.</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our current projections, and assuming a steady state global economy, we are cautiously optimistic that our key financial metrics have the potential to show sequential improvement in both the third and fourth quarters of 2023.</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Q1 2023 Earnings Conference Call</w:t>
      </w:r>
    </w:p>
    <w:p>
      <w:pPr>
        <w:pStyle w:val="TextBody"/>
        <w:spacing w:before="0" w:after="0"/>
        <w:jc w:val="both"/>
        <w:rPr>
          <w:rFonts w:ascii="Times New Roman" w:hAnsi="Times New Roman"/>
          <w:color w:val="000000"/>
          <w:sz w:val="20"/>
        </w:rPr>
      </w:pPr>
      <w:r>
        <w:rPr>
          <w:rFonts w:ascii="Times New Roman" w:hAnsi="Times New Roman"/>
          <w:color w:val="000000"/>
          <w:sz w:val="20"/>
        </w:rPr>
        <w:t>Magnachip will host a corresponding conference call at 2:00 p.m. PT / 5:00 p.m. ET on Thursday, May 3, 2023,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b/>
          <w:color w:val="000000"/>
          <w:sz w:val="20"/>
        </w:rPr>
        <w:t>Online registration:</w:t>
      </w:r>
      <w:r>
        <w:rPr>
          <w:rFonts w:ascii="Times New Roman" w:hAnsi="Times New Roman"/>
          <w:color w:val="000000"/>
          <w:sz w:val="20"/>
        </w:rPr>
        <w:t> </w:t>
      </w:r>
      <w:bookmarkStart w:id="32" w:name="OLE_LINK2"/>
      <w:bookmarkEnd w:id="32"/>
      <w:r>
        <w:rPr>
          <w:rFonts w:ascii="Times New Roman" w:hAnsi="Times New Roman"/>
          <w:sz w:val="20"/>
          <w:u w:val="single"/>
        </w:rPr>
        <w:t>https://register.vevent.com/register/BI51f45e599c544fe9bad00a197e100fca</w:t>
      </w: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Safe Harbor for Forward-Looking Statements</w:t>
      </w:r>
    </w:p>
    <w:p>
      <w:pPr>
        <w:pStyle w:val="TextBody"/>
        <w:spacing w:before="0" w:after="0"/>
        <w:jc w:val="both"/>
        <w:rPr>
          <w:rFonts w:ascii="Times New Roman" w:hAnsi="Times New Roman"/>
          <w:sz w:val="20"/>
        </w:rPr>
      </w:pPr>
      <w:r>
        <w:rPr>
          <w:rFonts w:ascii="Times New Roman" w:hAnsi="Times New Roman"/>
          <w:sz w:val="20"/>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second quarter 2023, third quarter 2023 and full year 2023 revenue and gross profit margin expectations, and the impact of market conditions associated with inflation and higher interest rates, remaining effects from the COVID-19 pandemic, geopolitical conflict between Russia and Ukraine, escalated trade tensions between the U.S. and China and continuing supply constraints on Magnachip’s second quarter 2023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remaining effects from the COVID-19 pandemic, the geopolitical conflict between Russia and Ukraine, and escalated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including the remaining effects of the COVID-19 pandemic; other business interruptions that could disrupt supply or delivery of, or demand for, Magnachip’s products; and other risks detailed from time to time in Magnachip’s filings with the U.S. Securities and Exchange Commission (the “SEC”), including our Form 10-K filed on February 22, 2023,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pStyle w:val="TextBody"/>
        <w:spacing w:before="0" w:after="0"/>
        <w:jc w:val="both"/>
        <w:rPr>
          <w:rFonts w:ascii="Times New Roman" w:hAnsi="Times New Roman"/>
          <w:sz w:val="20"/>
        </w:rPr>
      </w:pPr>
      <w:r>
        <w:rPr>
          <w:rFonts w:ascii="Times New Roman" w:hAnsi="Times New Roman"/>
          <w:sz w:val="20"/>
        </w:rPr>
      </w:r>
    </w:p>
    <w:p>
      <w:pPr>
        <w:pStyle w:val="HorizontalLine"/>
        <w:pBdr>
          <w:bottom w:val="single" w:sz="20" w:space="0" w:color="808080"/>
        </w:pBdr>
        <w:spacing w:before="200" w:after="200"/>
        <w:rPr/>
      </w:pPr>
      <w:r>
        <w:rPr/>
      </w:r>
    </w:p>
    <w:p>
      <w:pPr>
        <w:pStyle w:val="TextBody"/>
        <w:spacing w:before="0" w:after="0"/>
        <w:jc w:val="right"/>
        <w:rPr/>
      </w:pPr>
      <w:r>
        <w:rPr/>
        <w:drawing>
          <wp:inline distT="0" distB="0" distL="0" distR="0">
            <wp:extent cx="147637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295275"/>
                    </a:xfrm>
                    <a:prstGeom prst="rect">
                      <a:avLst/>
                    </a:prstGeom>
                  </pic:spPr>
                </pic:pic>
              </a:graphicData>
            </a:graphic>
          </wp:inline>
        </w:drawing>
      </w:r>
    </w:p>
    <w:p>
      <w:pPr>
        <w:pStyle w:val="TextBody"/>
        <w:spacing w:before="0" w:after="0"/>
        <w:jc w:val="both"/>
        <w:rPr/>
      </w:pPr>
      <w:r>
        <w:rPr/>
      </w:r>
    </w:p>
    <w:p>
      <w:pPr>
        <w:pStyle w:val="TextBody"/>
        <w:spacing w:before="0" w:after="0"/>
        <w:jc w:val="both"/>
        <w:rPr>
          <w:rFonts w:ascii="Times New Roman" w:hAnsi="Times New Roman"/>
          <w:b/>
          <w:sz w:val="20"/>
        </w:rPr>
      </w:pPr>
      <w:r>
        <w:rPr>
          <w:rFonts w:ascii="Times New Roman" w:hAnsi="Times New Roman"/>
          <w:b/>
          <w:sz w:val="20"/>
        </w:rPr>
        <w:t>About Magnachip Semiconductor</w:t>
      </w:r>
    </w:p>
    <w:p>
      <w:pPr>
        <w:pStyle w:val="TextBody"/>
        <w:spacing w:before="0" w:after="0"/>
        <w:jc w:val="both"/>
        <w:rPr>
          <w:rFonts w:ascii="Times New Roman" w:hAnsi="Times New Roman"/>
          <w:color w:val="000000"/>
          <w:sz w:val="20"/>
        </w:rPr>
      </w:pPr>
      <w:r>
        <w:rPr>
          <w:rFonts w:ascii="Times New Roman" w:hAnsi="Times New Roman"/>
          <w:color w:val="000000"/>
          <w:sz w:val="20"/>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CONTACT:</w:t>
      </w:r>
    </w:p>
    <w:p>
      <w:pPr>
        <w:pStyle w:val="TextBody"/>
        <w:spacing w:before="0" w:after="0"/>
        <w:jc w:val="both"/>
        <w:rPr>
          <w:rFonts w:ascii="Times New Roman" w:hAnsi="Times New Roman"/>
          <w:color w:val="000000"/>
          <w:sz w:val="20"/>
        </w:rPr>
      </w:pPr>
      <w:r>
        <w:rPr>
          <w:rFonts w:ascii="Times New Roman" w:hAnsi="Times New Roman"/>
          <w:color w:val="000000"/>
          <w:sz w:val="20"/>
        </w:rPr>
        <w:t>Yujia Zhai</w:t>
      </w:r>
    </w:p>
    <w:p>
      <w:pPr>
        <w:pStyle w:val="TextBody"/>
        <w:spacing w:before="0" w:after="0"/>
        <w:jc w:val="both"/>
        <w:rPr>
          <w:rFonts w:ascii="Times New Roman" w:hAnsi="Times New Roman"/>
          <w:color w:val="000000"/>
          <w:sz w:val="20"/>
        </w:rPr>
      </w:pPr>
      <w:r>
        <w:rPr>
          <w:rFonts w:ascii="Times New Roman" w:hAnsi="Times New Roman"/>
          <w:color w:val="000000"/>
          <w:sz w:val="20"/>
        </w:rPr>
        <w:t>The Blueshirt Group</w:t>
      </w:r>
    </w:p>
    <w:p>
      <w:pPr>
        <w:pStyle w:val="TextBody"/>
        <w:spacing w:before="0" w:after="0"/>
        <w:jc w:val="both"/>
        <w:rPr>
          <w:rFonts w:ascii="Times New Roman" w:hAnsi="Times New Roman"/>
          <w:color w:val="000000"/>
          <w:sz w:val="20"/>
        </w:rPr>
      </w:pPr>
      <w:r>
        <w:rPr>
          <w:rFonts w:ascii="Times New Roman" w:hAnsi="Times New Roman"/>
          <w:color w:val="000000"/>
          <w:sz w:val="20"/>
        </w:rPr>
        <w:t>Tel. (860) 214-0809</w:t>
      </w:r>
    </w:p>
    <w:p>
      <w:pPr>
        <w:pStyle w:val="TextBody"/>
        <w:spacing w:before="0" w:after="0"/>
        <w:jc w:val="both"/>
        <w:rPr>
          <w:rFonts w:ascii="Times New Roman" w:hAnsi="Times New Roman"/>
          <w:color w:val="000000"/>
          <w:sz w:val="20"/>
        </w:rPr>
      </w:pPr>
      <w:r>
        <w:rPr>
          <w:rFonts w:ascii="Times New Roman" w:hAnsi="Times New Roman"/>
          <w:color w:val="000000"/>
          <w:sz w:val="20"/>
        </w:rPr>
        <w:t>Yujia@blueshirtgroup.com</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ind w:left="0" w:right="20" w:hanging="0"/>
        <w:jc w:val="right"/>
        <w:rPr/>
      </w:pPr>
      <w:r>
        <w:rPr/>
        <w:drawing>
          <wp:inline distT="0" distB="0" distL="0" distR="0">
            <wp:extent cx="14763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76375" cy="295275"/>
                    </a:xfrm>
                    <a:prstGeom prst="rect">
                      <a:avLst/>
                    </a:prstGeom>
                  </pic:spPr>
                </pic:pic>
              </a:graphicData>
            </a:graphic>
          </wp:inline>
        </w:drawing>
      </w:r>
    </w:p>
    <w:p>
      <w:pPr>
        <w:pStyle w:val="TextBody"/>
        <w:spacing w:before="0" w:after="0"/>
        <w:jc w:val="center"/>
        <w:rPr/>
      </w:pPr>
      <w:r>
        <w:rPr/>
      </w:r>
    </w:p>
    <w:p>
      <w:pPr>
        <w:pStyle w:val="TextBody"/>
        <w:spacing w:before="0" w:after="0"/>
        <w:jc w:val="center"/>
        <w:rPr>
          <w:rFonts w:ascii="Times New Roman" w:hAnsi="Times New Roman"/>
          <w:b/>
          <w:sz w:val="20"/>
        </w:rPr>
      </w:pPr>
      <w:r>
        <w:rPr>
          <w:rFonts w:ascii="Times New Roman" w:hAnsi="Times New Roman"/>
          <w:b/>
          <w:sz w:val="20"/>
        </w:rPr>
        <w:t>MAGNACHIP SEMICONDUCTOR CORPORATION AND SUBSIDIARIES</w:t>
      </w:r>
    </w:p>
    <w:p>
      <w:pPr>
        <w:pStyle w:val="TextBody"/>
        <w:spacing w:before="0" w:after="0"/>
        <w:ind w:left="0" w:right="2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20" w:hanging="0"/>
        <w:jc w:val="center"/>
        <w:rPr>
          <w:rFonts w:ascii="Times New Roman" w:hAnsi="Times New Roman"/>
          <w:b/>
          <w:sz w:val="20"/>
        </w:rPr>
      </w:pPr>
      <w:r>
        <w:rPr>
          <w:rFonts w:ascii="Times New Roman" w:hAnsi="Times New Roman"/>
          <w:b/>
          <w:sz w:val="20"/>
        </w:rPr>
        <w:t>(In thousands of U.S. dollars, except share data)</w:t>
      </w:r>
    </w:p>
    <w:p>
      <w:pPr>
        <w:pStyle w:val="TextBody"/>
        <w:spacing w:before="0" w:after="0"/>
        <w:ind w:left="0" w:right="20" w:hanging="0"/>
        <w:jc w:val="center"/>
        <w:rPr>
          <w:rFonts w:ascii="Times New Roman" w:hAnsi="Times New Roman"/>
          <w:b/>
          <w:sz w:val="20"/>
        </w:rPr>
      </w:pPr>
      <w:r>
        <w:rPr>
          <w:rFonts w:ascii="Times New Roman" w:hAnsi="Times New Roman"/>
          <w:b/>
          <w:sz w:val="20"/>
        </w:rPr>
        <w:t>(Unaudited)</w:t>
      </w:r>
    </w:p>
    <w:p>
      <w:pPr>
        <w:pStyle w:val="TextBody"/>
        <w:spacing w:before="0" w:after="0"/>
        <w:rPr/>
      </w:pPr>
      <w:r>
        <w:rPr/>
      </w:r>
    </w:p>
    <w:p>
      <w:pPr>
        <w:pStyle w:val="Normal"/>
        <w:spacing w:before="0" w:after="0"/>
        <w:rPr>
          <w:sz w:val="4"/>
          <w:szCs w:val="4"/>
        </w:rPr>
      </w:pPr>
      <w:r>
        <w:rPr>
          <w:sz w:val="4"/>
          <w:szCs w:val="4"/>
        </w:rPr>
      </w:r>
      <w:bookmarkStart w:id="33" w:name="z0300176098e041aa956d5f21944ec79b"/>
      <w:bookmarkStart w:id="34" w:name="z0300176098e041aa956d5f21944ec79b"/>
      <w:bookmarkEnd w:id="34"/>
    </w:p>
    <w:tbl>
      <w:tblPr>
        <w:tblW w:w="9495" w:type="dxa"/>
        <w:jc w:val="left"/>
        <w:tblInd w:w="0" w:type="dxa"/>
        <w:tblCellMar>
          <w:top w:w="0" w:type="dxa"/>
          <w:left w:w="0" w:type="dxa"/>
          <w:bottom w:w="0" w:type="dxa"/>
          <w:right w:w="0" w:type="dxa"/>
        </w:tblCellMar>
      </w:tblPr>
      <w:tblGrid>
        <w:gridCol w:w="5420"/>
        <w:gridCol w:w="60"/>
        <w:gridCol w:w="125"/>
        <w:gridCol w:w="950"/>
        <w:gridCol w:w="185"/>
        <w:gridCol w:w="60"/>
        <w:gridCol w:w="136"/>
        <w:gridCol w:w="1039"/>
        <w:gridCol w:w="185"/>
        <w:gridCol w:w="60"/>
        <w:gridCol w:w="125"/>
        <w:gridCol w:w="950"/>
        <w:gridCol w:w="200"/>
      </w:tblGrid>
      <w:tr>
        <w:trPr/>
        <w:tc>
          <w:tcPr>
            <w:tcW w:w="5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tc>
        <w:tc>
          <w:tcPr>
            <w:tcW w:w="200" w:type="dxa"/>
            <w:tcBorders/>
            <w:shd w:fill="auto"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200" w:type="dxa"/>
            <w:tcBorders/>
            <w:shd w:fill="auto"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Revenues:</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Net sales – standard products business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51,514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53,827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94,010</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Net sales – transitional Fab 3 foundry services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5,491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7,163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10,083</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revenues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57,005</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60,990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104,093</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Cost of sales: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Cost of sales – standard products business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37,312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37,150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56,080</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Cost of sales – transitional Fab 3 foundry services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7,599</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7,742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9,017</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cost of sales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44,911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44,892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65,097</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Gross profit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12,094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16,098</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38,996</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Gross profit as a percentage of standard products business net sales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27.6</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31.0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40.3</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Gross profit as a percentage of total revenues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21.2</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26.4</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37.5</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Selling, general and administrative expenses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12,165</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12,562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14,163</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13,298</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13,653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11,954</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Early termination charges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8,449</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33,912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26,215</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26,117</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Operating income (loss)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(21,818</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(10,117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12,879</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2,842</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2,420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715</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Interest expense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(256</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(269</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(111</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Foreign currency gain (loss), net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(3,430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17,492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(690</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Other income (expense), net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(35</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(42</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218</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Income (loss) before income tax expense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(22,697</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9,484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13,011</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Income tax expense (benefit)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(1,227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6,513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3,483</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(21,470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2,971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9,528</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Basic earnings (loss) per common share—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(0.49</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0.07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0.21</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Diluted earnings (loss) per common share—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(0.49</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0.07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0.20</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number of shares—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54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43,390,832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44,054,275</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45,603,208</w:t>
            </w:r>
          </w:p>
        </w:tc>
        <w:tc>
          <w:tcPr>
            <w:tcW w:w="200" w:type="dxa"/>
            <w:tcBorders/>
            <w:shd w:fill="CCEEFF" w:val="clear"/>
            <w:vAlign w:val="bottom"/>
          </w:tcPr>
          <w:p>
            <w:pPr>
              <w:pStyle w:val="TableContents"/>
              <w:spacing w:before="0" w:after="283"/>
              <w:jc w:val="left"/>
              <w:rPr/>
            </w:pPr>
            <w:r>
              <w:rPr/>
              <w:t> </w:t>
            </w:r>
          </w:p>
        </w:tc>
      </w:tr>
      <w:tr>
        <w:trPr/>
        <w:tc>
          <w:tcPr>
            <w:tcW w:w="54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43,390,832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44,731,683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46,693,294</w:t>
            </w:r>
          </w:p>
        </w:tc>
        <w:tc>
          <w:tcPr>
            <w:tcW w:w="20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HorizontalLine"/>
        <w:pBdr>
          <w:bottom w:val="single" w:sz="20" w:space="0" w:color="808080"/>
        </w:pBdr>
        <w:spacing w:before="200" w:after="200"/>
        <w:rPr/>
      </w:pPr>
      <w:r>
        <w:rPr/>
      </w:r>
    </w:p>
    <w:p>
      <w:pPr>
        <w:pStyle w:val="TextBody"/>
        <w:spacing w:before="0" w:after="0"/>
        <w:ind w:left="0" w:right="20" w:hanging="0"/>
        <w:jc w:val="right"/>
        <w:rPr/>
      </w:pPr>
      <w:r>
        <w:rPr/>
        <w:drawing>
          <wp:inline distT="0" distB="0" distL="0" distR="0">
            <wp:extent cx="14763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76375" cy="295275"/>
                    </a:xfrm>
                    <a:prstGeom prst="rect">
                      <a:avLst/>
                    </a:prstGeom>
                  </pic:spPr>
                </pic:pic>
              </a:graphicData>
            </a:graphic>
          </wp:inline>
        </w:drawing>
      </w:r>
    </w:p>
    <w:p>
      <w:pPr>
        <w:pStyle w:val="TextBody"/>
        <w:spacing w:before="0" w:after="0"/>
        <w:jc w:val="center"/>
        <w:rPr/>
      </w:pPr>
      <w:r>
        <w:rPr/>
      </w:r>
    </w:p>
    <w:p>
      <w:pPr>
        <w:pStyle w:val="TextBody"/>
        <w:spacing w:before="0" w:after="0"/>
        <w:ind w:left="0" w:right="20" w:hanging="0"/>
        <w:jc w:val="center"/>
        <w:rPr>
          <w:rFonts w:ascii="Times New Roman" w:hAnsi="Times New Roman"/>
          <w:b/>
          <w:sz w:val="20"/>
        </w:rPr>
      </w:pPr>
      <w:r>
        <w:rPr>
          <w:rFonts w:ascii="Times New Roman" w:hAnsi="Times New Roman"/>
          <w:b/>
          <w:sz w:val="20"/>
        </w:rPr>
        <w:t>MAGNACHIP SEMICONDUCTOR CORPORATION AND SUBSIDIARIES</w:t>
      </w:r>
    </w:p>
    <w:p>
      <w:pPr>
        <w:pStyle w:val="TextBody"/>
        <w:spacing w:before="0" w:after="0"/>
        <w:ind w:left="0" w:right="2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20" w:hanging="0"/>
        <w:jc w:val="center"/>
        <w:rPr>
          <w:rFonts w:ascii="Times New Roman" w:hAnsi="Times New Roman"/>
          <w:b/>
          <w:sz w:val="20"/>
        </w:rPr>
      </w:pPr>
      <w:r>
        <w:rPr>
          <w:rFonts w:ascii="Times New Roman" w:hAnsi="Times New Roman"/>
          <w:b/>
          <w:sz w:val="20"/>
        </w:rPr>
        <w:t>(In thousands of U.S. dollars, except share data)</w:t>
      </w:r>
    </w:p>
    <w:p>
      <w:pPr>
        <w:pStyle w:val="TextBody"/>
        <w:spacing w:before="0" w:after="0"/>
        <w:ind w:left="0" w:right="20" w:hanging="0"/>
        <w:jc w:val="center"/>
        <w:rPr>
          <w:rFonts w:ascii="Times New Roman" w:hAnsi="Times New Roman"/>
          <w:b/>
          <w:sz w:val="20"/>
        </w:rPr>
      </w:pPr>
      <w:r>
        <w:rPr>
          <w:rFonts w:ascii="Times New Roman" w:hAnsi="Times New Roman"/>
          <w:b/>
          <w:sz w:val="20"/>
        </w:rPr>
        <w:t>(Unaudited)</w:t>
      </w:r>
    </w:p>
    <w:p>
      <w:pPr>
        <w:pStyle w:val="TextBody"/>
        <w:spacing w:before="0" w:after="0"/>
        <w:rPr/>
      </w:pPr>
      <w:r>
        <w:rPr/>
      </w:r>
    </w:p>
    <w:p>
      <w:pPr>
        <w:pStyle w:val="Normal"/>
        <w:spacing w:before="0" w:after="0"/>
        <w:rPr>
          <w:sz w:val="4"/>
          <w:szCs w:val="4"/>
        </w:rPr>
      </w:pPr>
      <w:r>
        <w:rPr>
          <w:sz w:val="4"/>
          <w:szCs w:val="4"/>
        </w:rPr>
      </w:r>
      <w:bookmarkStart w:id="35" w:name="z15fa1e89f5224556bb052e04f2620f2e"/>
      <w:bookmarkStart w:id="36" w:name="z15fa1e89f5224556bb052e04f2620f2e"/>
      <w:bookmarkEnd w:id="36"/>
    </w:p>
    <w:tbl>
      <w:tblPr>
        <w:tblW w:w="10205" w:type="dxa"/>
        <w:jc w:val="left"/>
        <w:tblInd w:w="0" w:type="dxa"/>
        <w:tblCellMar>
          <w:top w:w="0" w:type="dxa"/>
          <w:left w:w="0" w:type="dxa"/>
          <w:bottom w:w="0" w:type="dxa"/>
          <w:right w:w="0" w:type="dxa"/>
        </w:tblCellMar>
      </w:tblPr>
      <w:tblGrid>
        <w:gridCol w:w="7851"/>
        <w:gridCol w:w="60"/>
        <w:gridCol w:w="125"/>
        <w:gridCol w:w="758"/>
        <w:gridCol w:w="80"/>
        <w:gridCol w:w="60"/>
        <w:gridCol w:w="166"/>
        <w:gridCol w:w="1009"/>
        <w:gridCol w:w="96"/>
      </w:tblGrid>
      <w:tr>
        <w:trPr/>
        <w:tc>
          <w:tcPr>
            <w:tcW w:w="78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6" w:type="dxa"/>
            <w:tcBorders/>
            <w:shd w:fill="auto"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Assets</w:t>
            </w:r>
          </w:p>
        </w:tc>
        <w:tc>
          <w:tcPr>
            <w:tcW w:w="60" w:type="dxa"/>
            <w:tcBorders/>
            <w:shd w:fill="auto" w:val="clear"/>
            <w:vAlign w:val="bottom"/>
          </w:tcPr>
          <w:p>
            <w:pPr>
              <w:pStyle w:val="TableContents"/>
              <w:spacing w:before="0" w:after="283"/>
              <w:rPr/>
            </w:pPr>
            <w:r>
              <w:rPr/>
              <w:t> </w:t>
            </w:r>
          </w:p>
        </w:tc>
        <w:tc>
          <w:tcPr>
            <w:tcW w:w="883"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Current assets</w:t>
            </w:r>
          </w:p>
        </w:tc>
        <w:tc>
          <w:tcPr>
            <w:tcW w:w="60" w:type="dxa"/>
            <w:tcBorders/>
            <w:shd w:fill="auto" w:val="clear"/>
            <w:vAlign w:val="bottom"/>
          </w:tcPr>
          <w:p>
            <w:pPr>
              <w:pStyle w:val="TableContents"/>
              <w:spacing w:before="0" w:after="283"/>
              <w:rPr/>
            </w:pPr>
            <w:r>
              <w:rPr/>
              <w:t> </w:t>
            </w:r>
          </w:p>
        </w:tc>
        <w:tc>
          <w:tcPr>
            <w:tcW w:w="883"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212,085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225,477</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Accounts receivable,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32,143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35,380</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Inventories,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36,360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39,883</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Other receivables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5,342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7,847</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Prepaid expenses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11,238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10,560</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Hedge collateral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2,940</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14,927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15,766</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current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314,915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337,853</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Property, plant and equipment,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104,568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110,747</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Operating lease right-of-use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5,413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5,265</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1,784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1,930</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Long-term prepaid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9,101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10,939</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37,380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38,324</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non-current assets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14,683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11,587</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487,844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516,645</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Liabilities and Stockholders’ Equity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Accounts payable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19,921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17,998</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Other accounts 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9,216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9,702</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Accrued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17,125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9,688</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Accrued income taxes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3,154</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Operating lease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1,397</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5,261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5,306</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current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53,291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47,245</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Accrued severance benefits,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23,608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23,121</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Non-current operating lease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3,996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4,091</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13,596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14,035</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liabilities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94,491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88,492</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Commitments and contingencies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Stockholders’ equity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Common stock, $0.01 par value, 150,000,000 shares authorized, 56,437,182 shares issued and 42,589,315 outstanding at March 31, 2023 and 56,432,449 shares issued and 43,824,575 outstanding at December 31, 2022</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564</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Additional paid-in capital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267,187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266,058</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314,036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335,506</w:t>
            </w:r>
          </w:p>
        </w:tc>
        <w:tc>
          <w:tcPr>
            <w:tcW w:w="96" w:type="dxa"/>
            <w:tcBorders/>
            <w:shd w:fill="CCEEFF" w:val="clear"/>
            <w:vAlign w:val="bottom"/>
          </w:tcPr>
          <w:p>
            <w:pPr>
              <w:pStyle w:val="TableContents"/>
              <w:spacing w:before="0" w:after="283"/>
              <w:jc w:val="left"/>
              <w:rPr/>
            </w:pPr>
            <w:r>
              <w:rPr/>
              <w:t> </w:t>
            </w:r>
          </w:p>
        </w:tc>
      </w:tr>
      <w:tr>
        <w:trPr/>
        <w:tc>
          <w:tcPr>
            <w:tcW w:w="7851"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Treasury stock, 13,847,867 shares at March 31, 2023 and 12,607,874 shares at December 31, 2022, respectively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(173,441</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(161,422</w:t>
            </w:r>
          </w:p>
        </w:tc>
        <w:tc>
          <w:tcPr>
            <w:tcW w:w="9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851"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(14,993</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(12,553</w:t>
            </w:r>
          </w:p>
        </w:tc>
        <w:tc>
          <w:tcPr>
            <w:tcW w:w="9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851" w:type="dxa"/>
            <w:tcBorders/>
            <w:shd w:fill="auto"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stockholders’ equity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393,353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428,153</w:t>
            </w:r>
          </w:p>
        </w:tc>
        <w:tc>
          <w:tcPr>
            <w:tcW w:w="96" w:type="dxa"/>
            <w:tcBorders/>
            <w:shd w:fill="auto" w:val="clear"/>
            <w:vAlign w:val="bottom"/>
          </w:tcPr>
          <w:p>
            <w:pPr>
              <w:pStyle w:val="TableContents"/>
              <w:spacing w:before="0" w:after="283"/>
              <w:jc w:val="left"/>
              <w:rPr/>
            </w:pPr>
            <w:r>
              <w:rPr/>
              <w:t> </w:t>
            </w:r>
          </w:p>
        </w:tc>
      </w:tr>
      <w:tr>
        <w:trPr/>
        <w:tc>
          <w:tcPr>
            <w:tcW w:w="7851"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liabilities and stockholders’ equity</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487,844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516,645</w:t>
            </w:r>
          </w:p>
        </w:tc>
        <w:tc>
          <w:tcPr>
            <w:tcW w:w="96"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ind w:left="0" w:right="20" w:hanging="0"/>
        <w:jc w:val="right"/>
        <w:rPr/>
      </w:pPr>
      <w:r>
        <w:rPr/>
        <w:drawing>
          <wp:inline distT="0" distB="0" distL="0" distR="0">
            <wp:extent cx="1476375"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295275"/>
                    </a:xfrm>
                    <a:prstGeom prst="rect">
                      <a:avLst/>
                    </a:prstGeom>
                  </pic:spPr>
                </pic:pic>
              </a:graphicData>
            </a:graphic>
          </wp:inline>
        </w:drawing>
      </w:r>
    </w:p>
    <w:p>
      <w:pPr>
        <w:pStyle w:val="TextBody"/>
        <w:spacing w:before="0" w:after="0"/>
        <w:jc w:val="center"/>
        <w:rPr/>
      </w:pPr>
      <w:r>
        <w:rPr/>
      </w:r>
    </w:p>
    <w:p>
      <w:pPr>
        <w:pStyle w:val="TextBody"/>
        <w:spacing w:before="0" w:after="0"/>
        <w:ind w:left="0" w:right="20" w:hanging="0"/>
        <w:jc w:val="center"/>
        <w:rPr>
          <w:rFonts w:ascii="Times New Roman" w:hAnsi="Times New Roman"/>
          <w:b/>
          <w:sz w:val="20"/>
        </w:rPr>
      </w:pPr>
      <w:r>
        <w:rPr>
          <w:rFonts w:ascii="Times New Roman" w:hAnsi="Times New Roman"/>
          <w:b/>
          <w:sz w:val="20"/>
        </w:rPr>
        <w:t>MAGNACHIP SEMICONDUCTOR CORPORATION AND SUBSIDIARIES</w:t>
      </w:r>
    </w:p>
    <w:p>
      <w:pPr>
        <w:pStyle w:val="TextBody"/>
        <w:spacing w:before="0" w:after="0"/>
        <w:ind w:left="0" w:right="2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20" w:hanging="0"/>
        <w:jc w:val="center"/>
        <w:rPr>
          <w:rFonts w:ascii="Times New Roman" w:hAnsi="Times New Roman"/>
          <w:b/>
          <w:sz w:val="20"/>
        </w:rPr>
      </w:pPr>
      <w:r>
        <w:rPr>
          <w:rFonts w:ascii="Times New Roman" w:hAnsi="Times New Roman"/>
          <w:b/>
          <w:sz w:val="20"/>
        </w:rPr>
        <w:t>(In thousands of U.S. dollars)</w:t>
      </w:r>
    </w:p>
    <w:p>
      <w:pPr>
        <w:pStyle w:val="TextBody"/>
        <w:spacing w:before="0" w:after="0"/>
        <w:ind w:left="0" w:right="20" w:hanging="0"/>
        <w:jc w:val="center"/>
        <w:rPr>
          <w:rFonts w:ascii="Times New Roman" w:hAnsi="Times New Roman"/>
          <w:b/>
          <w:sz w:val="20"/>
        </w:rPr>
      </w:pPr>
      <w:r>
        <w:rPr>
          <w:rFonts w:ascii="Times New Roman" w:hAnsi="Times New Roman"/>
          <w:b/>
          <w:sz w:val="20"/>
        </w:rPr>
        <w:t>(Unaudited)</w:t>
      </w:r>
    </w:p>
    <w:p>
      <w:pPr>
        <w:pStyle w:val="TextBody"/>
        <w:spacing w:before="0" w:after="0"/>
        <w:rPr/>
      </w:pPr>
      <w:r>
        <w:rPr/>
      </w:r>
    </w:p>
    <w:p>
      <w:pPr>
        <w:pStyle w:val="Normal"/>
        <w:spacing w:before="0" w:after="0"/>
        <w:rPr>
          <w:sz w:val="4"/>
          <w:szCs w:val="4"/>
        </w:rPr>
      </w:pPr>
      <w:r>
        <w:rPr>
          <w:sz w:val="4"/>
          <w:szCs w:val="4"/>
        </w:rPr>
      </w:r>
      <w:bookmarkStart w:id="37" w:name="zf501c4c36b9c4654a91cf85dada98e00"/>
      <w:bookmarkStart w:id="38" w:name="zf501c4c36b9c4654a91cf85dada98e00"/>
      <w:bookmarkEnd w:id="38"/>
    </w:p>
    <w:tbl>
      <w:tblPr>
        <w:tblW w:w="9128" w:type="dxa"/>
        <w:jc w:val="left"/>
        <w:tblInd w:w="0" w:type="dxa"/>
        <w:tblCellMar>
          <w:top w:w="0" w:type="dxa"/>
          <w:left w:w="0" w:type="dxa"/>
          <w:bottom w:w="0" w:type="dxa"/>
          <w:right w:w="0" w:type="dxa"/>
        </w:tblCellMar>
      </w:tblPr>
      <w:tblGrid>
        <w:gridCol w:w="7055"/>
        <w:gridCol w:w="60"/>
        <w:gridCol w:w="135"/>
        <w:gridCol w:w="754"/>
        <w:gridCol w:w="80"/>
        <w:gridCol w:w="60"/>
        <w:gridCol w:w="135"/>
        <w:gridCol w:w="754"/>
        <w:gridCol w:w="95"/>
      </w:tblGrid>
      <w:tr>
        <w:trPr/>
        <w:tc>
          <w:tcPr>
            <w:tcW w:w="7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8"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tc>
        <w:tc>
          <w:tcPr>
            <w:tcW w:w="95" w:type="dxa"/>
            <w:tcBorders/>
            <w:shd w:fill="auto"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jc w:val="center"/>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b/>
                <w:sz w:val="20"/>
              </w:rPr>
            </w:pPr>
            <w:r>
              <w:rPr>
                <w:rFonts w:ascii="Times New Roman" w:hAnsi="Times New Roman"/>
                <w:b/>
                <w:sz w:val="20"/>
              </w:rPr>
              <w:t>Cash flows from operating activities</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(21,470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9,528</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4,357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3,891</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Provision for severance benefits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1,670</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Loss on foreign currency, net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9,082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6,380</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Provision for inventory reserves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1,138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145</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1,638</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net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161</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Accounts receivable, net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(1,213</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1,062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1,456</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receivables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2,376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667</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(6,829</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Accounts payable</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538</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accounts payable</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(1,424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(702</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Accrued expenses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7,600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187</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Accrued income taxes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(2,923</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(2,346</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current liabilities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(596</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(711</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(169</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(73</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Payment of severance benefits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(871</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(1,389</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net</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(306</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(178</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7,876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12,820</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b/>
                <w:sz w:val="20"/>
              </w:rPr>
            </w:pPr>
            <w:r>
              <w:rPr>
                <w:rFonts w:ascii="Times New Roman" w:hAnsi="Times New Roman"/>
                <w:b/>
                <w:sz w:val="20"/>
              </w:rPr>
              <w:t>Cash flows from investing activities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Proceeds from settlement of hedge collateral</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1,155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1,829</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Payment of hedge collateral</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(1,093</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(2,891</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Purchase of property, plant and equipment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(135</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(944</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Payment for intellectual property registration</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(74</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(59</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Payment of guarantee deposits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(3,482</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(79</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Other, net</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cash used in investing activities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(3,610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(2,142</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Proceeds from exercise of stock options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1,781</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Acquisition of treasury stock</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(12,264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(830</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Repayment of financing related to water treatment facility arrangement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(126</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(134</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Repayment of principal portion of finance lease liabilities</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(16</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cash provided by (used in) financing activities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(12,405</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801</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Effect of exchange rates on cash and cash equivalents</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(5,253</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(6,105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increase (decrease) in cash and cash equivalents</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(13,392</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5,374</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b/>
                <w:sz w:val="20"/>
              </w:rPr>
            </w:pPr>
            <w:r>
              <w:rPr>
                <w:rFonts w:ascii="Times New Roman" w:hAnsi="Times New Roman"/>
                <w:b/>
                <w:sz w:val="20"/>
              </w:rPr>
              <w:t>Cash and cash equivalents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05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Beginning of the period</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225,477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279,547</w:t>
            </w:r>
          </w:p>
        </w:tc>
        <w:tc>
          <w:tcPr>
            <w:tcW w:w="95" w:type="dxa"/>
            <w:tcBorders/>
            <w:shd w:fill="auto" w:val="clear"/>
            <w:vAlign w:val="bottom"/>
          </w:tcPr>
          <w:p>
            <w:pPr>
              <w:pStyle w:val="TableContents"/>
              <w:spacing w:before="0" w:after="283"/>
              <w:jc w:val="left"/>
              <w:rPr/>
            </w:pPr>
            <w:r>
              <w:rPr/>
              <w:t> </w:t>
            </w:r>
          </w:p>
        </w:tc>
      </w:tr>
      <w:tr>
        <w:trPr/>
        <w:tc>
          <w:tcPr>
            <w:tcW w:w="705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End of the period</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212,085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284,921</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ind w:left="0" w:right="20" w:hanging="0"/>
        <w:jc w:val="right"/>
        <w:rPr/>
      </w:pPr>
      <w:r>
        <w:rPr/>
        <w:drawing>
          <wp:inline distT="0" distB="0" distL="0" distR="0">
            <wp:extent cx="1476375"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6375" cy="295275"/>
                    </a:xfrm>
                    <a:prstGeom prst="rect">
                      <a:avLst/>
                    </a:prstGeom>
                  </pic:spPr>
                </pic:pic>
              </a:graphicData>
            </a:graphic>
          </wp:inline>
        </w:drawing>
      </w:r>
    </w:p>
    <w:p>
      <w:pPr>
        <w:pStyle w:val="TextBody"/>
        <w:spacing w:before="0" w:after="0"/>
        <w:jc w:val="center"/>
        <w:rPr/>
      </w:pPr>
      <w:r>
        <w:rPr/>
      </w:r>
    </w:p>
    <w:p>
      <w:pPr>
        <w:pStyle w:val="TextBody"/>
        <w:spacing w:before="0" w:after="0"/>
        <w:ind w:left="0" w:right="20" w:hanging="0"/>
        <w:jc w:val="center"/>
        <w:rPr>
          <w:rFonts w:ascii="Times New Roman" w:hAnsi="Times New Roman"/>
          <w:b/>
          <w:sz w:val="20"/>
        </w:rPr>
      </w:pPr>
      <w:r>
        <w:rPr>
          <w:rFonts w:ascii="Times New Roman" w:hAnsi="Times New Roman"/>
          <w:b/>
          <w:sz w:val="20"/>
        </w:rPr>
        <w:t>MAGNACHIP SEMICONDUCTOR CORPORATION AND SUBSIDIARIES</w:t>
      </w:r>
    </w:p>
    <w:p>
      <w:pPr>
        <w:pStyle w:val="TextBody"/>
        <w:spacing w:before="0" w:after="0"/>
        <w:ind w:left="0" w:right="20" w:hanging="0"/>
        <w:jc w:val="center"/>
        <w:rPr>
          <w:rFonts w:ascii="Times New Roman" w:hAnsi="Times New Roman"/>
          <w:b/>
          <w:sz w:val="20"/>
        </w:rPr>
      </w:pPr>
      <w:r>
        <w:rPr>
          <w:rFonts w:ascii="Times New Roman" w:hAnsi="Times New Roman"/>
          <w:b/>
          <w:sz w:val="20"/>
        </w:rPr>
        <w:t>RECONCILIATION OF OPERATING INCOME (LOSS) TO ADJUSTED OPERATING INCOME (LOSS)</w:t>
      </w:r>
    </w:p>
    <w:p>
      <w:pPr>
        <w:pStyle w:val="TextBody"/>
        <w:spacing w:before="0" w:after="0"/>
        <w:ind w:left="0" w:right="20" w:hanging="0"/>
        <w:jc w:val="center"/>
        <w:rPr>
          <w:rFonts w:ascii="Times New Roman" w:hAnsi="Times New Roman"/>
          <w:b/>
          <w:sz w:val="20"/>
        </w:rPr>
      </w:pPr>
      <w:r>
        <w:rPr>
          <w:rFonts w:ascii="Times New Roman" w:hAnsi="Times New Roman"/>
          <w:b/>
          <w:sz w:val="20"/>
        </w:rPr>
        <w:t>(In thousands of U.S. dollars)</w:t>
      </w:r>
    </w:p>
    <w:p>
      <w:pPr>
        <w:pStyle w:val="TextBody"/>
        <w:spacing w:before="0" w:after="0"/>
        <w:ind w:left="0" w:right="20" w:hanging="0"/>
        <w:jc w:val="center"/>
        <w:rPr>
          <w:rFonts w:ascii="Times New Roman" w:hAnsi="Times New Roman"/>
          <w:b/>
          <w:sz w:val="20"/>
        </w:rPr>
      </w:pPr>
      <w:r>
        <w:rPr>
          <w:rFonts w:ascii="Times New Roman" w:hAnsi="Times New Roman"/>
          <w:b/>
          <w:sz w:val="20"/>
        </w:rPr>
        <w:t>(Unaudited)</w:t>
      </w:r>
    </w:p>
    <w:p>
      <w:pPr>
        <w:pStyle w:val="TextBody"/>
        <w:spacing w:before="0" w:after="0"/>
        <w:rPr/>
      </w:pPr>
      <w:r>
        <w:rPr/>
      </w:r>
    </w:p>
    <w:p>
      <w:pPr>
        <w:pStyle w:val="Normal"/>
        <w:spacing w:before="0" w:after="0"/>
        <w:rPr>
          <w:sz w:val="4"/>
          <w:szCs w:val="4"/>
        </w:rPr>
      </w:pPr>
      <w:r>
        <w:rPr>
          <w:sz w:val="4"/>
          <w:szCs w:val="4"/>
        </w:rPr>
      </w:r>
      <w:bookmarkStart w:id="39" w:name="z20b27b861586444fae8634b3065d31e8"/>
      <w:bookmarkStart w:id="40" w:name="z20b27b861586444fae8634b3065d31e8"/>
      <w:bookmarkEnd w:id="40"/>
    </w:p>
    <w:tbl>
      <w:tblPr>
        <w:tblW w:w="6373" w:type="dxa"/>
        <w:jc w:val="left"/>
        <w:tblInd w:w="0" w:type="dxa"/>
        <w:tblCellMar>
          <w:top w:w="0" w:type="dxa"/>
          <w:left w:w="0" w:type="dxa"/>
          <w:bottom w:w="0" w:type="dxa"/>
          <w:right w:w="0" w:type="dxa"/>
        </w:tblCellMar>
      </w:tblPr>
      <w:tblGrid>
        <w:gridCol w:w="3005"/>
        <w:gridCol w:w="60"/>
        <w:gridCol w:w="143"/>
        <w:gridCol w:w="746"/>
        <w:gridCol w:w="80"/>
        <w:gridCol w:w="60"/>
        <w:gridCol w:w="189"/>
        <w:gridCol w:w="986"/>
        <w:gridCol w:w="80"/>
        <w:gridCol w:w="60"/>
        <w:gridCol w:w="155"/>
        <w:gridCol w:w="734"/>
        <w:gridCol w:w="75"/>
      </w:tblGrid>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33"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tc>
        <w:tc>
          <w:tcPr>
            <w:tcW w:w="75" w:type="dxa"/>
            <w:tcBorders/>
            <w:shd w:fill="auto" w:val="clear"/>
            <w:vAlign w:val="bottom"/>
          </w:tcPr>
          <w:p>
            <w:pPr>
              <w:pStyle w:val="TableContents"/>
              <w:spacing w:before="0" w:after="283"/>
              <w:jc w:val="left"/>
              <w:rPr/>
            </w:pPr>
            <w:r>
              <w:rPr/>
              <w:t> </w:t>
            </w:r>
          </w:p>
        </w:tc>
      </w:tr>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75" w:type="dxa"/>
            <w:tcBorders/>
            <w:shd w:fill="auto" w:val="clear"/>
            <w:vAlign w:val="bottom"/>
          </w:tcPr>
          <w:p>
            <w:pPr>
              <w:pStyle w:val="TableContents"/>
              <w:spacing w:before="0" w:after="283"/>
              <w:jc w:val="left"/>
              <w:rPr/>
            </w:pPr>
            <w:r>
              <w:rPr/>
              <w:t> </w:t>
            </w:r>
          </w:p>
        </w:tc>
      </w:tr>
      <w:tr>
        <w:trPr/>
        <w:tc>
          <w:tcPr>
            <w:tcW w:w="300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(21,818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(10,117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12,879</w:t>
            </w:r>
          </w:p>
        </w:tc>
        <w:tc>
          <w:tcPr>
            <w:tcW w:w="75" w:type="dxa"/>
            <w:tcBorders/>
            <w:shd w:fill="CCEEFF" w:val="clear"/>
            <w:vAlign w:val="bottom"/>
          </w:tcPr>
          <w:p>
            <w:pPr>
              <w:pStyle w:val="TableContents"/>
              <w:spacing w:before="0" w:after="283"/>
              <w:jc w:val="left"/>
              <w:rPr/>
            </w:pPr>
            <w:r>
              <w:rPr/>
              <w:t> </w:t>
            </w:r>
          </w:p>
        </w:tc>
      </w:tr>
      <w:tr>
        <w:trPr/>
        <w:tc>
          <w:tcPr>
            <w:tcW w:w="300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Adjustments: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98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00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Equity-based compensation expense</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74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1,550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1,638</w:t>
            </w:r>
          </w:p>
        </w:tc>
        <w:tc>
          <w:tcPr>
            <w:tcW w:w="75" w:type="dxa"/>
            <w:tcBorders/>
            <w:shd w:fill="CCEEFF" w:val="clear"/>
            <w:vAlign w:val="bottom"/>
          </w:tcPr>
          <w:p>
            <w:pPr>
              <w:pStyle w:val="TableContents"/>
              <w:spacing w:before="0" w:after="283"/>
              <w:jc w:val="left"/>
              <w:rPr/>
            </w:pPr>
            <w:r>
              <w:rPr/>
              <w:t> </w:t>
            </w:r>
          </w:p>
        </w:tc>
      </w:tr>
      <w:tr>
        <w:trPr/>
        <w:tc>
          <w:tcPr>
            <w:tcW w:w="300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Early termination charges</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8,449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300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Adjusted Operating Income (Loss)</w:t>
            </w:r>
          </w:p>
        </w:tc>
        <w:tc>
          <w:tcPr>
            <w:tcW w:w="60" w:type="dxa"/>
            <w:tcBorders/>
            <w:shd w:fill="CCEEFF" w:val="clear"/>
            <w:vAlign w:val="bottom"/>
          </w:tcPr>
          <w:p>
            <w:pPr>
              <w:pStyle w:val="TableContents"/>
              <w:spacing w:before="0" w:after="283"/>
              <w:rPr/>
            </w:pPr>
            <w:r>
              <w:rPr/>
              <w:t> </w:t>
            </w:r>
          </w:p>
        </w:tc>
        <w:tc>
          <w:tcPr>
            <w:tcW w:w="14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4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(12,249</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8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(8,567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5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3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14,517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0" w:right="80" w:firstLine="720"/>
        <w:jc w:val="left"/>
        <w:rPr>
          <w:rFonts w:ascii="Times New Roman" w:hAnsi="Times New Roman"/>
          <w:color w:val="000000"/>
          <w:sz w:val="20"/>
        </w:rPr>
      </w:pPr>
      <w:r>
        <w:rPr>
          <w:rFonts w:ascii="Times New Roman" w:hAnsi="Times New Roman"/>
          <w:color w:val="000000"/>
          <w:sz w:val="20"/>
        </w:rPr>
        <w:t>We present Adjusted Operating Income (Loss) as a supplemental measure of our performance. We define Adjusted Operating Income (Loss) for the periods indicated as operating income (loss) adjusted to exclude (i) Equity-based compensation expense and (ii) Early termination charges.</w:t>
      </w:r>
    </w:p>
    <w:p>
      <w:pPr>
        <w:pStyle w:val="TextBody"/>
        <w:spacing w:before="0" w:after="0"/>
        <w:rPr/>
      </w:pPr>
      <w:r>
        <w:rPr/>
      </w:r>
    </w:p>
    <w:p>
      <w:pPr>
        <w:pStyle w:val="TextBody"/>
        <w:spacing w:before="0" w:after="0"/>
        <w:ind w:left="0" w:right="80" w:firstLine="720"/>
        <w:jc w:val="left"/>
        <w:rPr>
          <w:rFonts w:ascii="Times New Roman" w:hAnsi="Times New Roman"/>
          <w:color w:val="000000"/>
          <w:sz w:val="20"/>
        </w:rPr>
      </w:pPr>
      <w:r>
        <w:rPr>
          <w:rFonts w:ascii="Times New Roman" w:hAnsi="Times New Roman"/>
          <w:color w:val="000000"/>
          <w:sz w:val="20"/>
        </w:rPr>
        <w:t>For the three months ended March 31, 2023, we recorded in our consolidated statement of operations $8,449 thousand of termination related charges in connection with the voluntary resignation program that we offered to certain employees during the first quarter of 2023.</w:t>
      </w:r>
    </w:p>
    <w:p>
      <w:pPr>
        <w:pStyle w:val="TextBody"/>
        <w:spacing w:before="0" w:after="0"/>
        <w:ind w:left="0" w:right="80" w:firstLine="720"/>
        <w:jc w:val="left"/>
        <w:rPr>
          <w:rFonts w:ascii="Times New Roman" w:hAnsi="Times New Roman"/>
          <w:color w:val="000000"/>
          <w:sz w:val="20"/>
        </w:rPr>
      </w:pPr>
      <w:r>
        <w:rPr>
          <w:rFonts w:ascii="Times New Roman" w:hAnsi="Times New Roman"/>
          <w:color w:val="000000"/>
          <w:sz w:val="20"/>
        </w:rPr>
      </w:r>
    </w:p>
    <w:p>
      <w:pPr>
        <w:pStyle w:val="HorizontalLine"/>
        <w:pBdr>
          <w:bottom w:val="single" w:sz="20" w:space="0" w:color="808080"/>
        </w:pBdr>
        <w:spacing w:before="200" w:after="200"/>
        <w:rPr/>
      </w:pPr>
      <w:r>
        <w:rPr/>
      </w:r>
    </w:p>
    <w:p>
      <w:pPr>
        <w:pStyle w:val="TextBody"/>
        <w:spacing w:before="0" w:after="0"/>
        <w:ind w:left="0" w:right="20" w:hanging="0"/>
        <w:jc w:val="right"/>
        <w:rPr/>
      </w:pPr>
      <w:r>
        <w:rPr/>
        <w:drawing>
          <wp:inline distT="0" distB="0" distL="0" distR="0">
            <wp:extent cx="1476375" cy="295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6375" cy="295275"/>
                    </a:xfrm>
                    <a:prstGeom prst="rect">
                      <a:avLst/>
                    </a:prstGeom>
                  </pic:spPr>
                </pic:pic>
              </a:graphicData>
            </a:graphic>
          </wp:inline>
        </w:drawing>
      </w:r>
    </w:p>
    <w:p>
      <w:pPr>
        <w:pStyle w:val="TextBody"/>
        <w:spacing w:before="0" w:after="0"/>
        <w:jc w:val="center"/>
        <w:rPr/>
      </w:pPr>
      <w:r>
        <w:rPr/>
      </w:r>
    </w:p>
    <w:p>
      <w:pPr>
        <w:pStyle w:val="TextBody"/>
        <w:spacing w:before="0" w:after="0"/>
        <w:ind w:left="0" w:right="20" w:hanging="0"/>
        <w:jc w:val="center"/>
        <w:rPr>
          <w:rFonts w:ascii="Times New Roman" w:hAnsi="Times New Roman"/>
          <w:b/>
          <w:sz w:val="20"/>
        </w:rPr>
      </w:pPr>
      <w:r>
        <w:rPr>
          <w:rFonts w:ascii="Times New Roman" w:hAnsi="Times New Roman"/>
          <w:b/>
          <w:sz w:val="20"/>
        </w:rPr>
        <w:t>MAGNACHIP SEMICONDUCTOR CORPORATION AND SUBSIDIARIES</w:t>
      </w:r>
    </w:p>
    <w:p>
      <w:pPr>
        <w:pStyle w:val="TextBody"/>
        <w:spacing w:before="0" w:after="0"/>
        <w:ind w:left="0" w:right="20" w:hanging="0"/>
        <w:jc w:val="center"/>
        <w:rPr>
          <w:rFonts w:ascii="Times New Roman" w:hAnsi="Times New Roman"/>
          <w:b/>
          <w:sz w:val="20"/>
        </w:rPr>
      </w:pPr>
      <w:r>
        <w:rPr>
          <w:rFonts w:ascii="Times New Roman" w:hAnsi="Times New Roman"/>
          <w:b/>
          <w:sz w:val="20"/>
        </w:rPr>
        <w:t>RECONCILIATION OF NET INCOME (LOSS) TO ADJUSTED EBITDA AND ADJUSTED NET INCOME (LOSS)</w:t>
      </w:r>
    </w:p>
    <w:p>
      <w:pPr>
        <w:pStyle w:val="TextBody"/>
        <w:spacing w:before="0" w:after="0"/>
        <w:ind w:left="0" w:right="20" w:hanging="0"/>
        <w:jc w:val="center"/>
        <w:rPr>
          <w:rFonts w:ascii="Times New Roman" w:hAnsi="Times New Roman"/>
          <w:b/>
          <w:sz w:val="20"/>
        </w:rPr>
      </w:pPr>
      <w:r>
        <w:rPr>
          <w:rFonts w:ascii="Times New Roman" w:hAnsi="Times New Roman"/>
          <w:b/>
          <w:sz w:val="20"/>
        </w:rPr>
        <w:t>(In thousands of U.S. dollars, except share data)</w:t>
      </w:r>
    </w:p>
    <w:p>
      <w:pPr>
        <w:pStyle w:val="TextBody"/>
        <w:spacing w:before="0" w:after="0"/>
        <w:ind w:left="0" w:right="20" w:hanging="0"/>
        <w:jc w:val="center"/>
        <w:rPr>
          <w:rFonts w:ascii="Times New Roman" w:hAnsi="Times New Roman"/>
          <w:b/>
          <w:sz w:val="20"/>
        </w:rPr>
      </w:pPr>
      <w:r>
        <w:rPr>
          <w:rFonts w:ascii="Times New Roman" w:hAnsi="Times New Roman"/>
          <w:b/>
          <w:sz w:val="20"/>
        </w:rPr>
        <w:t>(Unaudited)</w:t>
      </w:r>
    </w:p>
    <w:p>
      <w:pPr>
        <w:pStyle w:val="TextBody"/>
        <w:spacing w:before="0" w:after="0"/>
        <w:rPr/>
      </w:pPr>
      <w:r>
        <w:rPr/>
      </w:r>
    </w:p>
    <w:p>
      <w:pPr>
        <w:pStyle w:val="Normal"/>
        <w:spacing w:before="0" w:after="0"/>
        <w:rPr>
          <w:sz w:val="4"/>
          <w:szCs w:val="4"/>
        </w:rPr>
      </w:pPr>
      <w:r>
        <w:rPr>
          <w:sz w:val="4"/>
          <w:szCs w:val="4"/>
        </w:rPr>
      </w:r>
      <w:bookmarkStart w:id="41" w:name="z79e5623054e94f37858639ffe0cbbeb5"/>
      <w:bookmarkStart w:id="42" w:name="z79e5623054e94f37858639ffe0cbbeb5"/>
      <w:bookmarkEnd w:id="42"/>
    </w:p>
    <w:tbl>
      <w:tblPr>
        <w:tblW w:w="7754" w:type="dxa"/>
        <w:jc w:val="left"/>
        <w:tblInd w:w="0" w:type="dxa"/>
        <w:tblCellMar>
          <w:top w:w="0" w:type="dxa"/>
          <w:left w:w="0" w:type="dxa"/>
          <w:bottom w:w="0" w:type="dxa"/>
          <w:right w:w="0" w:type="dxa"/>
        </w:tblCellMar>
      </w:tblPr>
      <w:tblGrid>
        <w:gridCol w:w="3995"/>
        <w:gridCol w:w="60"/>
        <w:gridCol w:w="125"/>
        <w:gridCol w:w="950"/>
        <w:gridCol w:w="80"/>
        <w:gridCol w:w="60"/>
        <w:gridCol w:w="136"/>
        <w:gridCol w:w="1038"/>
        <w:gridCol w:w="80"/>
        <w:gridCol w:w="60"/>
        <w:gridCol w:w="125"/>
        <w:gridCol w:w="950"/>
        <w:gridCol w:w="95"/>
      </w:tblGrid>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04"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tc>
        <w:tc>
          <w:tcPr>
            <w:tcW w:w="95" w:type="dxa"/>
            <w:tcBorders/>
            <w:shd w:fill="auto"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(21,470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2,971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9,528</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Adjustments: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(2,842</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(2,420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(715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Interest expense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111</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Income tax expense (benefit)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(1,227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6,513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3,483</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4,357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3,775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3,891</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EBITDA</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(20,926</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11,108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16,298</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Equity-based compensation expense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1,550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1,638</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Foreign currency loss (gain),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(17,492</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690</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Derivative valuation loss,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129</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Early termination charges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8,449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Adjusted EBITDA</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(7,873</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(4,768</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18,755</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(21,470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2,971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9,528</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Adjustments: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Equity-based compensation expense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1,550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1,638</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Foreign currency loss (gain),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(17,492</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690</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Derivative valuation loss,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129</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Early termination charges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8,449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Income tax effect on non-GAAP adjustments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(1,950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(2,943</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951</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Adjusted Net Income (Loss)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(10,367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(15,848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12,936</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Adjusted Net Income (Loss) per common share—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 Basic</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(0.24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(0.36</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0.28</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324" w:right="0" w:hanging="144"/>
              <w:jc w:val="left"/>
              <w:rPr>
                <w:rFonts w:ascii="Times New Roman" w:hAnsi="Times New Roman"/>
                <w:sz w:val="20"/>
              </w:rPr>
            </w:pPr>
            <w:r>
              <w:rPr>
                <w:rFonts w:ascii="Times New Roman" w:hAnsi="Times New Roman"/>
                <w:sz w:val="20"/>
              </w:rPr>
              <w:t>- Diluted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(0.24</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(0.36</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0.28</w:t>
            </w:r>
          </w:p>
        </w:tc>
        <w:tc>
          <w:tcPr>
            <w:tcW w:w="95"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Weighted average number of shares – basic</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43,390,832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44,054,275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45,603,208</w:t>
            </w:r>
          </w:p>
        </w:tc>
        <w:tc>
          <w:tcPr>
            <w:tcW w:w="95"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Weighted average number of shares – diluted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43,390,832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44,054,275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46,693,294</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present Adjusted EBITDA and Adjusted Net Income (Loss) as supplemental measures of our performance. We define Adjusted EBITDA for the periods indicated as EBITDA (as defined below), adjusted to exclude (i) Equity-based compensation expense, (ii) Foreign currency loss (gain), net, (iii) Derivative valuation loss, net and (iv) Early termination charges. EBITDA for the periods indicated is defined as net income (loss) before interest income, interest expense, income tax expense (benefit) and depreciation and amortization.</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Equity-based compensation expense, (ii) Foreign currency loss (gain), net, (iii) Derivative valuation loss, net, (iv) Early termination charges and (v) Income tax effect on non-GAAP adjustments.</w:t>
      </w:r>
    </w:p>
    <w:p>
      <w:pPr>
        <w:pStyle w:val="TextBody"/>
        <w:spacing w:before="0" w:after="0"/>
        <w:rPr/>
      </w:pPr>
      <w:r>
        <w:rPr/>
      </w:r>
    </w:p>
    <w:p>
      <w:pPr>
        <w:pStyle w:val="TextBody"/>
        <w:spacing w:before="0" w:after="0"/>
        <w:ind w:left="0" w:right="80" w:firstLine="720"/>
        <w:jc w:val="left"/>
        <w:rPr>
          <w:rFonts w:ascii="Times New Roman" w:hAnsi="Times New Roman"/>
          <w:color w:val="000000"/>
          <w:sz w:val="20"/>
        </w:rPr>
      </w:pPr>
      <w:r>
        <w:rPr>
          <w:rFonts w:ascii="Times New Roman" w:hAnsi="Times New Roman"/>
          <w:color w:val="000000"/>
          <w:sz w:val="20"/>
        </w:rPr>
        <w:t>For the three months ended March 31, 2023, we recorded in our consolidated statement of operations $8,449 thousand of termination related charges in connection with the voluntary resignation program that we offered to certain employees during the first quarter of 2023.</w:t>
      </w:r>
    </w:p>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3461</Words>
  <CharactersWithSpaces>23318</CharactersWithSpaces>
  <Paragraphs>2167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