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September 26, 2008</w:t>
      </w:r>
    </w:p>
    <w:p>
      <w:pPr>
        <w:spacing w:after="0" w:line="13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97"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597"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740" w:space="720"/>
            <w:col w:w="2880" w:space="720"/>
            <w:col w:w="1960"/>
          </w:cols>
          <w:pgMar w:left="240" w:top="597" w:right="639" w:bottom="1440" w:gutter="0" w:footer="0" w:header="0"/>
          <w:type w:val="continuous"/>
        </w:sectPr>
      </w:pPr>
    </w:p>
    <w:p>
      <w:pPr>
        <w:jc w:val="center"/>
        <w:ind w:right="168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5" w:lineRule="exact"/>
        <w:rPr>
          <w:sz w:val="24"/>
          <w:szCs w:val="24"/>
          <w:color w:val="auto"/>
        </w:rPr>
      </w:pPr>
    </w:p>
    <w:p>
      <w:pPr>
        <w:sectPr>
          <w:pgSz w:w="11900" w:h="16838" w:orient="portrait"/>
          <w:cols w:equalWidth="0" w:num="2">
            <w:col w:w="7400" w:space="720"/>
            <w:col w:w="2900"/>
          </w:cols>
          <w:pgMar w:left="240" w:top="597"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6" w:lineRule="exact"/>
        <w:rPr>
          <w:sz w:val="24"/>
          <w:szCs w:val="24"/>
          <w:color w:val="auto"/>
        </w:rPr>
      </w:pPr>
    </w:p>
    <w:p>
      <w:pPr>
        <w:sectPr>
          <w:pgSz w:w="11900" w:h="16838" w:orient="portrait"/>
          <w:cols w:equalWidth="0" w:num="2">
            <w:col w:w="7660" w:space="720"/>
            <w:col w:w="2640"/>
          </w:cols>
          <w:pgMar w:left="240" w:top="597" w:right="6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 Resignation of David Thomas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Effective September 26, 2008, David Thomas has resigned his position as a director of MagnaChip Semiconductor LLC (the “Company”). Mr. Thomas served on the Company’s Compensation Committee and Nominating and Governance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 Resignation of Phokion Potamianos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Effective September 26, 2008, Phokion Potamianos has resigned his position as a director of the Company. Mr. Potamianos served on the Company’s Audit Committee and Nominating and Governance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 Election of Richard Mayberry</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Effective September 26, 2008, Richard Mayberry was elected to the Board of Directors of the Company to serve at the discretion of the unitholders of the Company until his successor is duly elected and qualified. Mr. Mayberry serves on the Company’s Board of Directors as a designee of Citigroup Venture Capital Equity Partners, L.P., and he has been named to the Company’s Compensation Committee and Nominating and Governance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 Election of Andrew Kowal</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Effective September 26, 2008, Andrew Kowal was elected to the Board of Directors of the Company to serve at the discretion of the unitholders of the Company until his successor is duly elected and qualified. Mr. Kowal serves on the Company’s Board of Directors as a designee of Francisco Partners, L.P., and he has been named to the Company’s Audit Committee and Nominating and Governance Committee.</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19"/>
                <w:szCs w:val="19"/>
                <w:color w:val="auto"/>
              </w:rPr>
            </w:pPr>
          </w:p>
        </w:tc>
        <w:tc>
          <w:tcPr>
            <w:tcW w:w="7320" w:type="dxa"/>
            <w:vAlign w:val="bottom"/>
            <w:gridSpan w:val="2"/>
          </w:tcPr>
          <w:p>
            <w:pPr>
              <w:ind w:left="218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4100" w:type="dxa"/>
            <w:vAlign w:val="bottom"/>
          </w:tcPr>
          <w:p>
            <w:pPr>
              <w:spacing w:after="0"/>
              <w:rPr>
                <w:sz w:val="20"/>
                <w:szCs w:val="20"/>
                <w:color w:val="auto"/>
              </w:rPr>
            </w:pPr>
            <w:r>
              <w:rPr>
                <w:rFonts w:ascii="Arial" w:cs="Arial" w:eastAsia="Arial" w:hAnsi="Arial"/>
                <w:sz w:val="18"/>
                <w:szCs w:val="18"/>
                <w:color w:val="auto"/>
              </w:rPr>
              <w:t>Dated: September 26, 2008</w:t>
            </w:r>
          </w:p>
        </w:tc>
        <w:tc>
          <w:tcPr>
            <w:tcW w:w="7320" w:type="dxa"/>
            <w:vAlign w:val="bottom"/>
            <w:gridSpan w:val="2"/>
          </w:tcPr>
          <w:p>
            <w:pPr>
              <w:ind w:left="2180"/>
              <w:spacing w:after="0"/>
              <w:rPr>
                <w:sz w:val="20"/>
                <w:szCs w:val="20"/>
                <w:color w:val="auto"/>
              </w:rPr>
            </w:pPr>
            <w:r>
              <w:rPr>
                <w:rFonts w:ascii="Arial" w:cs="Arial" w:eastAsia="Arial" w:hAnsi="Arial"/>
                <w:sz w:val="18"/>
                <w:szCs w:val="18"/>
                <w:color w:val="auto"/>
              </w:rPr>
              <w:t>By: /s/ Robert Krakauer</w:t>
            </w:r>
          </w:p>
        </w:tc>
      </w:tr>
      <w:tr>
        <w:trPr>
          <w:trHeight w:val="202"/>
        </w:trPr>
        <w:tc>
          <w:tcPr>
            <w:tcW w:w="4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8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4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2019-12-11T16:14:01Z</dcterms:created>
  <dcterms:modified xsi:type="dcterms:W3CDTF">2019-12-11T16:14:01Z</dcterms:modified>
</cp:coreProperties>
</file>