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Woung Moo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12/31/2019</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4,787</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86,440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3,435</w:t>
            </w:r>
            <w:r>
              <w:rPr>
                <w:rFonts w:ascii="Arial" w:cs="Arial" w:eastAsia="Arial" w:hAnsi="Arial"/>
                <w:sz w:val="22"/>
                <w:szCs w:val="22"/>
                <w:color w:val="008000"/>
                <w:w w:val="82"/>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83,005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4,787 shares of common stock to satisfy tax withholding obligations incurred by the Reporting Person upon the vesting of 10,920 shares of common stock originally awarded to the Reporting Person on October 22, 2018.</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3,435 shares of common stock to satisfy tax withholding obligations incurred by the Reporting Person upon the vesting of 7,833 shares of common stock originally awarded to the Reporting Person on October 22,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Standard Products Group</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2020-01-03T15:07:15Z</dcterms:created>
  <dcterms:modified xsi:type="dcterms:W3CDTF">2020-01-03T15:07:15Z</dcterms:modified>
</cp:coreProperties>
</file>