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73025</wp:posOffset>
            </wp:positionV>
            <wp:extent cx="10629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81915</wp:posOffset>
            </wp:positionV>
            <wp:extent cx="1062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156845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Magnachip Semiconductor Corporation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73025</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84" w:lineRule="exact"/>
        <w:rPr>
          <w:sz w:val="24"/>
          <w:szCs w:val="24"/>
          <w:color w:val="auto"/>
        </w:rPr>
      </w:pPr>
    </w:p>
    <w:tbl>
      <w:tblPr>
        <w:tblLayout w:type="fixed"/>
        <w:tblInd w:w="1060" w:type="dxa"/>
        <w:tblCellMar>
          <w:top w:w="0" w:type="dxa"/>
          <w:left w:w="0" w:type="dxa"/>
          <w:bottom w:w="0" w:type="dxa"/>
          <w:right w:w="0" w:type="dxa"/>
        </w:tblCellMar>
      </w:tblPr>
      <w:tr>
        <w:trPr>
          <w:trHeight w:val="214"/>
        </w:trPr>
        <w:tc>
          <w:tcPr>
            <w:tcW w:w="4160" w:type="dxa"/>
            <w:vAlign w:val="bottom"/>
          </w:tcPr>
          <w:p>
            <w:pPr>
              <w:jc w:val="center"/>
              <w:ind w:right="23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001-34791</w:t>
            </w:r>
          </w:p>
        </w:tc>
        <w:tc>
          <w:tcPr>
            <w:tcW w:w="2500" w:type="dxa"/>
            <w:vAlign w:val="bottom"/>
          </w:tcPr>
          <w:p>
            <w:pPr>
              <w:jc w:val="center"/>
              <w:ind w:left="1281"/>
              <w:spacing w:after="0"/>
              <w:rPr>
                <w:sz w:val="20"/>
                <w:szCs w:val="20"/>
                <w:color w:val="auto"/>
              </w:rPr>
            </w:pPr>
            <w:r>
              <w:rPr>
                <w:rFonts w:ascii="Times New Roman" w:cs="Times New Roman" w:eastAsia="Times New Roman" w:hAnsi="Times New Roman"/>
                <w:sz w:val="18"/>
                <w:szCs w:val="18"/>
                <w:b w:val="1"/>
                <w:bCs w:val="1"/>
                <w:color w:val="auto"/>
                <w:w w:val="98"/>
              </w:rPr>
              <w:t>83-0406195</w:t>
            </w:r>
          </w:p>
        </w:tc>
      </w:tr>
      <w:tr>
        <w:trPr>
          <w:trHeight w:val="149"/>
        </w:trPr>
        <w:tc>
          <w:tcPr>
            <w:tcW w:w="4160" w:type="dxa"/>
            <w:vAlign w:val="bottom"/>
          </w:tcPr>
          <w:p>
            <w:pPr>
              <w:jc w:val="center"/>
              <w:ind w:right="235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500" w:type="dxa"/>
            <w:vAlign w:val="bottom"/>
          </w:tcPr>
          <w:p>
            <w:pPr>
              <w:jc w:val="center"/>
              <w:ind w:left="12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60" w:type="dxa"/>
            <w:vAlign w:val="bottom"/>
          </w:tcPr>
          <w:p>
            <w:pPr>
              <w:jc w:val="center"/>
              <w:ind w:right="235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0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160" w:type="dxa"/>
            <w:vAlign w:val="bottom"/>
          </w:tcPr>
          <w:p>
            <w:pPr>
              <w:jc w:val="center"/>
              <w:ind w:left="1198"/>
              <w:spacing w:after="0"/>
              <w:rPr>
                <w:sz w:val="20"/>
                <w:szCs w:val="20"/>
                <w:color w:val="auto"/>
              </w:rPr>
            </w:pPr>
            <w:r>
              <w:rPr>
                <w:rFonts w:ascii="Times New Roman" w:cs="Times New Roman" w:eastAsia="Times New Roman" w:hAnsi="Times New Roman"/>
                <w:sz w:val="18"/>
                <w:szCs w:val="18"/>
                <w:b w:val="1"/>
                <w:bCs w:val="1"/>
                <w:color w:val="auto"/>
              </w:rPr>
              <w:t>c/o MagnaChip Semiconductor S.A.</w:t>
            </w:r>
          </w:p>
        </w:tc>
        <w:tc>
          <w:tcPr>
            <w:tcW w:w="22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6"/>
        </w:trPr>
        <w:tc>
          <w:tcPr>
            <w:tcW w:w="4160" w:type="dxa"/>
            <w:vAlign w:val="bottom"/>
          </w:tcPr>
          <w:p>
            <w:pPr>
              <w:jc w:val="center"/>
              <w:ind w:left="1198"/>
              <w:spacing w:after="0"/>
              <w:rPr>
                <w:sz w:val="20"/>
                <w:szCs w:val="20"/>
                <w:color w:val="auto"/>
              </w:rPr>
            </w:pPr>
            <w:r>
              <w:rPr>
                <w:rFonts w:ascii="Times New Roman" w:cs="Times New Roman" w:eastAsia="Times New Roman" w:hAnsi="Times New Roman"/>
                <w:sz w:val="18"/>
                <w:szCs w:val="18"/>
                <w:b w:val="1"/>
                <w:bCs w:val="1"/>
                <w:color w:val="auto"/>
                <w:w w:val="99"/>
              </w:rPr>
              <w:t>1, Allée Scheffer, L-2520</w:t>
            </w:r>
          </w:p>
        </w:tc>
        <w:tc>
          <w:tcPr>
            <w:tcW w:w="224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27"/>
        </w:trPr>
        <w:tc>
          <w:tcPr>
            <w:tcW w:w="6400" w:type="dxa"/>
            <w:vAlign w:val="bottom"/>
            <w:gridSpan w:val="2"/>
          </w:tcPr>
          <w:p>
            <w:pPr>
              <w:jc w:val="center"/>
              <w:ind w:right="902"/>
              <w:spacing w:after="0"/>
              <w:rPr>
                <w:sz w:val="20"/>
                <w:szCs w:val="20"/>
                <w:color w:val="auto"/>
              </w:rPr>
            </w:pPr>
            <w:r>
              <w:rPr>
                <w:rFonts w:ascii="Times New Roman" w:cs="Times New Roman" w:eastAsia="Times New Roman" w:hAnsi="Times New Roman"/>
                <w:sz w:val="18"/>
                <w:szCs w:val="18"/>
                <w:b w:val="1"/>
                <w:bCs w:val="1"/>
                <w:color w:val="auto"/>
                <w:w w:val="99"/>
              </w:rPr>
              <w:t>Luxembourg, Grand Duchy of Luxembourg</w:t>
            </w:r>
          </w:p>
        </w:tc>
        <w:tc>
          <w:tcPr>
            <w:tcW w:w="2500" w:type="dxa"/>
            <w:vAlign w:val="bottom"/>
          </w:tcPr>
          <w:p>
            <w:pPr>
              <w:jc w:val="center"/>
              <w:ind w:left="1281"/>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90"/>
        </w:trPr>
        <w:tc>
          <w:tcPr>
            <w:tcW w:w="4160" w:type="dxa"/>
            <w:vAlign w:val="bottom"/>
          </w:tcPr>
          <w:p>
            <w:pPr>
              <w:jc w:val="center"/>
              <w:ind w:left="117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250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88265</wp:posOffset>
            </wp:positionV>
            <wp:extent cx="1062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86"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7"/>
        </w:trPr>
        <w:tc>
          <w:tcPr>
            <w:tcW w:w="36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16"/>
                <w:szCs w:val="16"/>
                <w:color w:val="auto"/>
              </w:rPr>
            </w:pPr>
          </w:p>
        </w:tc>
        <w:tc>
          <w:tcPr>
            <w:tcW w:w="38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MX</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8"/>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Preferred Stock Purchase Rights</w:t>
            </w:r>
          </w:p>
        </w:tc>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90" w:lineRule="exact"/>
        <w:rPr>
          <w:sz w:val="24"/>
          <w:szCs w:val="24"/>
          <w:color w:val="auto"/>
        </w:rPr>
      </w:pPr>
    </w:p>
    <w:p>
      <w:pPr>
        <w:jc w:val="both"/>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On September 12, 2022, Magnachip Semiconductor Corporation (“Magnachip” or “the Company”) issued a press release announcing that its Board of Directors authorized an expansion of the Company’s previously announced stock repurchase program from $75 million to $87.5 million of the Company’s common stock. A copy of the press release is attached as Exhibit 99.1 to this Current Report on Form 8-K and is incorporated herein by reference.</w:t>
      </w:r>
    </w:p>
    <w:p>
      <w:pPr>
        <w:spacing w:after="0" w:line="15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440" w:hanging="432"/>
        <w:spacing w:after="0"/>
        <w:tabs>
          <w:tab w:leader="none" w:pos="4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as part of this report: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80" w:type="dxa"/>
            <w:vAlign w:val="bottom"/>
            <w:gridSpan w:val="2"/>
            <w:vMerge w:val="restart"/>
          </w:tcPr>
          <w:p>
            <w:pPr>
              <w:ind w:left="4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w:t>
            </w:r>
          </w:p>
        </w:tc>
        <w:tc>
          <w:tcPr>
            <w:tcW w:w="9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24"/>
                <w:szCs w:val="24"/>
                <w:color w:val="auto"/>
              </w:rPr>
            </w:pPr>
          </w:p>
        </w:tc>
        <w:tc>
          <w:tcPr>
            <w:tcW w:w="9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of Magnachip Semiconductor Corporation, dated September 12, 2022</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60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9"/>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52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632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MAGNACHIP SEMICONDUCTOR CORPORATION</w:t>
            </w:r>
          </w:p>
        </w:tc>
        <w:tc>
          <w:tcPr>
            <w:tcW w:w="1120" w:type="dxa"/>
            <w:vAlign w:val="bottom"/>
          </w:tcPr>
          <w:p>
            <w:pPr>
              <w:spacing w:after="0"/>
              <w:rPr>
                <w:sz w:val="20"/>
                <w:szCs w:val="20"/>
                <w:color w:val="auto"/>
              </w:rPr>
            </w:pPr>
          </w:p>
        </w:tc>
      </w:tr>
      <w:tr>
        <w:trPr>
          <w:trHeight w:val="4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13, 2022</w:t>
            </w:r>
          </w:p>
        </w:tc>
        <w:tc>
          <w:tcPr>
            <w:tcW w:w="632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/s/ Theodore Kim</w:t>
            </w:r>
          </w:p>
        </w:tc>
        <w:tc>
          <w:tcPr>
            <w:tcW w:w="1120" w:type="dxa"/>
            <w:vAlign w:val="bottom"/>
          </w:tcPr>
          <w:p>
            <w:pPr>
              <w:spacing w:after="0"/>
              <w:rPr>
                <w:sz w:val="24"/>
                <w:szCs w:val="24"/>
                <w:color w:val="auto"/>
              </w:rPr>
            </w:pPr>
          </w:p>
        </w:tc>
      </w:tr>
      <w:tr>
        <w:trPr>
          <w:trHeight w:val="191"/>
        </w:trPr>
        <w:tc>
          <w:tcPr>
            <w:tcW w:w="38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Theodore Kim</w:t>
            </w:r>
          </w:p>
        </w:tc>
        <w:tc>
          <w:tcPr>
            <w:tcW w:w="1120" w:type="dxa"/>
            <w:vAlign w:val="bottom"/>
          </w:tcPr>
          <w:p>
            <w:pPr>
              <w:spacing w:after="0"/>
              <w:rPr>
                <w:sz w:val="16"/>
                <w:szCs w:val="16"/>
                <w:color w:val="auto"/>
              </w:rPr>
            </w:pPr>
          </w:p>
        </w:tc>
      </w:tr>
      <w:tr>
        <w:trPr>
          <w:trHeight w:val="216"/>
        </w:trPr>
        <w:tc>
          <w:tcPr>
            <w:tcW w:w="38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Compliance Officer, General Counsel and</w:t>
            </w:r>
          </w:p>
        </w:tc>
        <w:tc>
          <w:tcPr>
            <w:tcW w:w="1120" w:type="dxa"/>
            <w:vAlign w:val="bottom"/>
          </w:tcPr>
          <w:p>
            <w:pPr>
              <w:spacing w:after="0"/>
              <w:rPr>
                <w:sz w:val="18"/>
                <w:szCs w:val="18"/>
                <w:color w:val="auto"/>
              </w:rPr>
            </w:pPr>
          </w:p>
        </w:tc>
      </w:tr>
      <w:tr>
        <w:trPr>
          <w:trHeight w:val="234"/>
        </w:trPr>
        <w:tc>
          <w:tcPr>
            <w:tcW w:w="38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c>
          <w:tcPr>
            <w:tcW w:w="1120" w:type="dxa"/>
            <w:vAlign w:val="bottom"/>
          </w:tcPr>
          <w:p>
            <w:pPr>
              <w:spacing w:after="0"/>
              <w:rPr>
                <w:sz w:val="20"/>
                <w:szCs w:val="20"/>
                <w:color w:val="auto"/>
              </w:rPr>
            </w:pPr>
          </w:p>
        </w:tc>
      </w:tr>
      <w:tr>
        <w:trPr>
          <w:trHeight w:val="1019"/>
        </w:trPr>
        <w:tc>
          <w:tcPr>
            <w:tcW w:w="38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Magnachip Announces Expanded Stock Repurchase Program</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SEOUL, South Korea, September 12, 2022 </w:t>
      </w:r>
      <w:r>
        <w:rPr>
          <w:rFonts w:ascii="Times New Roman" w:cs="Times New Roman" w:eastAsia="Times New Roman" w:hAnsi="Times New Roman"/>
          <w:sz w:val="18"/>
          <w:szCs w:val="18"/>
          <w:color w:val="auto"/>
        </w:rPr>
        <w:t>-- Magnachip Semiconductor Corporation (NYSE: MX) (“Magnachip” or the “Company”)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Board of Directors has authorized an expansion of the Company’s previously announced stock repurchase program from $75 million to $87.5 million of the Company's common stock. The Company has already repurchased shares worth $37.5 million under the program.</w:t>
      </w:r>
    </w:p>
    <w:p>
      <w:pPr>
        <w:spacing w:after="0" w:line="1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remaining $50.0 million of the expanded $87.5 million program will be repurchased in the open market or through privately negotiated transactions. In connection with the repurchase program, the Company has established a stock trading plan in accordance with Rule 10b5-1 under the Securities Exchange Act of 1934.</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timing of stock repurchases and the number of shares of common stock to be repurchased will depend upon prevailing market conditions and other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within the meaning of the Private Securities Litigation Reform Act of 1995 that are subject to the safe harbor created thereby. Statements that are not historical or current facts, including statements about beliefs and expectations,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impact of changes in macroeconomic and/or general economic conditions, including those caused by or related to inflation, potential recessions or other deteriorations, economic instability or civil unrest the COVID 19 pandemic or the emergence of various variants of the virus or other outbreaks of disease, and governmental lock-downs or other measures implemented in response thereto, and the Russia-Ukraine conflict; manufacturing capacity constraints or supply chain disruptions that may impact our ability to deliver our products or affect the price of components, which may lead to an increase in our costs, as well as impacting demand for our products from customers who are similarly affected by such capacity constraints or disruptions;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or supply constraints;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our customers and our distributors, including those related to the Russia-Ukraine conflict; change or ratification of local or international laws and regulations, including those related to environment, health and safety; public health issues, including the COVID-19 pandemic or the emergence of various variants of the virus; other business interruptions that could disrupt supply or delivery of, or demand for, Magnachip’s products, including uncertainties regarding the impacts of the COVID-19 pandemic or the emergence of various variants of the virus that may result in factory closures, reduced workforces, scarcity of raw materials and goods produced in infected areas, as well as reduced consumer and business spending affecting demand for Magnachip’s products due to government and private sector mandatory business closures, travel restrictions or the like to prevent the spread of disease; and other risks and uncertainties and the factors identified under “Risk Factors” in Part II, Item 1A of the Company’s Quarterly Report on Form 10-Q for the quarter ended June 30, 2022, and updated in subsequent reports filed by the Company with the U.S. Securities and Exchange Commission and/or make available on our website. These reports are available at </w:t>
      </w:r>
      <w:r>
        <w:rPr>
          <w:rFonts w:ascii="Times New Roman" w:cs="Times New Roman" w:eastAsia="Times New Roman" w:hAnsi="Times New Roman"/>
          <w:sz w:val="18"/>
          <w:szCs w:val="18"/>
          <w:u w:val="single" w:color="auto"/>
          <w:color w:val="auto"/>
        </w:rPr>
        <w:t>www.magnachip.com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Forward-looking statements speak only as of the date they are made, and the Company undertakes no obligation to update them in light of new information or future events.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Magnachip Semiconductor</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Magnachip is a designer and manufacturer of analog and mixed-signal semiconductor platform solutions for communications, IoT, consumer, computing, industrial and automotive applications. The Company provides a broad range of standard products to customers worldwide. Magnachip, with more than 40 years of operating history, owns a portfolio of approximately 1,100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Yujia Zhai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Blueshirt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(860) 214-0809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Yujia@blueshirtgroup.com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2022-09-13T06:49:10Z</dcterms:created>
  <dcterms:modified xsi:type="dcterms:W3CDTF">2022-09-13T06:49:10Z</dcterms:modified>
</cp:coreProperties>
</file>