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Registration Statement No. 333-296756</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June 16, 2026)</w:t>
      </w:r>
    </w:p>
    <w:p>
      <w:pPr>
        <w:spacing w:after="0" w:line="1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189865</wp:posOffset>
            </wp:positionV>
            <wp:extent cx="28632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32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$50,000,000</w:t>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have entered into an At Market Issuance Sales Agreement (the “sales agreement”) with B. Riley Securities, Inc., as our sales agent (the “sales agent”), relating to the sale of shares of our common stock, par value $0.01 per share (“common stock”), offered by this prospectus supplement and the accompanying prospectus. In accordance with the terms of the sales agreement, we may offer and sell shares of our common stock from time to time through or to the sales agent, acting as our agent or principal, having an aggregate offering price of up to $50,000,000.</w:t>
      </w:r>
    </w:p>
    <w:p>
      <w:pPr>
        <w:spacing w:after="0" w:line="180" w:lineRule="exact"/>
        <w:rPr>
          <w:sz w:val="24"/>
          <w:szCs w:val="24"/>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Sales of shares of our common stock under this prospectus supplement and the accompanying prospectus, if any, may be made by any method deemed to be an “at the market offering” as defined in Rule 415(a)(4) promulgated under the Securities Act of 1933, as amended (the “Securities Act”). The sales agent is not required to sell any specific number or dollar amount of shares of our common stock. The sales agent has agreed to use its commercially reasonable efforts to sell on our behalf all of the shares of common stock requested to be sold by us, consistent with its normal trading and sales practices, on mutually agreed terms between the sales agent and us. There is no arrangement for funds to be received in any escrow, trust or similar arrangement.</w:t>
      </w:r>
    </w:p>
    <w:p>
      <w:pPr>
        <w:spacing w:after="0" w:line="187" w:lineRule="exact"/>
        <w:rPr>
          <w:sz w:val="24"/>
          <w:szCs w:val="24"/>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sales agent will be entitled to compensation under the terms of the sales agreement at a commission rate up to 3.0% of the gross sales price per share sold. In connection with the sale of common stock on our behalf, the sales agent will be deemed to be an “underwriter” within the meaning of the Securities Act, and the compensation of the sales agent will be deemed to be underwriting commissions or discounts. We have agreed to provide indemnification and contribution to the sales agent with respect to certain liabilities, including liabilities under the Securities Act. See “Plan of Distribution” for additional information regarding compensation to be paid to the sales agent.</w:t>
      </w:r>
    </w:p>
    <w:p>
      <w:pPr>
        <w:spacing w:after="0" w:line="183" w:lineRule="exact"/>
        <w:rPr>
          <w:sz w:val="24"/>
          <w:szCs w:val="24"/>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common stock is traded on New York Stock Exchange under the symbol “MX”. On June 16, 2026, the last reported sale price of our common stock was $5.50 per share.</w:t>
      </w:r>
    </w:p>
    <w:p>
      <w:pPr>
        <w:spacing w:after="0" w:line="148" w:lineRule="exact"/>
        <w:rPr>
          <w:sz w:val="24"/>
          <w:szCs w:val="24"/>
          <w:color w:val="auto"/>
        </w:rPr>
      </w:pPr>
    </w:p>
    <w:p>
      <w:pPr>
        <w:ind w:left="120" w:right="16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You should review carefully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S-5 of this prospectus supplement, the accompanying prospectus, and under similar headings in the other documents that are incorporated by reference into this prospectus supplement.</w:t>
      </w:r>
    </w:p>
    <w:p>
      <w:pPr>
        <w:spacing w:after="0" w:line="181" w:lineRule="exact"/>
        <w:rPr>
          <w:sz w:val="24"/>
          <w:szCs w:val="24"/>
          <w:color w:val="auto"/>
        </w:rPr>
      </w:pPr>
    </w:p>
    <w:p>
      <w:pPr>
        <w:jc w:val="both"/>
        <w:ind w:left="120" w:right="5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B. Riley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258445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17,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5"/>
            <w:vMerge w:val="restart"/>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7"/>
            <w:vMerge w:val="continue"/>
          </w:tcPr>
          <w:p>
            <w:pPr>
              <w:spacing w:after="0"/>
              <w:rPr>
                <w:sz w:val="14"/>
                <w:szCs w:val="14"/>
                <w:color w:val="auto"/>
              </w:rPr>
            </w:pPr>
          </w:p>
        </w:tc>
        <w:tc>
          <w:tcPr>
            <w:tcW w:w="7120" w:type="dxa"/>
            <w:vAlign w:val="bottom"/>
            <w:gridSpan w:val="5"/>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7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9640" w:type="dxa"/>
            <w:vAlign w:val="bottom"/>
            <w:gridSpan w:val="20"/>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18"/>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96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6"/>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852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6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560"/>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2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96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18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380" w:type="dxa"/>
            <w:vAlign w:val="bottom"/>
            <w:tcBorders>
              <w:top w:val="single" w:sz="8" w:color="0000EE"/>
            </w:tcBorders>
            <w:gridSpan w:val="2"/>
          </w:tcPr>
          <w:p>
            <w:pPr>
              <w:spacing w:after="0"/>
              <w:rPr>
                <w:sz w:val="17"/>
                <w:szCs w:val="17"/>
                <w:color w:val="auto"/>
              </w:rPr>
            </w:pPr>
          </w:p>
        </w:tc>
        <w:tc>
          <w:tcPr>
            <w:tcW w:w="770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842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852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20" w:type="dxa"/>
            <w:vAlign w:val="bottom"/>
            <w:gridSpan w:val="18"/>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800" w:type="dxa"/>
            <w:vAlign w:val="bottom"/>
            <w:gridSpan w:val="18"/>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Neither we nor the sales agent (or any of its affiliates) have authorized anyone to provide you with information different from that contained or incorporated by reference in this prospectus supplement, the accompanying prospectus or any free writing prospectus prepared by us or on our behalf. Neither we nor the sales agent (or any of its affiliates) take any responsibility for, or can provide any assurance as to the reliability of, any information other than the information contained or incorporated by reference in this prospectus supplement, the accompanying prospectus or any free writing prospectus prepared by us or on our behalf. We and the sales agent are offering to sell, and seeking offers to buy, shares of our common stock only in jurisdictions where offers and sales are permitted.</w:t>
      </w:r>
    </w:p>
    <w:p>
      <w:pPr>
        <w:spacing w:after="0" w:line="74" w:lineRule="exact"/>
        <w:rPr>
          <w:sz w:val="20"/>
          <w:szCs w:val="20"/>
          <w:color w:val="auto"/>
        </w:rPr>
      </w:pPr>
    </w:p>
    <w:p>
      <w:pPr>
        <w:ind w:left="120" w:right="180"/>
        <w:spacing w:after="0" w:line="259"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or incorporated by reference in this prospectus supplement,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to the “Company,” “Magnachip,” “we,” “us” and “our” refer to Magnachip Semiconductor Corporation and its consolidated subsidiaries.</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our common stock and certain other matters relating to us and our business. The second part, the accompanying prospectus, contains and incorporates by reference important business and financial information about us, a description of our common stock and certain other information about us and this offering. This prospectus supplement, the accompanying prospectus and any related free writing prospectus are part of a registration statement that we filed with the SEC using a “shelf” registration process.</w:t>
      </w:r>
    </w:p>
    <w:p>
      <w:pPr>
        <w:spacing w:after="0" w:line="183"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prospectus supplement may add, update or change information contained in the accompanying prospectus or in documents that we file or have filed with the SEC. You should read both this prospectus supplement and the accompanying prospectus, together with additional information described below under the headings “Where You Can Find More Information” and “Incorporation of Certain Documents by Reference” and any free writing prospectus that we have authorized for use in connection with this offering. To the extent the information contained in this prospectus supplement differs or varies from the information contained in the accompanying prospectus or documents incorporated by reference filed before the date of this prospectus supplement, the information in this prospectus supplement will supersede such information. Any statement modified or superseded by a statement made in a subsequently filed document that is incorporated or deemed to be incorporated by reference in this prospectus supplement will not be deemed, except as so modified or superseded, to constitute a part of this prospectus supplement. For further information, we refer you to our Registration Statement, including its exhibits, of which this prospectus supplement and the accompanying prospectus form a part. We are subject to the informational requirements of the Exchange Act, and therefore file reports and other information with the SEC. Statements contained in this prospectus supplement, the accompanying prospectus and any related free writing prospectus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Neither we nor the sales agent have authorized anyone to provide you with any information other than that contained or incorporated by reference in this prospectus supplement and the accompanying prospectus, along with the information contained in any free writing prospectuses we have authorized for use in connection with this offering. Neither we nor the sales agent take any responsibility for, and can provide no assurance as to the reliability of, any other information that others may give you. This prospectus supplement and the accompanying prospectus is an offer to sell only the securities offered hereby, but only under circumstances and in jurisdictions where it is lawful to do so.</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supplement, the accompanying prospectus and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supplement, the accompanying prospectus and any related free writing prospectus, or any sale of securities. Our business, financial condition, results of operations and prospects may have changed since those dates.</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any related free writing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We use various trademarks and trade names in our business, including without limitation our corporate name and logo. All other trademarks or trade names referred to in this prospectus are the property of their respective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23" w:lineRule="auto"/>
        <w:rPr>
          <w:sz w:val="20"/>
          <w:szCs w:val="20"/>
          <w:color w:val="auto"/>
        </w:rPr>
      </w:pPr>
      <w:r>
        <w:rPr>
          <w:rFonts w:ascii="Times New Roman" w:cs="Times New Roman" w:eastAsia="Times New Roman" w:hAnsi="Times New Roman"/>
          <w:sz w:val="17"/>
          <w:szCs w:val="17"/>
          <w:color w:val="auto"/>
        </w:rPr>
        <w:t xml:space="preserve">owners. Solely for convenience, the trademarks and trade names in this prospectus may be referred to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contains forward-looking statements within the meaning of Section 27A of the Securities Act and Section 21E of the Securities Exchange Act of 1934, as amended (the “Exchange Act”).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supplement, the accompanying prospectus and any related free writing prospectus that address activities, events or developments that we expect, believe or anticipate will or may occur in the future are forward-looking statements.</w:t>
      </w:r>
    </w:p>
    <w:p>
      <w:pPr>
        <w:spacing w:after="0" w:line="17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including, but not limited to, those described under “Risk Factors” in this prospectus supplement, the applicable prospectus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 Some of these risks and uncertainties may in the future be amplified by a global crises and/or any response to such a crisis and there may be additional risks that we consider immaterial or which are unknown. It is not possible to predict or identify all such risks. It is not possible to predict or identify all such risks.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Actual results or events could differ materially from the plans, intentions and expectations disclosed in the forward-looking statements we make. Management cautions all readers that the forward-looking statements contained in this prospectus supplement, the accompanying prospectus or any related free writing prospectus, are not guarantees of future performance, and we cannot assure any reader that those statements will be realized or the forward-looking events and circumstances will occur.</w:t>
      </w:r>
    </w:p>
    <w:p>
      <w:pPr>
        <w:spacing w:after="0" w:line="19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All forward-looking statements and reasons why results may differ included in this prospectus supplement or incorporated by reference herein are made as of the date hereof and we do not intend to update any forward-looking statements except as required by law or applicable regulations.</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or incorporated by reference in this prospectus supplement, the accompanying prospectus or any free writing prospectus prepared by us or on our behalf. It does not contain all of the information that you should consider before investing in shares of our common stock. You should carefully read this entire prospectus supplement, the accompanying prospectus and documents incorporated herein and therein, including the factors described or referred to in Part I, Item 1A “Risk Factors” in our Annual Report on Form 10-K for the year ended December 31, 2025 and in Part II, Item 1A “Risk Factors” in our most recent Quarterly Report on Form 10-Q before making an investment decision.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w:t>
      </w:r>
    </w:p>
    <w:p>
      <w:pPr>
        <w:spacing w:after="0" w:line="180" w:lineRule="exact"/>
        <w:rPr>
          <w:sz w:val="20"/>
          <w:szCs w:val="20"/>
          <w:color w:val="auto"/>
        </w:rPr>
      </w:pPr>
    </w:p>
    <w:p>
      <w:pPr>
        <w:ind w:left="300" w:right="120"/>
        <w:spacing w:after="0" w:line="281" w:lineRule="auto"/>
        <w:rPr>
          <w:sz w:val="20"/>
          <w:szCs w:val="20"/>
          <w:color w:val="auto"/>
        </w:rPr>
      </w:pPr>
      <w:r>
        <w:rPr>
          <w:rFonts w:ascii="Times New Roman" w:cs="Times New Roman" w:eastAsia="Times New Roman" w:hAnsi="Times New Roman"/>
          <w:sz w:val="17"/>
          <w:szCs w:val="17"/>
          <w:color w:val="auto"/>
        </w:rPr>
        <w:t>We develop and manufacture Power discrete, or Power Analog Solutions, products and develop Power integrated circuit, or IC, products. Power Analog Solutions products include metal oxide semiconductor field effect transistors and insulated-gate bipolar transistors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w:t>
      </w:r>
    </w:p>
    <w:p>
      <w:pPr>
        <w:spacing w:after="0" w:line="164" w:lineRule="exact"/>
        <w:rPr>
          <w:sz w:val="20"/>
          <w:szCs w:val="20"/>
          <w:color w:val="auto"/>
        </w:rPr>
      </w:pPr>
    </w:p>
    <w:p>
      <w:pPr>
        <w:ind w:left="300" w:right="380"/>
        <w:spacing w:after="0" w:line="266" w:lineRule="auto"/>
        <w:rPr>
          <w:sz w:val="20"/>
          <w:szCs w:val="20"/>
          <w:color w:val="auto"/>
        </w:rPr>
      </w:pPr>
      <w:r>
        <w:rPr>
          <w:rFonts w:ascii="Times New Roman" w:cs="Times New Roman" w:eastAsia="Times New Roman" w:hAnsi="Times New Roman"/>
          <w:sz w:val="18"/>
          <w:szCs w:val="18"/>
          <w:color w:val="auto"/>
        </w:rPr>
        <w:t>Our Power IC products provide Power IC solutions to major television suppliers and large panel display suppliers. These products include AC-DC/DC-DC converters, LED drivers, regulators, power management integrated circuits and level shifter for a range of devices, including televisions, wearable devices, notebooks, tablet PCs and other consumer electronics, as well as automotive applications.</w:t>
      </w:r>
    </w:p>
    <w:p>
      <w:pPr>
        <w:spacing w:after="0" w:line="176"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jc w:val="both"/>
        <w:ind w:left="300" w:right="60"/>
        <w:spacing w:after="0" w:line="266" w:lineRule="auto"/>
        <w:rPr>
          <w:sz w:val="20"/>
          <w:szCs w:val="20"/>
          <w:color w:val="auto"/>
        </w:rPr>
      </w:pPr>
      <w:r>
        <w:rPr>
          <w:rFonts w:ascii="Times New Roman" w:cs="Times New Roman" w:eastAsia="Times New Roman" w:hAnsi="Times New Roman"/>
          <w:sz w:val="18"/>
          <w:szCs w:val="18"/>
          <w:color w:val="auto"/>
        </w:rPr>
        <w:t>Our business was named “MagnaChip Semiconductor” when it was acquired from SK hynix Inc., formerly known as Hynix Semiconductor, Inc., in October 2004. On March 10, 2011, we completed our initial public offering. In connection with our initial public offering, we converted from a Delaware limited liability company to a Delaware corporation.</w:t>
      </w:r>
    </w:p>
    <w:p>
      <w:pPr>
        <w:spacing w:after="0" w:line="176"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15F, 76, Jikji-daero 436beon-gil, Heungdeok-gu, Cheongju-si, Chungcheongbuk-do, 28581, Republic of Korea, our email address is </w:t>
      </w:r>
      <w:r>
        <w:rPr>
          <w:rFonts w:ascii="Times New Roman" w:cs="Times New Roman" w:eastAsia="Times New Roman" w:hAnsi="Times New Roman"/>
          <w:sz w:val="18"/>
          <w:szCs w:val="18"/>
          <w:i w:val="1"/>
          <w:iCs w:val="1"/>
          <w:color w:val="auto"/>
        </w:rPr>
        <w:t>investors@magnachip.com</w:t>
      </w:r>
      <w:r>
        <w:rPr>
          <w:rFonts w:ascii="Times New Roman" w:cs="Times New Roman" w:eastAsia="Times New Roman" w:hAnsi="Times New Roman"/>
          <w:sz w:val="18"/>
          <w:szCs w:val="18"/>
          <w:color w:val="auto"/>
        </w:rPr>
        <w:t xml:space="preserve">, and our telephone number is +82 (2) 6903-3000. Our website address is </w:t>
      </w:r>
      <w:r>
        <w:rPr>
          <w:rFonts w:ascii="Times New Roman" w:cs="Times New Roman" w:eastAsia="Times New Roman" w:hAnsi="Times New Roman"/>
          <w:sz w:val="18"/>
          <w:szCs w:val="18"/>
          <w:i w:val="1"/>
          <w:iCs w:val="1"/>
          <w:color w:val="auto"/>
        </w:rPr>
        <w:t>www.magnachip.com</w:t>
      </w:r>
      <w:r>
        <w:rPr>
          <w:rFonts w:ascii="Times New Roman" w:cs="Times New Roman" w:eastAsia="Times New Roman" w:hAnsi="Times New Roman"/>
          <w:sz w:val="18"/>
          <w:szCs w:val="18"/>
          <w:color w:val="auto"/>
        </w:rPr>
        <w:t>. We do not incorporate the information on or accessible through our website into this prospectus supplement, and you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consider</w:t>
      </w:r>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860"/>
          </w:cols>
          <w:pgMar w:left="320" w:top="455"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744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1744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any information on, or that can be accessed through, our website a part of this prospectus supplement or incorporated by reference herein. For further information regarding us and our financial information, you should refer to our recent filings with the SEC. See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3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of the accompanying prospectus titled “Description of Capital Stock.”</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Magnachip Semiconductor Corporation</w:t>
            </w:r>
          </w:p>
        </w:tc>
      </w:tr>
      <w:tr>
        <w:trPr>
          <w:trHeight w:val="59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$50,000,000.</w:t>
            </w:r>
          </w:p>
        </w:tc>
      </w:tr>
      <w:tr>
        <w:trPr>
          <w:trHeight w:val="57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outstanding after the offering</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Up to 45,490,211 shares of common stock, assuming sales of 9,090,909 shares of common</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 based on the public offering price of $5.50 per share of common stock, which was</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last reported sale price of our common stock on the New York Stock Exchange on</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June 16, 2026. The actual number of shares issued will vary depending on how many</w:t>
            </w:r>
          </w:p>
        </w:tc>
      </w:tr>
      <w:tr>
        <w:trPr>
          <w:trHeight w:val="234"/>
        </w:trPr>
        <w:tc>
          <w:tcPr>
            <w:tcW w:w="3820" w:type="dxa"/>
            <w:vAlign w:val="bottom"/>
          </w:tcPr>
          <w:p>
            <w:pPr>
              <w:spacing w:after="0"/>
              <w:rPr>
                <w:sz w:val="20"/>
                <w:szCs w:val="20"/>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 of our common stock we choose to sell and the prices at which such sales occur.</w:t>
            </w:r>
          </w:p>
        </w:tc>
      </w:tr>
      <w:tr>
        <w:trPr>
          <w:trHeight w:val="562"/>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Manner of Offering</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 the market offering” that may be made from time to time through or to our sales agent.</w:t>
            </w:r>
          </w:p>
        </w:tc>
      </w:tr>
      <w:tr>
        <w:trPr>
          <w:trHeight w:val="234"/>
        </w:trPr>
        <w:tc>
          <w:tcPr>
            <w:tcW w:w="3820" w:type="dxa"/>
            <w:vAlign w:val="bottom"/>
          </w:tcPr>
          <w:p>
            <w:pPr>
              <w:spacing w:after="0"/>
              <w:rPr>
                <w:sz w:val="20"/>
                <w:szCs w:val="20"/>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See “Plan of Distribution”.</w:t>
            </w:r>
          </w:p>
        </w:tc>
      </w:tr>
      <w:tr>
        <w:trPr>
          <w:trHeight w:val="562"/>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after deducting commissions</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offering expenses payable by us, for general corporate purposes, which may include</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investments in strategic growth initiatives and technologies that support AI data centers</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robotics. We may also use net proceeds to fund potential acquisitions of, or</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investments in, complementary businesses, products, services and technologies. We have</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 entered into any agreements or commitments with respect to any material acquisitions</w:t>
            </w:r>
          </w:p>
        </w:tc>
      </w:tr>
      <w:tr>
        <w:trPr>
          <w:trHeight w:val="234"/>
        </w:trPr>
        <w:tc>
          <w:tcPr>
            <w:tcW w:w="3820" w:type="dxa"/>
            <w:vAlign w:val="bottom"/>
          </w:tcPr>
          <w:p>
            <w:pPr>
              <w:spacing w:after="0"/>
              <w:rPr>
                <w:sz w:val="20"/>
                <w:szCs w:val="20"/>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 investments at this time. See “Use of Proceeds”.</w:t>
            </w:r>
          </w:p>
        </w:tc>
      </w:tr>
      <w:tr>
        <w:trPr>
          <w:trHeight w:val="562"/>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contained in and incorporated by reference under the heading “Risk Factors” in this</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prospectus supplement and under similar headings in the other documents that are filed</w:t>
            </w:r>
          </w:p>
        </w:tc>
      </w:tr>
      <w:tr>
        <w:trPr>
          <w:trHeight w:val="216"/>
        </w:trPr>
        <w:tc>
          <w:tcPr>
            <w:tcW w:w="3820" w:type="dxa"/>
            <w:vAlign w:val="bottom"/>
          </w:tcPr>
          <w:p>
            <w:pPr>
              <w:spacing w:after="0"/>
              <w:rPr>
                <w:sz w:val="18"/>
                <w:szCs w:val="18"/>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after the date hereof and incorporated by reference into this prospectus supplement and the</w:t>
            </w:r>
          </w:p>
        </w:tc>
      </w:tr>
      <w:tr>
        <w:trPr>
          <w:trHeight w:val="234"/>
        </w:trPr>
        <w:tc>
          <w:tcPr>
            <w:tcW w:w="3820" w:type="dxa"/>
            <w:vAlign w:val="bottom"/>
          </w:tcPr>
          <w:p>
            <w:pPr>
              <w:spacing w:after="0"/>
              <w:rPr>
                <w:sz w:val="20"/>
                <w:szCs w:val="20"/>
                <w:color w:val="auto"/>
              </w:rPr>
            </w:pP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58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w:t>
            </w:r>
          </w:p>
        </w:tc>
      </w:tr>
      <w:tr>
        <w:trPr>
          <w:trHeight w:val="186"/>
        </w:trPr>
        <w:tc>
          <w:tcPr>
            <w:tcW w:w="38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tcPr>
          <w:p>
            <w:pPr>
              <w:spacing w:after="0"/>
              <w:rPr>
                <w:sz w:val="16"/>
                <w:szCs w:val="16"/>
                <w:color w:val="auto"/>
              </w:rPr>
            </w:pPr>
          </w:p>
        </w:tc>
      </w:tr>
      <w:tr>
        <w:trPr>
          <w:trHeight w:val="361"/>
        </w:trPr>
        <w:tc>
          <w:tcPr>
            <w:tcW w:w="3820" w:type="dxa"/>
            <w:vAlign w:val="bottom"/>
          </w:tcPr>
          <w:p>
            <w:pPr>
              <w:spacing w:after="0"/>
              <w:rPr>
                <w:sz w:val="24"/>
                <w:szCs w:val="24"/>
                <w:color w:val="auto"/>
              </w:rPr>
            </w:pPr>
          </w:p>
        </w:tc>
        <w:tc>
          <w:tcPr>
            <w:tcW w:w="72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658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1658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36,499,302 shares outstanding as of June 15, 2026, which excludes treasury shares and excludes as of that date:</w:t>
      </w:r>
    </w:p>
    <w:p>
      <w:pPr>
        <w:spacing w:after="0" w:line="67" w:lineRule="exact"/>
        <w:rPr>
          <w:sz w:val="20"/>
          <w:szCs w:val="20"/>
          <w:color w:val="auto"/>
        </w:rPr>
      </w:pPr>
    </w:p>
    <w:p>
      <w:pPr>
        <w:ind w:left="12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149,211 shares of common stock issuable upon the exercise of outstanding stock options at a weighted-average exercise price of $8.10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2,183,926 shares of common stock reserved for issuance upon vesting and settlement of restricted stock units; and</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4,457,622 shares of our common stock reserved for future issuance under the Company’s 2020 Equity and Incentive Compensation Plan (the “2020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you invest in shares of our common stock, you should carefully consider the risks and uncertainties described under “Risk Factors” in our most recent annual report on Form 10-K as supplemented or updated in our most recent quarterly report on Form 10-Q, any current report on Form 8-K, as well as the accompanying prospectus and any related free writing prospectus, together with all of the other information included or incorporated by reference in this prospectus supplement and in any accompanying prospectus or related free writing prospectus, as updated by our annual or quarterly reports for subsequent fiscal years or fiscal quarters that we file with the SEC and that are so incorporated. Each of the risks described in these documents could materially and adversely affect our business, financial condition, liquidity, results of operations and prospects, and could result in a partial or complete loss of your investment.</w:t>
      </w:r>
    </w:p>
    <w:p>
      <w:pPr>
        <w:spacing w:after="0" w:line="183" w:lineRule="exact"/>
        <w:rPr>
          <w:sz w:val="20"/>
          <w:szCs w:val="20"/>
          <w:color w:val="auto"/>
        </w:rPr>
      </w:pPr>
    </w:p>
    <w:p>
      <w:pPr>
        <w:ind w:left="120" w:right="620"/>
        <w:spacing w:after="0" w:line="284" w:lineRule="auto"/>
        <w:rPr>
          <w:sz w:val="20"/>
          <w:szCs w:val="20"/>
          <w:color w:val="auto"/>
        </w:rPr>
      </w:pPr>
      <w:r>
        <w:rPr>
          <w:rFonts w:ascii="Times New Roman" w:cs="Times New Roman" w:eastAsia="Times New Roman" w:hAnsi="Times New Roman"/>
          <w:sz w:val="18"/>
          <w:szCs w:val="18"/>
          <w:i w:val="1"/>
          <w:iCs w:val="1"/>
          <w:color w:val="auto"/>
        </w:rPr>
        <w:t>In connection with the forward-looking statements that appear in this prospectus supplement and the accompanying prospectus, you should also carefully review the cautionary statement referred to under “Forward-Looking Statements” in this prospectus supplement.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121"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We currently intend to use the net proceeds of this offering for general corporate purposes, which may include investments in strategic growth initiatives and technologies that support AI data centers and robotics, as further described in the section of this prospectus supplement titled “Use of Proceeds.” We will have broad discretion in the application of the net proceeds and investors will be relying on the judgment of our management regarding the application of the proceeds of this offering. Because of the number and variability of factors that will determine our use of the net proceeds from this offering, their ultimate use may vary substantially from their currently intended use. Our management might not apply the net proceeds from this offering in ways that ultimately increase the value of your investment. The failure by our management to apply these funds effectively could harm our business. Pending the use of the net proceeds from this offering, we may invest such net proceeds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may experience future dilution as a result of future equity offerings.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common stock.</w:t>
      </w:r>
    </w:p>
    <w:p>
      <w:pPr>
        <w:spacing w:after="0" w:line="121"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dividends, our common stock may be less valuable because stockholders must rely on sales of their common stock after price appreciation, which may never occur, to realize any gains on their investment.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of common stock we will issue under the sales agreement, at any one time or in total, is uncertain.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sales agent at any time throughout the term of the sales agreement. The per share price of the shares of common stock that are sold by the sales agent after delivering a placement notice will fluctuate based on the market price of our common stock during the sales period and limits we set with the sales agent. Because the price per share of each share of common stock sold will fluctuate based on the market price of our common stock during the sales period, it is not possible at this stage to predict the number of shares of common stock that will be ultimately issued or the gross proceeds to be raised in connection with those sales.</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our common stock in this offering and any future sales of our common stock may depress our stock price and our ability to raise funds in new stock offerings.</w:t>
      </w:r>
    </w:p>
    <w:p>
      <w:pPr>
        <w:spacing w:after="0" w:line="5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Sales of our common stock in this offering and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gross sales proceeds of up to $50 million from time to time pursuant to the sales agreement. The amount of proceeds from this offering will depend upon the number of shares of our common stock sold and the market price at which they are sold.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as a source of financing.</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if any, after deducting commissions and offering expenses payable by us, for general corporate purposes, which may include investments in strategic growth initiatives and technologies that support AI data centers and robotics. We may also use net proceeds to fund potential acquisitions of, or investments in, complementary businesses, products, services and technologies. We have not entered into any agreements or commitments with respect to any material acquisitions or investments at this time.</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supplement, the accompanying prospectus, and in the documents incorporated by reference herein, as well as the amount of cash used in our operations. We may find it necessary or advisable to use the net proceeds for other purposes, and we will have broad discretion in the application of the net proceeds.</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Further, our ability to declare dividends may be limited by our holding company structure and the terms of financing or other agreements entered into by us or our subsidiaries from time to time. Investors should not purchase our common stock with the expectation of receiving cash dividends.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40"/>
          </w:cols>
          <w:pgMar w:left="320" w:top="455"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the sales agreement with the sales agent, under which we may offer and sell our shares of common stock from time to time through or to the sales agent acting as agent or principal. Pursuant to this prospectus supplement, we may offer and sell up to $50,000,000 of our shares of common stock. Sales of our shares of common stock, if any, under this prospectus supplement and the accompanying prospectus will be made by any method that is deemed to be an “at the market offering” as defined in Rule 415(a)(4) under the Securities Act.</w:t>
      </w:r>
    </w:p>
    <w:p>
      <w:pPr>
        <w:spacing w:after="0" w:line="18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Each time we wish to issue and sell shares of common stock under the sales agreement, we will notify the sales agent of the number or dollar value of shares to be issued, the dates on which such sales are anticipated to be made, any limitation on the number of shares to be sold in any one day and any minimum price below which sales may not be made. Once we have so instructed the sales agent, unless the sales agent declines to accept the terms of such notice, the sales agent has agreed to use its commercially reasonable efforts consistent with its normal trading and sales practices to sell such shares up to the amount specified on such terms. The obligations of the sales agent under the sales agreement to sell our shares of common stock are subject to a number of conditions that we must meet.</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the sales agent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the sales agent may agree upon. There is no arrangement for funds to be received in an escrow, trust, or similar arrangement.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will pay the sales agent a commission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the sales agent for the fees and disbursements of its counsel in connection with (a) entering into the transactions contemplated by the sales agreement in an amount not to exceed $100,000 in the aggregate, payable upon the execution of the sales agreement and (b) ongoing diligence arising from the transactions contemplated by the sales agreement in an amount not to exceed $7,500 in the aggregate per calendar quarter. We estimate that the total expenses for the offering, excluding any commissions or expense reimbursement payable to the sales agent under the terms of the sales agreement, will be approximately $700,000. The remaining sale proceeds, after deducting any other transaction fees, will equal our net proceeds from the sale of such shares.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sales agent will provide confirmation to us before the open on the New York Stock Exchange on the day following each day on which shares of common stock are sold under the sales agreement.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shares of common stock on our behalf, the sales agent will be deemed to be an “underwriter” within the meaning of the Securities Act, and the compensation of the sales agent will be deemed to be underwriting commissions or discounts. We have agreed to indemnify the sales agent against certain civil liabilities, including liabilities under the Securities Act. We have also agreed to contribute to payments the sales agent may be required to make in respect of such liabilities.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offering of our shares of common stock pursuant to the sales agreement will terminate upon the earlier of (i) the sale of all shares of common stock subject to the sales agreement; or (ii) the termination of the sales agreement as permitted therein. We and the sales agent may each terminate the sales agreement at any time upon five (5) days’ prior notice.</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will be filed as an exhibit to a current report on Form 8-K filed under the Exchange Act, and will be incorporated by reference in this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sales agent and its affiliates may in the future provide various investment banking, commercial banking, financial advisory and other financial services for us and our affiliates, for which services they may in the future receive customary fees. In the course of its business, the sales agent may actively trade our securities for its own account or for the accounts of customers, and, accordingly, the sales agent may at any time hold long or short positions in such securities.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the sales agent, and the sales agent may distribute the prospectus supplement and the accompanying prospectus electronically.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Goodwin Procter LLP, Redwood City, California. Certain legal matters in connection with this offering will be passed upon for the sales agent by Duane Morris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EY Han Young (formerly, Ernst &amp; Young Han Young), independent registered public accounting firm, has audited our consolidated financial statements included in our Annual Report on Form 10-K for the year ended December 31, 2025 as set forth in their report, which is incorporated by reference in this prospectus supplement and elsewhere in the registration statement. Our financial statements are incorporated by reference in reliance on Ernst &amp; Young Han Young’s report, given on their authority as experts in accounting and auditing.</w:t>
      </w:r>
    </w:p>
    <w:p>
      <w:pPr>
        <w:spacing w:after="0" w:line="18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Samil PricewaterhouseCoopers, independent registered public accounting firm, has audited our consolidated financial statements included in our Annual Report on Form 10-K for the year ended December 31, 2024 as set forth in their report, which is incorporated by reference in this prospectus supplement and elsewhere in the registration statement. Our financial statements are incorporated by reference in reliance on Samil PricewaterhouseCoopers’ report,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prospectus supplement is part of a shelf registration statement that we have filed with the SEC. This prospectus supplement does not contain all of the information set forth in the registration statement and its exhibits and schedules in accordance with SEC rules and regulations. For further information with respect to us and the securities being offered by this prospectus supplement, you should read the registration statement, including its exhibits and schedules. Statements contained in this prospectus supplement and the accompanying prospectus,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9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www.investors.magnachip.com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supplement, and you should not consider it part of this prospectus supplement.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supplement. This means that we can disclose important information to you by referring you to another document filed separately with the SEC. The information incorporated by reference is considered to be part of this prospectus supplement, except for information superseded by information contained in this prospectus supplement or in any subsequently filed incorporated document. This prospectus supplement incorporates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3"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16,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3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8, 2026;</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fiscal year ended December 31, 2025 from our definitive proxy statement on </w:t>
      </w:r>
      <w:hyperlink r:id="rId33">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30, 2026;</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34">
        <w:r>
          <w:rPr>
            <w:rFonts w:ascii="Times New Roman" w:cs="Times New Roman" w:eastAsia="Times New Roman" w:hAnsi="Times New Roman"/>
            <w:sz w:val="18"/>
            <w:szCs w:val="18"/>
            <w:u w:val="single" w:color="auto"/>
            <w:color w:val="0000EE"/>
          </w:rPr>
          <w:t>January 14, 2026</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January 20,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6">
        <w:r>
          <w:rPr>
            <w:rFonts w:ascii="Times New Roman" w:cs="Times New Roman" w:eastAsia="Times New Roman" w:hAnsi="Times New Roman"/>
            <w:sz w:val="18"/>
            <w:szCs w:val="18"/>
            <w:u w:val="single" w:color="auto"/>
            <w:color w:val="0000EE"/>
          </w:rPr>
          <w:t>June 17,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registered under Section 12 of the Exchange Act, contained in </w:t>
      </w:r>
      <w:hyperlink r:id="rId3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16, 2026,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w:t>
      </w:r>
    </w:p>
    <w:p>
      <w:pPr>
        <w:spacing w:after="0" w:line="176" w:lineRule="exact"/>
        <w:rPr>
          <w:rFonts w:ascii="Times New Roman" w:cs="Times New Roman" w:eastAsia="Times New Roman" w:hAnsi="Times New Roman"/>
          <w:sz w:val="18"/>
          <w:szCs w:val="18"/>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Nothing in this prospectus shall be deemed to incorporate information furnished but not filed with the SEC pursuant to Item 2.02 or Item 7.01 of Form 8-K.</w:t>
      </w:r>
    </w:p>
    <w:p>
      <w:pPr>
        <w:spacing w:after="0" w:line="189" w:lineRule="exact"/>
        <w:rPr>
          <w:rFonts w:ascii="Times New Roman" w:cs="Times New Roman" w:eastAsia="Times New Roman" w:hAnsi="Times New Roman"/>
          <w:sz w:val="18"/>
          <w:szCs w:val="18"/>
          <w:color w:val="auto"/>
        </w:rPr>
      </w:pPr>
    </w:p>
    <w:p>
      <w:pPr>
        <w:ind w:left="120" w:right="460"/>
        <w:spacing w:after="0" w:line="256" w:lineRule="auto"/>
        <w:rPr>
          <w:sz w:val="20"/>
          <w:szCs w:val="20"/>
          <w:color w:val="auto"/>
        </w:rPr>
      </w:pPr>
      <w:r>
        <w:rPr>
          <w:rFonts w:ascii="Times New Roman" w:cs="Times New Roman" w:eastAsia="Times New Roman" w:hAnsi="Times New Roman"/>
          <w:sz w:val="18"/>
          <w:szCs w:val="18"/>
          <w:color w:val="auto"/>
        </w:rPr>
        <w:t xml:space="preserve">Upon request, we will provide, without charge, to each person, including any beneficial owner, to whom a copy of this prospectus or an applicable prospectus supplement is delivered, a copy of the documents incorporated by reference into this prospectus or such prospectus supplement but not delivered with this prospectus or such prospectus supplement. You may request a copy of these filings, and any exhibits we have specifically incorporated by reference as an exhibit in this prospectus or such prospectus supplement, at no cost by writing us at the following address: c/o Magnachip Semiconductor, Ltd., 15F, 76 Jikji-daero 436beon-gil, Heungdeok-gu, Cheongju-si, Chungcheongbuk-do, 28581, Republic of Korea; Attention: Investor Relations; email address: </w:t>
      </w:r>
      <w:r>
        <w:rPr>
          <w:rFonts w:ascii="Times New Roman" w:cs="Times New Roman" w:eastAsia="Times New Roman" w:hAnsi="Times New Roman"/>
          <w:sz w:val="18"/>
          <w:szCs w:val="18"/>
          <w:i w:val="1"/>
          <w:iCs w:val="1"/>
          <w:color w:val="auto"/>
        </w:rPr>
        <w:t>investors@magnachip.com</w:t>
      </w:r>
      <w:r>
        <w:rPr>
          <w:rFonts w:ascii="Times New Roman" w:cs="Times New Roman" w:eastAsia="Times New Roman" w:hAnsi="Times New Roman"/>
          <w:sz w:val="18"/>
          <w:szCs w:val="18"/>
          <w:color w:val="auto"/>
        </w:rPr>
        <w:t xml:space="preserve"> or by telephone at: +82 (2) 6903-3000.</w:t>
      </w: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333-296756</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189865</wp:posOffset>
            </wp:positionV>
            <wp:extent cx="2863215" cy="548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28632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$50,000,000</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up to $50,000,000 in the aggregate of the securities identified above in one or more offerings and at prices and on terms that we will determine at the time of the offering.</w:t>
      </w:r>
    </w:p>
    <w:p>
      <w:pPr>
        <w:spacing w:after="0" w:line="16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This prospectus describes the general manner in which these securities may be offered using this prospectus. Each time we offer securities using this prospectus, we will specify in one or more accompanying prospectus supplements the terms of the securities offered and other details regarding the offering thereof. We may also authorize one or more free writing prospectuses to be provided to you in connection with these offerings. The prospectus supplement and any related free writing prospectus may also add, update or change information contained in this prospectus with respect to that offering. You should carefully read this prospectus and the applicable prospectus supplement and any related free writing prospectus, as well as any documents incorporated by reference, before you invest in any of our securities.</w:t>
      </w:r>
    </w:p>
    <w:p>
      <w:pPr>
        <w:spacing w:after="0" w:line="18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8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 On June 16, 2026, the closing price for our common stock, as reported on the New York Stock Exchange, was $5.50 per share.</w:t>
      </w:r>
    </w:p>
    <w:p>
      <w:pPr>
        <w:spacing w:after="0" w:line="148" w:lineRule="exact"/>
        <w:rPr>
          <w:sz w:val="20"/>
          <w:szCs w:val="20"/>
          <w:color w:val="auto"/>
        </w:rPr>
      </w:pPr>
    </w:p>
    <w:p>
      <w:pPr>
        <w:ind w:left="120" w:right="10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8 of this prospectus (and any applicable prospectus supplement or free writing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u w:val="single" w:color="auto"/>
          <w:color w:val="0000EE"/>
        </w:rPr>
        <w:t>Special Note Regarding Forward-Looking Statements</w:t>
      </w:r>
      <w:r>
        <w:rPr>
          <w:rFonts w:ascii="Times New Roman" w:cs="Times New Roman" w:eastAsia="Times New Roman" w:hAnsi="Times New Roman"/>
          <w:sz w:val="22"/>
          <w:szCs w:val="22"/>
          <w:b w:val="1"/>
          <w:bCs w:val="1"/>
          <w:color w:val="auto"/>
        </w:rPr>
        <w:t>” on page 5 of this prospectus. You should read the entire prospectus carefully before you make your investment decision.</w:t>
      </w:r>
    </w:p>
    <w:p>
      <w:pPr>
        <w:spacing w:after="0" w:line="18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as defined under federal securities laws and, as such, may elect to comply with certain reduced public company reporting requirements for future filings.</w:t>
      </w:r>
    </w:p>
    <w:p>
      <w:pPr>
        <w:spacing w:after="0" w:line="15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is June 16, 2026.</w:t>
      </w:r>
    </w:p>
    <w:p>
      <w:pPr>
        <w:sectPr>
          <w:pgSz w:w="11900" w:h="16838" w:orient="portrait"/>
          <w:cols w:equalWidth="0" w:num="1">
            <w:col w:w="11140"/>
          </w:cols>
          <w:pgMar w:left="320" w:top="455"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526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5400" w:type="dxa"/>
            <w:vAlign w:val="bottom"/>
            <w:gridSpan w:val="17"/>
            <w:vMerge w:val="continue"/>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0" w:type="dxa"/>
            <w:vAlign w:val="bottom"/>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320" w:type="dxa"/>
            <w:vAlign w:val="bottom"/>
            <w:gridSpan w:val="9"/>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800" w:type="dxa"/>
            <w:vAlign w:val="bottom"/>
            <w:gridSpan w:val="12"/>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3820" w:type="dxa"/>
            <w:vAlign w:val="bottom"/>
            <w:gridSpan w:val="13"/>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020" w:type="dxa"/>
            <w:vAlign w:val="bottom"/>
            <w:gridSpan w:val="4"/>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380" w:type="dxa"/>
            <w:vAlign w:val="bottom"/>
            <w:tcBorders>
              <w:top w:val="single" w:sz="8" w:color="0000EE"/>
            </w:tcBorders>
          </w:tcPr>
          <w:p>
            <w:pPr>
              <w:spacing w:after="0"/>
              <w:rPr>
                <w:sz w:val="17"/>
                <w:szCs w:val="17"/>
                <w:color w:val="auto"/>
              </w:rPr>
            </w:pPr>
          </w:p>
        </w:tc>
        <w:tc>
          <w:tcPr>
            <w:tcW w:w="2540" w:type="dxa"/>
            <w:vAlign w:val="bottom"/>
            <w:gridSpan w:val="5"/>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3260" w:type="dxa"/>
            <w:vAlign w:val="bottom"/>
            <w:gridSpan w:val="8"/>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3380" w:type="dxa"/>
            <w:vAlign w:val="bottom"/>
            <w:gridSpan w:val="11"/>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3360" w:type="dxa"/>
            <w:vAlign w:val="bottom"/>
            <w:gridSpan w:val="10"/>
          </w:tcPr>
          <w:p>
            <w:pPr>
              <w:spacing w:after="0"/>
              <w:rPr>
                <w:sz w:val="17"/>
                <w:szCs w:val="17"/>
                <w:color w:val="auto"/>
              </w:rPr>
            </w:pP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55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6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have filed with the Securities and Exchange Commission, or the SEC, under the Securities Act of 1933, as amended, or the Securities Act.</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shelf registration process, we may from time to time sell the securities described in this prospectus in one or more offerings with an aggregate offering price of up to $50,000,000 as described in this prospectus. This prospectus describes the general manner in which we may offer the securities described in this prospectus. Each time we sell securities pursuant to the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any applicable free writing prospectuses), contains important information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know before investing in our securities, including important information about us and the securities being offered. You should carefully read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documents, as well as the additional information contained in the documents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both this prospectus and the applicable prospectus supplement (and any applicable free writing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prospectuses), and in particular the annual, quarterly and current reports and other documents we file with the SEC. Neither this prospectus nor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accompanying prospectus supplement or free writing prospectus is an offer to sell these securities or is soliciting an offer to buy these securities in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jurisdiction where the offer or sale is not permitted.</w:t>
      </w:r>
    </w:p>
    <w:p>
      <w:pPr>
        <w:spacing w:after="0" w:line="20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applicable prospectus supplement to this prospectus or free writing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8" w:lineRule="exact"/>
        <w:rPr>
          <w:sz w:val="20"/>
          <w:szCs w:val="20"/>
          <w:color w:val="auto"/>
        </w:rPr>
      </w:pPr>
    </w:p>
    <w:p>
      <w:pPr>
        <w:ind w:left="120"/>
        <w:spacing w:after="0" w:line="241" w:lineRule="auto"/>
        <w:rPr>
          <w:sz w:val="20"/>
          <w:szCs w:val="20"/>
          <w:color w:val="auto"/>
        </w:rPr>
      </w:pPr>
      <w:r>
        <w:rPr>
          <w:rFonts w:ascii="Times New Roman" w:cs="Times New Roman" w:eastAsia="Times New Roman" w:hAnsi="Times New Roman"/>
          <w:sz w:val="18"/>
          <w:szCs w:val="18"/>
          <w:color w:val="auto"/>
        </w:rPr>
        <w:t xml:space="preserve">This prospectus, any applicable prospectus supplement, any applicable free writing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This prospectus, any applicable prospectus supplement, any applicable free writing prospectus and the information incorporated herein or therein by reference include trademarks, service marks and trade names owned by us or other companies. Solely for convenience, we may refer to our trademarks included or incorporated by reference in this prospectus, any applicable prospectus supplement or any free writing prospectus without the TM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any such references are not intended to indicate that we will not assert, to the fullest extent permitted under applicable law, our rights to our trademarks or other intellectual property. All trademarks, service marks and trade names included or incorporated by reference in this prospectus, any applicable prospectus supplement or any related free writing prospectus are the property of their respective owners.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“Company,” “Magnachip,” “we,” “us” and “our” refer to Magnachip Semiconductor Corporation and its consolidated subsidiaries unless otherwise specified or the context otherwise requires.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320" w:top="455" w:right="10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and any accompanying prospectus supplement or free writing prospectus that address activities, events or developments that we expect, believe or anticipate will or may occur in the future are forward-looking statements.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Actual results or events could differ materially from the plans, intentions and expectations disclosed in the forward-looking statements we make. Management cautions all readers that the forward-looking statements contained in this prospectus, or any accompanying prospectus supplement, are not guarantees of future performance, and we cannot assure any reader that those statements will be realized or the forward-looking events and circumstances will occur. Our future financial condition and results of operations, as well as any forward-looking statements, are subject to inherent risks and uncertainties, including, but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any applicable prospectus supplement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w:t>
      </w:r>
    </w:p>
    <w:p>
      <w:pPr>
        <w:spacing w:after="0" w:line="19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All forward-looking statements and reasons why results may differ included in this prospectus or incorporated by reference herein are made as of the date hereof and we do not intend to update any forward-looking statements except as required by law or applicable regulations.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us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w:t>
      </w:r>
    </w:p>
    <w:p>
      <w:pPr>
        <w:spacing w:after="0" w:line="180" w:lineRule="exact"/>
        <w:rPr>
          <w:sz w:val="20"/>
          <w:szCs w:val="20"/>
          <w:color w:val="auto"/>
        </w:rPr>
      </w:pPr>
    </w:p>
    <w:p>
      <w:pPr>
        <w:ind w:left="300" w:right="180"/>
        <w:spacing w:after="0" w:line="281" w:lineRule="auto"/>
        <w:rPr>
          <w:sz w:val="20"/>
          <w:szCs w:val="20"/>
          <w:color w:val="auto"/>
        </w:rPr>
      </w:pPr>
      <w:r>
        <w:rPr>
          <w:rFonts w:ascii="Times New Roman" w:cs="Times New Roman" w:eastAsia="Times New Roman" w:hAnsi="Times New Roman"/>
          <w:sz w:val="17"/>
          <w:szCs w:val="17"/>
          <w:color w:val="auto"/>
        </w:rPr>
        <w:t>We develop and manufacture Power discrete, or Power Analog Solutions, products and develop Power integrated circuit, or IC, products. Power Analog Solutions products include metal oxide semiconductor field effect transistors and insulated-gate bipolar transistors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w:t>
      </w:r>
    </w:p>
    <w:p>
      <w:pPr>
        <w:spacing w:after="0" w:line="164" w:lineRule="exact"/>
        <w:rPr>
          <w:sz w:val="20"/>
          <w:szCs w:val="20"/>
          <w:color w:val="auto"/>
        </w:rPr>
      </w:pPr>
    </w:p>
    <w:p>
      <w:pPr>
        <w:ind w:left="300" w:right="440"/>
        <w:spacing w:after="0" w:line="266" w:lineRule="auto"/>
        <w:rPr>
          <w:sz w:val="20"/>
          <w:szCs w:val="20"/>
          <w:color w:val="auto"/>
        </w:rPr>
      </w:pPr>
      <w:r>
        <w:rPr>
          <w:rFonts w:ascii="Times New Roman" w:cs="Times New Roman" w:eastAsia="Times New Roman" w:hAnsi="Times New Roman"/>
          <w:sz w:val="18"/>
          <w:szCs w:val="18"/>
          <w:color w:val="auto"/>
        </w:rPr>
        <w:t>Our Power IC products provide Power IC solutions to major television suppliers and large panel display suppliers. These products include AC-DC/DC-DC converters, LED drivers, regulators, power management integrated circuits and level shifter for a range of devices, including televisions, wearable devices, notebooks, tablet PCs and other consumer electronics, as well as automotive applications.</w:t>
      </w:r>
    </w:p>
    <w:p>
      <w:pPr>
        <w:spacing w:after="0" w:line="176"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jc w:val="both"/>
        <w:ind w:left="300" w:right="120"/>
        <w:spacing w:after="0" w:line="266" w:lineRule="auto"/>
        <w:rPr>
          <w:sz w:val="20"/>
          <w:szCs w:val="20"/>
          <w:color w:val="auto"/>
        </w:rPr>
      </w:pPr>
      <w:r>
        <w:rPr>
          <w:rFonts w:ascii="Times New Roman" w:cs="Times New Roman" w:eastAsia="Times New Roman" w:hAnsi="Times New Roman"/>
          <w:sz w:val="18"/>
          <w:szCs w:val="18"/>
          <w:color w:val="auto"/>
        </w:rPr>
        <w:t>Our business was named “MagnaChip Semiconductor” when it was acquired from SK hynix Inc., formerly known as Hynix Semiconductor, Inc., in October 2004. On March 10, 2011, we completed our initial public offering. In connection with our initial public offering, we converted from a Delaware limited liability company to a Delaware corporation.</w:t>
      </w:r>
    </w:p>
    <w:p>
      <w:pPr>
        <w:spacing w:after="0" w:line="176"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15F, 76, Jikji-daero 436beon-gil, Heungdeok-gu, Cheongju-si, Chungcheongbuk-do, 28581, Republic of Korea, our email address is </w:t>
      </w:r>
      <w:r>
        <w:rPr>
          <w:rFonts w:ascii="Times New Roman" w:cs="Times New Roman" w:eastAsia="Times New Roman" w:hAnsi="Times New Roman"/>
          <w:sz w:val="18"/>
          <w:szCs w:val="18"/>
          <w:i w:val="1"/>
          <w:iCs w:val="1"/>
          <w:color w:val="auto"/>
        </w:rPr>
        <w:t>investors@magnachip.com</w:t>
      </w:r>
      <w:r>
        <w:rPr>
          <w:rFonts w:ascii="Times New Roman" w:cs="Times New Roman" w:eastAsia="Times New Roman" w:hAnsi="Times New Roman"/>
          <w:sz w:val="18"/>
          <w:szCs w:val="18"/>
          <w:color w:val="auto"/>
        </w:rPr>
        <w:t xml:space="preserve">, and our telephone number is +82 (2) 6903-3000. Our website address is </w:t>
      </w:r>
      <w:r>
        <w:rPr>
          <w:rFonts w:ascii="Times New Roman" w:cs="Times New Roman" w:eastAsia="Times New Roman" w:hAnsi="Times New Roman"/>
          <w:sz w:val="18"/>
          <w:szCs w:val="18"/>
          <w:i w:val="1"/>
          <w:iCs w:val="1"/>
          <w:color w:val="auto"/>
        </w:rPr>
        <w:t>www.magnachip.com</w:t>
      </w:r>
      <w:r>
        <w:rPr>
          <w:rFonts w:ascii="Times New Roman" w:cs="Times New Roman" w:eastAsia="Times New Roman" w:hAnsi="Times New Roman"/>
          <w:sz w:val="18"/>
          <w:szCs w:val="18"/>
          <w:color w:val="auto"/>
        </w:rPr>
        <w:t>. We do not incorporate the information on or accessible through our website into this prospectus, and you should not consider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information on, or that can be accessed through, our website a part of this prospectus or incorporated by reference herein. For further information regarding us and our financial information, you should refer to our recent filings with the SEC. See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950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998970" cy="1950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York Stock Exchange Listing</w:t>
      </w:r>
    </w:p>
    <w:p>
      <w:pPr>
        <w:spacing w:after="0" w:line="121"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 The applicable prospectus supplement will contain information, where applicable, as to other listings, if any, on the New York Stock Exchange or any other securities market or other exchange of the securities covered by the applicable prospectus supplement.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as supplemented or updated in our most recent quarterly report on Form 10-Q, any current report on Form 8-K, as well as any accompanying prospectus supplement or related free writing prospectus, together with all of the other information included or incorporated by reference in this prospectus and in any accompanying prospectus supplement or related free writing prospectus, as updated by our annual or quarterly reports for subsequent fiscal years or fiscal quarters that we file with the SEC and that are so incorporated.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for information about how to obtain a copy of these documents.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also carefully consider the risks and other information that may be contained in, or incorporated by reference into, any prospectus supplement or free writing prospectus relating to specific offerings of securities.</w:t>
      </w:r>
    </w:p>
    <w:p>
      <w:pPr>
        <w:spacing w:after="0" w:line="19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or in any free writing prospectus we have authorized for use in connection with a specific offering, we intend to use the net proceeds from the sale of any securities described in this prospectus for general corporate purposes, which may include working capital and capital expenditures, research and development expenses, general and administrative expenses and other general corporate purposes. We may also use net proceeds to fund potential acquisitions of, or investments in, complementary businesses, products, services and technologies. We have not entered into any agreements or commitments with respect to any material acquisitions or investments at this time.</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or preferred stock, warrants or other rights to purchase common stock or preferred stock, or units consisting of combinations of the foregoing, either individually or in combination with other securities, in each case from time to time under this prospectus, together with the applicable prospectus supplement or any related free writing prospectus, at prices and on terms to be determined by market conditions at the time of offering. This prospectus provides you with a general description of the securities we may offer. At the time we offer a type or series of securities, we will provide a prospectus supplement describing the specific amounts, prices and other important terms of the securities, including, to the extent applicable:</w:t>
      </w:r>
    </w:p>
    <w:p>
      <w:pPr>
        <w:spacing w:after="0" w:line="93"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 prospectus supplement. The prospectus supplement may add, update or change any of the information contained in this prospectus or in the documents incorporated by reference in this prospectus. We urge you to read the prospectus supplement related to any securities being offered.</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underwriters, dealers or agents. We and our underwriters, dealers or agents reserve the right to accept or reject all or part of any proposed purchase of securities. If we do offer securities to or through underwriters or agents, we will include in the applicable prospectus supplement (a) the names of the underwriters or agents and applicable fees, discounts and commissions to be paid to them, (b) details regarding over-allotment options, if any, and (c) net proceeds to us, if any.</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certificate of incorporation, as amended, or our Certificate of Incorporation, our amended and restated bylaws, or our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common stock and preferred stock that we may offer under this prospectus. The following description of our common stock and preferred stock does not purport to be complete and is subject to, and qualified in its entirety by, our Certificate of Incorporation and our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the Company may issue 155,000,000 shares of capital stock, of which 150,000,000 shares are designated as common stock, par value $0.01 per share, and 5,000,000 shares are designated as of preferred stock, par value $0.01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are entitled to share ratably in all of our assets remaining after we pay our liabilities and any liquidation preferences granted to the holders of outstanding shares of preferred stock.</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our common stock have no preemptive or other subscription or conversion rights.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redemption or sinking fund provisions applicable to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 On June 16, 2026, the closing price for our common stock, as reported on the New York Stock Exchange, was $5.50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5,000,000 shares of blank check preferred stock with such designation, rights and preferences as may be determined from time to time by our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w:t>
      </w:r>
    </w:p>
    <w:p>
      <w:pPr>
        <w:spacing w:after="0" w:line="17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w:t>
      </w:r>
    </w:p>
    <w:p>
      <w:pPr>
        <w:spacing w:after="0" w:line="183"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 prospectus supplement relating to any series of preferred stock being offered will include specific terms relating to the offering. They will include, where applicable:</w:t>
      </w:r>
    </w:p>
    <w:p>
      <w:pPr>
        <w:spacing w:after="0" w:line="6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the DGCL, regulating corporate takeovers and which has an anti-takeover effect with respect to transactions not approved in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our board of directors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our board of directors and authorized at a meeting of stockholders, and not by written consent, by at least two-thirds of the outstanding voting stock that is not owned by the interested stockholder.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general, DGCL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21"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67" w:lineRule="exact"/>
        <w:rPr>
          <w:sz w:val="20"/>
          <w:szCs w:val="20"/>
          <w:color w:val="auto"/>
        </w:rPr>
      </w:pPr>
    </w:p>
    <w:p>
      <w:pPr>
        <w:ind w:left="1080" w:right="4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stockholder approval, preferred stock with such terms as our board of directors may determine;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 by written consent of our stockholders;</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advance notice requirements for stockholder proposals and director nominations.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in one or more series. We may issue warrants independently or together with common stock or preferred stock, and the warrants may be attached to or separate from these securities.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stated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or Rights, to purchase our common stock, preferred stock, warrants, or units consisting of some or all of these securities. These Rights may be offered independently or together with any other securities offered hereby and may or may not be transferable by the stockholder receiving the Rights in such offering. In connection with any offering of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Rights;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warrants or units consisting of some or all of these securities, upon the exercise of the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warrants or units consisting of some or all of these securities, which may be purchased per each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Rights.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3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the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will apply to the securities included in each unit, to the extent relevant and as may be updated in any prospectus supplements. We may issue units in such amounts and in as many distinct series as we wish. Most of the financial and other specific terms of a particular series will be described in the applicable prospectus supplement.</w:t>
      </w:r>
    </w:p>
    <w:p>
      <w:pPr>
        <w:spacing w:after="0" w:line="18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 allot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connection 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16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New York Stock Exchange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and the underwriters or agents.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for us by Goodwin Procter LLP, Redwood City, California. Any underwriters, dealers and agents will also be advised about the validity of the securities and other legal matters by their own counsel, which will be named in the prospectus supplement.</w:t>
      </w:r>
    </w:p>
    <w:p>
      <w:pPr>
        <w:spacing w:after="0" w:line="10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00"/>
          </w:cols>
          <w:pgMar w:left="320" w:top="455" w:right="8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EY Han Young (formerly, Ernst &amp; Young Han Young),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EY Han Young’s reports, given on their authority as experts in accounting and auditing.</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2024 and for the year ended December 31, 2024 incorporated in this Prospectus by reference to the Annual Report on Form 10-K for the year ended December 31, 2025 have been so incorporated in reliance on the report of Samil PricewaterhouseCoopers, an independent registered public accounting firm, given on the authority of said firm as experts in auditing and accounting.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have filed with the SEC. This prospectus and any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92"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www.investors.magnachip.com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the applicable prospectus supplement. This means that we can disclose important information to you by referring you to another document filed separately with the SEC. The information incorporated by reference is considered to be part of this prospectus and the applicable prospectus supplement, except for information superseded by information contained in this prospectus or the applicable prospectus supplement itself or in any subsequently filed incorporated document. This prospectus and the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year ended December 31, 2025, filed with the SEC on March 16, 2026;</w:t>
      </w:r>
    </w:p>
    <w:p>
      <w:pPr>
        <w:spacing w:after="0" w:line="130"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 ended March 31, 2026, filed with the SEC on May 8, 2026;</w:t>
      </w:r>
    </w:p>
    <w:p>
      <w:pPr>
        <w:spacing w:after="0" w:line="130" w:lineRule="exact"/>
        <w:rPr>
          <w:rFonts w:ascii="Times New Roman" w:cs="Times New Roman" w:eastAsia="Times New Roman" w:hAnsi="Times New Roman"/>
          <w:sz w:val="18"/>
          <w:szCs w:val="18"/>
          <w:color w:val="0000EE"/>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w:t>
      </w:r>
      <w:hyperlink r:id="rId66">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from our </w:t>
      </w:r>
      <w:hyperlink r:id="rId68">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30, 2026;</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69">
        <w:r>
          <w:rPr>
            <w:rFonts w:ascii="Times New Roman" w:cs="Times New Roman" w:eastAsia="Times New Roman" w:hAnsi="Times New Roman"/>
            <w:sz w:val="18"/>
            <w:szCs w:val="18"/>
            <w:u w:val="single" w:color="auto"/>
            <w:color w:val="0000EE"/>
          </w:rPr>
          <w:t>January 14,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0">
        <w:r>
          <w:rPr>
            <w:rFonts w:ascii="Times New Roman" w:cs="Times New Roman" w:eastAsia="Times New Roman" w:hAnsi="Times New Roman"/>
            <w:sz w:val="18"/>
            <w:szCs w:val="18"/>
            <w:u w:val="single" w:color="auto"/>
            <w:color w:val="0000EE"/>
          </w:rPr>
          <w:t>January 20,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3"/>
        </w:numPr>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auto"/>
          </w:rPr>
          <w:t xml:space="preserve">the description of our Common Stock, which is registered under Section 12 of the Exchange Act, contained in </w:t>
        </w:r>
        <w:r>
          <w:rPr>
            <w:rFonts w:ascii="Times New Roman" w:cs="Times New Roman" w:eastAsia="Times New Roman" w:hAnsi="Times New Roman"/>
            <w:sz w:val="18"/>
            <w:szCs w:val="18"/>
            <w:u w:val="single" w:color="auto"/>
            <w:color w:val="0000EE"/>
          </w:rPr>
          <w:t>Exhibit 4.1 to our Annual</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Report on 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fiscal year ended December 31, 2025, filed with the SEC on March 16, 2026, including any amendments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w:t>
      </w:r>
    </w:p>
    <w:p>
      <w:pPr>
        <w:spacing w:after="0" w:line="176" w:lineRule="exact"/>
        <w:rPr>
          <w:rFonts w:ascii="Times New Roman" w:cs="Times New Roman" w:eastAsia="Times New Roman" w:hAnsi="Times New Roman"/>
          <w:sz w:val="18"/>
          <w:szCs w:val="18"/>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 Nothing in this prospectus shall be deemed to incorporate information furnished but not filed with the SEC pursuant to Item 2.02 or Item 7.01 of Form 8-K.</w:t>
      </w:r>
    </w:p>
    <w:p>
      <w:pPr>
        <w:spacing w:after="0" w:line="189" w:lineRule="exact"/>
        <w:rPr>
          <w:rFonts w:ascii="Times New Roman" w:cs="Times New Roman" w:eastAsia="Times New Roman" w:hAnsi="Times New Roman"/>
          <w:sz w:val="18"/>
          <w:szCs w:val="18"/>
          <w:color w:val="auto"/>
        </w:rPr>
      </w:pPr>
    </w:p>
    <w:p>
      <w:pPr>
        <w:ind w:left="120" w:right="460"/>
        <w:spacing w:after="0" w:line="256" w:lineRule="auto"/>
        <w:rPr>
          <w:sz w:val="20"/>
          <w:szCs w:val="20"/>
          <w:color w:val="auto"/>
        </w:rPr>
      </w:pPr>
      <w:r>
        <w:rPr>
          <w:rFonts w:ascii="Times New Roman" w:cs="Times New Roman" w:eastAsia="Times New Roman" w:hAnsi="Times New Roman"/>
          <w:sz w:val="18"/>
          <w:szCs w:val="18"/>
          <w:color w:val="auto"/>
        </w:rPr>
        <w:t xml:space="preserve">Upon request, we will provide, without charge, to each person, including any beneficial owner, to whom a copy of this prospectus or an applicable prospectus supplement is delivered, a copy of the documents incorporated by reference into this prospectus or such prospectus supplement but not delivered with this prospectus or such prospectus supplement. You may request a copy of these filings, and any exhibits we have specifically incorporated by reference as an exhibit in this prospectus or such prospectus supplement, at no cost by writing us at the following address: c/o Magnachip Semiconductor, Ltd., 15F, 76 Jikji-daero 436beon-gil, Heungdeok-gu, Cheongju-si, Chungcheongbuk-do, 28581, Republic of Korea; Attention: Investor Relations; email address: </w:t>
      </w:r>
      <w:r>
        <w:rPr>
          <w:rFonts w:ascii="Times New Roman" w:cs="Times New Roman" w:eastAsia="Times New Roman" w:hAnsi="Times New Roman"/>
          <w:sz w:val="18"/>
          <w:szCs w:val="18"/>
          <w:i w:val="1"/>
          <w:iCs w:val="1"/>
          <w:color w:val="auto"/>
        </w:rPr>
        <w:t>investors@magnachip.com</w:t>
      </w:r>
      <w:r>
        <w:rPr>
          <w:rFonts w:ascii="Times New Roman" w:cs="Times New Roman" w:eastAsia="Times New Roman" w:hAnsi="Times New Roman"/>
          <w:sz w:val="18"/>
          <w:szCs w:val="18"/>
          <w:color w:val="auto"/>
        </w:rPr>
        <w:t xml:space="preserve"> or by telephone at: +82 (2) 6903-3000.</w:t>
      </w:r>
    </w:p>
    <w:p>
      <w:pPr>
        <w:spacing w:after="0" w:line="12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9"/>
          <w:szCs w:val="29"/>
          <w:b w:val="1"/>
          <w:bCs w:val="1"/>
          <w:color w:val="auto"/>
        </w:rPr>
        <w:t>Up to $50,000,000</w:t>
      </w:r>
    </w:p>
    <w:p>
      <w:pPr>
        <w:spacing w:after="0" w:line="200" w:lineRule="exact"/>
        <w:rPr>
          <w:sz w:val="20"/>
          <w:szCs w:val="20"/>
          <w:color w:val="auto"/>
        </w:rPr>
      </w:pPr>
    </w:p>
    <w:p>
      <w:pPr>
        <w:spacing w:after="0" w:line="2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2553335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341630</wp:posOffset>
            </wp:positionV>
            <wp:extent cx="2863215" cy="548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28632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43"/>
          <w:szCs w:val="43"/>
          <w:b w:val="1"/>
          <w:bCs w:val="1"/>
          <w:color w:val="auto"/>
        </w:rPr>
        <w:t>B. Riley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jpe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jpe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31" Type="http://schemas.openxmlformats.org/officeDocument/2006/relationships/hyperlink" Target="http://www.sec.gov/ix?doc=/Archives/edgar/data/1325702/000119312526108435/mx-20251231.htm" TargetMode="External"/><Relationship Id="rId32" Type="http://schemas.openxmlformats.org/officeDocument/2006/relationships/hyperlink" Target="http://www.sec.gov/ix?doc=/Archives/edgar/data/1325702/000119312526214750/mx-20260331.htm" TargetMode="External"/><Relationship Id="rId33" Type="http://schemas.openxmlformats.org/officeDocument/2006/relationships/hyperlink" Target="http://www.sec.gov/ix?doc=/Archives/edgar/data/1325702/000119312526197484/mx-20260430.htm" TargetMode="External"/><Relationship Id="rId34" Type="http://schemas.openxmlformats.org/officeDocument/2006/relationships/hyperlink" Target="http://www.sec.gov/ix?doc=/Archives/edgar/data/1325702/000119312526012251/d25690d8k.htm" TargetMode="External"/><Relationship Id="rId35" Type="http://schemas.openxmlformats.org/officeDocument/2006/relationships/hyperlink" Target="http://www.sec.gov/ix?doc=/Archives/edgar/data/1325702/000119312526015926/d75112d8k.htm" TargetMode="External"/><Relationship Id="rId36" Type="http://schemas.openxmlformats.org/officeDocument/2006/relationships/hyperlink" Target="http://www.sec.gov/ix?doc=/Archives/edgar/data/0001325702/000119312526273349/mx-20260611.htm" TargetMode="External"/><Relationship Id="rId37" Type="http://schemas.openxmlformats.org/officeDocument/2006/relationships/hyperlink" Target="http://www.sec.gov/Archives/edgar/data/1325702/000119312525054851/d920621dex41.htm" TargetMode="External"/><Relationship Id="rId66" Type="http://schemas.openxmlformats.org/officeDocument/2006/relationships/hyperlink" Target="http://www.sec.gov/Archives/edgar/data/1325702/000119312526108435/mx-20251231.htm" TargetMode="External"/><Relationship Id="rId67" Type="http://schemas.openxmlformats.org/officeDocument/2006/relationships/hyperlink" Target="http://www.sec.gov/Archives/edgar/data/1325702/000119312526214750/mx-20260331.htm" TargetMode="External"/><Relationship Id="rId68" Type="http://schemas.openxmlformats.org/officeDocument/2006/relationships/hyperlink" Target="http://www.sec.gov/Archives/edgar/data/1325702/000119312526197484/mx-20260430.htm" TargetMode="External"/><Relationship Id="rId69" Type="http://schemas.openxmlformats.org/officeDocument/2006/relationships/hyperlink" Target="http://www.sec.gov/Archives/edgar/data/1325702/000119312526012251/d25690d8k.htm" TargetMode="External"/><Relationship Id="rId70" Type="http://schemas.openxmlformats.org/officeDocument/2006/relationships/hyperlink" Target="http://www.sec.gov/Archives/edgar/data/1325702/000119312526015926/d7511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2026-06-17T16:12:15Z</dcterms:created>
  <dcterms:modified xsi:type="dcterms:W3CDTF">2026-06-17T16:12:15Z</dcterms:modified>
</cp:coreProperties>
</file>