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August 6,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MagnaChip Semiconductor Corporation</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00" w:type="dxa"/>
        <w:tblCellMar>
          <w:top w:w="0" w:type="dxa"/>
          <w:left w:w="0" w:type="dxa"/>
          <w:bottom w:w="0" w:type="dxa"/>
          <w:right w:w="0" w:type="dxa"/>
        </w:tblCellMar>
      </w:tblPr>
      <w:tr>
        <w:trPr>
          <w:trHeight w:val="212"/>
        </w:trPr>
        <w:tc>
          <w:tcPr>
            <w:tcW w:w="4220" w:type="dxa"/>
            <w:vAlign w:val="bottom"/>
          </w:tcPr>
          <w:p>
            <w:pPr>
              <w:jc w:val="center"/>
              <w:ind w:right="2458"/>
              <w:spacing w:after="0"/>
              <w:rPr>
                <w:sz w:val="20"/>
                <w:szCs w:val="20"/>
                <w:color w:val="auto"/>
              </w:rPr>
            </w:pPr>
            <w:r>
              <w:rPr>
                <w:rFonts w:ascii="Arial" w:cs="Arial" w:eastAsia="Arial" w:hAnsi="Arial"/>
                <w:sz w:val="18"/>
                <w:szCs w:val="18"/>
                <w:b w:val="1"/>
                <w:bCs w:val="1"/>
                <w:color w:val="auto"/>
                <w:w w:val="91"/>
              </w:rPr>
              <w:t>Delaware</w:t>
            </w:r>
          </w:p>
        </w:tc>
        <w:tc>
          <w:tcPr>
            <w:tcW w:w="2320" w:type="dxa"/>
            <w:vAlign w:val="bottom"/>
          </w:tcPr>
          <w:p>
            <w:pPr>
              <w:ind w:left="140"/>
              <w:spacing w:after="0"/>
              <w:rPr>
                <w:sz w:val="20"/>
                <w:szCs w:val="20"/>
                <w:color w:val="auto"/>
              </w:rPr>
            </w:pPr>
            <w:r>
              <w:rPr>
                <w:rFonts w:ascii="Arial" w:cs="Arial" w:eastAsia="Arial" w:hAnsi="Arial"/>
                <w:sz w:val="18"/>
                <w:szCs w:val="18"/>
                <w:b w:val="1"/>
                <w:bCs w:val="1"/>
                <w:color w:val="auto"/>
              </w:rPr>
              <w:t>001-34791</w:t>
            </w:r>
          </w:p>
        </w:tc>
        <w:tc>
          <w:tcPr>
            <w:tcW w:w="2540" w:type="dxa"/>
            <w:vAlign w:val="bottom"/>
          </w:tcPr>
          <w:p>
            <w:pPr>
              <w:jc w:val="center"/>
              <w:ind w:left="1301"/>
              <w:spacing w:after="0"/>
              <w:rPr>
                <w:sz w:val="20"/>
                <w:szCs w:val="20"/>
                <w:color w:val="auto"/>
              </w:rPr>
            </w:pPr>
            <w:r>
              <w:rPr>
                <w:rFonts w:ascii="Arial" w:cs="Arial" w:eastAsia="Arial" w:hAnsi="Arial"/>
                <w:sz w:val="18"/>
                <w:szCs w:val="18"/>
                <w:b w:val="1"/>
                <w:bCs w:val="1"/>
                <w:color w:val="auto"/>
                <w:w w:val="91"/>
              </w:rPr>
              <w:t>83-0406195</w:t>
            </w:r>
          </w:p>
        </w:tc>
      </w:tr>
      <w:tr>
        <w:trPr>
          <w:trHeight w:val="149"/>
        </w:trPr>
        <w:tc>
          <w:tcPr>
            <w:tcW w:w="4220" w:type="dxa"/>
            <w:vAlign w:val="bottom"/>
          </w:tcPr>
          <w:p>
            <w:pPr>
              <w:jc w:val="center"/>
              <w:ind w:right="2438"/>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2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(Commission</w:t>
            </w:r>
          </w:p>
        </w:tc>
        <w:tc>
          <w:tcPr>
            <w:tcW w:w="2540" w:type="dxa"/>
            <w:vAlign w:val="bottom"/>
          </w:tcPr>
          <w:p>
            <w:pPr>
              <w:jc w:val="center"/>
              <w:ind w:left="13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220" w:type="dxa"/>
            <w:vAlign w:val="bottom"/>
          </w:tcPr>
          <w:p>
            <w:pPr>
              <w:jc w:val="center"/>
              <w:ind w:right="2438"/>
              <w:spacing w:after="0"/>
              <w:rPr>
                <w:sz w:val="20"/>
                <w:szCs w:val="20"/>
                <w:color w:val="auto"/>
              </w:rPr>
            </w:pPr>
            <w:r>
              <w:rPr>
                <w:rFonts w:ascii="Arial" w:cs="Arial" w:eastAsia="Arial" w:hAnsi="Arial"/>
                <w:sz w:val="14"/>
                <w:szCs w:val="14"/>
                <w:b w:val="1"/>
                <w:bCs w:val="1"/>
                <w:color w:val="auto"/>
                <w:w w:val="94"/>
              </w:rPr>
              <w:t>of Incorporation)</w:t>
            </w:r>
          </w:p>
        </w:tc>
        <w:tc>
          <w:tcPr>
            <w:tcW w:w="2320" w:type="dxa"/>
            <w:vAlign w:val="bottom"/>
          </w:tcPr>
          <w:p>
            <w:pPr>
              <w:ind w:left="100"/>
              <w:spacing w:after="0"/>
              <w:rPr>
                <w:sz w:val="20"/>
                <w:szCs w:val="20"/>
                <w:color w:val="auto"/>
              </w:rPr>
            </w:pPr>
            <w:r>
              <w:rPr>
                <w:rFonts w:ascii="Arial" w:cs="Arial" w:eastAsia="Arial" w:hAnsi="Arial"/>
                <w:sz w:val="14"/>
                <w:szCs w:val="14"/>
                <w:b w:val="1"/>
                <w:bCs w:val="1"/>
                <w:color w:val="auto"/>
              </w:rPr>
              <w:t>File Number)</w:t>
            </w:r>
          </w:p>
        </w:tc>
        <w:tc>
          <w:tcPr>
            <w:tcW w:w="2540" w:type="dxa"/>
            <w:vAlign w:val="bottom"/>
          </w:tcPr>
          <w:p>
            <w:pPr>
              <w:jc w:val="center"/>
              <w:ind w:left="130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220" w:type="dxa"/>
            <w:vAlign w:val="bottom"/>
          </w:tcPr>
          <w:p>
            <w:pPr>
              <w:jc w:val="center"/>
              <w:ind w:left="1178"/>
              <w:spacing w:after="0"/>
              <w:rPr>
                <w:sz w:val="20"/>
                <w:szCs w:val="20"/>
                <w:color w:val="auto"/>
              </w:rPr>
            </w:pPr>
            <w:r>
              <w:rPr>
                <w:rFonts w:ascii="Arial" w:cs="Arial" w:eastAsia="Arial" w:hAnsi="Arial"/>
                <w:sz w:val="18"/>
                <w:szCs w:val="18"/>
                <w:b w:val="1"/>
                <w:bCs w:val="1"/>
                <w:color w:val="auto"/>
                <w:w w:val="90"/>
              </w:rPr>
              <w:t>c/o MagnaChip Semiconductor S.A.</w:t>
            </w:r>
          </w:p>
        </w:tc>
        <w:tc>
          <w:tcPr>
            <w:tcW w:w="232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216"/>
        </w:trPr>
        <w:tc>
          <w:tcPr>
            <w:tcW w:w="4220" w:type="dxa"/>
            <w:vAlign w:val="bottom"/>
          </w:tcPr>
          <w:p>
            <w:pPr>
              <w:jc w:val="center"/>
              <w:ind w:left="1178"/>
              <w:spacing w:after="0"/>
              <w:rPr>
                <w:sz w:val="20"/>
                <w:szCs w:val="20"/>
                <w:color w:val="auto"/>
              </w:rPr>
            </w:pPr>
            <w:r>
              <w:rPr>
                <w:rFonts w:ascii="Arial" w:cs="Arial" w:eastAsia="Arial" w:hAnsi="Arial"/>
                <w:sz w:val="18"/>
                <w:szCs w:val="18"/>
                <w:b w:val="1"/>
                <w:bCs w:val="1"/>
                <w:color w:val="auto"/>
                <w:w w:val="90"/>
              </w:rPr>
              <w:t>1, Allée Scheffer, L-2520</w:t>
            </w:r>
          </w:p>
        </w:tc>
        <w:tc>
          <w:tcPr>
            <w:tcW w:w="232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212"/>
        </w:trPr>
        <w:tc>
          <w:tcPr>
            <w:tcW w:w="6540" w:type="dxa"/>
            <w:vAlign w:val="bottom"/>
            <w:gridSpan w:val="2"/>
          </w:tcPr>
          <w:p>
            <w:pPr>
              <w:jc w:val="center"/>
              <w:ind w:right="1002"/>
              <w:spacing w:after="0"/>
              <w:rPr>
                <w:sz w:val="20"/>
                <w:szCs w:val="20"/>
                <w:color w:val="auto"/>
              </w:rPr>
            </w:pPr>
            <w:r>
              <w:rPr>
                <w:rFonts w:ascii="Arial" w:cs="Arial" w:eastAsia="Arial" w:hAnsi="Arial"/>
                <w:sz w:val="18"/>
                <w:szCs w:val="18"/>
                <w:b w:val="1"/>
                <w:bCs w:val="1"/>
                <w:color w:val="auto"/>
                <w:w w:val="91"/>
              </w:rPr>
              <w:t>Luxembourg, Grand Duchy of Luxembourg</w:t>
            </w:r>
          </w:p>
        </w:tc>
        <w:tc>
          <w:tcPr>
            <w:tcW w:w="2540" w:type="dxa"/>
            <w:vAlign w:val="bottom"/>
          </w:tcPr>
          <w:p>
            <w:pPr>
              <w:jc w:val="center"/>
              <w:ind w:left="1301"/>
              <w:spacing w:after="0"/>
              <w:rPr>
                <w:sz w:val="20"/>
                <w:szCs w:val="20"/>
                <w:color w:val="auto"/>
              </w:rPr>
            </w:pPr>
            <w:r>
              <w:rPr>
                <w:rFonts w:ascii="Arial" w:cs="Arial" w:eastAsia="Arial" w:hAnsi="Arial"/>
                <w:sz w:val="18"/>
                <w:szCs w:val="18"/>
                <w:b w:val="1"/>
                <w:bCs w:val="1"/>
                <w:color w:val="auto"/>
                <w:w w:val="92"/>
              </w:rPr>
              <w:t>Not Applicable</w:t>
            </w:r>
          </w:p>
        </w:tc>
      </w:tr>
      <w:tr>
        <w:trPr>
          <w:trHeight w:val="186"/>
        </w:trPr>
        <w:tc>
          <w:tcPr>
            <w:tcW w:w="4220" w:type="dxa"/>
            <w:vAlign w:val="bottom"/>
          </w:tcPr>
          <w:p>
            <w:pPr>
              <w:jc w:val="center"/>
              <w:ind w:left="1158"/>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320" w:type="dxa"/>
            <w:vAlign w:val="bottom"/>
          </w:tcPr>
          <w:p>
            <w:pPr>
              <w:spacing w:after="0"/>
              <w:rPr>
                <w:sz w:val="16"/>
                <w:szCs w:val="16"/>
                <w:color w:val="auto"/>
              </w:rPr>
            </w:pPr>
          </w:p>
        </w:tc>
        <w:tc>
          <w:tcPr>
            <w:tcW w:w="2540" w:type="dxa"/>
            <w:vAlign w:val="bottom"/>
          </w:tcPr>
          <w:p>
            <w:pPr>
              <w:jc w:val="center"/>
              <w:ind w:left="1301"/>
              <w:spacing w:after="0"/>
              <w:rPr>
                <w:sz w:val="20"/>
                <w:szCs w:val="20"/>
                <w:color w:val="auto"/>
              </w:rPr>
            </w:pPr>
            <w:r>
              <w:rPr>
                <w:rFonts w:ascii="Arial" w:cs="Arial" w:eastAsia="Arial" w:hAnsi="Arial"/>
                <w:sz w:val="14"/>
                <w:szCs w:val="14"/>
                <w:b w:val="1"/>
                <w:bCs w:val="1"/>
                <w:color w:val="auto"/>
                <w:w w:val="98"/>
              </w:rPr>
              <w:t>(Zip Code)</w:t>
            </w:r>
          </w:p>
        </w:tc>
      </w:tr>
    </w:tbl>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(352) 45-62-62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On August 6, 2017, MagnaChip Semiconductor Corporation’s fabrication facility in Cheongju, South Korea experienced a temporary power outage for approximately six minutes as a result of an accident involving a crane operated by a city contractor that impacted high voltage lines in the vicinity of MagnaChip’s facilities. The fabrication facility was restarted after implementing standard back-up generators on the high voltage lines and is fully operational. The accident caused certain damage to our work in process wafers and fab equipment with an estimated total cost of up to $1.5 million. In addition, the related impact to our revenue is estimated to be up to $3 million, substantially all of which is expected in our current third quarter. Management is currently evaluating potential insurance and other claims that MagnaChip may have for the above loss and damages.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 Harbor for Forward-Looking Statements</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Information in this Report regarding MagnaChip’s forecasts, business outlook, expectations and beliefs are forward-looking statements within the meaning of the Private Securities Litigation Reform Act of 1995 that involve risks and uncertainties. These statements include statements about our future operating and financial performance, including evaluation and expectations of costs and related revenue impact and timing as a result of the power outage. All forward-looking statements included in this Report are based upon information available to MagnaChip as of the date of this Report, which may change, and we assume no obligation to update any such forward-looking statements. These statements are not guarantees of future performance and actual results could differ materially from our current expectations. Factors that could cause or contribute to such differences include newly discovered or enhanced information regarding the power outage and damage and revenue impact assessment and other risks detailed from time to time in MagnaChip’s filings with the SEC, including our Form 10-K filed on February 21, 2017 and subsequent registration statements, amendments or other reports that we may file from time to time with the SEC and/or make available on our website. MagnaChip assumes no obligation and does not intend to update the forward-looking statements provided, whether as a result of new information, future events or otherwise.</w:t>
      </w:r>
    </w:p>
    <w:p>
      <w:pPr>
        <w:sectPr>
          <w:pgSz w:w="11900" w:h="16838" w:orient="portrait"/>
          <w:cols w:equalWidth="0" w:num="1">
            <w:col w:w="11360"/>
          </w:cols>
          <w:pgMar w:left="240" w:top="270" w:right="29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MAGNACHIP SEMICONDUCTOR CORPORATION</w:t>
      </w:r>
    </w:p>
    <w:p>
      <w:pPr>
        <w:spacing w:after="0" w:line="225" w:lineRule="exact"/>
        <w:rPr>
          <w:sz w:val="20"/>
          <w:szCs w:val="20"/>
          <w:color w:val="auto"/>
        </w:rPr>
      </w:pPr>
    </w:p>
    <w:p>
      <w:pPr>
        <w:spacing w:after="0"/>
        <w:tabs>
          <w:tab w:leader="none" w:pos="6620" w:val="left"/>
          <w:tab w:leader="none" w:pos="7300" w:val="left"/>
        </w:tabs>
        <w:rPr>
          <w:sz w:val="20"/>
          <w:szCs w:val="20"/>
          <w:color w:val="auto"/>
        </w:rPr>
      </w:pPr>
      <w:r>
        <w:rPr>
          <w:rFonts w:ascii="Arial" w:cs="Arial" w:eastAsia="Arial" w:hAnsi="Arial"/>
          <w:sz w:val="18"/>
          <w:szCs w:val="18"/>
          <w:color w:val="auto"/>
        </w:rPr>
        <w:t>Dated: August 9,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0"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Theodore Kim</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6"/>
          <w:szCs w:val="16"/>
          <w:color w:val="auto"/>
        </w:rPr>
        <w:t>Chief Compliance Officer, Executive Vice President,</w:t>
      </w:r>
    </w:p>
    <w:p>
      <w:pPr>
        <w:spacing w:after="0" w:line="32"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General Counsel and Secretary</w:t>
      </w:r>
    </w:p>
    <w:sectPr>
      <w:pgSz w:w="11900" w:h="16838" w:orient="portrait"/>
      <w:cols w:equalWidth="0" w:num="1">
        <w:col w:w="11120"/>
      </w:cols>
      <w:pgMar w:left="240" w:top="270"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2019-12-07T00:36:52Z</dcterms:created>
  <dcterms:modified xsi:type="dcterms:W3CDTF">2019-12-07T00:36:52Z</dcterms:modified>
</cp:coreProperties>
</file>