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Chung Kyo-Hwa Liz</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07"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94"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05/27/2022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ind w:left="420"/>
              <w:spacing w:after="0" w:line="147" w:lineRule="exact"/>
              <w:rPr>
                <w:sz w:val="20"/>
                <w:szCs w:val="20"/>
                <w:color w:val="auto"/>
              </w:rPr>
            </w:pPr>
            <w:r>
              <w:rPr>
                <w:rFonts w:ascii="Arial" w:cs="Arial" w:eastAsia="Arial" w:hAnsi="Arial"/>
                <w:sz w:val="13"/>
                <w:szCs w:val="13"/>
                <w:color w:val="auto"/>
              </w:rPr>
              <w:t>Line)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05/27/2022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6,370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19.66</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17,170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72"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transaction represents the cash settlement of 6,370 shares of common stock underlying an RSU award granted to the Reporting Person on July 16, 2020 and reported at that time as common stock in Table I. The Board amended the RSU award on May 27, 2022 to allow for a limited cash settlement of such number of shares of common stock having a fair market value equal to, but not to exceed, the foreign tax obligation incurred by the Reporting Person upon vesting of the RSUs. 6,370 shares were cash settled at a price of $19.66 per share for an aggregate cash settlement of $125,234.20, which amount is approximately equal to (based on applicable foreign exchange rates), but does not exceed, the foreign tax obligation of the Reporting Person.</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06/01/2022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830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2022-06-01T15:13:20Z</dcterms:created>
  <dcterms:modified xsi:type="dcterms:W3CDTF">2022-06-01T15:13:20Z</dcterms:modified>
</cp:coreProperties>
</file>