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2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2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144145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5"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200" w:right="3940" w:hanging="4192"/>
        <w:spacing w:after="0" w:line="520" w:lineRule="auto"/>
        <w:tabs>
          <w:tab w:leader="none" w:pos="461"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 xml:space="preserve">Quarterly Report Pursuant to Section 13 or 15(d) of the Securities Exchange Act of 1934 </w:t>
      </w:r>
      <w:r>
        <w:rPr>
          <w:rFonts w:ascii="Arial" w:cs="Arial" w:eastAsia="Arial" w:hAnsi="Arial"/>
          <w:sz w:val="15"/>
          <w:szCs w:val="15"/>
          <w:color w:val="auto"/>
        </w:rPr>
        <w:t>For the quarterly period ended July 1, 2007</w:t>
      </w:r>
    </w:p>
    <w:p>
      <w:pPr>
        <w:spacing w:after="0" w:line="1" w:lineRule="exact"/>
        <w:rPr>
          <w:rFonts w:ascii="MS PGothic" w:cs="MS PGothic" w:eastAsia="MS PGothic" w:hAnsi="MS PGothic"/>
          <w:sz w:val="15"/>
          <w:szCs w:val="15"/>
          <w:color w:val="auto"/>
          <w:highlight w:val="black"/>
        </w:rPr>
      </w:pPr>
    </w:p>
    <w:p>
      <w:pPr>
        <w:ind w:left="5640"/>
        <w:spacing w:after="0"/>
        <w:rPr>
          <w:rFonts w:ascii="MS PGothic" w:cs="MS PGothic" w:eastAsia="MS PGothic" w:hAnsi="MS PGothic"/>
          <w:sz w:val="15"/>
          <w:szCs w:val="15"/>
          <w:color w:val="auto"/>
          <w:highlight w:val="black"/>
        </w:rPr>
      </w:pPr>
      <w:r>
        <w:rPr>
          <w:rFonts w:ascii="Arial" w:cs="Arial" w:eastAsia="Arial" w:hAnsi="Arial"/>
          <w:sz w:val="18"/>
          <w:szCs w:val="18"/>
          <w:color w:val="auto"/>
        </w:rPr>
        <w:t>or</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7" w:lineRule="exact"/>
        <w:rPr>
          <w:sz w:val="24"/>
          <w:szCs w:val="24"/>
          <w:color w:val="auto"/>
        </w:rPr>
      </w:pPr>
    </w:p>
    <w:p>
      <w:pPr>
        <w:ind w:left="3640"/>
        <w:spacing w:after="0"/>
        <w:tabs>
          <w:tab w:leader="none" w:pos="6660" w:val="left"/>
          <w:tab w:leader="none" w:pos="7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-13970</wp:posOffset>
            </wp:positionV>
            <wp:extent cx="1257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51"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Commission file number 333-126019-09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131445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5"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MAGNACHIP SEMICONDUCTOR LLC</w:t>
      </w:r>
    </w:p>
    <w:p>
      <w:pPr>
        <w:spacing w:after="0" w:line="54"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122555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61" w:lineRule="exact"/>
        <w:rPr>
          <w:sz w:val="24"/>
          <w:szCs w:val="24"/>
          <w:color w:val="auto"/>
        </w:rPr>
      </w:pPr>
    </w:p>
    <w:tbl>
      <w:tblPr>
        <w:tblLayout w:type="fixed"/>
        <w:tblInd w:w="1220" w:type="dxa"/>
        <w:tblCellMar>
          <w:top w:w="0" w:type="dxa"/>
          <w:left w:w="0" w:type="dxa"/>
          <w:bottom w:w="0" w:type="dxa"/>
          <w:right w:w="0" w:type="dxa"/>
        </w:tblCellMar>
      </w:tblPr>
      <w:tr>
        <w:trPr>
          <w:trHeight w:val="218"/>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88"/>
              </w:rPr>
              <w:t>Delaware</w:t>
            </w:r>
          </w:p>
        </w:tc>
        <w:tc>
          <w:tcPr>
            <w:tcW w:w="2920" w:type="dxa"/>
            <w:vAlign w:val="bottom"/>
          </w:tcPr>
          <w:p>
            <w:pPr>
              <w:jc w:val="center"/>
              <w:ind w:left="172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5100" w:type="dxa"/>
            <w:vAlign w:val="bottom"/>
          </w:tcPr>
          <w:p>
            <w:pPr>
              <w:jc w:val="center"/>
              <w:ind w:right="1741"/>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20" w:type="dxa"/>
            <w:vAlign w:val="bottom"/>
          </w:tcPr>
          <w:p>
            <w:pPr>
              <w:jc w:val="center"/>
              <w:ind w:left="17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100" w:type="dxa"/>
            <w:vAlign w:val="bottom"/>
          </w:tcPr>
          <w:p>
            <w:pPr>
              <w:jc w:val="center"/>
              <w:ind w:right="1741"/>
              <w:spacing w:after="0"/>
              <w:rPr>
                <w:sz w:val="20"/>
                <w:szCs w:val="20"/>
                <w:color w:val="auto"/>
              </w:rPr>
            </w:pPr>
            <w:r>
              <w:rPr>
                <w:rFonts w:ascii="Arial" w:cs="Arial" w:eastAsia="Arial" w:hAnsi="Arial"/>
                <w:sz w:val="14"/>
                <w:szCs w:val="14"/>
                <w:b w:val="1"/>
                <w:bCs w:val="1"/>
                <w:color w:val="auto"/>
                <w:w w:val="88"/>
              </w:rPr>
              <w:t>incorporation or organization)</w:t>
            </w:r>
          </w:p>
        </w:tc>
        <w:tc>
          <w:tcPr>
            <w:tcW w:w="2920" w:type="dxa"/>
            <w:vAlign w:val="bottom"/>
          </w:tcPr>
          <w:p>
            <w:pPr>
              <w:jc w:val="center"/>
              <w:ind w:left="17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5100" w:type="dxa"/>
            <w:vAlign w:val="bottom"/>
          </w:tcPr>
          <w:p>
            <w:pPr>
              <w:jc w:val="center"/>
              <w:ind w:right="1741"/>
              <w:spacing w:after="0"/>
              <w:rPr>
                <w:sz w:val="20"/>
                <w:szCs w:val="20"/>
                <w:color w:val="auto"/>
              </w:rPr>
            </w:pPr>
            <w:r>
              <w:rPr>
                <w:rFonts w:ascii="Arial" w:cs="Arial" w:eastAsia="Arial" w:hAnsi="Arial"/>
                <w:sz w:val="18"/>
                <w:szCs w:val="18"/>
                <w:b w:val="1"/>
                <w:bCs w:val="1"/>
                <w:color w:val="auto"/>
                <w:w w:val="88"/>
              </w:rPr>
              <w:t>c/o MagnaChip Semiconductor S.A.</w:t>
            </w:r>
          </w:p>
        </w:tc>
        <w:tc>
          <w:tcPr>
            <w:tcW w:w="2920" w:type="dxa"/>
            <w:vAlign w:val="bottom"/>
          </w:tcPr>
          <w:p>
            <w:pPr>
              <w:spacing w:after="0"/>
              <w:rPr>
                <w:sz w:val="24"/>
                <w:szCs w:val="24"/>
                <w:color w:val="auto"/>
              </w:rPr>
            </w:pPr>
          </w:p>
        </w:tc>
      </w:tr>
      <w:tr>
        <w:trPr>
          <w:trHeight w:val="216"/>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90"/>
              </w:rPr>
              <w:t>74, rue de Merl, B.P. 709, L-2017</w:t>
            </w:r>
          </w:p>
        </w:tc>
        <w:tc>
          <w:tcPr>
            <w:tcW w:w="2920" w:type="dxa"/>
            <w:vAlign w:val="bottom"/>
          </w:tcPr>
          <w:p>
            <w:pPr>
              <w:spacing w:after="0"/>
              <w:rPr>
                <w:sz w:val="18"/>
                <w:szCs w:val="18"/>
                <w:color w:val="auto"/>
              </w:rPr>
            </w:pPr>
          </w:p>
        </w:tc>
      </w:tr>
      <w:tr>
        <w:trPr>
          <w:trHeight w:val="231"/>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2920" w:type="dxa"/>
            <w:vAlign w:val="bottom"/>
          </w:tcPr>
          <w:p>
            <w:pPr>
              <w:jc w:val="center"/>
              <w:ind w:left="1724"/>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5100" w:type="dxa"/>
            <w:vAlign w:val="bottom"/>
          </w:tcPr>
          <w:p>
            <w:pPr>
              <w:jc w:val="center"/>
              <w:ind w:right="1741"/>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920" w:type="dxa"/>
            <w:vAlign w:val="bottom"/>
          </w:tcPr>
          <w:p>
            <w:pPr>
              <w:jc w:val="center"/>
              <w:ind w:left="17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135255</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06"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 accelerated filer. See the definition of “accelerated filer and large accelerated filer” in Rule 12b-2 of the Exchange Act.</w:t>
      </w:r>
    </w:p>
    <w:p>
      <w:pPr>
        <w:sectPr>
          <w:pgSz w:w="11900" w:h="16838" w:orient="portrait"/>
          <w:cols w:equalWidth="0" w:num="1">
            <w:col w:w="11180"/>
          </w:cols>
          <w:pgMar w:left="240" w:top="230" w:right="479" w:bottom="1440" w:gutter="0" w:footer="0" w:header="0"/>
        </w:sectPr>
      </w:pPr>
    </w:p>
    <w:p>
      <w:pPr>
        <w:spacing w:after="0" w:line="132" w:lineRule="exact"/>
        <w:rPr>
          <w:sz w:val="24"/>
          <w:szCs w:val="24"/>
          <w:color w:val="auto"/>
        </w:rPr>
      </w:pPr>
    </w:p>
    <w:p>
      <w:pPr>
        <w:ind w:left="270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6">
            <w:col w:w="4280" w:space="80"/>
            <w:col w:w="160" w:space="520"/>
            <w:col w:w="1180" w:space="80"/>
            <w:col w:w="160" w:space="540"/>
            <w:col w:w="1480" w:space="80"/>
            <w:col w:w="2620"/>
          </w:cols>
          <w:pgMar w:left="240" w:top="230" w:right="479" w:bottom="1440" w:gutter="0" w:footer="0" w:header="0"/>
          <w:type w:val="continuous"/>
        </w:sectPr>
      </w:pPr>
    </w:p>
    <w:p>
      <w:pPr>
        <w:ind w:left="460"/>
        <w:spacing w:after="0" w:line="184" w:lineRule="exact"/>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4" w:lineRule="exact"/>
        <w:rPr>
          <w:sz w:val="24"/>
          <w:szCs w:val="24"/>
          <w:color w:val="auto"/>
        </w:rPr>
      </w:pPr>
    </w:p>
    <w:p>
      <w:pPr>
        <w:sectPr>
          <w:pgSz w:w="11900" w:h="16838" w:orient="portrait"/>
          <w:cols w:equalWidth="0" w:num="3">
            <w:col w:w="9100" w:space="200"/>
            <w:col w:w="200" w:space="100"/>
            <w:col w:w="1580"/>
          </w:cols>
          <w:pgMar w:left="240" w:top="230" w:right="47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As of August 1, 2007, the registrant had 52,800,784.0470 of the registrant’s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MagnaChip Semiconductor LLC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 No.</w:t>
            </w:r>
          </w:p>
        </w:tc>
      </w:tr>
      <w:tr>
        <w:trPr>
          <w:trHeight w:val="277"/>
        </w:trPr>
        <w:tc>
          <w:tcPr>
            <w:tcW w:w="27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8120" w:type="dxa"/>
            <w:vAlign w:val="bottom"/>
            <w:gridSpan w:val="1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68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92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58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Statements of Operations</w:t>
              </w:r>
            </w:hyperlink>
          </w:p>
        </w:tc>
        <w:tc>
          <w:tcPr>
            <w:tcW w:w="564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2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Changes in Unitholders’ Equity</w:t>
              </w:r>
            </w:hyperlink>
          </w:p>
        </w:tc>
        <w:tc>
          <w:tcPr>
            <w:tcW w:w="418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2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0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8">
              <w:r>
                <w:rPr>
                  <w:rFonts w:ascii="Arial" w:cs="Arial" w:eastAsia="Arial" w:hAnsi="Arial"/>
                  <w:sz w:val="18"/>
                  <w:szCs w:val="18"/>
                  <w:color w:val="0000EE"/>
                  <w:w w:val="86"/>
                </w:rPr>
                <w:t>Notes to Condensed Consolidated Financial Statements</w:t>
              </w:r>
            </w:hyperlink>
          </w:p>
        </w:tc>
        <w:tc>
          <w:tcPr>
            <w:tcW w:w="532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68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9220" w:type="dxa"/>
            <w:vAlign w:val="bottom"/>
            <w:gridSpan w:val="1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68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29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680" w:type="dxa"/>
            <w:vAlign w:val="bottom"/>
            <w:gridSpan w:val="2"/>
          </w:tcPr>
          <w:p>
            <w:pPr>
              <w:ind w:left="440"/>
              <w:spacing w:after="0"/>
              <w:rPr>
                <w:sz w:val="20"/>
                <w:szCs w:val="20"/>
                <w:color w:val="auto"/>
              </w:rPr>
            </w:pPr>
            <w:r>
              <w:rPr>
                <w:rFonts w:ascii="Arial" w:cs="Arial" w:eastAsia="Arial" w:hAnsi="Arial"/>
                <w:sz w:val="18"/>
                <w:szCs w:val="18"/>
                <w:color w:val="auto"/>
              </w:rPr>
              <w:t>Item 4T.</w:t>
            </w:r>
          </w:p>
        </w:tc>
        <w:tc>
          <w:tcPr>
            <w:tcW w:w="9220" w:type="dxa"/>
            <w:vAlign w:val="bottom"/>
            <w:gridSpan w:val="1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248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38">
              <w:r>
                <w:rPr>
                  <w:rFonts w:ascii="Arial" w:cs="Arial" w:eastAsia="Arial" w:hAnsi="Arial"/>
                  <w:sz w:val="18"/>
                  <w:szCs w:val="18"/>
                  <w:color w:val="0000EE"/>
                  <w:w w:val="93"/>
                </w:rPr>
                <w:t>PART II OTHER INFORMATION</w:t>
              </w:r>
            </w:hyperlink>
          </w:p>
        </w:tc>
        <w:tc>
          <w:tcPr>
            <w:tcW w:w="8420" w:type="dxa"/>
            <w:vAlign w:val="bottom"/>
            <w:gridSpan w:val="1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680" w:type="dxa"/>
            <w:vAlign w:val="bottom"/>
            <w:gridSpan w:val="2"/>
          </w:tcPr>
          <w:p>
            <w:pPr>
              <w:ind w:left="440"/>
              <w:spacing w:after="0"/>
              <w:rPr>
                <w:sz w:val="20"/>
                <w:szCs w:val="20"/>
                <w:color w:val="auto"/>
              </w:rPr>
            </w:pPr>
            <w:r>
              <w:rPr>
                <w:rFonts w:ascii="Arial" w:cs="Arial" w:eastAsia="Arial" w:hAnsi="Arial"/>
                <w:sz w:val="18"/>
                <w:szCs w:val="18"/>
                <w:color w:val="auto"/>
              </w:rPr>
              <w:t>Item 1A.</w:t>
            </w:r>
          </w:p>
        </w:tc>
        <w:tc>
          <w:tcPr>
            <w:tcW w:w="9220" w:type="dxa"/>
            <w:vAlign w:val="bottom"/>
            <w:gridSpan w:val="1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68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9220" w:type="dxa"/>
            <w:vAlign w:val="bottom"/>
            <w:gridSpan w:val="1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680" w:type="dxa"/>
            <w:vAlign w:val="bottom"/>
            <w:gridSpan w:val="2"/>
          </w:tcPr>
          <w:p>
            <w:pPr>
              <w:ind w:left="440"/>
              <w:spacing w:after="0"/>
              <w:rPr>
                <w:sz w:val="20"/>
                <w:szCs w:val="20"/>
                <w:color w:val="auto"/>
              </w:rPr>
            </w:pPr>
            <w:r>
              <w:rPr>
                <w:rFonts w:ascii="Arial" w:cs="Arial" w:eastAsia="Arial" w:hAnsi="Arial"/>
                <w:sz w:val="18"/>
                <w:szCs w:val="18"/>
                <w:color w:val="auto"/>
              </w:rPr>
              <w:t>Item 6.</w:t>
            </w:r>
          </w:p>
        </w:tc>
        <w:tc>
          <w:tcPr>
            <w:tcW w:w="4240" w:type="dxa"/>
            <w:vAlign w:val="bottom"/>
            <w:tcBorders>
              <w:top w:val="single" w:sz="8" w:color="0000EE"/>
            </w:tcBorders>
            <w:gridSpan w:val="11"/>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498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680" w:type="dxa"/>
            <w:vAlign w:val="bottom"/>
            <w:gridSpan w:val="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10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320" w:type="dxa"/>
            <w:vAlign w:val="bottom"/>
            <w:gridSpan w:val="4"/>
          </w:tcPr>
          <w:p>
            <w:pPr>
              <w:jc w:val="center"/>
              <w:ind w:left="292"/>
              <w:spacing w:after="0"/>
              <w:rPr>
                <w:sz w:val="20"/>
                <w:szCs w:val="20"/>
                <w:color w:val="auto"/>
              </w:rPr>
            </w:pPr>
            <w:r>
              <w:rPr>
                <w:rFonts w:ascii="Arial" w:cs="Arial" w:eastAsia="Arial" w:hAnsi="Arial"/>
                <w:sz w:val="18"/>
                <w:szCs w:val="18"/>
                <w:b w:val="1"/>
                <w:bCs w:val="1"/>
                <w:color w:val="auto"/>
                <w:w w:val="99"/>
              </w:rPr>
              <w:t>PART I. FINANCIAL INFORMATION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23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20" w:type="dxa"/>
            <w:vAlign w:val="bottom"/>
            <w:gridSpan w:val="4"/>
          </w:tcPr>
          <w:p>
            <w:pPr>
              <w:jc w:val="center"/>
              <w:ind w:left="312"/>
              <w:spacing w:after="0"/>
              <w:rPr>
                <w:sz w:val="20"/>
                <w:szCs w:val="20"/>
                <w:color w:val="auto"/>
              </w:rPr>
            </w:pPr>
            <w:r>
              <w:rPr>
                <w:rFonts w:ascii="Arial" w:cs="Arial" w:eastAsia="Arial" w:hAnsi="Arial"/>
                <w:sz w:val="18"/>
                <w:szCs w:val="18"/>
                <w:b w:val="1"/>
                <w:bCs w:val="1"/>
                <w:color w:val="auto"/>
                <w:w w:val="89"/>
              </w:rPr>
              <w:t>MagnaChip Semiconductor LLC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320" w:type="dxa"/>
            <w:vAlign w:val="bottom"/>
            <w:gridSpan w:val="4"/>
          </w:tcPr>
          <w:p>
            <w:pPr>
              <w:jc w:val="center"/>
              <w:ind w:left="312"/>
              <w:spacing w:after="0"/>
              <w:rPr>
                <w:sz w:val="20"/>
                <w:szCs w:val="20"/>
                <w:color w:val="auto"/>
              </w:rPr>
            </w:pPr>
            <w:r>
              <w:rPr>
                <w:rFonts w:ascii="Arial" w:cs="Arial" w:eastAsia="Arial" w:hAnsi="Arial"/>
                <w:sz w:val="18"/>
                <w:szCs w:val="18"/>
                <w:b w:val="1"/>
                <w:bCs w:val="1"/>
                <w:color w:val="auto"/>
                <w:w w:val="86"/>
              </w:rPr>
              <w:t>Condensed Consolidated Statements of Operations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50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w w:val="91"/>
              </w:rPr>
              <w:t>(Unaudited; in thousands of US dollars, except unit data)</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22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6"/>
              </w:rPr>
              <w:t>July 1, 2007</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July 2, 2006</w:t>
            </w:r>
          </w:p>
        </w:tc>
        <w:tc>
          <w:tcPr>
            <w:tcW w:w="4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6"/>
              </w:rPr>
              <w:t>July 1, 2007</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6"/>
              </w:rPr>
              <w:t>July 2, 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3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194,053</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197,613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345,836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6"/>
              </w:rPr>
              <w:t>Cost of sales</w:t>
            </w:r>
          </w:p>
        </w:tc>
        <w:tc>
          <w:tcPr>
            <w:tcW w:w="23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166,299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177,342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303,159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42,677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w w:val="93"/>
              </w:rPr>
              <w:t>Selling, general and administrative expenses</w:t>
            </w:r>
          </w:p>
        </w:tc>
        <w:tc>
          <w:tcPr>
            <w:tcW w:w="3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360" w:type="dxa"/>
            <w:vAlign w:val="bottom"/>
            <w:gridSpan w:val="3"/>
            <w:vMerge w:val="continue"/>
          </w:tcPr>
          <w:p>
            <w:pPr>
              <w:spacing w:after="0"/>
              <w:rPr>
                <w:sz w:val="19"/>
                <w:szCs w:val="19"/>
                <w:color w:val="auto"/>
              </w:rPr>
            </w:pP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25,531</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22,025</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48,260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43,556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33,934</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67,652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Restructuring and impairment charges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12,084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93,684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12,084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93,684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86"/>
              </w:rPr>
              <w:t>Operating loss</w:t>
            </w:r>
          </w:p>
        </w:tc>
        <w:tc>
          <w:tcPr>
            <w:tcW w:w="23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(42,395)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(129,372)</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(85,319)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(140,493)</w:t>
            </w:r>
          </w:p>
        </w:tc>
        <w:tc>
          <w:tcPr>
            <w:tcW w:w="0" w:type="dxa"/>
            <w:vAlign w:val="bottom"/>
          </w:tcPr>
          <w:p>
            <w:pPr>
              <w:spacing w:after="0"/>
              <w:rPr>
                <w:sz w:val="1"/>
                <w:szCs w:val="1"/>
                <w:color w:val="auto"/>
              </w:rPr>
            </w:pPr>
          </w:p>
        </w:tc>
      </w:tr>
      <w:tr>
        <w:trPr>
          <w:trHeight w:val="222"/>
        </w:trPr>
        <w:tc>
          <w:tcPr>
            <w:tcW w:w="3360" w:type="dxa"/>
            <w:vAlign w:val="bottom"/>
            <w:gridSpan w:val="3"/>
          </w:tcPr>
          <w:p>
            <w:pPr>
              <w:spacing w:after="0"/>
              <w:rPr>
                <w:sz w:val="20"/>
                <w:szCs w:val="20"/>
                <w:color w:val="auto"/>
              </w:rPr>
            </w:pPr>
            <w:r>
              <w:rPr>
                <w:rFonts w:ascii="Arial" w:cs="Arial" w:eastAsia="Arial" w:hAnsi="Arial"/>
                <w:sz w:val="18"/>
                <w:szCs w:val="18"/>
                <w:color w:val="auto"/>
              </w:rPr>
              <w:t>Other income (expenses)</w:t>
            </w:r>
          </w:p>
        </w:tc>
        <w:tc>
          <w:tcPr>
            <w:tcW w:w="30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(14,352)</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420"/>
              <w:spacing w:after="0"/>
              <w:rPr>
                <w:sz w:val="20"/>
                <w:szCs w:val="20"/>
                <w:color w:val="auto"/>
              </w:rPr>
            </w:pPr>
            <w:r>
              <w:rPr>
                <w:rFonts w:ascii="Arial" w:cs="Arial" w:eastAsia="Arial" w:hAnsi="Arial"/>
                <w:sz w:val="18"/>
                <w:szCs w:val="18"/>
                <w:color w:val="auto"/>
              </w:rPr>
              <w:t>Foreign currency gain (loss), net</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13,868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14,520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6,477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(43,479)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(129,204)</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(108,210)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(130,821)</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Income tax expenses (benefits)</w:t>
            </w:r>
          </w:p>
        </w:tc>
        <w:tc>
          <w:tcPr>
            <w:tcW w:w="3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60" w:type="dxa"/>
            <w:vAlign w:val="bottom"/>
            <w:gridSpan w:val="3"/>
            <w:vMerge w:val="continue"/>
          </w:tcPr>
          <w:p>
            <w:pPr>
              <w:spacing w:after="0"/>
              <w:rPr>
                <w:sz w:val="19"/>
                <w:szCs w:val="19"/>
                <w:color w:val="auto"/>
              </w:rPr>
            </w:pP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1,845</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2,859</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4,096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3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(45,324)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(132,063)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(112,306)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(135,954)</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3"/>
            <w:vMerge w:val="continue"/>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5,853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(48,307)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(134,769)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(118,159)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(141,293)</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Net loss per common units</w:t>
            </w: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3"/>
            <w:vMerge w:val="continue"/>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Basic and diluted</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number of units</w:t>
            </w: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3"/>
            <w:vMerge w:val="continue"/>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Basic and diluted</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52,772,652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53,098,537</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52,746,718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53,101,546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1"/>
              </w:rPr>
              <w:t>July 1, 2007</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2006</w:t>
            </w: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54,734</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117,212</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76,665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71,723</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7,178</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6,754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19,646</w:t>
            </w:r>
          </w:p>
        </w:tc>
        <w:tc>
          <w:tcPr>
            <w:tcW w:w="6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13,626</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270,493</w:t>
            </w:r>
          </w:p>
        </w:tc>
        <w:tc>
          <w:tcPr>
            <w:tcW w:w="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244,064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278,529</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336,279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123,495</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139,729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49,328</w:t>
            </w:r>
          </w:p>
        </w:tc>
        <w:tc>
          <w:tcPr>
            <w:tcW w:w="6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49,981</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721,845</w:t>
            </w:r>
          </w:p>
        </w:tc>
        <w:tc>
          <w:tcPr>
            <w:tcW w:w="60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770,053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80,629</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33,474</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32,423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24,167</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Short-term borrowings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40,000</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6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181,529</w:t>
            </w:r>
          </w:p>
        </w:tc>
        <w:tc>
          <w:tcPr>
            <w:tcW w:w="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121,449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68,453</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62,836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6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1,007,180</w:t>
            </w:r>
          </w:p>
        </w:tc>
        <w:tc>
          <w:tcPr>
            <w:tcW w:w="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937,220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w w:val="97"/>
              </w:rPr>
              <w:t>Series A redeemable convertible preferred units; 60,000 units authorized, 50,091 units issued and 0 unit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640"/>
              <w:spacing w:after="0"/>
              <w:rPr>
                <w:sz w:val="20"/>
                <w:szCs w:val="20"/>
                <w:color w:val="auto"/>
              </w:rPr>
            </w:pPr>
            <w:r>
              <w:rPr>
                <w:rFonts w:ascii="Arial" w:cs="Arial" w:eastAsia="Arial" w:hAnsi="Arial"/>
                <w:sz w:val="18"/>
                <w:szCs w:val="18"/>
                <w:color w:val="auto"/>
              </w:rPr>
              <w:t>outstanding at July 1, 2007 and December 31, 2006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Series B redeemable convertible preferred units; 550,000 units authorized, 450,692 units issued and 93,997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units outstanding at July 1, 2007 and December 31, 2006</w:t>
            </w:r>
          </w:p>
        </w:tc>
        <w:tc>
          <w:tcPr>
            <w:tcW w:w="3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123,227</w:t>
            </w:r>
          </w:p>
        </w:tc>
        <w:tc>
          <w:tcPr>
            <w:tcW w:w="6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117,374</w:t>
            </w:r>
          </w:p>
        </w:tc>
        <w:tc>
          <w:tcPr>
            <w:tcW w:w="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Total redeemable convertible preferred units</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123,227</w:t>
            </w:r>
          </w:p>
        </w:tc>
        <w:tc>
          <w:tcPr>
            <w:tcW w:w="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117,374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w w:val="91"/>
              </w:rPr>
              <w:t>Common units; 65,000,000 units authorized, 52,800,784 and 52,720,784 units issued and outstanding at July 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640"/>
              <w:spacing w:after="0"/>
              <w:rPr>
                <w:sz w:val="20"/>
                <w:szCs w:val="20"/>
                <w:color w:val="auto"/>
              </w:rPr>
            </w:pPr>
            <w:r>
              <w:rPr>
                <w:rFonts w:ascii="Arial" w:cs="Arial" w:eastAsia="Arial" w:hAnsi="Arial"/>
                <w:sz w:val="18"/>
                <w:szCs w:val="18"/>
                <w:color w:val="auto"/>
              </w:rPr>
              <w:t>2007 and December 31, 2006, respectively</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52,801</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52,721</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(490,027)</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(370,314)</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26,143</w:t>
            </w:r>
          </w:p>
        </w:tc>
        <w:tc>
          <w:tcPr>
            <w:tcW w:w="6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30,601</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Total unitholders’ equity</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(408,562)</w:t>
            </w:r>
          </w:p>
        </w:tc>
        <w:tc>
          <w:tcPr>
            <w:tcW w:w="2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(284,541)</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721,845</w:t>
            </w:r>
          </w:p>
        </w:tc>
        <w:tc>
          <w:tcPr>
            <w:tcW w:w="60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770,053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Consolidated Statements of Changes in Unitholders’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940" w:type="dxa"/>
            <w:vAlign w:val="bottom"/>
            <w:gridSpan w:val="5"/>
            <w:vMerge w:val="restart"/>
          </w:tcPr>
          <w:p>
            <w:pPr>
              <w:jc w:val="right"/>
              <w:ind w:right="680"/>
              <w:spacing w:after="0"/>
              <w:rPr>
                <w:sz w:val="20"/>
                <w:szCs w:val="20"/>
                <w:color w:val="auto"/>
              </w:rPr>
            </w:pPr>
            <w:r>
              <w:rPr>
                <w:rFonts w:ascii="Arial" w:cs="Arial" w:eastAsia="Arial" w:hAnsi="Arial"/>
                <w:sz w:val="14"/>
                <w:szCs w:val="14"/>
                <w:b w:val="1"/>
                <w:bCs w:val="1"/>
                <w:color w:val="auto"/>
              </w:rPr>
              <w:t>Common Units</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76"/>
              <w:spacing w:after="0" w:line="148"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56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260"/>
              <w:spacing w:after="0" w:line="116" w:lineRule="exact"/>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10"/>
                <w:szCs w:val="10"/>
                <w:color w:val="auto"/>
              </w:rPr>
            </w:pPr>
          </w:p>
        </w:tc>
        <w:tc>
          <w:tcPr>
            <w:tcW w:w="940" w:type="dxa"/>
            <w:vAlign w:val="bottom"/>
            <w:gridSpan w:val="2"/>
          </w:tcPr>
          <w:p>
            <w:pPr>
              <w:jc w:val="right"/>
              <w:ind w:right="160"/>
              <w:spacing w:after="0" w:line="116"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10"/>
                <w:szCs w:val="10"/>
                <w:color w:val="auto"/>
              </w:rPr>
            </w:pPr>
          </w:p>
        </w:tc>
        <w:tc>
          <w:tcPr>
            <w:tcW w:w="900" w:type="dxa"/>
            <w:vAlign w:val="bottom"/>
            <w:gridSpan w:val="2"/>
          </w:tcPr>
          <w:p>
            <w:pPr>
              <w:spacing w:after="0" w:line="116" w:lineRule="exact"/>
              <w:rPr>
                <w:sz w:val="20"/>
                <w:szCs w:val="20"/>
                <w:color w:val="auto"/>
              </w:rPr>
            </w:pPr>
            <w:r>
              <w:rPr>
                <w:rFonts w:ascii="Arial" w:cs="Arial" w:eastAsia="Arial" w:hAnsi="Arial"/>
                <w:sz w:val="12"/>
                <w:szCs w:val="12"/>
                <w:b w:val="1"/>
                <w:bCs w:val="1"/>
                <w:color w:val="auto"/>
                <w:w w:val="97"/>
              </w:rPr>
              <w:t>Comprehensive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60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Capital</w:t>
            </w:r>
          </w:p>
        </w:tc>
        <w:tc>
          <w:tcPr>
            <w:tcW w:w="10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76"/>
              <w:spacing w:after="0"/>
              <w:rPr>
                <w:sz w:val="20"/>
                <w:szCs w:val="20"/>
                <w:color w:val="auto"/>
              </w:rPr>
            </w:pPr>
            <w:r>
              <w:rPr>
                <w:rFonts w:ascii="Arial" w:cs="Arial" w:eastAsia="Arial" w:hAnsi="Arial"/>
                <w:sz w:val="14"/>
                <w:szCs w:val="14"/>
                <w:b w:val="1"/>
                <w:bCs w:val="1"/>
                <w:color w:val="auto"/>
                <w:w w:val="85"/>
              </w:rPr>
              <w:t>Income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July 2, 2006</w:t>
            </w: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b w:val="1"/>
                <w:bCs w:val="1"/>
                <w:color w:val="auto"/>
              </w:rPr>
              <w:t>Balance at April 2, 2006</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53,130,445</w:t>
            </w:r>
          </w:p>
        </w:tc>
        <w:tc>
          <w:tcPr>
            <w:tcW w:w="16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$53,130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2,279</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 (136,616)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34,263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(46,944)</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 of unit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Repurchase of units issued</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(412,473)</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Unit-based compensation</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Dividends accrued on preferred units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(2,706)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income: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880"/>
              <w:spacing w:after="0"/>
              <w:rPr>
                <w:sz w:val="20"/>
                <w:szCs w:val="20"/>
                <w:color w:val="auto"/>
              </w:rPr>
            </w:pPr>
            <w:r>
              <w:rPr>
                <w:rFonts w:ascii="Arial" w:cs="Arial" w:eastAsia="Arial" w:hAnsi="Arial"/>
                <w:sz w:val="18"/>
                <w:szCs w:val="18"/>
                <w:color w:val="auto"/>
              </w:rPr>
              <w:t>Net loss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(132,063)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(132,063)</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Fair valuation of derivatives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ind w:left="880"/>
              <w:spacing w:after="0"/>
              <w:rPr>
                <w:sz w:val="20"/>
                <w:szCs w:val="20"/>
                <w:color w:val="auto"/>
              </w:rPr>
            </w:pPr>
            <w:r>
              <w:rPr>
                <w:rFonts w:ascii="Arial" w:cs="Arial" w:eastAsia="Arial" w:hAnsi="Arial"/>
                <w:sz w:val="18"/>
                <w:szCs w:val="18"/>
                <w:color w:val="auto"/>
              </w:rPr>
              <w:t>Foreign currency translation adjustments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1,143</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comprehensive income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(129,780)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Balance at July 2, 2006</w:t>
            </w: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0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52,720,784</w:t>
            </w:r>
          </w:p>
        </w:tc>
        <w:tc>
          <w:tcPr>
            <w:tcW w:w="160" w:type="dxa"/>
            <w:vAlign w:val="bottom"/>
          </w:tcPr>
          <w:p>
            <w:pPr>
              <w:spacing w:after="0"/>
              <w:rPr>
                <w:sz w:val="19"/>
                <w:szCs w:val="19"/>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52,721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2,311</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 (271,385)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36,546</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(179,807)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July 2, 2006</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b w:val="1"/>
                <w:bCs w:val="1"/>
                <w:color w:val="auto"/>
              </w:rPr>
              <w:t>Balance at January 1, 2006</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53,091,570</w:t>
            </w:r>
          </w:p>
        </w:tc>
        <w:tc>
          <w:tcPr>
            <w:tcW w:w="16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$53,092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2,169</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 (130,092)</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28,347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(46,484)</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 of unit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41,687</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Repurchase of units issued</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(412,473)</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Unit-based compensation</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Dividends accrued on preferred units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(5,339)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(5,339)</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income: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880"/>
              <w:spacing w:after="0"/>
              <w:rPr>
                <w:sz w:val="20"/>
                <w:szCs w:val="20"/>
                <w:color w:val="auto"/>
              </w:rPr>
            </w:pPr>
            <w:r>
              <w:rPr>
                <w:rFonts w:ascii="Arial" w:cs="Arial" w:eastAsia="Arial" w:hAnsi="Arial"/>
                <w:sz w:val="18"/>
                <w:szCs w:val="18"/>
                <w:color w:val="auto"/>
              </w:rPr>
              <w:t>Net loss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(135,954)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(135,954)</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Fair valuation of derivatives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ind w:left="880"/>
              <w:spacing w:after="0"/>
              <w:rPr>
                <w:sz w:val="20"/>
                <w:szCs w:val="20"/>
                <w:color w:val="auto"/>
              </w:rPr>
            </w:pPr>
            <w:r>
              <w:rPr>
                <w:rFonts w:ascii="Arial" w:cs="Arial" w:eastAsia="Arial" w:hAnsi="Arial"/>
                <w:sz w:val="18"/>
                <w:szCs w:val="18"/>
                <w:color w:val="auto"/>
              </w:rPr>
              <w:t>Foreign currency translation adjustments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4,890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comprehensive income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(127,755)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Balance at July 2, 2006</w:t>
            </w: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0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52,720,784</w:t>
            </w:r>
          </w:p>
        </w:tc>
        <w:tc>
          <w:tcPr>
            <w:tcW w:w="160" w:type="dxa"/>
            <w:vAlign w:val="bottom"/>
          </w:tcPr>
          <w:p>
            <w:pPr>
              <w:spacing w:after="0"/>
              <w:rPr>
                <w:sz w:val="19"/>
                <w:szCs w:val="19"/>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52,721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2,311</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 (271,385)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36,546</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(179,807)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Consolidated Statements of Changes in Unitholders’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70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Pr>
          <w:p>
            <w:pPr>
              <w:spacing w:after="0"/>
              <w:rPr>
                <w:sz w:val="14"/>
                <w:szCs w:val="14"/>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Additional</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0"/>
              </w:rPr>
              <w:t>Other</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Arial" w:cs="Arial" w:eastAsia="Arial" w:hAnsi="Arial"/>
                <w:sz w:val="12"/>
                <w:szCs w:val="12"/>
                <w:b w:val="1"/>
                <w:bCs w:val="1"/>
                <w:color w:val="auto"/>
              </w:rPr>
              <w:t>Paid-In</w:t>
            </w:r>
          </w:p>
        </w:tc>
        <w:tc>
          <w:tcPr>
            <w:tcW w:w="220" w:type="dxa"/>
            <w:vAlign w:val="bottom"/>
          </w:tcPr>
          <w:p>
            <w:pPr>
              <w:spacing w:after="0"/>
              <w:rPr>
                <w:sz w:val="10"/>
                <w:szCs w:val="10"/>
                <w:color w:val="auto"/>
              </w:rPr>
            </w:pPr>
          </w:p>
        </w:tc>
        <w:tc>
          <w:tcPr>
            <w:tcW w:w="1060" w:type="dxa"/>
            <w:vAlign w:val="bottom"/>
            <w:gridSpan w:val="2"/>
          </w:tcPr>
          <w:p>
            <w:pPr>
              <w:jc w:val="right"/>
              <w:ind w:right="300"/>
              <w:spacing w:after="0" w:line="116" w:lineRule="exact"/>
              <w:rPr>
                <w:sz w:val="20"/>
                <w:szCs w:val="20"/>
                <w:color w:val="auto"/>
              </w:rPr>
            </w:pPr>
            <w:r>
              <w:rPr>
                <w:rFonts w:ascii="Arial" w:cs="Arial" w:eastAsia="Arial" w:hAnsi="Arial"/>
                <w:sz w:val="12"/>
                <w:szCs w:val="12"/>
                <w:b w:val="1"/>
                <w:bCs w:val="1"/>
                <w:color w:val="auto"/>
                <w:w w:val="98"/>
              </w:rPr>
              <w:t>Accumulated</w:t>
            </w:r>
          </w:p>
        </w:tc>
        <w:tc>
          <w:tcPr>
            <w:tcW w:w="1200" w:type="dxa"/>
            <w:vAlign w:val="bottom"/>
            <w:gridSpan w:val="3"/>
          </w:tcPr>
          <w:p>
            <w:pPr>
              <w:spacing w:after="0" w:line="116" w:lineRule="exact"/>
              <w:rPr>
                <w:sz w:val="20"/>
                <w:szCs w:val="20"/>
                <w:color w:val="auto"/>
              </w:rPr>
            </w:pPr>
            <w:r>
              <w:rPr>
                <w:rFonts w:ascii="Arial" w:cs="Arial" w:eastAsia="Arial" w:hAnsi="Arial"/>
                <w:sz w:val="12"/>
                <w:szCs w:val="12"/>
                <w:b w:val="1"/>
                <w:bCs w:val="1"/>
                <w:color w:val="auto"/>
              </w:rPr>
              <w:t>Comprehensive</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900" w:type="dxa"/>
            <w:vAlign w:val="bottom"/>
            <w:gridSpan w:val="2"/>
          </w:tcPr>
          <w:p>
            <w:pPr>
              <w:ind w:left="24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5"/>
              <w:spacing w:after="0"/>
              <w:rPr>
                <w:sz w:val="20"/>
                <w:szCs w:val="20"/>
                <w:color w:val="auto"/>
              </w:rPr>
            </w:pPr>
            <w:r>
              <w:rPr>
                <w:rFonts w:ascii="Arial" w:cs="Arial" w:eastAsia="Arial" w:hAnsi="Arial"/>
                <w:sz w:val="14"/>
                <w:szCs w:val="14"/>
                <w:b w:val="1"/>
                <w:bCs w:val="1"/>
                <w:color w:val="auto"/>
                <w:w w:val="85"/>
              </w:rPr>
              <w:t>Capital</w:t>
            </w:r>
          </w:p>
        </w:tc>
        <w:tc>
          <w:tcPr>
            <w:tcW w:w="22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5"/>
                <w:szCs w:val="15"/>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Income</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July 1, 2007</w:t>
            </w: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Balance at April 1, 2007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52,720,784</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$52,721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2,476</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 (441,720)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31,538</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 (354,985)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unit options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Unit-based compensation</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accrued on preferred units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(2,983)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Comprehensive income (loss):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(45,324)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860"/>
              <w:spacing w:after="0"/>
              <w:rPr>
                <w:sz w:val="20"/>
                <w:szCs w:val="20"/>
                <w:color w:val="auto"/>
              </w:rPr>
            </w:pPr>
            <w:r>
              <w:rPr>
                <w:rFonts w:ascii="Arial" w:cs="Arial" w:eastAsia="Arial" w:hAnsi="Arial"/>
                <w:sz w:val="18"/>
                <w:szCs w:val="18"/>
                <w:color w:val="auto"/>
              </w:rPr>
              <w:t>Fair valuation of derivatives</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currency translation adjustments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(5,378)</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420"/>
              <w:spacing w:after="0"/>
              <w:rPr>
                <w:sz w:val="20"/>
                <w:szCs w:val="20"/>
                <w:color w:val="auto"/>
              </w:rPr>
            </w:pPr>
            <w:r>
              <w:rPr>
                <w:rFonts w:ascii="Arial" w:cs="Arial" w:eastAsia="Arial" w:hAnsi="Arial"/>
                <w:sz w:val="18"/>
                <w:szCs w:val="18"/>
                <w:color w:val="auto"/>
              </w:rPr>
              <w:t>Total comprehensive loss</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(50,719)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July 1, 2007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52,800,784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52,801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(490,027)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26,143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(408,562)</w:t>
            </w:r>
          </w:p>
        </w:tc>
        <w:tc>
          <w:tcPr>
            <w:tcW w:w="0" w:type="dxa"/>
            <w:vAlign w:val="bottom"/>
          </w:tcPr>
          <w:p>
            <w:pPr>
              <w:spacing w:after="0"/>
              <w:rPr>
                <w:sz w:val="1"/>
                <w:szCs w:val="1"/>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Six months ended July 1, 2007</w:t>
            </w: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2007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52,720,784</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$52,721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(370,314)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30,601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(284,541)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Exercise of unit options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Unit-based compensation</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Dividends accrued on preferred units</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(5,853)</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 carried over from prior year (FIN 48)</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(1,554)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Comprehensive income (loss):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(112,306)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860"/>
              <w:spacing w:after="0"/>
              <w:rPr>
                <w:sz w:val="20"/>
                <w:szCs w:val="20"/>
                <w:color w:val="auto"/>
              </w:rPr>
            </w:pPr>
            <w:r>
              <w:rPr>
                <w:rFonts w:ascii="Arial" w:cs="Arial" w:eastAsia="Arial" w:hAnsi="Arial"/>
                <w:sz w:val="18"/>
                <w:szCs w:val="18"/>
                <w:color w:val="auto"/>
              </w:rPr>
              <w:t>Fair valuation of derivatives</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(934)</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currency translation adjustments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(3,524)</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420"/>
              <w:spacing w:after="0"/>
              <w:rPr>
                <w:sz w:val="20"/>
                <w:szCs w:val="20"/>
                <w:color w:val="auto"/>
              </w:rPr>
            </w:pPr>
            <w:r>
              <w:rPr>
                <w:rFonts w:ascii="Arial" w:cs="Arial" w:eastAsia="Arial" w:hAnsi="Arial"/>
                <w:sz w:val="18"/>
                <w:szCs w:val="18"/>
                <w:color w:val="auto"/>
              </w:rPr>
              <w:t>Total comprehensive loss</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(116,764)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July 1, 2007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52,800,784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52,801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(490,027)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26,143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(408,562)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w w:val="86"/>
              </w:rPr>
              <w:t>July 1, 2007</w:t>
            </w: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July 2, 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7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Net loss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(112,306)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(135,954)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89,974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102,509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9,379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foreign currency translation, net</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Impairment charges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10,106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(40,442)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(13,237)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31,539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18,857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(47,177)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severance benefits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Other</w:t>
            </w:r>
          </w:p>
        </w:tc>
        <w:tc>
          <w:tcPr>
            <w:tcW w:w="1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(49,967)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7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Purchase of plant, property and equipment</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(24,399)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plant, property and equipment</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Proceeds from disposal of intangible assets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Decrease in restricted cash</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Other</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(24,126)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(14,565)</w:t>
            </w:r>
          </w:p>
        </w:tc>
        <w:tc>
          <w:tcPr>
            <w:tcW w:w="0" w:type="dxa"/>
            <w:vAlign w:val="bottom"/>
          </w:tcPr>
          <w:p>
            <w:pPr>
              <w:spacing w:after="0"/>
              <w:rPr>
                <w:sz w:val="1"/>
                <w:szCs w:val="1"/>
                <w:color w:val="auto"/>
              </w:rPr>
            </w:pPr>
          </w:p>
        </w:tc>
      </w:tr>
      <w:tr>
        <w:trPr>
          <w:trHeight w:val="221"/>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7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Exercise of unit options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Repurchase of common units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short-term borrowings</w:t>
            </w:r>
          </w:p>
        </w:tc>
        <w:tc>
          <w:tcPr>
            <w:tcW w:w="17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40,080</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40" w:type="dxa"/>
            <w:vAlign w:val="bottom"/>
            <w:gridSpan w:val="2"/>
            <w:vMerge w:val="continue"/>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(34,439)</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7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1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54,734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ind w:right="8900" w:firstLine="8"/>
        <w:spacing w:after="0" w:line="391" w:lineRule="auto"/>
        <w:tabs>
          <w:tab w:leader="none" w:pos="17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w:t>
      </w:r>
      <w:r>
        <w:rPr>
          <w:rFonts w:ascii="Arial" w:cs="Arial" w:eastAsia="Arial" w:hAnsi="Arial"/>
          <w:sz w:val="16"/>
          <w:szCs w:val="16"/>
          <w:b w:val="1"/>
          <w:bCs w:val="1"/>
          <w:i w:val="1"/>
          <w:iCs w:val="1"/>
          <w:color w:val="auto"/>
        </w:rPr>
        <w:t>Basis of Presentation</w:t>
      </w:r>
    </w:p>
    <w:p>
      <w:pPr>
        <w:spacing w:after="0" w:line="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The accompanying unaudited interim condensed consolidated financial statements of MagnaChip Semiconductor LLC and its subsidiaries (the “Company”) have been prepared in accordance with Accounting Principle Board (“APB”) Opinion No. 28,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xml:space="preserve"> regarding interim financial information and, accordingly, do not include all of the information and note disclosures required by generally accepted accounting principles in the United States of America for complete financial statements. In the opinion of the Company’s management, the unaudited interim condensed consolidated financial statements include all normal recurring adjustments necessary to fairly present the information required to be set forth therein. All inter-company accounts and transactions have been eliminated. These financial statements should be read in conjunction with the audited consolidated financial statements and notes thereto included in the Company’s Annual Report on Form 10-K for the year ended December 31, 2006, which was filed with the SEC on March 30, 2007. The results of operations for the six-month period ended July 1, 2007 are not necessarily indicative of the results to be expected for a full year or for any other periods.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February 2007, the Financial Accounting Standards Board (“FASB”) issued Statements of Financial Accounting Standards (“SFAS”) No. 159, “</w:t>
      </w:r>
      <w:r>
        <w:rPr>
          <w:rFonts w:ascii="Arial" w:cs="Arial" w:eastAsia="Arial" w:hAnsi="Arial"/>
          <w:sz w:val="16"/>
          <w:szCs w:val="16"/>
          <w:i w:val="1"/>
          <w:iCs w:val="1"/>
          <w:color w:val="auto"/>
        </w:rPr>
        <w:t>The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 Option for Financial Assets and Financial Liabilities,</w:t>
      </w:r>
      <w:r>
        <w:rPr>
          <w:rFonts w:ascii="Arial" w:cs="Arial" w:eastAsia="Arial" w:hAnsi="Arial"/>
          <w:sz w:val="16"/>
          <w:szCs w:val="16"/>
          <w:color w:val="auto"/>
        </w:rPr>
        <w:t>” which provides companies with an option to report selected financial assets and liabilities at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in an attempt to reduce both complexity in accounting for financial instruments and the volatility in earnings caused by measuring related assets and liabilities differently. This Statement is effective as of the beginning of an entity’s first fiscal year beginning after November 15, 2007. The Company is currently evaluating the impact that the adoption may have on its consolidated financial statements.</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Statement defines fair value, establishes a framework for measuring fair value and requires enhanced disclosures about fair value measurements. SFAS 157 requires companies to disclose the fair value of their financial instruments according to a fair value hierarchy, as defined and may be required to provide additional disclosures based on that hierarchy. SFAS 157 is effective for financial statements issued for fiscal years beginning after November 15, 2007. The Company is currently evaluating the impact that the adoption may have on its consolidated financial statements.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as of July 1, 2007 and December 31, 2006 consist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6"/>
              </w:rPr>
              <w:t>July 1, 2007</w:t>
            </w:r>
          </w:p>
        </w:tc>
        <w:tc>
          <w:tcPr>
            <w:tcW w:w="820" w:type="dxa"/>
            <w:vAlign w:val="bottom"/>
            <w:gridSpan w:val="2"/>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9,160</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60,327</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11,127</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Materials in-transit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810</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(9,701)</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(11,652)</w:t>
            </w:r>
          </w:p>
        </w:tc>
        <w:tc>
          <w:tcPr>
            <w:tcW w:w="0" w:type="dxa"/>
            <w:vAlign w:val="bottom"/>
          </w:tcPr>
          <w:p>
            <w:pPr>
              <w:spacing w:after="0"/>
              <w:rPr>
                <w:sz w:val="1"/>
                <w:szCs w:val="1"/>
                <w:color w:val="auto"/>
              </w:rPr>
            </w:pPr>
          </w:p>
        </w:tc>
      </w:tr>
      <w:tr>
        <w:trPr>
          <w:trHeight w:val="221"/>
        </w:trPr>
        <w:tc>
          <w:tcPr>
            <w:tcW w:w="8280" w:type="dxa"/>
            <w:vAlign w:val="bottom"/>
            <w:gridSpan w:val="2"/>
          </w:tcPr>
          <w:p>
            <w:pPr>
              <w:ind w:left="460"/>
              <w:spacing w:after="0"/>
              <w:rPr>
                <w:sz w:val="20"/>
                <w:szCs w:val="20"/>
                <w:color w:val="auto"/>
              </w:rPr>
            </w:pPr>
            <w:r>
              <w:rPr>
                <w:rFonts w:ascii="Arial" w:cs="Arial" w:eastAsia="Arial" w:hAnsi="Arial"/>
                <w:sz w:val="18"/>
                <w:szCs w:val="18"/>
                <w:color w:val="auto"/>
              </w:rPr>
              <w:t>Inventories, net</w:t>
            </w: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71,723</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jc w:val="right"/>
              <w:ind w:right="5652"/>
              <w:spacing w:after="0"/>
              <w:rPr>
                <w:sz w:val="20"/>
                <w:szCs w:val="20"/>
                <w:color w:val="auto"/>
              </w:rPr>
            </w:pPr>
            <w:r>
              <w:rPr>
                <w:rFonts w:ascii="Arial" w:cs="Arial" w:eastAsia="Arial" w:hAnsi="Arial"/>
                <w:sz w:val="18"/>
                <w:szCs w:val="18"/>
                <w:b w:val="1"/>
                <w:bCs w:val="1"/>
                <w:color w:val="auto"/>
                <w:w w:val="89"/>
              </w:rPr>
              <w:t>3. Property, Plant and Equipment</w:t>
            </w: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2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80" w:type="dxa"/>
            <w:vAlign w:val="bottom"/>
            <w:gridSpan w:val="2"/>
          </w:tcPr>
          <w:p>
            <w:pPr>
              <w:ind w:left="460"/>
              <w:spacing w:after="0"/>
              <w:rPr>
                <w:sz w:val="20"/>
                <w:szCs w:val="20"/>
                <w:color w:val="auto"/>
              </w:rPr>
            </w:pPr>
            <w:r>
              <w:rPr>
                <w:rFonts w:ascii="Arial" w:cs="Arial" w:eastAsia="Arial" w:hAnsi="Arial"/>
                <w:sz w:val="18"/>
                <w:szCs w:val="18"/>
                <w:color w:val="auto"/>
              </w:rPr>
              <w:t>Property, plant and equipment as of July 1, 2007 and December 31, 2006 comprise the following:</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8"/>
              </w:rPr>
              <w:t>July 1, 2007</w:t>
            </w:r>
          </w:p>
        </w:tc>
        <w:tc>
          <w:tcPr>
            <w:tcW w:w="740" w:type="dxa"/>
            <w:vAlign w:val="bottom"/>
          </w:tcPr>
          <w:p>
            <w:pPr>
              <w:spacing w:after="0"/>
              <w:rPr>
                <w:sz w:val="24"/>
                <w:szCs w:val="2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1520" w:type="dxa"/>
            <w:vAlign w:val="bottom"/>
            <w:gridSpan w:val="5"/>
            <w:shd w:val="clear" w:color="auto" w:fill="CCEEFF"/>
          </w:tcPr>
          <w:p>
            <w:pPr>
              <w:jc w:val="right"/>
              <w:ind w:right="740"/>
              <w:spacing w:after="0"/>
              <w:rPr>
                <w:sz w:val="20"/>
                <w:szCs w:val="20"/>
                <w:color w:val="auto"/>
              </w:rPr>
            </w:pPr>
            <w:r>
              <w:rPr>
                <w:rFonts w:ascii="Arial" w:cs="Arial" w:eastAsia="Arial" w:hAnsi="Arial"/>
                <w:sz w:val="18"/>
                <w:szCs w:val="18"/>
                <w:color w:val="auto"/>
                <w:w w:val="94"/>
              </w:rPr>
              <w:t>$ 153,110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ind w:right="740"/>
              <w:spacing w:after="0"/>
              <w:rPr>
                <w:sz w:val="20"/>
                <w:szCs w:val="20"/>
                <w:color w:val="auto"/>
              </w:rPr>
            </w:pPr>
            <w:r>
              <w:rPr>
                <w:rFonts w:ascii="Arial" w:cs="Arial" w:eastAsia="Arial" w:hAnsi="Arial"/>
                <w:sz w:val="18"/>
                <w:szCs w:val="18"/>
                <w:color w:val="auto"/>
                <w:w w:val="98"/>
              </w:rPr>
              <w:t>383,696</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369,683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Vehicles and others</w:t>
            </w: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50,263</w:t>
            </w:r>
          </w:p>
        </w:tc>
        <w:tc>
          <w:tcPr>
            <w:tcW w:w="7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jc w:val="right"/>
              <w:ind w:right="740"/>
              <w:spacing w:after="0"/>
              <w:rPr>
                <w:sz w:val="20"/>
                <w:szCs w:val="20"/>
                <w:color w:val="auto"/>
              </w:rPr>
            </w:pPr>
            <w:r>
              <w:rPr>
                <w:rFonts w:ascii="Arial" w:cs="Arial" w:eastAsia="Arial" w:hAnsi="Arial"/>
                <w:sz w:val="18"/>
                <w:szCs w:val="18"/>
                <w:color w:val="auto"/>
                <w:w w:val="98"/>
              </w:rPr>
              <w:t>587,069</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574,838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w w:val="90"/>
              </w:rPr>
              <w:t>(321,121)</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(252,814)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Land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ind w:right="740"/>
              <w:spacing w:after="0"/>
              <w:rPr>
                <w:sz w:val="20"/>
                <w:szCs w:val="20"/>
                <w:color w:val="auto"/>
              </w:rPr>
            </w:pPr>
            <w:r>
              <w:rPr>
                <w:rFonts w:ascii="Arial" w:cs="Arial" w:eastAsia="Arial" w:hAnsi="Arial"/>
                <w:sz w:val="18"/>
                <w:szCs w:val="18"/>
                <w:color w:val="auto"/>
              </w:rPr>
              <w:t>12,581</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in-progress</w:t>
            </w: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80" w:type="dxa"/>
            <w:vAlign w:val="bottom"/>
            <w:gridSpan w:val="2"/>
          </w:tcPr>
          <w:p>
            <w:pPr>
              <w:ind w:left="460"/>
              <w:spacing w:after="0"/>
              <w:rPr>
                <w:sz w:val="20"/>
                <w:szCs w:val="20"/>
                <w:color w:val="auto"/>
              </w:rPr>
            </w:pPr>
            <w:r>
              <w:rPr>
                <w:rFonts w:ascii="Arial" w:cs="Arial" w:eastAsia="Arial" w:hAnsi="Arial"/>
                <w:sz w:val="18"/>
                <w:szCs w:val="18"/>
                <w:color w:val="auto"/>
              </w:rPr>
              <w:t>Property, plant and equipment, net</w:t>
            </w:r>
          </w:p>
        </w:tc>
        <w:tc>
          <w:tcPr>
            <w:tcW w:w="1520" w:type="dxa"/>
            <w:vAlign w:val="bottom"/>
            <w:gridSpan w:val="5"/>
          </w:tcPr>
          <w:p>
            <w:pPr>
              <w:jc w:val="right"/>
              <w:ind w:right="740"/>
              <w:spacing w:after="0"/>
              <w:rPr>
                <w:sz w:val="20"/>
                <w:szCs w:val="20"/>
                <w:color w:val="auto"/>
              </w:rPr>
            </w:pPr>
            <w:r>
              <w:rPr>
                <w:rFonts w:ascii="Arial" w:cs="Arial" w:eastAsia="Arial" w:hAnsi="Arial"/>
                <w:sz w:val="18"/>
                <w:szCs w:val="18"/>
                <w:color w:val="auto"/>
                <w:w w:val="94"/>
              </w:rPr>
              <w:t>$ 278,529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336,279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jc w:val="right"/>
              <w:ind w:right="2432"/>
              <w:spacing w:after="0"/>
              <w:rPr>
                <w:sz w:val="20"/>
                <w:szCs w:val="20"/>
                <w:color w:val="auto"/>
              </w:rPr>
            </w:pPr>
            <w:r>
              <w:rPr>
                <w:rFonts w:ascii="Arial" w:cs="Arial" w:eastAsia="Arial" w:hAnsi="Arial"/>
                <w:sz w:val="18"/>
                <w:szCs w:val="18"/>
                <w:color w:val="auto"/>
              </w:rPr>
              <w:t>7</w:t>
            </w: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as of July 1, 2007 and December 31, 2006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July 1, 2007</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2006</w:t>
            </w: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21,460</w:t>
            </w:r>
          </w:p>
        </w:tc>
        <w:tc>
          <w:tcPr>
            <w:tcW w:w="7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21,289</w:t>
            </w:r>
          </w:p>
        </w:tc>
        <w:tc>
          <w:tcPr>
            <w:tcW w:w="6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171,286</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170,209</w:t>
            </w:r>
          </w:p>
        </w:tc>
        <w:tc>
          <w:tcPr>
            <w:tcW w:w="6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15,095</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15,095</w:t>
            </w:r>
          </w:p>
        </w:tc>
        <w:tc>
          <w:tcPr>
            <w:tcW w:w="6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Intellectual property assets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9,553</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9,742</w:t>
            </w:r>
          </w:p>
        </w:tc>
        <w:tc>
          <w:tcPr>
            <w:tcW w:w="6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(93,899)</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(76,606)</w:t>
            </w:r>
          </w:p>
        </w:tc>
      </w:tr>
      <w:tr>
        <w:trPr>
          <w:trHeight w:val="222"/>
        </w:trPr>
        <w:tc>
          <w:tcPr>
            <w:tcW w:w="7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123,495</w:t>
            </w:r>
          </w:p>
        </w:tc>
        <w:tc>
          <w:tcPr>
            <w:tcW w:w="7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139,729</w:t>
            </w:r>
          </w:p>
        </w:tc>
        <w:tc>
          <w:tcPr>
            <w:tcW w:w="6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Product Warranties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records, in other current liabilities, warranty liabilities for the estimated costs that may be incurred under its basic limited warranty. This warranty covers defective products, and related liabilities are accrued when product revenues are recognized. Factors that affect the Company’s warranty liability include historical and anticipated rates of warranty claims and repair costs per claim to satisfy the Company’s warranty obligation. As these factors are impacted by actual experience and future expectations, the Company periodically assesses the adequacy of its recorded warranty liabilities and adjusts the amounts when necessary.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accrued warranty liabilities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4"/>
              </w:rPr>
              <w:t>Three months ended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4"/>
          </w:tcPr>
          <w:p>
            <w:pPr>
              <w:ind w:left="220"/>
              <w:spacing w:after="0"/>
              <w:rPr>
                <w:sz w:val="20"/>
                <w:szCs w:val="20"/>
                <w:color w:val="auto"/>
              </w:rPr>
            </w:pPr>
            <w:r>
              <w:rPr>
                <w:rFonts w:ascii="Arial" w:cs="Arial" w:eastAsia="Arial" w:hAnsi="Arial"/>
                <w:sz w:val="14"/>
                <w:szCs w:val="14"/>
                <w:b w:val="1"/>
                <w:bCs w:val="1"/>
                <w:color w:val="auto"/>
                <w:w w:val="86"/>
              </w:rPr>
              <w:t>Six months ended</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1, 2007</w:t>
            </w: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July 2, 2006</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1, 2007</w:t>
            </w: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July 2, 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Addition to (reversal of) warranty reserve</w:t>
            </w:r>
          </w:p>
        </w:tc>
        <w:tc>
          <w:tcPr>
            <w:tcW w:w="22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(693)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Payments made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22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Short-term borrowings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December 23, 2004, the Company and its subsidiaries, including MagnaChip Semiconductor S.A. and MagnaChip Semiconductor Finance Company, as borrowers, entered into a senior credit agreement with a syndicate of banks, financial institutions and other entities providing for a $100 million senior secured revolving credit facility. Interest is charged at current rates when drawn upon.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senior secured revolving credit facility, among other things, on the last day of each fiscal month, the Company is required to maintain the sum of</w:t>
      </w:r>
    </w:p>
    <w:p>
      <w:pPr>
        <w:spacing w:after="0" w:line="38" w:lineRule="exact"/>
        <w:rPr>
          <w:sz w:val="20"/>
          <w:szCs w:val="20"/>
          <w:color w:val="auto"/>
        </w:rPr>
      </w:pPr>
    </w:p>
    <w:p>
      <w:pPr>
        <w:ind w:right="20" w:firstLine="8"/>
        <w:spacing w:after="0" w:line="292" w:lineRule="auto"/>
        <w:tabs>
          <w:tab w:leader="none" w:pos="288"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unutilized and available revolving commitments and (B) the qualified and unrestricted cash and cash equivalents held by the borrowers and the guarantors to be not less than $ 75,000,000 (“Liquidity Requirement”). Presently, borrowings under the credit agreement bear interest equal to the 3-month LIBOR plus 4.75% or Alternate Base Rate (“ABR”) plus 3.75%. Additionally, the Company is required to pay the administrative agent for the account of each lender a commitment fee equal to 0.5% on the average daily unused amount of the commitment of each Lender during the period from December 23, 2004 to but excluding the date on which such commitments terminate. At July 1, 2007, the Company had borrowed $40.0 million under this credit agreement.</w:t>
      </w:r>
    </w:p>
    <w:p>
      <w:pPr>
        <w:spacing w:after="0" w:line="11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Borrowings under the senior secured credit facility are subject to significant conditions, including compliance with financial ratios and other covenants and obligations.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June 28, 2007, the Company entered into the Seventh Amendment to Credit Agreement, dated as of June 28, 2007 (the “Seventh Amendment”), with MagnaChip Semiconductor S.A. and MagnaChip Semiconductor Finance Company, as borrowers, the Subsidiary Guarantors party thereto, the Lenders party thereto, and UBS AG, Stamford Branch, as administrative agent and collateral agent. Under the Seventh Amendment, among other things, the use of proceeds provision under Section 3.12 of the Credit Agreement was revised to provide increased flexibility for MagnaChip Semiconductor S.A. to use proceeds of any borrowing under the Credit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short-term borrowings as of July 1, 2007 are presented as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8"/>
              </w:rPr>
              <w:t>Amount of</w:t>
            </w:r>
          </w:p>
        </w:tc>
      </w:tr>
      <w:tr>
        <w:trPr>
          <w:trHeight w:val="161"/>
        </w:trPr>
        <w:tc>
          <w:tcPr>
            <w:tcW w:w="6500" w:type="dxa"/>
            <w:vAlign w:val="bottom"/>
          </w:tcPr>
          <w:p>
            <w:pPr>
              <w:spacing w:after="0"/>
              <w:rPr>
                <w:sz w:val="14"/>
                <w:szCs w:val="14"/>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Maturity</w:t>
            </w:r>
          </w:p>
        </w:tc>
        <w:tc>
          <w:tcPr>
            <w:tcW w:w="300" w:type="dxa"/>
            <w:vAlign w:val="bottom"/>
          </w:tcPr>
          <w:p>
            <w:pPr>
              <w:spacing w:after="0"/>
              <w:rPr>
                <w:sz w:val="14"/>
                <w:szCs w:val="14"/>
                <w:color w:val="auto"/>
              </w:rPr>
            </w:pPr>
          </w:p>
        </w:tc>
        <w:tc>
          <w:tcPr>
            <w:tcW w:w="1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Annual interest rate (%)</w:t>
            </w: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principal</w:t>
            </w:r>
          </w:p>
        </w:tc>
        <w:tc>
          <w:tcPr>
            <w:tcW w:w="20" w:type="dxa"/>
            <w:vAlign w:val="bottom"/>
          </w:tcPr>
          <w:p>
            <w:pPr>
              <w:spacing w:after="0"/>
              <w:rPr>
                <w:sz w:val="14"/>
                <w:szCs w:val="14"/>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Euro dollar Revolving Loan</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2007-09-21</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w w:val="99"/>
              </w:rPr>
              <w:t>3 month LIBOR + 4.75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Euro dollar Revolving Loan</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2007-09-24</w:t>
            </w:r>
          </w:p>
        </w:tc>
        <w:tc>
          <w:tcPr>
            <w:tcW w:w="1800" w:type="dxa"/>
            <w:vAlign w:val="bottom"/>
          </w:tcPr>
          <w:p>
            <w:pPr>
              <w:spacing w:after="0"/>
              <w:rPr>
                <w:sz w:val="20"/>
                <w:szCs w:val="20"/>
                <w:color w:val="auto"/>
              </w:rPr>
            </w:pPr>
            <w:r>
              <w:rPr>
                <w:rFonts w:ascii="Arial" w:cs="Arial" w:eastAsia="Arial" w:hAnsi="Arial"/>
                <w:sz w:val="18"/>
                <w:szCs w:val="18"/>
                <w:color w:val="auto"/>
                <w:w w:val="99"/>
              </w:rPr>
              <w:t>3 month LIBOR + 4.75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13,000</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ABR Revolving Loan</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2007-07-03</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ABR + 3.75</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20,000</w:t>
            </w:r>
          </w:p>
        </w:tc>
        <w:tc>
          <w:tcPr>
            <w:tcW w:w="20" w:type="dxa"/>
            <w:vAlign w:val="bottom"/>
          </w:tcPr>
          <w:p>
            <w:pPr>
              <w:spacing w:after="0"/>
              <w:rPr>
                <w:sz w:val="18"/>
                <w:szCs w:val="18"/>
                <w:color w:val="auto"/>
              </w:rPr>
            </w:pPr>
          </w:p>
        </w:tc>
      </w:tr>
      <w:tr>
        <w:trPr>
          <w:trHeight w:val="222"/>
        </w:trPr>
        <w:tc>
          <w:tcPr>
            <w:tcW w:w="6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40,000</w:t>
            </w:r>
          </w:p>
        </w:tc>
      </w:tr>
      <w:tr>
        <w:trPr>
          <w:trHeight w:val="20"/>
        </w:trPr>
        <w:tc>
          <w:tcPr>
            <w:tcW w:w="6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ind w:left="460" w:right="960"/>
        <w:spacing w:after="0" w:line="440" w:lineRule="auto"/>
        <w:rPr>
          <w:sz w:val="20"/>
          <w:szCs w:val="20"/>
          <w:color w:val="auto"/>
        </w:rPr>
      </w:pPr>
      <w:r>
        <w:rPr>
          <w:rFonts w:ascii="Arial" w:cs="Arial" w:eastAsia="Arial" w:hAnsi="Arial"/>
          <w:sz w:val="18"/>
          <w:szCs w:val="18"/>
          <w:color w:val="auto"/>
        </w:rPr>
        <w:t>Subsequent to quarter end, on July 3, 2007, we repaid the ABR Revolving Loan in the amount of $20 million from cash on hand. 9</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Borrowings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23, 2004, two of the Company’s subsidiaries, MagnaChip Semiconductor S.A. and MagnaChip Semiconductor Finance Company issued</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$500 million aggregate principal amount of Second Priority Senior Secured Notes consisting of $300 million aggregate principal amount of Floating Rate Second</w:t>
      </w:r>
    </w:p>
    <w:p>
      <w:pPr>
        <w:spacing w:after="0" w:line="32"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color w:val="auto"/>
        </w:rPr>
        <w:t xml:space="preserve">Priority Senior Secured Notes and $200 million aggregate principal amount of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At the same time, such subsidiaries issued $250 million aggregate principal amount of 8% Senior Subordinated Notes.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long-term borrowings as of July 1, 2007 and December 31, 2006 are presented as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Amount of</w:t>
            </w:r>
          </w:p>
        </w:tc>
      </w:tr>
      <w:tr>
        <w:trPr>
          <w:trHeight w:val="161"/>
        </w:trPr>
        <w:tc>
          <w:tcPr>
            <w:tcW w:w="68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Maturity</w:t>
            </w:r>
          </w:p>
        </w:tc>
        <w:tc>
          <w:tcPr>
            <w:tcW w:w="300" w:type="dxa"/>
            <w:vAlign w:val="bottom"/>
          </w:tcPr>
          <w:p>
            <w:pPr>
              <w:spacing w:after="0"/>
              <w:rPr>
                <w:sz w:val="14"/>
                <w:szCs w:val="14"/>
                <w:color w:val="auto"/>
              </w:rPr>
            </w:pPr>
          </w:p>
        </w:tc>
        <w:tc>
          <w:tcPr>
            <w:tcW w:w="18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Annual interest rate (%)</w:t>
            </w:r>
          </w:p>
        </w:tc>
        <w:tc>
          <w:tcPr>
            <w:tcW w:w="300" w:type="dxa"/>
            <w:vAlign w:val="bottom"/>
          </w:tcPr>
          <w:p>
            <w:pPr>
              <w:spacing w:after="0"/>
              <w:rPr>
                <w:sz w:val="14"/>
                <w:szCs w:val="1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principal</w:t>
            </w:r>
          </w:p>
        </w:tc>
        <w:tc>
          <w:tcPr>
            <w:tcW w:w="20" w:type="dxa"/>
            <w:vAlign w:val="bottom"/>
          </w:tcPr>
          <w:p>
            <w:pPr>
              <w:spacing w:after="0"/>
              <w:rPr>
                <w:sz w:val="14"/>
                <w:szCs w:val="14"/>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Floating Rate Second Priority Senior Secured Notes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3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3 month LIBOR + 3.250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$ 300,000</w:t>
            </w:r>
          </w:p>
        </w:tc>
        <w:tc>
          <w:tcPr>
            <w:tcW w:w="20" w:type="dxa"/>
            <w:vAlign w:val="bottom"/>
          </w:tcPr>
          <w:p>
            <w:pPr>
              <w:spacing w:after="0"/>
              <w:rPr>
                <w:sz w:val="18"/>
                <w:szCs w:val="18"/>
                <w:color w:val="auto"/>
              </w:rPr>
            </w:pPr>
          </w:p>
        </w:tc>
      </w:tr>
      <w:tr>
        <w:trPr>
          <w:trHeight w:val="216"/>
        </w:trPr>
        <w:tc>
          <w:tcPr>
            <w:tcW w:w="6820" w:type="dxa"/>
            <w:vAlign w:val="bottom"/>
          </w:tcPr>
          <w:p>
            <w:pPr>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w:t>
            </w:r>
          </w:p>
        </w:tc>
        <w:tc>
          <w:tcPr>
            <w:tcW w:w="540" w:type="dxa"/>
            <w:vAlign w:val="bottom"/>
          </w:tcPr>
          <w:p>
            <w:pPr>
              <w:jc w:val="right"/>
              <w:spacing w:after="0"/>
              <w:rPr>
                <w:sz w:val="20"/>
                <w:szCs w:val="20"/>
                <w:color w:val="auto"/>
              </w:rPr>
            </w:pPr>
            <w:r>
              <w:rPr>
                <w:rFonts w:ascii="Arial" w:cs="Arial" w:eastAsia="Arial" w:hAnsi="Arial"/>
                <w:sz w:val="18"/>
                <w:szCs w:val="18"/>
                <w:color w:val="auto"/>
              </w:rPr>
              <w:t>2011</w:t>
            </w:r>
          </w:p>
        </w:tc>
        <w:tc>
          <w:tcPr>
            <w:tcW w:w="2420" w:type="dxa"/>
            <w:vAlign w:val="bottom"/>
            <w:gridSpan w:val="3"/>
          </w:tcPr>
          <w:p>
            <w:pPr>
              <w:jc w:val="right"/>
              <w:ind w:right="300"/>
              <w:spacing w:after="0"/>
              <w:rPr>
                <w:sz w:val="20"/>
                <w:szCs w:val="20"/>
                <w:color w:val="auto"/>
              </w:rPr>
            </w:pPr>
            <w:r>
              <w:rPr>
                <w:rFonts w:ascii="Arial" w:cs="Arial" w:eastAsia="Arial" w:hAnsi="Arial"/>
                <w:sz w:val="18"/>
                <w:szCs w:val="18"/>
                <w:color w:val="auto"/>
              </w:rPr>
              <w:t>6.875</w:t>
            </w:r>
          </w:p>
        </w:tc>
        <w:tc>
          <w:tcPr>
            <w:tcW w:w="720" w:type="dxa"/>
            <w:vAlign w:val="bottom"/>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8% Senior Subordinated Notes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8.000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r>
      <w:tr>
        <w:trPr>
          <w:trHeight w:val="222"/>
        </w:trPr>
        <w:tc>
          <w:tcPr>
            <w:tcW w:w="6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$ 750,000</w:t>
            </w:r>
          </w:p>
        </w:tc>
      </w:tr>
      <w:tr>
        <w:trPr>
          <w:trHeight w:val="20"/>
        </w:trPr>
        <w:tc>
          <w:tcPr>
            <w:tcW w:w="6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secured revolving credit facility and Second Priority Senior Secured Notes are collateralized by substantially all of the assets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be paid in full upon maturity.</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indenture governing the notes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 (vii) sell all or substantially all of its assets or merge with or into other companies.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of July 1, 2007, the Company and all of its subsidiaries except for MagnaChip Semiconductor (Shanghai) Company Limited have jointly and severally guaranteed each series of the Second Priority Senior Secured Notes on a second priority senior secured basis. As of July 1, 2007, the Company and its subsidiaries except for MagnaChip Semiconductor Ltd. (Korea) and MagnaChip Semiconductor (Shanghai) Company Limited have jointly and severally guaranteed the Senior Subordinated Notes on an unsecured, senior subordinated basis. In addition, the Company and each of its current and future direct and indirect subsidiaries (subject to certain exceptions) will be guarantors of the Second Priority Senior Secured Notes and Senior Subordinated Notes.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Effective June 27, 2005, the Company entered into an interest rate swap agreement (the “Swap”) that converted the variable interest rate of three-month London Inter-bank Offering Rate (“LIBOR”) plus 3.25% to a fixed interest rate of 7.34% on the Company’s Floating Rate Second Priority Senior Secured Notes (the “Notes”). This Swap will be in effect until June 15, 2008.</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The Swap qualifies as an effective cash flow hedge under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as amended. The Company is utilizing the “hypothetical derivative method” to measure the effectiveness by comparing the changes in value of the actual derivative versus the change in fair value of the “hypothetical derivative.” Under this methodology, the actual swap was effective when compared to the hypothetical hedge.</w:t>
      </w:r>
    </w:p>
    <w:p>
      <w:pPr>
        <w:spacing w:after="0" w:line="10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For the six-month period ended July 1, 2007, the Company recorded changes in the fair value of the Swap amounting to $934 thousand, under other comprehensive income in the accompanying condensed consolidated financial statements. In addition, during the same period, the Company recognized interest income of $1,901 thousand, which represents the differences between fixed and variable rates.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Severance Benefits</w:t>
      </w:r>
    </w:p>
    <w:p>
      <w:pPr>
        <w:spacing w:after="0" w:line="96"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The majority of accrued severance benefits is for employees in the Company’s Korean subsidiary. Pursuant to the Labor Standards Act of Korea, most employees and executive officers with one or more years of service are entitled to severance benefits upon the termination of their employment based on their length of service and rate of pay. As of July 1, 2007, 97% of all employees of the Company were eligible for severance benefits.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value of accrued severance benefits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6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July 1, 2007</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3"/>
              </w:rPr>
              <w:t>July 2, 2006</w:t>
            </w:r>
          </w:p>
        </w:tc>
        <w:tc>
          <w:tcPr>
            <w:tcW w:w="380" w:type="dxa"/>
            <w:vAlign w:val="bottom"/>
          </w:tcPr>
          <w:p>
            <w:pPr>
              <w:spacing w:after="0"/>
              <w:rPr>
                <w:sz w:val="12"/>
                <w:szCs w:val="12"/>
                <w:color w:val="auto"/>
              </w:rPr>
            </w:pPr>
          </w:p>
        </w:tc>
        <w:tc>
          <w:tcPr>
            <w:tcW w:w="9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1, 2007</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July 2, 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65,101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59,249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64,642</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56,967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Provisions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5,198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2,320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9,379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Effect of foreign currency translation and other</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70,182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60,793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70,182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60,793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Less: Cumulative contributions to the National Pension Fund</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(816)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(888)</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(816)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Group Severance insurance plan</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68,453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58,958</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68,453</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58,958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severance benefits are funded approximately 2.46% and 3.02% as of July 1, 2007 and July 2, 2006, respectively, through the Company’s National Pension Fund and group severance insurance plan which will be used exclusively for payment of severance benefits to eligible employees. These amounts have been deducted from the accrued severance benefit balance.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Company expects to pay the following future benefits to its employees upon their normal retirement age:</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Severance benefit</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20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2009</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2011</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2013 – 2017</w:t>
            </w:r>
          </w:p>
        </w:tc>
        <w:tc>
          <w:tcPr>
            <w:tcW w:w="3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5,110</w:t>
            </w:r>
          </w:p>
        </w:tc>
      </w:tr>
    </w:tbl>
    <w:p>
      <w:pPr>
        <w:spacing w:after="0" w:line="14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above amounts were determined based on the employees’ current salary rates and the number of service years that will be accumulated upon their retirement dates. These amounts do not include amounts that might be paid to employees that will cease working with the Company before their normal retirement ages.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Redeemable Convertible Preferred Units</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Company issued 49,727 units as Series A redeemable convertible preferred units (the “Series A”) and 447,420 units as Series B redeemable convertible preferred units (the “Series B”) on September 23, 2004 and additionally issued 364 units of Series A and 3,272 units of Series B on November 30, 2004, respectively. All of Series A were redeemed by cash on December 27, 2004 and some of the Series B were redeemed by cash on December 15, 2004 and December 27, 2004.</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Series B for the three and six months ended July 1, 2007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80"/>
              <w:spacing w:after="0"/>
              <w:rPr>
                <w:sz w:val="20"/>
                <w:szCs w:val="20"/>
                <w:color w:val="auto"/>
              </w:rPr>
            </w:pPr>
            <w:r>
              <w:rPr>
                <w:rFonts w:ascii="Arial" w:cs="Arial" w:eastAsia="Arial" w:hAnsi="Arial"/>
                <w:sz w:val="14"/>
                <w:szCs w:val="14"/>
                <w:b w:val="1"/>
                <w:bCs w:val="1"/>
                <w:color w:val="auto"/>
                <w:w w:val="85"/>
              </w:rPr>
              <w:t>Three months ended</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460" w:type="dxa"/>
            <w:vAlign w:val="bottom"/>
            <w:gridSpan w:val="4"/>
          </w:tcPr>
          <w:p>
            <w:pPr>
              <w:jc w:val="right"/>
              <w:ind w:right="440"/>
              <w:spacing w:after="0" w:line="142" w:lineRule="exact"/>
              <w:rPr>
                <w:sz w:val="20"/>
                <w:szCs w:val="20"/>
                <w:color w:val="auto"/>
              </w:rPr>
            </w:pPr>
            <w:r>
              <w:rPr>
                <w:rFonts w:ascii="Arial" w:cs="Arial" w:eastAsia="Arial" w:hAnsi="Arial"/>
                <w:sz w:val="14"/>
                <w:szCs w:val="14"/>
                <w:b w:val="1"/>
                <w:bCs w:val="1"/>
                <w:color w:val="auto"/>
              </w:rPr>
              <w:t>July 1, 2007</w:t>
            </w:r>
          </w:p>
        </w:tc>
        <w:tc>
          <w:tcPr>
            <w:tcW w:w="140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6"/>
              </w:rPr>
              <w:t>July 2, 2006</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Units</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Units</w:t>
            </w: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93,997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$ 120,244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93,997</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109,095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Accrual of preferred dividends</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93,997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$ 123,227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93,997</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111,801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ind w:left="80"/>
              <w:spacing w:after="0"/>
              <w:rPr>
                <w:sz w:val="20"/>
                <w:szCs w:val="20"/>
                <w:color w:val="auto"/>
              </w:rPr>
            </w:pPr>
            <w:r>
              <w:rPr>
                <w:rFonts w:ascii="Arial" w:cs="Arial" w:eastAsia="Arial" w:hAnsi="Arial"/>
                <w:sz w:val="14"/>
                <w:szCs w:val="14"/>
                <w:b w:val="1"/>
                <w:bCs w:val="1"/>
                <w:color w:val="auto"/>
                <w:w w:val="84"/>
              </w:rPr>
              <w:t>Six months ended</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460" w:type="dxa"/>
            <w:vAlign w:val="bottom"/>
            <w:gridSpan w:val="4"/>
          </w:tcPr>
          <w:p>
            <w:pPr>
              <w:jc w:val="right"/>
              <w:ind w:right="440"/>
              <w:spacing w:after="0" w:line="142" w:lineRule="exact"/>
              <w:rPr>
                <w:sz w:val="20"/>
                <w:szCs w:val="20"/>
                <w:color w:val="auto"/>
              </w:rPr>
            </w:pPr>
            <w:r>
              <w:rPr>
                <w:rFonts w:ascii="Arial" w:cs="Arial" w:eastAsia="Arial" w:hAnsi="Arial"/>
                <w:sz w:val="14"/>
                <w:szCs w:val="14"/>
                <w:b w:val="1"/>
                <w:bCs w:val="1"/>
                <w:color w:val="auto"/>
              </w:rPr>
              <w:t>July 1, 2007</w:t>
            </w:r>
          </w:p>
        </w:tc>
        <w:tc>
          <w:tcPr>
            <w:tcW w:w="140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6"/>
              </w:rPr>
              <w:t>July 2, 2006</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Units</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Units</w:t>
            </w: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93,997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$ 117,374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93,997</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106,462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Accrual of preferred dividends</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93,997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$ 123,227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93,997</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111,801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Series B were issued to the original purchasers of the Company in 2004. Holders of Series B receive dividends which are cumulative, whether or not earned or declared by the board of directors. The cumulative cash dividends accrue at the rate of 10% per unit per annum on the Series B original issue price, compounded semi-annually.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Unit</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illustrates the computation of basic and diluted loss per common unit for the three-month and six-month periods ended July 1, 2007 and July 2, 2006: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86"/>
              </w:rPr>
              <w:t>July 1, 2007</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July 2, 2006</w:t>
            </w:r>
          </w:p>
        </w:tc>
        <w:tc>
          <w:tcPr>
            <w:tcW w:w="4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6"/>
              </w:rPr>
              <w:t>July 1, 2007</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6"/>
              </w:rPr>
              <w:t>July 2, 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(45,324)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(132,063)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(112,306)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Dividends to preferred unitholders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5,853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(48,307)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(134,769)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(118,159)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(141,293)</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units outstanding</w:t>
            </w: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0" w:type="dxa"/>
            <w:vAlign w:val="bottom"/>
            <w:gridSpan w:val="2"/>
            <w:vMerge w:val="continue"/>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52,772,652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53,098,537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52,746,718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53,101,546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unit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0" w:type="dxa"/>
            <w:vAlign w:val="bottom"/>
            <w:vMerge w:val="restart"/>
          </w:tcPr>
          <w:p>
            <w:pPr>
              <w:jc w:val="right"/>
              <w:ind w:right="512"/>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outstanding redeemable convertible preferred units issued, options granted and warrants issued were excluded from the computation of diluted loss per unit as they would have an anti-dilutive effect on the calculation:</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920" w:type="dxa"/>
            <w:vAlign w:val="bottom"/>
            <w:gridSpan w:val="4"/>
          </w:tcPr>
          <w:p>
            <w:pPr>
              <w:ind w:left="44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86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July 1, 2007</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July 2, 2006</w:t>
            </w:r>
          </w:p>
        </w:tc>
        <w:tc>
          <w:tcPr>
            <w:tcW w:w="20" w:type="dxa"/>
            <w:vAlign w:val="bottom"/>
          </w:tcPr>
          <w:p>
            <w:pPr>
              <w:spacing w:after="0"/>
              <w:rPr>
                <w:sz w:val="12"/>
                <w:szCs w:val="12"/>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units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93,997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93,997</w:t>
            </w:r>
          </w:p>
        </w:tc>
        <w:tc>
          <w:tcPr>
            <w:tcW w:w="20" w:type="dxa"/>
            <w:vAlign w:val="bottom"/>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Options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4,725,871</w:t>
            </w:r>
          </w:p>
        </w:tc>
        <w:tc>
          <w:tcPr>
            <w:tcW w:w="860" w:type="dxa"/>
            <w:vAlign w:val="bottom"/>
          </w:tcPr>
          <w:p>
            <w:pPr>
              <w:jc w:val="right"/>
              <w:spacing w:after="0"/>
              <w:rPr>
                <w:sz w:val="20"/>
                <w:szCs w:val="20"/>
                <w:color w:val="auto"/>
              </w:rPr>
            </w:pPr>
            <w:r>
              <w:rPr>
                <w:rFonts w:ascii="Arial" w:cs="Arial" w:eastAsia="Arial" w:hAnsi="Arial"/>
                <w:sz w:val="18"/>
                <w:szCs w:val="18"/>
                <w:color w:val="auto"/>
              </w:rPr>
              <w:t>5,107,886</w:t>
            </w:r>
          </w:p>
        </w:tc>
        <w:tc>
          <w:tcPr>
            <w:tcW w:w="2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Warrant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5,079,254</w:t>
            </w:r>
          </w:p>
        </w:tc>
        <w:tc>
          <w:tcPr>
            <w:tcW w:w="20" w:type="dxa"/>
            <w:vAlign w:val="bottom"/>
          </w:tcPr>
          <w:p>
            <w:pPr>
              <w:spacing w:after="0"/>
              <w:rPr>
                <w:sz w:val="18"/>
                <w:szCs w:val="18"/>
                <w:color w:val="auto"/>
              </w:rPr>
            </w:pPr>
          </w:p>
        </w:tc>
      </w:tr>
    </w:tbl>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acquisition of the Company’s business from Hynix Semiconductor Inc. on October 6, 2004, the Company issued a warrant to Hynix which enabled Hynix to purchase 5,079,254 common units of the Company at an exercise price of $1.00 per unit. This warrant expired unexercised in accordance with its terms on October 6, 2006.</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ind w:right="8140" w:firstLine="8"/>
        <w:spacing w:after="0" w:line="391" w:lineRule="auto"/>
        <w:tabs>
          <w:tab w:leader="none" w:pos="25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Restructuring and Impairment Charges </w:t>
      </w:r>
      <w:r>
        <w:rPr>
          <w:rFonts w:ascii="Arial" w:cs="Arial" w:eastAsia="Arial" w:hAnsi="Arial"/>
          <w:sz w:val="16"/>
          <w:szCs w:val="16"/>
          <w:b w:val="1"/>
          <w:bCs w:val="1"/>
          <w:i w:val="1"/>
          <w:iCs w:val="1"/>
          <w:color w:val="auto"/>
        </w:rPr>
        <w:t>Assets impairment</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During the three months ended July 1, 2007, the Company recognized impairment charges of $10,106 thousand under SFAS No. 144, </w:t>
      </w:r>
      <w:r>
        <w:rPr>
          <w:rFonts w:ascii="Arial" w:cs="Arial" w:eastAsia="Arial" w:hAnsi="Arial"/>
          <w:sz w:val="16"/>
          <w:szCs w:val="16"/>
          <w:i w:val="1"/>
          <w:iCs w:val="1"/>
          <w:color w:val="auto"/>
        </w:rPr>
        <w:t>Accounting for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Impairment or Disposal of Long Lived Assets </w:t>
      </w:r>
      <w:r>
        <w:rPr>
          <w:rFonts w:ascii="Arial" w:cs="Arial" w:eastAsia="Arial" w:hAnsi="Arial"/>
          <w:sz w:val="16"/>
          <w:szCs w:val="16"/>
          <w:color w:val="auto"/>
        </w:rPr>
        <w:t>(“SFAS No. 144”). The impairment charges were recorded related to the closure of one of the Company’s 5-inch</w:t>
      </w:r>
      <w:r>
        <w:rPr>
          <w:rFonts w:ascii="Arial" w:cs="Arial" w:eastAsia="Arial" w:hAnsi="Arial"/>
          <w:sz w:val="16"/>
          <w:szCs w:val="16"/>
          <w:i w:val="1"/>
          <w:iCs w:val="1"/>
          <w:color w:val="auto"/>
        </w:rPr>
        <w:t xml:space="preserve"> </w:t>
      </w:r>
      <w:r>
        <w:rPr>
          <w:rFonts w:ascii="Arial" w:cs="Arial" w:eastAsia="Arial" w:hAnsi="Arial"/>
          <w:sz w:val="16"/>
          <w:szCs w:val="16"/>
          <w:color w:val="auto"/>
        </w:rPr>
        <w:t>wafer fabrication facilities that has generated losses and no longer supported the Company’s strategic technology roadmap. During the six months ended July 2, 2006, the Company recorded impairment charges of $92,540 thousand under SFAS No. 144. The impairment charges were recorded against one of our fabrication facilities and certain related technology and customer-based intangible assets (the “asset group”).</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SFAS No. 144 requires the Company to evaluate the recoverability of certain long-lived assets whenever events or changes in circumstances indicate that the carrying amount may not be recoverable. The net book value of the asset group before the impairment charges as of July 1, 2007 and July 2, 2006 were approximately $10,228 and $185,985 thousand, respectively.</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impairment charge was measured as an excess of the carrying value of the asset group over its fair value. The fair value of the asset group was estimated using a present value technique, where expected future cash flows from the use and eventual disposal of the asset group were discounted by an interest rate commensurate with the risk of the cash 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 xml:space="preserve">During the three months ended July 1, 2007, the Company recognized $1,978 thousand of restructuring under SFAS No. 146, </w:t>
      </w:r>
      <w:r>
        <w:rPr>
          <w:rFonts w:ascii="Arial" w:cs="Arial" w:eastAsia="Arial" w:hAnsi="Arial"/>
          <w:sz w:val="16"/>
          <w:szCs w:val="16"/>
          <w:i w:val="1"/>
          <w:iCs w:val="1"/>
          <w:color w:val="auto"/>
        </w:rPr>
        <w:t>Accounting for Costs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Associated with Exit or Disposal Activities </w:t>
      </w:r>
      <w:r>
        <w:rPr>
          <w:rFonts w:ascii="Arial" w:cs="Arial" w:eastAsia="Arial" w:hAnsi="Arial"/>
          <w:sz w:val="16"/>
          <w:szCs w:val="16"/>
          <w:color w:val="auto"/>
        </w:rPr>
        <w:t>(“SFAS No. 146”)</w:t>
      </w:r>
      <w:r>
        <w:rPr>
          <w:rFonts w:ascii="Arial" w:cs="Arial" w:eastAsia="Arial" w:hAnsi="Arial"/>
          <w:sz w:val="16"/>
          <w:szCs w:val="16"/>
          <w:i w:val="1"/>
          <w:iCs w:val="1"/>
          <w:color w:val="auto"/>
        </w:rPr>
        <w:t xml:space="preserve">. </w:t>
      </w:r>
      <w:r>
        <w:rPr>
          <w:rFonts w:ascii="Arial" w:cs="Arial" w:eastAsia="Arial" w:hAnsi="Arial"/>
          <w:sz w:val="16"/>
          <w:szCs w:val="16"/>
          <w:color w:val="auto"/>
        </w:rPr>
        <w:t>The restructuring charges were related to the closure of the Company’s 5-inch wafer fabrication</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to be completed by the end of 2007. These charges consist of one-time termination benefits, transfer of machinery and other associated costs.</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During the three months ended July 2, 2006, the Company recorded restructuring charges of $1,144 thousand in accordance with SFAS No. 146. These charges were incurred in association with changes in the Company’s management judgment.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Uncertainty in Income Taxes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Company, including its subsidiaries files income tax returns in Korea, Japan, Taiwan, U.S. and various other jurisdictions. The Company is subject to income tax examinations by tax authorities of these jurisdictions for all years since the beginning of its operation in October 2004.</w:t>
      </w:r>
    </w:p>
    <w:p>
      <w:pPr>
        <w:spacing w:after="0" w:line="8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The Company adopted the provisions of FIN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—an interpretation of SFAS No. 109, on January 1, 2007. As a result of the implementation of FIN No. 48, the Company recognized a $ 1,554 thousand increase in the liability for unrecognized tax benefits, which was accounted for as a reduction to the January 1, 2007, balance of retained earnings. Total amount of unrecognized tax benefits as of the date of adoption was $6,908 thousand and it related to temporary difference arising from timing of expensing certain inventories. There was no change in total amount of unrecognized tax benefits during the three months ended July 1, 2007.</w:t>
      </w:r>
    </w:p>
    <w:p>
      <w:pPr>
        <w:spacing w:after="0" w:line="143"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The Company recognizes interest and penalties accrued related to unrecognized tax benefits as income tax expenses. The Company recognized $40 thousand and $80 thousand of interest and penalties, respectively, for the three and six months ended July 1, 2007. Total interest and penalties accrued as of July 1, 2007 and as of the adoption date were $622 thousand and $581 thousand respectively.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determined, based on the nature of its operations and products offered to customers, that its reportable segments are Display Solutions, Imaging Solutions, and Semiconductor Manufacturing Services. The Display Solutions segment’s primary products are flat panel display drivers and the Imaging Solutions segment’s primary products are CMOS image sensors. The Semiconductor Manufacturing Service segment provides for wafer foundry services to clients. Net sales and gross profit for the “All other” category primarily relates to certain business activities that do not constitute operating or reportable segments.</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The Company’s chief operating decision maker (“CODM”) as defined by SFAS 131, </w:t>
      </w:r>
      <w:r>
        <w:rPr>
          <w:rFonts w:ascii="Arial" w:cs="Arial" w:eastAsia="Arial" w:hAnsi="Arial"/>
          <w:sz w:val="18"/>
          <w:szCs w:val="18"/>
          <w:i w:val="1"/>
          <w:iCs w:val="1"/>
          <w:color w:val="auto"/>
        </w:rPr>
        <w:t>Disclosure about Segments of an Enterprise and Relate Information</w:t>
      </w:r>
      <w:r>
        <w:rPr>
          <w:rFonts w:ascii="Arial" w:cs="Arial" w:eastAsia="Arial" w:hAnsi="Arial"/>
          <w:sz w:val="18"/>
          <w:szCs w:val="18"/>
          <w:color w:val="auto"/>
        </w:rPr>
        <w:t>, allocates resources to and assesses the performance of each segment using information about its revenue and gross profit. The Company does not identify or allocate assets by segments, nor does the CODM evaluate operating segments using discrete asset information. In addition, the Company does not allocate operating expense, interest income or expense, other income or expense, or income tax to the segments. Management does not evaluate segments based on these criteria.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information relating to the reportable segments: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8"/>
              </w:rPr>
              <w:t>Three months ended</w:t>
            </w:r>
          </w:p>
        </w:tc>
      </w:tr>
      <w:tr>
        <w:trPr>
          <w:trHeight w:val="142"/>
        </w:trPr>
        <w:tc>
          <w:tcPr>
            <w:tcW w:w="864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July 1, 2007</w:t>
            </w:r>
          </w:p>
        </w:tc>
        <w:tc>
          <w:tcPr>
            <w:tcW w:w="4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July 2, 2006</w:t>
            </w:r>
          </w:p>
        </w:tc>
        <w:tc>
          <w:tcPr>
            <w:tcW w:w="60" w:type="dxa"/>
            <w:vAlign w:val="bottom"/>
          </w:tcPr>
          <w:p>
            <w:pPr>
              <w:spacing w:after="0"/>
              <w:rPr>
                <w:sz w:val="12"/>
                <w:szCs w:val="12"/>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Display Solutions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85,113</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73,292</w:t>
            </w:r>
          </w:p>
        </w:tc>
        <w:tc>
          <w:tcPr>
            <w:tcW w:w="60" w:type="dxa"/>
            <w:vAlign w:val="bottom"/>
          </w:tcPr>
          <w:p>
            <w:pPr>
              <w:spacing w:after="0"/>
              <w:rPr>
                <w:sz w:val="18"/>
                <w:szCs w:val="18"/>
                <w:color w:val="auto"/>
              </w:rPr>
            </w:pP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Imaging Solutions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15,596</w:t>
            </w:r>
          </w:p>
        </w:tc>
        <w:tc>
          <w:tcPr>
            <w:tcW w:w="60" w:type="dxa"/>
            <w:vAlign w:val="bottom"/>
            <w:shd w:val="clear" w:color="auto" w:fill="CCEEFF"/>
          </w:tcPr>
          <w:p>
            <w:pPr>
              <w:spacing w:after="0"/>
              <w:rPr>
                <w:sz w:val="18"/>
                <w:szCs w:val="18"/>
                <w:color w:val="auto"/>
              </w:rPr>
            </w:pP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Semiconductor Manufacturing Services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75,086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97,023</w:t>
            </w:r>
          </w:p>
        </w:tc>
        <w:tc>
          <w:tcPr>
            <w:tcW w:w="60" w:type="dxa"/>
            <w:vAlign w:val="bottom"/>
          </w:tcPr>
          <w:p>
            <w:pPr>
              <w:spacing w:after="0"/>
              <w:rPr>
                <w:sz w:val="18"/>
                <w:szCs w:val="18"/>
                <w:color w:val="auto"/>
              </w:rPr>
            </w:pP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11,702</w:t>
            </w:r>
          </w:p>
        </w:tc>
        <w:tc>
          <w:tcPr>
            <w:tcW w:w="60" w:type="dxa"/>
            <w:vAlign w:val="bottom"/>
            <w:shd w:val="clear" w:color="auto" w:fill="CCEEFF"/>
          </w:tcPr>
          <w:p>
            <w:pPr>
              <w:spacing w:after="0"/>
              <w:rPr>
                <w:sz w:val="18"/>
                <w:szCs w:val="18"/>
                <w:color w:val="auto"/>
              </w:rPr>
            </w:pPr>
          </w:p>
        </w:tc>
      </w:tr>
      <w:tr>
        <w:trPr>
          <w:trHeight w:val="222"/>
        </w:trPr>
        <w:tc>
          <w:tcPr>
            <w:tcW w:w="8640" w:type="dxa"/>
            <w:vAlign w:val="bottom"/>
          </w:tcPr>
          <w:p>
            <w:pPr>
              <w:ind w:left="880"/>
              <w:spacing w:after="0"/>
              <w:rPr>
                <w:sz w:val="20"/>
                <w:szCs w:val="20"/>
                <w:color w:val="auto"/>
              </w:rPr>
            </w:pPr>
            <w:r>
              <w:rPr>
                <w:rFonts w:ascii="Arial" w:cs="Arial" w:eastAsia="Arial" w:hAnsi="Arial"/>
                <w:sz w:val="18"/>
                <w:szCs w:val="18"/>
                <w:color w:val="auto"/>
              </w:rPr>
              <w:t>Total segment net sales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194,053</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197,613</w:t>
            </w:r>
          </w:p>
        </w:tc>
        <w:tc>
          <w:tcPr>
            <w:tcW w:w="60" w:type="dxa"/>
            <w:vAlign w:val="bottom"/>
          </w:tcPr>
          <w:p>
            <w:pPr>
              <w:spacing w:after="0"/>
              <w:rPr>
                <w:sz w:val="19"/>
                <w:szCs w:val="19"/>
                <w:color w:val="auto"/>
              </w:rPr>
            </w:pPr>
          </w:p>
        </w:tc>
      </w:tr>
      <w:tr>
        <w:trPr>
          <w:trHeight w:val="20"/>
        </w:trPr>
        <w:tc>
          <w:tcPr>
            <w:tcW w:w="8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Display Solutions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8,136</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8,089</w:t>
            </w:r>
          </w:p>
        </w:tc>
        <w:tc>
          <w:tcPr>
            <w:tcW w:w="60" w:type="dxa"/>
            <w:vAlign w:val="bottom"/>
          </w:tcPr>
          <w:p>
            <w:pPr>
              <w:spacing w:after="0"/>
              <w:rPr>
                <w:sz w:val="18"/>
                <w:szCs w:val="18"/>
                <w:color w:val="auto"/>
              </w:rPr>
            </w:pP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Imaging Solutions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(3,642)</w:t>
            </w:r>
          </w:p>
        </w:tc>
      </w:tr>
      <w:tr>
        <w:trPr>
          <w:trHeight w:val="216"/>
        </w:trPr>
        <w:tc>
          <w:tcPr>
            <w:tcW w:w="8640" w:type="dxa"/>
            <w:vAlign w:val="bottom"/>
          </w:tcPr>
          <w:p>
            <w:pPr>
              <w:ind w:left="440"/>
              <w:spacing w:after="0"/>
              <w:rPr>
                <w:sz w:val="20"/>
                <w:szCs w:val="20"/>
                <w:color w:val="auto"/>
              </w:rPr>
            </w:pPr>
            <w:r>
              <w:rPr>
                <w:rFonts w:ascii="Arial" w:cs="Arial" w:eastAsia="Arial" w:hAnsi="Arial"/>
                <w:sz w:val="18"/>
                <w:szCs w:val="18"/>
                <w:color w:val="auto"/>
              </w:rPr>
              <w:t>Semiconductor Manufacturing Services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16,635</w:t>
            </w:r>
          </w:p>
        </w:tc>
        <w:tc>
          <w:tcPr>
            <w:tcW w:w="60" w:type="dxa"/>
            <w:vAlign w:val="bottom"/>
          </w:tcPr>
          <w:p>
            <w:pPr>
              <w:spacing w:after="0"/>
              <w:rPr>
                <w:sz w:val="18"/>
                <w:szCs w:val="18"/>
                <w:color w:val="auto"/>
              </w:rPr>
            </w:pPr>
          </w:p>
        </w:tc>
      </w:tr>
      <w:tr>
        <w:trPr>
          <w:trHeight w:val="216"/>
        </w:trPr>
        <w:tc>
          <w:tcPr>
            <w:tcW w:w="8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22"/>
        </w:trPr>
        <w:tc>
          <w:tcPr>
            <w:tcW w:w="8640" w:type="dxa"/>
            <w:vAlign w:val="bottom"/>
          </w:tcPr>
          <w:p>
            <w:pPr>
              <w:ind w:left="880"/>
              <w:spacing w:after="0"/>
              <w:rPr>
                <w:sz w:val="20"/>
                <w:szCs w:val="20"/>
                <w:color w:val="auto"/>
              </w:rPr>
            </w:pPr>
            <w:r>
              <w:rPr>
                <w:rFonts w:ascii="Arial" w:cs="Arial" w:eastAsia="Arial" w:hAnsi="Arial"/>
                <w:sz w:val="18"/>
                <w:szCs w:val="18"/>
                <w:color w:val="auto"/>
              </w:rPr>
              <w:t>Total segment gross profit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27,754</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20,271</w:t>
            </w:r>
          </w:p>
        </w:tc>
        <w:tc>
          <w:tcPr>
            <w:tcW w:w="60" w:type="dxa"/>
            <w:vAlign w:val="bottom"/>
          </w:tcPr>
          <w:p>
            <w:pPr>
              <w:spacing w:after="0"/>
              <w:rPr>
                <w:sz w:val="19"/>
                <w:szCs w:val="19"/>
                <w:color w:val="auto"/>
              </w:rPr>
            </w:pPr>
          </w:p>
        </w:tc>
      </w:tr>
      <w:tr>
        <w:trPr>
          <w:trHeight w:val="20"/>
        </w:trPr>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9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July 1, 2007</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July 2, 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4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Display Solutions</w:t>
            </w:r>
          </w:p>
        </w:tc>
        <w:tc>
          <w:tcPr>
            <w:tcW w:w="4480" w:type="dxa"/>
            <w:vAlign w:val="bottom"/>
            <w:gridSpan w:val="2"/>
          </w:tcPr>
          <w:p>
            <w:pPr>
              <w:ind w:left="43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143,983</w:t>
            </w:r>
          </w:p>
        </w:tc>
        <w:tc>
          <w:tcPr>
            <w:tcW w:w="28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159,060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Imaging Solutions</w:t>
            </w:r>
          </w:p>
        </w:tc>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Semiconductor Manufacturing Services</w:t>
            </w: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132,841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196,398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w:t>
            </w:r>
          </w:p>
        </w:tc>
        <w:tc>
          <w:tcPr>
            <w:tcW w:w="4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39,869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880"/>
              <w:spacing w:after="0"/>
              <w:rPr>
                <w:sz w:val="20"/>
                <w:szCs w:val="20"/>
                <w:color w:val="auto"/>
              </w:rPr>
            </w:pPr>
            <w:r>
              <w:rPr>
                <w:rFonts w:ascii="Arial" w:cs="Arial" w:eastAsia="Arial" w:hAnsi="Arial"/>
                <w:sz w:val="18"/>
                <w:szCs w:val="18"/>
                <w:color w:val="auto"/>
              </w:rPr>
              <w:t>Total segment net sales</w:t>
            </w:r>
          </w:p>
        </w:tc>
        <w:tc>
          <w:tcPr>
            <w:tcW w:w="4480" w:type="dxa"/>
            <w:vAlign w:val="bottom"/>
            <w:gridSpan w:val="2"/>
          </w:tcPr>
          <w:p>
            <w:pPr>
              <w:ind w:left="43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345,836</w:t>
            </w:r>
          </w:p>
        </w:tc>
        <w:tc>
          <w:tcPr>
            <w:tcW w:w="28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410,756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(Loss)</w:t>
            </w:r>
          </w:p>
        </w:tc>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Display Solutions</w:t>
            </w:r>
          </w:p>
        </w:tc>
        <w:tc>
          <w:tcPr>
            <w:tcW w:w="4480" w:type="dxa"/>
            <w:vAlign w:val="bottom"/>
            <w:gridSpan w:val="2"/>
          </w:tcPr>
          <w:p>
            <w:pPr>
              <w:ind w:left="43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15,225</w:t>
            </w:r>
          </w:p>
        </w:tc>
        <w:tc>
          <w:tcPr>
            <w:tcW w:w="28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26,069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Imaging Solutions</w:t>
            </w:r>
          </w:p>
        </w:tc>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(8,010)</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Semiconductor Manufacturing Services</w:t>
            </w: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14,563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41,222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w:t>
            </w:r>
          </w:p>
        </w:tc>
        <w:tc>
          <w:tcPr>
            <w:tcW w:w="4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00" w:type="dxa"/>
            <w:vAlign w:val="bottom"/>
          </w:tcPr>
          <w:p>
            <w:pPr>
              <w:ind w:left="880"/>
              <w:spacing w:after="0"/>
              <w:rPr>
                <w:sz w:val="20"/>
                <w:szCs w:val="20"/>
                <w:color w:val="auto"/>
              </w:rPr>
            </w:pPr>
            <w:r>
              <w:rPr>
                <w:rFonts w:ascii="Arial" w:cs="Arial" w:eastAsia="Arial" w:hAnsi="Arial"/>
                <w:sz w:val="18"/>
                <w:szCs w:val="18"/>
                <w:color w:val="auto"/>
              </w:rPr>
              <w:t>Total segment gross profit</w:t>
            </w:r>
          </w:p>
        </w:tc>
        <w:tc>
          <w:tcPr>
            <w:tcW w:w="4480" w:type="dxa"/>
            <w:vAlign w:val="bottom"/>
            <w:gridSpan w:val="2"/>
          </w:tcPr>
          <w:p>
            <w:pPr>
              <w:ind w:left="43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42,677</w:t>
            </w:r>
          </w:p>
        </w:tc>
        <w:tc>
          <w:tcPr>
            <w:tcW w:w="28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60,599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360" w:type="dxa"/>
            <w:vAlign w:val="bottom"/>
            <w:vMerge w:val="restart"/>
          </w:tcPr>
          <w:p>
            <w:pPr>
              <w:jc w:val="right"/>
              <w:ind w:right="3132"/>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Condensed Consolidating Financial Statements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senior secured credit facility and Second Priority Senior Secured Notes are each fully and unconditionally guaranteed by the Company and all of its subsidiaries, except for MagnaChip Semiconductor (Shanghai) Company Limited. The Senior Subordinated Notes are fully and unconditionally guaranteed by the Company and all of its subsidiaries, except for MagnaChip Semiconductor, Ltd. (Korea) and MagnaChip Semiconductor (Shanghai) Company Limited. The Senior Subordinated Notes are structurally subordinated to the creditors of our principal manufacturing subsidiary, MagnaChip Semiconductor, Ltd. (Korea), which accounts for a majority of our net sales and substantially all of our assets.</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Below are condensed consolidating balance sheets as of July 1, 2007 and December 31, 2006, condensed consolidating statements of operations for the three months and six months ended July 1, 2007 and July 2, 2006 and condensed consolidating statement of cash flows for the six months ended July 1, 2007 and July 2, 2006 of those entities that guarantee the Senior Subordinated Notes, those that do not, MagnaChip Semiconductor LLC, and the co-issuers.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July 1,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MagnaChip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116"/>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Co-Issuers</w:t>
            </w:r>
          </w:p>
        </w:tc>
        <w:tc>
          <w:tcPr>
            <w:tcW w:w="160" w:type="dxa"/>
            <w:vAlign w:val="bottom"/>
          </w:tcPr>
          <w:p>
            <w:pPr>
              <w:spacing w:after="0"/>
              <w:rPr>
                <w:sz w:val="15"/>
                <w:szCs w:val="15"/>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Guarantors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$188,651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80,257</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(74,855)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194,053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165,326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69,832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(68,859)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166,299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21,905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25,531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32,778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Restructuring and impairment charge</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(43,442)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(42,395)</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(1,524)</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(loss) before income taxes, equity in earnings (loss) of related</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investment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(43,469)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(43,479)</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Income tax expenses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Loss before equity in loss of related investment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(43,470)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(45,324)</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(45,135)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(43,557)</w:t>
            </w:r>
          </w:p>
        </w:tc>
        <w:tc>
          <w:tcPr>
            <w:tcW w:w="12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(43,079)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131,771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(45,324)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(45,352)</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(43,470)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(42,901)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131,723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(45,324)</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(48,307)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(45,352)</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(43,470)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(42,901)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131,723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80" w:type="dxa"/>
            <w:vAlign w:val="bottom"/>
            <w:gridSpan w:val="2"/>
          </w:tcPr>
          <w:p>
            <w:pPr>
              <w:jc w:val="right"/>
              <w:ind w:right="536"/>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July 1,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Co-Issuers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Guarantors</w:t>
            </w:r>
          </w:p>
        </w:tc>
        <w:tc>
          <w:tcPr>
            <w:tcW w:w="2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Guarantors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$ 335,257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$ 137,099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(126,520)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345,836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301,040</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117,832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(115,713)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303,159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34,217</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40,707</w:t>
            </w:r>
          </w:p>
        </w:tc>
        <w:tc>
          <w:tcPr>
            <w:tcW w:w="2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68,076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Restructuring and impairment charge</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12,084</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(86,650)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(85,319)</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Other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(2,630)</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(20,015)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(22,891)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(loss) before income taxes, equity in earnings (loss) of related</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investment</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(3,191)</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(106,665)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(108,210)</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Income tax expenses</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Loss before equity in loss of related investment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(3,276)</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(106,699)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(112,306)</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(112,061)</w:t>
            </w: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(109,002)</w:t>
            </w:r>
          </w:p>
        </w:tc>
        <w:tc>
          <w:tcPr>
            <w:tcW w:w="1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(106,669)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327,732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(112,306)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9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w w:val="93"/>
              </w:rPr>
              <w:t xml:space="preserve">(112,278)   </w:t>
            </w:r>
            <w:r>
              <w:rPr>
                <w:rFonts w:ascii="Arial" w:cs="Arial" w:eastAsia="Arial" w:hAnsi="Arial"/>
                <w:sz w:val="18"/>
                <w:szCs w:val="18"/>
                <w:u w:val="single" w:color="auto"/>
                <w:color w:val="auto"/>
                <w:w w:val="93"/>
              </w:rPr>
              <w:t>$</w:t>
            </w:r>
            <w:r>
              <w:rPr>
                <w:rFonts w:ascii="Arial" w:cs="Arial" w:eastAsia="Arial" w:hAnsi="Arial"/>
                <w:sz w:val="18"/>
                <w:szCs w:val="18"/>
                <w:color w:val="auto"/>
                <w:w w:val="93"/>
              </w:rPr>
              <w:t>(106,699)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(108,533)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327,510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(112,306)</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5,853</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(118,159)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(112,278)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(106,699)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(108,533)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327,510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(118,159)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355"/>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July 2,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Co-Issuers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Guarantors</w:t>
            </w:r>
          </w:p>
        </w:tc>
        <w:tc>
          <w:tcPr>
            <w:tcW w:w="2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Guarantors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$ 189,395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$ 101,591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(93,373)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197,613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174,434</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93,489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(90,581)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177,342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14,961</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19,115</w:t>
            </w:r>
          </w:p>
        </w:tc>
        <w:tc>
          <w:tcPr>
            <w:tcW w:w="2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34,003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93,459</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(131,616)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(129,372)</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6,106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2,058</w:t>
            </w:r>
          </w:p>
        </w:tc>
        <w:tc>
          <w:tcPr>
            <w:tcW w:w="2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equity in loss of related equity</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5,837</w:t>
            </w:r>
          </w:p>
        </w:tc>
        <w:tc>
          <w:tcPr>
            <w:tcW w:w="1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(129,558)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(129,204)</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Income tax expenses</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equity in loss of related Investment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(129,558)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(132,063)</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(132,028)</w:t>
            </w: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(138,126)</w:t>
            </w:r>
          </w:p>
        </w:tc>
        <w:tc>
          <w:tcPr>
            <w:tcW w:w="1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(129,642)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399,796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(132,063)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9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w w:val="93"/>
              </w:rPr>
              <w:t xml:space="preserve">(132,330)   </w:t>
            </w:r>
            <w:r>
              <w:rPr>
                <w:rFonts w:ascii="Arial" w:cs="Arial" w:eastAsia="Arial" w:hAnsi="Arial"/>
                <w:sz w:val="18"/>
                <w:szCs w:val="18"/>
                <w:u w:val="single" w:color="auto"/>
                <w:color w:val="auto"/>
                <w:w w:val="93"/>
              </w:rPr>
              <w:t>$</w:t>
            </w:r>
            <w:r>
              <w:rPr>
                <w:rFonts w:ascii="Arial" w:cs="Arial" w:eastAsia="Arial" w:hAnsi="Arial"/>
                <w:sz w:val="18"/>
                <w:szCs w:val="18"/>
                <w:color w:val="auto"/>
                <w:w w:val="93"/>
              </w:rPr>
              <w:t>(129,558)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(138,758)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400,646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(132,063)</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(134,769)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(132,330)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(129,558)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(138,758)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400,646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(134,769)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355"/>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July 2,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Co-Issuers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Guarantors</w:t>
            </w:r>
          </w:p>
        </w:tc>
        <w:tc>
          <w:tcPr>
            <w:tcW w:w="2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Guarantors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$ 397,823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$ 200,385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(187,452)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410,756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346,877</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185,853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(182,573)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350,157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50,946</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37,772</w:t>
            </w:r>
          </w:p>
        </w:tc>
        <w:tc>
          <w:tcPr>
            <w:tcW w:w="2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62,745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93,459</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(143,030)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(140,493)</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13,268</w:t>
            </w:r>
          </w:p>
        </w:tc>
        <w:tc>
          <w:tcPr>
            <w:tcW w:w="2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equity in loss of related equity</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9,904</w:t>
            </w:r>
          </w:p>
        </w:tc>
        <w:tc>
          <w:tcPr>
            <w:tcW w:w="1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(129,762)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(130,821)</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Income tax expenses</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equity in loss of related Investment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(129,762)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(135,954)</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(135,886)</w:t>
            </w: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(144,867)</w:t>
            </w:r>
          </w:p>
        </w:tc>
        <w:tc>
          <w:tcPr>
            <w:tcW w:w="1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(130,138)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410,891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(135,954)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(135,045)</w:t>
            </w:r>
          </w:p>
        </w:tc>
        <w:tc>
          <w:tcPr>
            <w:tcW w:w="2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(129,762)   </w:t>
            </w:r>
            <w:r>
              <w:rPr>
                <w:rFonts w:ascii="Arial" w:cs="Arial" w:eastAsia="Arial" w:hAnsi="Arial"/>
                <w:sz w:val="18"/>
                <w:szCs w:val="18"/>
                <w:u w:val="single" w:color="auto"/>
                <w:color w:val="auto"/>
              </w:rPr>
              <w:t>$</w:t>
            </w:r>
            <w:r>
              <w:rPr>
                <w:rFonts w:ascii="Arial" w:cs="Arial" w:eastAsia="Arial" w:hAnsi="Arial"/>
                <w:sz w:val="18"/>
                <w:szCs w:val="18"/>
                <w:color w:val="auto"/>
              </w:rPr>
              <w:t>(147,083)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411,890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(135,954)</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5,339</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(141,293)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(135,045)</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(129,762)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(147,083)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411,890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(141,293)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355"/>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1,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MagnaChip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LLC (Parent)</w:t>
            </w:r>
          </w:p>
        </w:tc>
        <w:tc>
          <w:tcPr>
            <w:tcW w:w="10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Co-Issuers</w:t>
            </w:r>
          </w:p>
        </w:tc>
        <w:tc>
          <w:tcPr>
            <w:tcW w:w="120" w:type="dxa"/>
            <w:vAlign w:val="bottom"/>
          </w:tcPr>
          <w:p>
            <w:pPr>
              <w:spacing w:after="0"/>
              <w:rPr>
                <w:sz w:val="14"/>
                <w:szCs w:val="14"/>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0"/>
              </w:rPr>
              <w:t>Guarantors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Guarantors</w:t>
            </w:r>
          </w:p>
        </w:tc>
        <w:tc>
          <w:tcPr>
            <w:tcW w:w="10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267</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120,070</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54,161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(57,019)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117,212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69,796</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Other receivables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6,166</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(21,094)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inter-company loans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19,901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(16,127)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288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247,429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105,432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276,217</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278,529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102,759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(285,549)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(360,143)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(189,009)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834,701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Long-term inter-company loans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795,808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633,527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(1,429,335)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42,372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(21,435)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(285,261)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506,299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668,777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582,603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(750,573)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91,119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46,529</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(57,019)</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80,629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accounts payable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50,293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22,502</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(12,905)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24,167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 Borrowings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185,283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Long-term borrowings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750,000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621,000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808,335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(1,429,335)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68,112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5,557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23,076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(21,435)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793,658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879,952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918,506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(1,585,010)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1,007,180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A redeemable convertible preferred units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00" w:type="dxa"/>
            <w:vAlign w:val="bottom"/>
          </w:tcPr>
          <w:p>
            <w:pPr>
              <w:ind w:left="440"/>
              <w:spacing w:after="0"/>
              <w:rPr>
                <w:sz w:val="20"/>
                <w:szCs w:val="20"/>
                <w:color w:val="auto"/>
              </w:rPr>
            </w:pPr>
            <w:r>
              <w:rPr>
                <w:rFonts w:ascii="Arial" w:cs="Arial" w:eastAsia="Arial" w:hAnsi="Arial"/>
                <w:sz w:val="18"/>
                <w:szCs w:val="18"/>
                <w:color w:val="auto"/>
              </w:rPr>
              <w:t>Series B redeemable convertible preferred units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redeemable convertible preferred units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Unitholders’ equity</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units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136,229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39,005</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155,478</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108,310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(265,252)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(490,027)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(451,944)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(431,611)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(522,575)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1,406,130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(490,027)</w:t>
            </w: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25,953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22,584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(75,429)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unitholders’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(408,562)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(287,359)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(211,175)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(335,903)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834,437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(408,562)</w:t>
            </w:r>
          </w:p>
        </w:tc>
        <w:tc>
          <w:tcPr>
            <w:tcW w:w="0" w:type="dxa"/>
            <w:vAlign w:val="bottom"/>
          </w:tcPr>
          <w:p>
            <w:pPr>
              <w:spacing w:after="0"/>
              <w:rPr>
                <w:sz w:val="1"/>
                <w:szCs w:val="1"/>
                <w:color w:val="auto"/>
              </w:rPr>
            </w:pPr>
          </w:p>
        </w:tc>
      </w:tr>
      <w:tr>
        <w:trPr>
          <w:trHeight w:val="215"/>
        </w:trPr>
        <w:tc>
          <w:tcPr>
            <w:tcW w:w="5000" w:type="dxa"/>
            <w:vAlign w:val="bottom"/>
          </w:tcPr>
          <w:p>
            <w:pPr>
              <w:ind w:left="1300"/>
              <w:spacing w:after="0"/>
              <w:rPr>
                <w:sz w:val="20"/>
                <w:szCs w:val="20"/>
                <w:color w:val="auto"/>
              </w:rPr>
            </w:pPr>
            <w:r>
              <w:rPr>
                <w:rFonts w:ascii="Arial" w:cs="Arial" w:eastAsia="Arial" w:hAnsi="Arial"/>
                <w:sz w:val="18"/>
                <w:szCs w:val="18"/>
                <w:color w:val="auto"/>
                <w:w w:val="94"/>
              </w:rPr>
              <w:t>Total liabilities, redeemable convertible preferred</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tcPr>
          <w:p>
            <w:pPr>
              <w:ind w:left="1520"/>
              <w:spacing w:after="0"/>
              <w:rPr>
                <w:sz w:val="20"/>
                <w:szCs w:val="20"/>
                <w:color w:val="auto"/>
              </w:rPr>
            </w:pPr>
            <w:r>
              <w:rPr>
                <w:rFonts w:ascii="Arial" w:cs="Arial" w:eastAsia="Arial" w:hAnsi="Arial"/>
                <w:sz w:val="18"/>
                <w:szCs w:val="18"/>
                <w:color w:val="auto"/>
              </w:rPr>
              <w:t>units and unitholders’ equity</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(285,261)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506,299</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668,777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582,603</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(750,573)</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721,845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MagnaChip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Semiconductor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(Parent)</w:t>
            </w:r>
          </w:p>
        </w:tc>
        <w:tc>
          <w:tcPr>
            <w:tcW w:w="100" w:type="dxa"/>
            <w:vAlign w:val="bottom"/>
          </w:tcPr>
          <w:p>
            <w:pPr>
              <w:spacing w:after="0"/>
              <w:rPr>
                <w:sz w:val="15"/>
                <w:szCs w:val="15"/>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1"/>
              </w:rPr>
              <w:t>Co-Issuers</w:t>
            </w: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Guarantors</w:t>
            </w:r>
          </w:p>
        </w:tc>
        <w:tc>
          <w:tcPr>
            <w:tcW w:w="100" w:type="dxa"/>
            <w:vAlign w:val="bottom"/>
          </w:tcPr>
          <w:p>
            <w:pPr>
              <w:spacing w:after="0"/>
              <w:rPr>
                <w:sz w:val="15"/>
                <w:szCs w:val="15"/>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Guarantors</w:t>
            </w:r>
          </w:p>
        </w:tc>
        <w:tc>
          <w:tcPr>
            <w:tcW w:w="100" w:type="dxa"/>
            <w:vAlign w:val="bottom"/>
          </w:tcPr>
          <w:p>
            <w:pPr>
              <w:spacing w:after="0"/>
              <w:rPr>
                <w:sz w:val="15"/>
                <w:szCs w:val="15"/>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321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72,608</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15,352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86,488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34,971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(44,794)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28,133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(27,341)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w w:val="79"/>
              </w:rPr>
              <w:t>379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17,472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232,859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87,356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(94,002)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244,064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334,809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336,279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117,101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22,628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139,729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(167,545)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(246,126)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Long-term inter-company loans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791,648</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633,987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(1,425,635)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160"/>
              <w:spacing w:after="0"/>
              <w:rPr>
                <w:sz w:val="20"/>
                <w:szCs w:val="20"/>
                <w:color w:val="auto"/>
              </w:rPr>
            </w:pPr>
            <w:r>
              <w:rPr>
                <w:rFonts w:ascii="Arial" w:cs="Arial" w:eastAsia="Arial" w:hAnsi="Arial"/>
                <w:sz w:val="18"/>
                <w:szCs w:val="18"/>
                <w:color w:val="auto"/>
                <w:w w:val="98"/>
              </w:rPr>
              <w:t>(167,166)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584,343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726,741</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677,654</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(1,051,519)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770,053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67,002</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(44,794)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51,803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7,955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(27,341)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32,423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142,689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750,000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621,000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804,635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(1,425,635)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24,786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(23,042)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753,474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827,430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898,956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(1,542,641)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937,220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A redeemable convertible preferred units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Series B redeemable convertible preferred unites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117,374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redeemable convertible preferred units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gridSpan w:val="2"/>
          </w:tcPr>
          <w:p>
            <w:pPr>
              <w:spacing w:after="0"/>
              <w:rPr>
                <w:sz w:val="20"/>
                <w:szCs w:val="20"/>
                <w:color w:val="auto"/>
              </w:rPr>
            </w:pPr>
            <w:r>
              <w:rPr>
                <w:rFonts w:ascii="Arial" w:cs="Arial" w:eastAsia="Arial" w:hAnsi="Arial"/>
                <w:sz w:val="18"/>
                <w:szCs w:val="18"/>
                <w:color w:val="auto"/>
              </w:rPr>
              <w:t>Unitholders’ equity</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units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136,229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155,415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108,239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(265,055)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(370,314)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(338,112)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(323,358)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(412,488)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1,073,958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(370,314)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31,351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27,169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(86,769)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unitholders’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(284,541)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(169,131)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(100,689)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(221,302)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(284,541)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ind w:left="1280"/>
              <w:spacing w:after="0"/>
              <w:rPr>
                <w:sz w:val="20"/>
                <w:szCs w:val="20"/>
                <w:color w:val="auto"/>
              </w:rPr>
            </w:pPr>
            <w:r>
              <w:rPr>
                <w:rFonts w:ascii="Arial" w:cs="Arial" w:eastAsia="Arial" w:hAnsi="Arial"/>
                <w:sz w:val="18"/>
                <w:szCs w:val="18"/>
                <w:color w:val="auto"/>
                <w:w w:val="91"/>
              </w:rPr>
              <w:t>Total liabilities, redeemable convertible preferred units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1500"/>
              <w:spacing w:after="0"/>
              <w:rPr>
                <w:sz w:val="20"/>
                <w:szCs w:val="20"/>
                <w:color w:val="auto"/>
              </w:rPr>
            </w:pPr>
            <w:r>
              <w:rPr>
                <w:rFonts w:ascii="Arial" w:cs="Arial" w:eastAsia="Arial" w:hAnsi="Arial"/>
                <w:sz w:val="18"/>
                <w:szCs w:val="18"/>
                <w:color w:val="auto"/>
              </w:rPr>
              <w:t>and unitholders’ equity</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160"/>
              <w:spacing w:after="0"/>
              <w:rPr>
                <w:sz w:val="20"/>
                <w:szCs w:val="20"/>
                <w:color w:val="auto"/>
              </w:rPr>
            </w:pPr>
            <w:r>
              <w:rPr>
                <w:rFonts w:ascii="Arial" w:cs="Arial" w:eastAsia="Arial" w:hAnsi="Arial"/>
                <w:sz w:val="18"/>
                <w:szCs w:val="18"/>
                <w:color w:val="auto"/>
                <w:w w:val="98"/>
              </w:rPr>
              <w:t>(167,166)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584,343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726,741</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677,654</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(1,051,519)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770,053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July 1,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MagnaChip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(Parent)</w:t>
            </w: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8"/>
              </w:rPr>
              <w:t>Co-Issuers</w:t>
            </w:r>
          </w:p>
        </w:tc>
        <w:tc>
          <w:tcPr>
            <w:tcW w:w="120" w:type="dxa"/>
            <w:vAlign w:val="bottom"/>
          </w:tcPr>
          <w:p>
            <w:pPr>
              <w:spacing w:after="0"/>
              <w:rPr>
                <w:sz w:val="15"/>
                <w:szCs w:val="15"/>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Guarantors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Guarantors</w:t>
            </w:r>
          </w:p>
        </w:tc>
        <w:tc>
          <w:tcPr>
            <w:tcW w:w="12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(112,306)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(112,278)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(106,699)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(108,533)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327,510</w:t>
            </w:r>
          </w:p>
        </w:tc>
        <w:tc>
          <w:tcPr>
            <w:tcW w:w="18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(112,306)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87,890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89,974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9,312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foreign currency translation, net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Loss of related investment</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112,061</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109,002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106,669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(327,732)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charges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10,106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(33,036)</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(19,630)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(6,247)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24,099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(10,740)</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(3,642)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3,915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(7,371)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Payment of severance benefits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(4,402)</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152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(38,398)</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(10,438)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Purchase of plant, property and equipment</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(23,176)</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Payment for intellectual property registration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Proceeds from disposal of plant, property and equipment</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(22,502)</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(21,818)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40,194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Exercise of unit options</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Proceeds of short-term borrowings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on cash and cash equivalents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20,152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(41,112)</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(13,425)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79"/>
              </w:rPr>
              <w:t>321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892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72,608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July 2,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MagnaChip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(Parent)</w:t>
            </w: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8"/>
              </w:rPr>
              <w:t>Co-Issuers</w:t>
            </w:r>
          </w:p>
        </w:tc>
        <w:tc>
          <w:tcPr>
            <w:tcW w:w="120" w:type="dxa"/>
            <w:vAlign w:val="bottom"/>
          </w:tcPr>
          <w:p>
            <w:pPr>
              <w:spacing w:after="0"/>
              <w:rPr>
                <w:sz w:val="15"/>
                <w:szCs w:val="15"/>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Guarantors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Guarantors</w:t>
            </w:r>
          </w:p>
        </w:tc>
        <w:tc>
          <w:tcPr>
            <w:tcW w:w="12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(135,954)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(135,045)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(129,762)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(147,083)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411,890</w:t>
            </w:r>
          </w:p>
        </w:tc>
        <w:tc>
          <w:tcPr>
            <w:tcW w:w="18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(135,954)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100,410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102,509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foreign currency translation, net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(12,067)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(42,554)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Impairment charges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92,540</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of related investment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135,886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144,867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130,138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(410,891)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14,306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30,250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2,689</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(43,676)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(14,954)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193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727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807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Payment of severance benefits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(4,559)</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5,462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w w:val="79"/>
              </w:rPr>
              <w:t>401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13,627</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Purchase of plant, property and equipment</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(18,890)</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intangible assets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Proceeds from disposal of plant, property and equipment</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2,201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disposal of intangible assets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Decrease in restricted cash</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short-term inter-company loans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(14,143)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(14,565)</w:t>
            </w: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short-term inter-company borrowings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Exercise of unit options</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units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on cash and cash equivalents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79"/>
              </w:rPr>
              <w:t>209</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841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63,435</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441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65,812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 – (continued)</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 forward-looking statements within the meaning of the federal securities laws that involve risks and uncertainties. Our actual results may differ materially from those anticipated in these forward-looking statements as a result of certain factors set forth elsewhere in this Form 10-Q and in prior Company public filings with the SEC. In addition, other factors have been or may be discussed from time to time in the Company’s SEC filings. These forward–looking statements are made based on management’s expectations and beliefs concerning future events impacting the Company and, therefore, involve a number of risks and uncertainties. The Company’s management cautions that forward–looking statements are not guarantees and that actual results could differ materially from those expressed or implied in the forward–looking statements. The following discussion should be read in conjunction with the unaudited condensed consolidated interim financial statements and related notes included elsewhere in this Form 10-Q. 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 the Company does not intend to review or revise any particular forward–looking statement in light of future events.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a leading designer, developer and manufacturer of mixed-signal and digital multimedia semiconductors addressing the convergence of consumer electronics and communication devices. We focus our core business on CMOS image sensors and flat panel display drivers, which are complex, high-performance mixed-signal semiconductors that capture images and enable and enhance the features and capabilities of both small and large flat panel displays. We also provide wafer foundry services whereby we leverage our specialized process technologies and low cost manufacturing facilities to produce semiconductors for third parties using their product designs. Our solutions are used in a wide variety of consumer and commercial mass market applications, such as mobile handsets, including camera-equipped mobile handsets, flat panel monitors and televisions, mobile displays, portable computer displays, handheld gaming devices, PDAs and audio-visual equipment such as DVD players.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three separate business segments: Display Solutions, Imaging Solutions and Semiconductor Manufacturing Services.</w:t>
      </w:r>
    </w:p>
    <w:p>
      <w:pPr>
        <w:spacing w:after="0" w:line="90" w:lineRule="exact"/>
        <w:rPr>
          <w:sz w:val="20"/>
          <w:szCs w:val="20"/>
          <w:color w:val="auto"/>
        </w:rPr>
      </w:pPr>
    </w:p>
    <w:p>
      <w:pPr>
        <w:ind w:left="900" w:right="440" w:hanging="446"/>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Our Display Solutions segment offers flat panel display drivers for the entire product range of small to large panel displays,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mobile handsets, handheld gaming devices, PDAs, displays for desktop and mobile computer monitors and flat panel televisions. Our products also cover a broad range of technologies and interfaces including LTPS, TFT, CSTN, OLED technologies, RSDS and mini-LVDS interfaces.</w:t>
      </w:r>
    </w:p>
    <w:p>
      <w:pPr>
        <w:spacing w:after="0" w:line="62"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Imaging Solutions: </w:t>
      </w:r>
      <w:r>
        <w:rPr>
          <w:rFonts w:ascii="Arial" w:cs="Arial" w:eastAsia="Arial" w:hAnsi="Arial"/>
          <w:sz w:val="16"/>
          <w:szCs w:val="16"/>
          <w:color w:val="auto"/>
        </w:rPr>
        <w:t>Our Imaging Solutions segment address a broad spectrum of consumer electronics products ranging from camera-equipped</w:t>
      </w:r>
      <w:r>
        <w:rPr>
          <w:rFonts w:ascii="Arial" w:cs="Arial" w:eastAsia="Arial" w:hAnsi="Arial"/>
          <w:sz w:val="16"/>
          <w:szCs w:val="16"/>
          <w:i w:val="1"/>
          <w:iCs w:val="1"/>
          <w:color w:val="auto"/>
        </w:rPr>
        <w:t xml:space="preserve"> </w:t>
      </w:r>
      <w:r>
        <w:rPr>
          <w:rFonts w:ascii="Arial" w:cs="Arial" w:eastAsia="Arial" w:hAnsi="Arial"/>
          <w:sz w:val="16"/>
          <w:szCs w:val="16"/>
          <w:color w:val="auto"/>
        </w:rPr>
        <w:t>mobile handsets to personal computer webcams, offering VGA, 1.3, 2.1 and 3.2 mega pixel CMOS image sensors. Our highly integrated image sensors are designed to be cost effective and to provide brighter, sharper and more colorful image quality for use primarily in applications that require small form factors, low power consumption, effective heat dissipation and high reliability.</w:t>
      </w:r>
    </w:p>
    <w:p>
      <w:pPr>
        <w:spacing w:after="0" w:line="31" w:lineRule="exact"/>
        <w:rPr>
          <w:rFonts w:ascii="Arial" w:cs="Arial" w:eastAsia="Arial" w:hAnsi="Arial"/>
          <w:sz w:val="16"/>
          <w:szCs w:val="16"/>
          <w:color w:val="auto"/>
        </w:rPr>
      </w:pPr>
    </w:p>
    <w:p>
      <w:pPr>
        <w:ind w:left="900" w:right="20" w:hanging="446"/>
        <w:spacing w:after="0" w:line="294"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Semiconductor Manufacturing Services: </w:t>
      </w:r>
      <w:r>
        <w:rPr>
          <w:rFonts w:ascii="Arial" w:cs="Arial" w:eastAsia="Arial" w:hAnsi="Arial"/>
          <w:sz w:val="16"/>
          <w:szCs w:val="16"/>
          <w:color w:val="auto"/>
        </w:rPr>
        <w:t>Our Semiconductor Manufacturing Services segment uses our process technology and manufacturing</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to manufacture semiconductor wafers for third parties based on their designs. We provide our services to specialty markets that utilize high-voltage, embedded memory, analog and power processes. We offer customized services for clients globally at our state-of-the-art fabrication facilities located in Cheongju and Gumi, Korea. Our fabs provide us with large scale, cost-effective and flexible capacity enabling us to rapidly scale to high volume to meet shifts in demand by our end customers.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Three-Month Periods Ended July 1, 2007 and July 2, 2006.</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consolidated result of operations for the three months ended July 1, 2007 and July 2,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62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85"/>
              </w:rPr>
              <w:t>Three months ended</w:t>
            </w:r>
          </w:p>
        </w:tc>
        <w:tc>
          <w:tcPr>
            <w:tcW w:w="80" w:type="dxa"/>
            <w:vAlign w:val="bottom"/>
          </w:tcPr>
          <w:p>
            <w:pPr>
              <w:spacing w:after="0"/>
              <w:rPr>
                <w:sz w:val="14"/>
                <w:szCs w:val="14"/>
                <w:color w:val="auto"/>
              </w:rPr>
            </w:pPr>
          </w:p>
        </w:tc>
        <w:tc>
          <w:tcPr>
            <w:tcW w:w="154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85"/>
              </w:rPr>
              <w:t>Three months ended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7"/>
          </w:tcPr>
          <w:p>
            <w:pPr>
              <w:jc w:val="center"/>
              <w:ind w:right="560"/>
              <w:spacing w:after="0"/>
              <w:rPr>
                <w:sz w:val="20"/>
                <w:szCs w:val="20"/>
                <w:color w:val="auto"/>
              </w:rPr>
            </w:pPr>
            <w:r>
              <w:rPr>
                <w:rFonts w:ascii="Arial" w:cs="Arial" w:eastAsia="Arial" w:hAnsi="Arial"/>
                <w:sz w:val="14"/>
                <w:szCs w:val="14"/>
                <w:b w:val="1"/>
                <w:bCs w:val="1"/>
                <w:color w:val="auto"/>
                <w:w w:val="88"/>
              </w:rPr>
              <w:t>July 1, 2007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88"/>
              </w:rPr>
              <w:t>July 2, 2006</w:t>
            </w:r>
          </w:p>
        </w:tc>
        <w:tc>
          <w:tcPr>
            <w:tcW w:w="100" w:type="dxa"/>
            <w:vAlign w:val="bottom"/>
          </w:tcPr>
          <w:p>
            <w:pPr>
              <w:spacing w:after="0"/>
              <w:rPr>
                <w:sz w:val="15"/>
                <w:szCs w:val="15"/>
                <w:color w:val="auto"/>
              </w:rPr>
            </w:pPr>
          </w:p>
        </w:tc>
        <w:tc>
          <w:tcPr>
            <w:tcW w:w="11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ind w:right="52"/>
              <w:spacing w:after="0" w:line="129"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gridSpan w:val="2"/>
          </w:tcPr>
          <w:p>
            <w:pPr>
              <w:spacing w:after="0"/>
              <w:rPr>
                <w:sz w:val="15"/>
                <w:szCs w:val="15"/>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net sales</w:t>
            </w:r>
          </w:p>
        </w:tc>
        <w:tc>
          <w:tcPr>
            <w:tcW w:w="280" w:type="dxa"/>
            <w:vAlign w:val="bottom"/>
            <w:gridSpan w:val="2"/>
          </w:tcPr>
          <w:p>
            <w:pPr>
              <w:spacing w:after="0"/>
              <w:rPr>
                <w:sz w:val="15"/>
                <w:szCs w:val="15"/>
                <w:color w:val="auto"/>
              </w:rPr>
            </w:pPr>
          </w:p>
        </w:tc>
        <w:tc>
          <w:tcPr>
            <w:tcW w:w="5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gridSpan w:val="2"/>
          </w:tcPr>
          <w:p>
            <w:pPr>
              <w:spacing w:after="0"/>
              <w:rPr>
                <w:sz w:val="15"/>
                <w:szCs w:val="15"/>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0"/>
              </w:rPr>
              <w:t>net sales</w:t>
            </w:r>
          </w:p>
        </w:tc>
        <w:tc>
          <w:tcPr>
            <w:tcW w:w="280" w:type="dxa"/>
            <w:vAlign w:val="bottom"/>
            <w:gridSpan w:val="2"/>
          </w:tcPr>
          <w:p>
            <w:pPr>
              <w:spacing w:after="0"/>
              <w:rPr>
                <w:sz w:val="15"/>
                <w:szCs w:val="15"/>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5"/>
                <w:szCs w:val="15"/>
                <w:color w:val="auto"/>
              </w:rPr>
            </w:pPr>
          </w:p>
        </w:tc>
        <w:tc>
          <w:tcPr>
            <w:tcW w:w="3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gridSpan w:val="2"/>
          </w:tcPr>
          <w:p>
            <w:pPr>
              <w:ind w:left="20"/>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560" w:type="dxa"/>
            <w:vAlign w:val="bottom"/>
            <w:gridSpan w:val="3"/>
          </w:tcPr>
          <w:p>
            <w:pPr>
              <w:spacing w:after="0" w:line="142" w:lineRule="exact"/>
              <w:rPr>
                <w:sz w:val="20"/>
                <w:szCs w:val="20"/>
                <w:color w:val="auto"/>
              </w:rPr>
            </w:pPr>
            <w:r>
              <w:rPr>
                <w:rFonts w:ascii="Arial" w:cs="Arial" w:eastAsia="Arial" w:hAnsi="Arial"/>
                <w:sz w:val="14"/>
                <w:szCs w:val="14"/>
                <w:b w:val="1"/>
                <w:bCs w:val="1"/>
                <w:i w:val="1"/>
                <w:iCs w:val="1"/>
                <w:color w:val="auto"/>
                <w:w w:val="77"/>
              </w:rPr>
              <w:t>millions of</w:t>
            </w:r>
          </w:p>
        </w:tc>
        <w:tc>
          <w:tcPr>
            <w:tcW w:w="2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i w:val="1"/>
                <w:iCs w:val="1"/>
                <w:color w:val="auto"/>
                <w:w w:val="92"/>
              </w:rPr>
              <w:t>US</w:t>
            </w:r>
          </w:p>
        </w:tc>
        <w:tc>
          <w:tcPr>
            <w:tcW w:w="780" w:type="dxa"/>
            <w:vAlign w:val="bottom"/>
            <w:gridSpan w:val="4"/>
          </w:tcPr>
          <w:p>
            <w:pPr>
              <w:jc w:val="right"/>
              <w:ind w:right="240"/>
              <w:spacing w:after="0" w:line="142" w:lineRule="exact"/>
              <w:rPr>
                <w:sz w:val="20"/>
                <w:szCs w:val="20"/>
                <w:color w:val="auto"/>
              </w:rPr>
            </w:pPr>
            <w:r>
              <w:rPr>
                <w:rFonts w:ascii="Arial" w:cs="Arial" w:eastAsia="Arial" w:hAnsi="Arial"/>
                <w:sz w:val="14"/>
                <w:szCs w:val="14"/>
                <w:b w:val="1"/>
                <w:bCs w:val="1"/>
                <w:i w:val="1"/>
                <w:iCs w:val="1"/>
                <w:color w:val="auto"/>
                <w:w w:val="72"/>
              </w:rPr>
              <w:t>dollars; %)</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$ 194.1</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4"/>
              </w:rPr>
              <w:t>197.6</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Cost of sales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166.3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w w:val="84"/>
              </w:rPr>
              <w:t>177.3</w:t>
            </w:r>
          </w:p>
        </w:tc>
        <w:tc>
          <w:tcPr>
            <w:tcW w:w="1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89.7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80" w:type="dxa"/>
            <w:vAlign w:val="bottom"/>
            <w:gridSpan w:val="2"/>
            <w:vMerge w:val="continue"/>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25.6</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9"/>
                <w:szCs w:val="19"/>
                <w:color w:val="auto"/>
              </w:rPr>
            </w:pPr>
          </w:p>
        </w:tc>
        <w:tc>
          <w:tcPr>
            <w:tcW w:w="56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3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rPr>
              <w:t>93.7</w:t>
            </w:r>
          </w:p>
        </w:tc>
        <w:tc>
          <w:tcPr>
            <w:tcW w:w="1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47.4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(81.6)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(87.1)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(42.4)</w:t>
            </w: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Interest expense, net</w:t>
            </w:r>
          </w:p>
        </w:tc>
        <w:tc>
          <w:tcPr>
            <w:tcW w:w="760" w:type="dxa"/>
            <w:vAlign w:val="bottom"/>
            <w:gridSpan w:val="4"/>
          </w:tcPr>
          <w:p>
            <w:pPr>
              <w:jc w:val="right"/>
              <w:ind w:right="180"/>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18"/>
                <w:szCs w:val="18"/>
                <w:color w:val="auto"/>
              </w:rPr>
            </w:pPr>
          </w:p>
        </w:tc>
        <w:tc>
          <w:tcPr>
            <w:tcW w:w="700" w:type="dxa"/>
            <w:vAlign w:val="bottom"/>
            <w:gridSpan w:val="3"/>
          </w:tcPr>
          <w:p>
            <w:pPr>
              <w:jc w:val="right"/>
              <w:ind w:right="3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3"/>
              </w:rPr>
              <w:t>(14.4)</w:t>
            </w:r>
          </w:p>
        </w:tc>
        <w:tc>
          <w:tcPr>
            <w:tcW w:w="160" w:type="dxa"/>
            <w:vAlign w:val="bottom"/>
          </w:tcPr>
          <w:p>
            <w:pPr>
              <w:spacing w:after="0"/>
              <w:rPr>
                <w:sz w:val="18"/>
                <w:szCs w:val="18"/>
                <w:color w:val="auto"/>
              </w:rPr>
            </w:pPr>
          </w:p>
        </w:tc>
        <w:tc>
          <w:tcPr>
            <w:tcW w:w="780" w:type="dxa"/>
            <w:vAlign w:val="bottom"/>
            <w:gridSpan w:val="4"/>
          </w:tcPr>
          <w:p>
            <w:pPr>
              <w:jc w:val="right"/>
              <w:ind w:right="2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net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vMerge w:val="restart"/>
          </w:tcPr>
          <w:p>
            <w:pPr>
              <w:jc w:val="right"/>
              <w:ind w:right="32"/>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4"/>
            <w:vMerge w:val="restart"/>
          </w:tcPr>
          <w:p>
            <w:pPr>
              <w:jc w:val="right"/>
              <w:ind w:right="220"/>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w w:val="89"/>
              </w:rPr>
              <w:t>(66.3)</w:t>
            </w:r>
          </w:p>
        </w:tc>
        <w:tc>
          <w:tcPr>
            <w:tcW w:w="0" w:type="dxa"/>
            <w:vAlign w:val="bottom"/>
          </w:tcPr>
          <w:p>
            <w:pPr>
              <w:spacing w:after="0" w:line="20" w:lineRule="exact"/>
              <w:rPr>
                <w:sz w:val="1"/>
                <w:szCs w:val="1"/>
                <w:color w:val="auto"/>
              </w:rPr>
            </w:pPr>
          </w:p>
        </w:tc>
      </w:tr>
      <w:tr>
        <w:trPr>
          <w:trHeight w:val="221"/>
        </w:trPr>
        <w:tc>
          <w:tcPr>
            <w:tcW w:w="6980" w:type="dxa"/>
            <w:vAlign w:val="bottom"/>
            <w:gridSpan w:val="2"/>
            <w:vMerge w:val="continue"/>
          </w:tcPr>
          <w:p>
            <w:pPr>
              <w:spacing w:after="0"/>
              <w:rPr>
                <w:sz w:val="19"/>
                <w:szCs w:val="19"/>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8"/>
                <w:szCs w:val="18"/>
                <w:color w:val="auto"/>
              </w:rPr>
              <w:t>(43.5)</w:t>
            </w:r>
          </w:p>
        </w:tc>
        <w:tc>
          <w:tcPr>
            <w:tcW w:w="40" w:type="dxa"/>
            <w:vAlign w:val="bottom"/>
          </w:tcPr>
          <w:p>
            <w:pPr>
              <w:spacing w:after="0"/>
              <w:rPr>
                <w:sz w:val="19"/>
                <w:szCs w:val="19"/>
                <w:color w:val="auto"/>
              </w:rPr>
            </w:pPr>
          </w:p>
        </w:tc>
        <w:tc>
          <w:tcPr>
            <w:tcW w:w="70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(129.2)</w:t>
            </w:r>
          </w:p>
        </w:tc>
        <w:tc>
          <w:tcPr>
            <w:tcW w:w="160" w:type="dxa"/>
            <w:vAlign w:val="bottom"/>
          </w:tcPr>
          <w:p>
            <w:pPr>
              <w:spacing w:after="0"/>
              <w:rPr>
                <w:sz w:val="19"/>
                <w:szCs w:val="19"/>
                <w:color w:val="auto"/>
              </w:rPr>
            </w:pPr>
          </w:p>
        </w:tc>
        <w:tc>
          <w:tcPr>
            <w:tcW w:w="78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85.7</w:t>
            </w:r>
          </w:p>
        </w:tc>
        <w:tc>
          <w:tcPr>
            <w:tcW w:w="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(37.9)</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vMerge w:val="restart"/>
          </w:tcPr>
          <w:p>
            <w:pPr>
              <w:jc w:val="right"/>
              <w:ind w:right="32"/>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4"/>
            <w:vMerge w:val="restart"/>
          </w:tcPr>
          <w:p>
            <w:pPr>
              <w:jc w:val="right"/>
              <w:ind w:right="220"/>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w w:val="89"/>
              </w:rPr>
              <w:t>(65.7)</w:t>
            </w:r>
          </w:p>
        </w:tc>
        <w:tc>
          <w:tcPr>
            <w:tcW w:w="0" w:type="dxa"/>
            <w:vAlign w:val="bottom"/>
          </w:tcPr>
          <w:p>
            <w:pPr>
              <w:spacing w:after="0" w:line="20" w:lineRule="exact"/>
              <w:rPr>
                <w:sz w:val="1"/>
                <w:szCs w:val="1"/>
                <w:color w:val="auto"/>
              </w:rPr>
            </w:pPr>
          </w:p>
        </w:tc>
      </w:tr>
      <w:tr>
        <w:trPr>
          <w:trHeight w:val="221"/>
        </w:trPr>
        <w:tc>
          <w:tcPr>
            <w:tcW w:w="6980" w:type="dxa"/>
            <w:vAlign w:val="bottom"/>
            <w:gridSpan w:val="2"/>
            <w:vMerge w:val="continue"/>
          </w:tcPr>
          <w:p>
            <w:pPr>
              <w:spacing w:after="0"/>
              <w:rPr>
                <w:sz w:val="19"/>
                <w:szCs w:val="19"/>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8"/>
                <w:szCs w:val="18"/>
                <w:color w:val="auto"/>
                <w:w w:val="90"/>
              </w:rPr>
              <w:t>$ (45.3)</w:t>
            </w:r>
          </w:p>
        </w:tc>
        <w:tc>
          <w:tcPr>
            <w:tcW w:w="40" w:type="dxa"/>
            <w:vAlign w:val="bottom"/>
          </w:tcPr>
          <w:p>
            <w:pPr>
              <w:spacing w:after="0"/>
              <w:rPr>
                <w:sz w:val="19"/>
                <w:szCs w:val="19"/>
                <w:color w:val="auto"/>
              </w:rPr>
            </w:pPr>
          </w:p>
        </w:tc>
        <w:tc>
          <w:tcPr>
            <w:tcW w:w="70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w w:val="83"/>
              </w:rPr>
              <w:t>$ (132.1)</w:t>
            </w:r>
          </w:p>
        </w:tc>
        <w:tc>
          <w:tcPr>
            <w:tcW w:w="160" w:type="dxa"/>
            <w:vAlign w:val="bottom"/>
          </w:tcPr>
          <w:p>
            <w:pPr>
              <w:spacing w:after="0"/>
              <w:rPr>
                <w:sz w:val="19"/>
                <w:szCs w:val="19"/>
                <w:color w:val="auto"/>
              </w:rPr>
            </w:pPr>
          </w:p>
        </w:tc>
        <w:tc>
          <w:tcPr>
            <w:tcW w:w="780" w:type="dxa"/>
            <w:vAlign w:val="bottom"/>
            <w:gridSpan w:val="4"/>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86.8</w:t>
            </w:r>
          </w:p>
        </w:tc>
        <w:tc>
          <w:tcPr>
            <w:tcW w:w="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Sales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9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85"/>
              </w:rPr>
              <w:t>Three months ended</w:t>
            </w:r>
          </w:p>
        </w:tc>
        <w:tc>
          <w:tcPr>
            <w:tcW w:w="80" w:type="dxa"/>
            <w:vAlign w:val="bottom"/>
          </w:tcPr>
          <w:p>
            <w:pPr>
              <w:spacing w:after="0"/>
              <w:rPr>
                <w:sz w:val="24"/>
                <w:szCs w:val="24"/>
                <w:color w:val="auto"/>
              </w:rPr>
            </w:pPr>
          </w:p>
        </w:tc>
        <w:tc>
          <w:tcPr>
            <w:tcW w:w="154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86"/>
              </w:rPr>
              <w:t>July 1, 2007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July 2, 2006</w:t>
            </w:r>
          </w:p>
        </w:tc>
        <w:tc>
          <w:tcPr>
            <w:tcW w:w="100" w:type="dxa"/>
            <w:vAlign w:val="bottom"/>
          </w:tcPr>
          <w:p>
            <w:pPr>
              <w:spacing w:after="0"/>
              <w:rPr>
                <w:sz w:val="14"/>
                <w:szCs w:val="14"/>
                <w:color w:val="auto"/>
              </w:rPr>
            </w:pPr>
          </w:p>
        </w:tc>
        <w:tc>
          <w:tcPr>
            <w:tcW w:w="11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5"/>
                <w:szCs w:val="15"/>
                <w:color w:val="auto"/>
              </w:rPr>
            </w:pPr>
          </w:p>
        </w:tc>
        <w:tc>
          <w:tcPr>
            <w:tcW w:w="3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gridSpan w:val="11"/>
          </w:tcPr>
          <w:p>
            <w:pPr>
              <w:jc w:val="center"/>
              <w:ind w:right="40"/>
              <w:spacing w:after="0" w:line="142" w:lineRule="exact"/>
              <w:rPr>
                <w:sz w:val="20"/>
                <w:szCs w:val="20"/>
                <w:color w:val="auto"/>
              </w:rPr>
            </w:pPr>
            <w:r>
              <w:rPr>
                <w:rFonts w:ascii="Arial" w:cs="Arial" w:eastAsia="Arial" w:hAnsi="Arial"/>
                <w:sz w:val="14"/>
                <w:szCs w:val="14"/>
                <w:b w:val="1"/>
                <w:bCs w:val="1"/>
                <w:i w:val="1"/>
                <w:iCs w:val="1"/>
                <w:color w:val="auto"/>
                <w:w w:val="87"/>
              </w:rPr>
              <w:t>(in millions of US dollars; %)</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85.1</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Imaging solutions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17.4</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8"/>
                <w:szCs w:val="18"/>
                <w:color w:val="auto"/>
              </w:rPr>
            </w:pPr>
          </w:p>
        </w:tc>
        <w:tc>
          <w:tcPr>
            <w:tcW w:w="780" w:type="dxa"/>
            <w:vAlign w:val="bottom"/>
            <w:gridSpan w:val="4"/>
          </w:tcPr>
          <w:p>
            <w:pPr>
              <w:jc w:val="right"/>
              <w:ind w:right="22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380" w:type="dxa"/>
            <w:vAlign w:val="bottom"/>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75.1</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(21.9)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All other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16.5</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8"/>
                <w:szCs w:val="18"/>
                <w:color w:val="auto"/>
              </w:rPr>
            </w:pPr>
          </w:p>
        </w:tc>
        <w:tc>
          <w:tcPr>
            <w:tcW w:w="780" w:type="dxa"/>
            <w:vAlign w:val="bottom"/>
            <w:gridSpan w:val="4"/>
          </w:tcPr>
          <w:p>
            <w:pPr>
              <w:jc w:val="right"/>
              <w:ind w:right="22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380" w:type="dxa"/>
            <w:vAlign w:val="bottom"/>
          </w:tcPr>
          <w:p>
            <w:pPr>
              <w:jc w:val="right"/>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194.1</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derive a majority of our net sales from three operating segments: Display Solutions, Imaging Solutions and Semiconductor Manufacturing Services.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“All other” category represents certain business activities other than these business segments, principally composed of rental and unit processing.</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Total net sales for the three months ended July 1, 2007 decreased $3.5 million, or 1.8% compared to the three months ended July 2, 2006. Net sales generated in the three operating segments during the most recently completed quarter were $177.6 million, a decrease of $8.3 million or 4.5% from the net sales of three operating segments for the prior-year quarter.</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Net sales from Display Solutions for the three months ended July 1, 2007 were $85.1 million, a $11.8 million or 16.1% increase from</w:t>
      </w:r>
      <w:r>
        <w:rPr>
          <w:rFonts w:ascii="Arial" w:cs="Arial" w:eastAsia="Arial" w:hAnsi="Arial"/>
          <w:sz w:val="18"/>
          <w:szCs w:val="18"/>
          <w:i w:val="1"/>
          <w:iCs w:val="1"/>
          <w:color w:val="auto"/>
        </w:rPr>
        <w:t xml:space="preserve"> </w:t>
      </w:r>
      <w:r>
        <w:rPr>
          <w:rFonts w:ascii="Arial" w:cs="Arial" w:eastAsia="Arial" w:hAnsi="Arial"/>
          <w:sz w:val="18"/>
          <w:szCs w:val="18"/>
          <w:color w:val="auto"/>
        </w:rPr>
        <w:t>$73.3 million for the three months ended July 2, 2006. This sales increase in our display driver business was primarily attributable to higher volume driven from both current and the new products.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Imaging Solutions net sales increased $1.8 million in the most recently completed quarter, or 11.5% compared to net sales generated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prior-year quarter. This sales increase in our imaging solution business was primarily attributable to an increase in small form factor VGA product sales and 1.3 mega pixel designs wins.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Net sales from Semiconductor Manufacturing Services for the second quarter of 2007 were $75.1 million, a $21.9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22.6% decrease compared to net sales of $97.0 million for the prior-year quarter. This decrease was mainly due to decrease in end-market demand, coupled with continued average selling price erosion.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All other. </w:t>
      </w:r>
      <w:r>
        <w:rPr>
          <w:rFonts w:ascii="Arial" w:cs="Arial" w:eastAsia="Arial" w:hAnsi="Arial"/>
          <w:sz w:val="16"/>
          <w:szCs w:val="16"/>
          <w:color w:val="auto"/>
        </w:rPr>
        <w:t>Net sales from All other for the three months ended July 1, 2007 were $16.5 million compared to $11.7 million for the three months ended July 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320" w:type="dxa"/>
            <w:vAlign w:val="bottom"/>
            <w:gridSpan w:val="4"/>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220" w:type="dxa"/>
            <w:vAlign w:val="bottom"/>
          </w:tcPr>
          <w:p>
            <w:pPr>
              <w:spacing w:after="0"/>
              <w:rPr>
                <w:sz w:val="14"/>
                <w:szCs w:val="14"/>
                <w:color w:val="auto"/>
              </w:rPr>
            </w:pPr>
          </w:p>
        </w:tc>
        <w:tc>
          <w:tcPr>
            <w:tcW w:w="16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0"/>
              </w:rPr>
              <w:t>Three months ended</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7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right"/>
              <w:ind w:right="238"/>
              <w:spacing w:after="0"/>
              <w:rPr>
                <w:sz w:val="20"/>
                <w:szCs w:val="20"/>
                <w:color w:val="auto"/>
              </w:rPr>
            </w:pPr>
            <w:r>
              <w:rPr>
                <w:rFonts w:ascii="Arial" w:cs="Arial" w:eastAsia="Arial" w:hAnsi="Arial"/>
                <w:sz w:val="14"/>
                <w:szCs w:val="14"/>
                <w:b w:val="1"/>
                <w:bCs w:val="1"/>
                <w:color w:val="auto"/>
              </w:rPr>
              <w:t>July 1, 2007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July 2, 2006</w:t>
            </w:r>
          </w:p>
        </w:tc>
        <w:tc>
          <w:tcPr>
            <w:tcW w:w="140" w:type="dxa"/>
            <w:vAlign w:val="bottom"/>
          </w:tcPr>
          <w:p>
            <w:pPr>
              <w:spacing w:after="0"/>
              <w:rPr>
                <w:sz w:val="14"/>
                <w:szCs w:val="14"/>
                <w:color w:val="auto"/>
              </w:rPr>
            </w:pPr>
          </w:p>
        </w:tc>
        <w:tc>
          <w:tcPr>
            <w:tcW w:w="10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Change</w:t>
            </w:r>
          </w:p>
        </w:tc>
      </w:tr>
      <w:tr>
        <w:trPr>
          <w:trHeight w:val="129"/>
        </w:trPr>
        <w:tc>
          <w:tcPr>
            <w:tcW w:w="70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58"/>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38"/>
              <w:spacing w:after="0" w:line="129"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75"/>
        </w:trPr>
        <w:tc>
          <w:tcPr>
            <w:tcW w:w="7060" w:type="dxa"/>
            <w:vAlign w:val="bottom"/>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net sales</w:t>
            </w:r>
          </w:p>
        </w:tc>
        <w:tc>
          <w:tcPr>
            <w:tcW w:w="220" w:type="dxa"/>
            <w:vAlign w:val="bottom"/>
          </w:tcPr>
          <w:p>
            <w:pPr>
              <w:spacing w:after="0"/>
              <w:rPr>
                <w:sz w:val="15"/>
                <w:szCs w:val="15"/>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net sales</w:t>
            </w:r>
          </w:p>
        </w:tc>
        <w:tc>
          <w:tcPr>
            <w:tcW w:w="280" w:type="dxa"/>
            <w:vAlign w:val="bottom"/>
          </w:tcPr>
          <w:p>
            <w:pPr>
              <w:spacing w:after="0"/>
              <w:rPr>
                <w:sz w:val="15"/>
                <w:szCs w:val="15"/>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5"/>
                <w:szCs w:val="15"/>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r>
      <w:tr>
        <w:trPr>
          <w:trHeight w:val="142"/>
        </w:trPr>
        <w:tc>
          <w:tcPr>
            <w:tcW w:w="7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1620" w:type="dxa"/>
            <w:vAlign w:val="bottom"/>
            <w:gridSpan w:val="5"/>
          </w:tcPr>
          <w:p>
            <w:pPr>
              <w:spacing w:after="0" w:line="142" w:lineRule="exact"/>
              <w:rPr>
                <w:sz w:val="20"/>
                <w:szCs w:val="20"/>
                <w:color w:val="auto"/>
              </w:rPr>
            </w:pPr>
            <w:r>
              <w:rPr>
                <w:rFonts w:ascii="Arial" w:cs="Arial" w:eastAsia="Arial" w:hAnsi="Arial"/>
                <w:sz w:val="14"/>
                <w:szCs w:val="14"/>
                <w:b w:val="1"/>
                <w:bCs w:val="1"/>
                <w:i w:val="1"/>
                <w:iCs w:val="1"/>
                <w:color w:val="auto"/>
                <w:w w:val="94"/>
              </w:rPr>
              <w:t>millions of US dollars; %)</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Imaging solutions</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16.6</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(29.5)</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All other</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7.4</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7"/>
        </w:trPr>
        <w:tc>
          <w:tcPr>
            <w:tcW w:w="7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0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20.3</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60" w:type="dxa"/>
            <w:vAlign w:val="bottom"/>
            <w:shd w:val="clear" w:color="auto" w:fill="CCEEFF"/>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Total gross profit increased $7.5 million in the second quarter of 2007, or 36.9%, compared to the gross profit generated in the second quarter of 2006. Gross margin percentage for the most recently completed quarter was 14.3% of net sales, an increase of 4.0% from 10.3% for the prior-year quarter. This increase in gross margin percentage was mainly attributable to a volume increase in both unit processing and imaging solutions.</w:t>
      </w:r>
    </w:p>
    <w:p>
      <w:pPr>
        <w:spacing w:after="0" w:line="10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i w:val="1"/>
          <w:iCs w:val="1"/>
          <w:color w:val="auto"/>
        </w:rPr>
        <w:t xml:space="preserve">Display Solutions. </w:t>
      </w:r>
      <w:r>
        <w:rPr>
          <w:rFonts w:ascii="Arial" w:cs="Arial" w:eastAsia="Arial" w:hAnsi="Arial"/>
          <w:sz w:val="16"/>
          <w:szCs w:val="16"/>
          <w:color w:val="auto"/>
        </w:rPr>
        <w:t>Gross margin percentage for Display Solutions for the three months ended July 1, 2007 declined to 9.6% compared to 11.1%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July 2, 2006. This decline in gross margin percentage was primarily attributable to average selling price erosion.</w:t>
      </w:r>
    </w:p>
    <w:p>
      <w:pPr>
        <w:spacing w:after="0" w:line="8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Gross margin percentage for the most recently completed quarter was improved compared to the prior-year quarter mainly due to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depreciation cost resulting from impairment charges taken in the second quarter of 2006.</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Gross margin for Semiconductor Manufacturing Services declined to 15.6% in the second quarter of 2007 from</w:t>
      </w:r>
      <w:r>
        <w:rPr>
          <w:rFonts w:ascii="Arial" w:cs="Arial" w:eastAsia="Arial" w:hAnsi="Arial"/>
          <w:sz w:val="18"/>
          <w:szCs w:val="18"/>
          <w:i w:val="1"/>
          <w:iCs w:val="1"/>
          <w:color w:val="auto"/>
        </w:rPr>
        <w:t xml:space="preserve"> </w:t>
      </w:r>
      <w:r>
        <w:rPr>
          <w:rFonts w:ascii="Arial" w:cs="Arial" w:eastAsia="Arial" w:hAnsi="Arial"/>
          <w:sz w:val="18"/>
          <w:szCs w:val="18"/>
          <w:color w:val="auto"/>
        </w:rPr>
        <w:t>17.1% in the second quarter of 2006. A decrease in average selling price compared to the previous year’s second quarter resulted in a decline of gross margin for the segment.</w:t>
      </w:r>
    </w:p>
    <w:p>
      <w:pPr>
        <w:spacing w:after="0" w:line="14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i w:val="1"/>
          <w:iCs w:val="1"/>
          <w:color w:val="auto"/>
        </w:rPr>
        <w:t xml:space="preserve">All other. </w:t>
      </w:r>
      <w:r>
        <w:rPr>
          <w:rFonts w:ascii="Arial" w:cs="Arial" w:eastAsia="Arial" w:hAnsi="Arial"/>
          <w:sz w:val="16"/>
          <w:szCs w:val="16"/>
          <w:color w:val="auto"/>
        </w:rPr>
        <w:t>Gross margin percentage for All other for current period increased to 40.0% from (6.8)% in the second quarter of 2006. This improvement in</w:t>
      </w:r>
      <w:r>
        <w:rPr>
          <w:rFonts w:ascii="Arial" w:cs="Arial" w:eastAsia="Arial" w:hAnsi="Arial"/>
          <w:sz w:val="16"/>
          <w:szCs w:val="16"/>
          <w:i w:val="1"/>
          <w:iCs w:val="1"/>
          <w:color w:val="auto"/>
        </w:rPr>
        <w:t xml:space="preserve"> </w:t>
      </w:r>
      <w:r>
        <w:rPr>
          <w:rFonts w:ascii="Arial" w:cs="Arial" w:eastAsia="Arial" w:hAnsi="Arial"/>
          <w:sz w:val="16"/>
          <w:szCs w:val="16"/>
          <w:color w:val="auto"/>
        </w:rPr>
        <w:t>gross margin percentage is mainly due to the volume increase from unit processing, which resulted in lower fixed cost per unit.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were $25.6 million or 13.2% of net sales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July 1, 2007, compared to $22.0 million or 11.1% for the three months ended July 2, 2006. The increase of $3.6 million or 16.4% from the prior-year quarter was mainly attributable to employee related expenses such as salaries and benefits, and other expenses that included a special charge for a settlement with former subcontractors.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the most recently completed quarter were $32.5 million, a decrease of $1.4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4.1% from $33.9 million for the prior year quarter. As a percentage of net sales, research and development expenses for the most recently completed quarter decreased to 16.7% compared to 17.2% for the prior-year quarter.</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the second quarter ended July 1, 2007, we recognized restructuring and impairment charges of $12.1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which consisted of $10.1 million of impairment under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(“SFAS No. 144”) and $2.0 million of restructuring under SFAS No.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xml:space="preserve"> (“SFAS No. 146”)</w:t>
      </w:r>
      <w:r>
        <w:rPr>
          <w:rFonts w:ascii="Arial" w:cs="Arial" w:eastAsia="Arial" w:hAnsi="Arial"/>
          <w:sz w:val="18"/>
          <w:szCs w:val="18"/>
          <w:i w:val="1"/>
          <w:iCs w:val="1"/>
          <w:color w:val="auto"/>
        </w:rPr>
        <w:t>.</w:t>
      </w:r>
      <w:r>
        <w:rPr>
          <w:rFonts w:ascii="Arial" w:cs="Arial" w:eastAsia="Arial" w:hAnsi="Arial"/>
          <w:sz w:val="18"/>
          <w:szCs w:val="18"/>
          <w:color w:val="auto"/>
        </w:rPr>
        <w:t xml:space="preserve"> The impairment charges were recorded related to the closure of our 5-inch wafer fabrication facilities that has generated losses and no longer supported to our strategic technology roadmap.</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the three months ended July 2, 2006, we recorded restructuring and impairment charges totaling $93.7 million, which included $92.5 million of impairment under SFAS No. 144 and $1.2 million of restructuring under SFAS No. 146. The impairment charges were recorded against one of our fabrication facilities and certain related technology and customer-based intangible assets and the restructuring charges were incurred in association with changes in certain of our management.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 and Net Foreign Currency Gain or Loss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Net Interest Expense. </w:t>
      </w:r>
      <w:r>
        <w:rPr>
          <w:rFonts w:ascii="Arial" w:cs="Arial" w:eastAsia="Arial" w:hAnsi="Arial"/>
          <w:sz w:val="18"/>
          <w:szCs w:val="18"/>
          <w:color w:val="auto"/>
        </w:rPr>
        <w:t>Net interest expense was $15.0 million during the three-month period ended July 1, 2007, relatively consistent with $14.4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three-month period ended July 2, 2006. Substantially all of our interest expense is to service our long-term borrowings of $750.0 million at a weighted-average interest rate of 7.4%. The increase in net interest expense was mainly due to a decrease in interest income from financial assets including cash and cash equivalents.</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 xml:space="preserve">Net Foreign Currency Gain or Loss. </w:t>
      </w:r>
      <w:r>
        <w:rPr>
          <w:rFonts w:ascii="Arial" w:cs="Arial" w:eastAsia="Arial" w:hAnsi="Arial"/>
          <w:sz w:val="16"/>
          <w:szCs w:val="16"/>
          <w:color w:val="auto"/>
        </w:rPr>
        <w:t>Net foreign currency gain for the three months ended July 1, 2007 was $13.9 million, compared to net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gain of $14.5 million for the three months ended July 2, 2006. A substantial portion of our net foreign currency gain or loss is non-cash translation gain or loss recorded for intercompany borrowings at our Korea subsidiary and is affected by changes in the exchange rate between Korea won and U.S. dollar.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Income Tax Expenses</w:t>
      </w:r>
      <w:r>
        <w:rPr>
          <w:rFonts w:ascii="Arial" w:cs="Arial" w:eastAsia="Arial" w:hAnsi="Arial"/>
          <w:sz w:val="16"/>
          <w:szCs w:val="16"/>
          <w:color w:val="auto"/>
        </w:rPr>
        <w:t>. Income tax expenses for the most recently completed quarter were $1.8 million, compared to income tax expenses of $2.9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same quarter of 2006. Our income tax expenses are mostly composed of withholding taxes on inter-company interest payments and changes in deferred tax assets. Due to the uncertainty of utilization of foreign tax credits, we treated this withholding tax as a current tax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Six-Month Periods Ended July 1, 2007 and July 2, 2006.</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consolidated result of operations for the six months ended July 1, 2007 and July 2,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480" w:type="dxa"/>
            <w:vAlign w:val="bottom"/>
            <w:gridSpan w:val="4"/>
          </w:tcPr>
          <w:p>
            <w:pPr>
              <w:jc w:val="center"/>
              <w:ind w:right="112"/>
              <w:spacing w:after="0"/>
              <w:rPr>
                <w:sz w:val="20"/>
                <w:szCs w:val="20"/>
                <w:color w:val="auto"/>
              </w:rPr>
            </w:pPr>
            <w:r>
              <w:rPr>
                <w:rFonts w:ascii="Arial" w:cs="Arial" w:eastAsia="Arial" w:hAnsi="Arial"/>
                <w:sz w:val="14"/>
                <w:szCs w:val="14"/>
                <w:b w:val="1"/>
                <w:bCs w:val="1"/>
                <w:color w:val="auto"/>
                <w:w w:val="84"/>
              </w:rPr>
              <w:t>Six months ended</w:t>
            </w:r>
          </w:p>
        </w:tc>
        <w:tc>
          <w:tcPr>
            <w:tcW w:w="100" w:type="dxa"/>
            <w:vAlign w:val="bottom"/>
          </w:tcPr>
          <w:p>
            <w:pPr>
              <w:spacing w:after="0"/>
              <w:rPr>
                <w:sz w:val="14"/>
                <w:szCs w:val="14"/>
                <w:color w:val="auto"/>
              </w:rPr>
            </w:pPr>
          </w:p>
        </w:tc>
        <w:tc>
          <w:tcPr>
            <w:tcW w:w="15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4"/>
              </w:rPr>
              <w:t>Six months ended</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1480" w:type="dxa"/>
            <w:vAlign w:val="bottom"/>
            <w:gridSpan w:val="4"/>
          </w:tcPr>
          <w:p>
            <w:pPr>
              <w:jc w:val="center"/>
              <w:ind w:right="112"/>
              <w:spacing w:after="0"/>
              <w:rPr>
                <w:sz w:val="20"/>
                <w:szCs w:val="20"/>
                <w:color w:val="auto"/>
              </w:rPr>
            </w:pPr>
            <w:r>
              <w:rPr>
                <w:rFonts w:ascii="Arial" w:cs="Arial" w:eastAsia="Arial" w:hAnsi="Arial"/>
                <w:sz w:val="14"/>
                <w:szCs w:val="14"/>
                <w:b w:val="1"/>
                <w:bCs w:val="1"/>
                <w:color w:val="auto"/>
                <w:w w:val="88"/>
              </w:rPr>
              <w:t>July 1, 2007</w:t>
            </w:r>
          </w:p>
        </w:tc>
        <w:tc>
          <w:tcPr>
            <w:tcW w:w="100" w:type="dxa"/>
            <w:vAlign w:val="bottom"/>
          </w:tcPr>
          <w:p>
            <w:pPr>
              <w:spacing w:after="0"/>
              <w:rPr>
                <w:sz w:val="15"/>
                <w:szCs w:val="15"/>
                <w:color w:val="auto"/>
              </w:rPr>
            </w:pPr>
          </w:p>
        </w:tc>
        <w:tc>
          <w:tcPr>
            <w:tcW w:w="15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July 2, 2006</w:t>
            </w:r>
          </w:p>
        </w:tc>
        <w:tc>
          <w:tcPr>
            <w:tcW w:w="12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5"/>
                <w:szCs w:val="15"/>
                <w:color w:val="auto"/>
              </w:rPr>
            </w:pPr>
          </w:p>
        </w:tc>
        <w:tc>
          <w:tcPr>
            <w:tcW w:w="660" w:type="dxa"/>
            <w:vAlign w:val="bottom"/>
            <w:gridSpan w:val="2"/>
          </w:tcPr>
          <w:p>
            <w:pPr>
              <w:jc w:val="center"/>
              <w:ind w:right="112"/>
              <w:spacing w:after="0"/>
              <w:rPr>
                <w:sz w:val="20"/>
                <w:szCs w:val="20"/>
                <w:color w:val="auto"/>
              </w:rPr>
            </w:pPr>
            <w:r>
              <w:rPr>
                <w:rFonts w:ascii="Arial" w:cs="Arial" w:eastAsia="Arial" w:hAnsi="Arial"/>
                <w:sz w:val="14"/>
                <w:szCs w:val="14"/>
                <w:b w:val="1"/>
                <w:bCs w:val="1"/>
                <w:color w:val="auto"/>
                <w:w w:val="80"/>
              </w:rPr>
              <w:t>net sales</w:t>
            </w:r>
          </w:p>
        </w:tc>
        <w:tc>
          <w:tcPr>
            <w:tcW w:w="100" w:type="dxa"/>
            <w:vAlign w:val="bottom"/>
          </w:tcPr>
          <w:p>
            <w:pPr>
              <w:spacing w:after="0"/>
              <w:rPr>
                <w:sz w:val="15"/>
                <w:szCs w:val="15"/>
                <w:color w:val="auto"/>
              </w:rPr>
            </w:pPr>
          </w:p>
        </w:tc>
        <w:tc>
          <w:tcPr>
            <w:tcW w:w="820" w:type="dxa"/>
            <w:vAlign w:val="bottom"/>
            <w:gridSpan w:val="2"/>
          </w:tcPr>
          <w:p>
            <w:pPr>
              <w:jc w:val="center"/>
              <w:ind w:right="192"/>
              <w:spacing w:after="0"/>
              <w:rPr>
                <w:sz w:val="20"/>
                <w:szCs w:val="20"/>
                <w:color w:val="auto"/>
              </w:rPr>
            </w:pPr>
            <w:r>
              <w:rPr>
                <w:rFonts w:ascii="Arial" w:cs="Arial" w:eastAsia="Arial" w:hAnsi="Arial"/>
                <w:sz w:val="14"/>
                <w:szCs w:val="14"/>
                <w:b w:val="1"/>
                <w:bCs w:val="1"/>
                <w:color w:val="auto"/>
                <w:w w:val="90"/>
              </w:rPr>
              <w:t>Amount</w:t>
            </w: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0"/>
              </w:rPr>
              <w:t>net sales</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Amount</w:t>
            </w:r>
          </w:p>
        </w:tc>
        <w:tc>
          <w:tcPr>
            <w:tcW w:w="380" w:type="dxa"/>
            <w:vAlign w:val="bottom"/>
          </w:tcPr>
          <w:p>
            <w:pPr>
              <w:jc w:val="right"/>
              <w:ind w:right="3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gridSpan w:val="2"/>
            <w:vMerge w:val="restart"/>
          </w:tcPr>
          <w:p>
            <w:pPr>
              <w:ind w:left="20"/>
              <w:spacing w:after="0"/>
              <w:rPr>
                <w:sz w:val="20"/>
                <w:szCs w:val="20"/>
                <w:color w:val="auto"/>
              </w:rPr>
            </w:pPr>
            <w:r>
              <w:rPr>
                <w:rFonts w:ascii="Arial" w:cs="Arial" w:eastAsia="Arial" w:hAnsi="Arial"/>
                <w:sz w:val="14"/>
                <w:szCs w:val="14"/>
                <w:b w:val="1"/>
                <w:bCs w:val="1"/>
                <w:i w:val="1"/>
                <w:iCs w:val="1"/>
                <w:color w:val="auto"/>
              </w:rPr>
              <w:t>(in</w:t>
            </w: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tcPr>
          <w:p>
            <w:pPr>
              <w:jc w:val="center"/>
              <w:ind w:right="12"/>
              <w:spacing w:after="0"/>
              <w:rPr>
                <w:sz w:val="20"/>
                <w:szCs w:val="20"/>
                <w:color w:val="auto"/>
              </w:rPr>
            </w:pPr>
            <w:r>
              <w:rPr>
                <w:rFonts w:ascii="Arial" w:cs="Arial" w:eastAsia="Arial" w:hAnsi="Arial"/>
                <w:sz w:val="14"/>
                <w:szCs w:val="14"/>
                <w:b w:val="1"/>
                <w:bCs w:val="1"/>
                <w:i w:val="1"/>
                <w:iCs w:val="1"/>
                <w:color w:val="auto"/>
                <w:w w:val="92"/>
              </w:rPr>
              <w:t>US</w:t>
            </w: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Arial" w:cs="Arial" w:eastAsia="Arial" w:hAnsi="Arial"/>
                <w:sz w:val="14"/>
                <w:szCs w:val="14"/>
                <w:b w:val="1"/>
                <w:bCs w:val="1"/>
                <w:i w:val="1"/>
                <w:iCs w:val="1"/>
                <w:color w:val="auto"/>
                <w:w w:val="74"/>
              </w:rPr>
              <w:t>millions of</w:t>
            </w:r>
          </w:p>
        </w:tc>
        <w:tc>
          <w:tcPr>
            <w:tcW w:w="260" w:type="dxa"/>
            <w:vAlign w:val="bottom"/>
            <w:vMerge w:val="continue"/>
          </w:tcPr>
          <w:p>
            <w:pPr>
              <w:spacing w:after="0"/>
              <w:rPr>
                <w:sz w:val="12"/>
                <w:szCs w:val="12"/>
                <w:color w:val="auto"/>
              </w:rPr>
            </w:pPr>
          </w:p>
        </w:tc>
        <w:tc>
          <w:tcPr>
            <w:tcW w:w="7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i w:val="1"/>
                <w:iCs w:val="1"/>
                <w:color w:val="auto"/>
                <w:w w:val="75"/>
              </w:rPr>
              <w:t>dollars; %)</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$ 345.8</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100.0</w:t>
            </w:r>
          </w:p>
        </w:tc>
        <w:tc>
          <w:tcPr>
            <w:tcW w:w="92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$ 410.8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 (65.0)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Cost of sales</w:t>
            </w:r>
          </w:p>
        </w:tc>
        <w:tc>
          <w:tcPr>
            <w:tcW w:w="560" w:type="dxa"/>
            <w:vAlign w:val="bottom"/>
          </w:tcPr>
          <w:p>
            <w:pPr>
              <w:jc w:val="right"/>
              <w:spacing w:after="0"/>
              <w:rPr>
                <w:sz w:val="20"/>
                <w:szCs w:val="20"/>
                <w:color w:val="auto"/>
              </w:rPr>
            </w:pPr>
            <w:r>
              <w:rPr>
                <w:rFonts w:ascii="Arial" w:cs="Arial" w:eastAsia="Arial" w:hAnsi="Arial"/>
                <w:sz w:val="18"/>
                <w:szCs w:val="18"/>
                <w:color w:val="auto"/>
              </w:rPr>
              <w:t>303.1</w:t>
            </w:r>
          </w:p>
        </w:tc>
        <w:tc>
          <w:tcPr>
            <w:tcW w:w="260" w:type="dxa"/>
            <w:vAlign w:val="bottom"/>
          </w:tcPr>
          <w:p>
            <w:pPr>
              <w:spacing w:after="0"/>
              <w:rPr>
                <w:sz w:val="18"/>
                <w:szCs w:val="18"/>
                <w:color w:val="auto"/>
              </w:rPr>
            </w:pPr>
          </w:p>
        </w:tc>
        <w:tc>
          <w:tcPr>
            <w:tcW w:w="660" w:type="dxa"/>
            <w:vAlign w:val="bottom"/>
            <w:gridSpan w:val="2"/>
          </w:tcPr>
          <w:p>
            <w:pPr>
              <w:jc w:val="right"/>
              <w:ind w:right="112"/>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350.2</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85.2</w:t>
            </w:r>
          </w:p>
        </w:tc>
        <w:tc>
          <w:tcPr>
            <w:tcW w:w="2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(47.1)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(13.4)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(29.5)</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60" w:type="dxa"/>
            <w:vAlign w:val="bottom"/>
            <w:gridSpan w:val="2"/>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48.2</w:t>
            </w:r>
          </w:p>
        </w:tc>
        <w:tc>
          <w:tcPr>
            <w:tcW w:w="26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43.6</w:t>
            </w:r>
          </w:p>
        </w:tc>
        <w:tc>
          <w:tcPr>
            <w:tcW w:w="26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3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19.6</w:t>
            </w:r>
          </w:p>
        </w:tc>
        <w:tc>
          <w:tcPr>
            <w:tcW w:w="92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63.9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560" w:type="dxa"/>
            <w:vAlign w:val="bottom"/>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8"/>
                <w:szCs w:val="18"/>
                <w:color w:val="auto"/>
              </w:rPr>
            </w:pPr>
          </w:p>
        </w:tc>
        <w:tc>
          <w:tcPr>
            <w:tcW w:w="660" w:type="dxa"/>
            <w:vAlign w:val="bottom"/>
            <w:gridSpan w:val="2"/>
          </w:tcPr>
          <w:p>
            <w:pPr>
              <w:jc w:val="right"/>
              <w:ind w:right="11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93.7</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22.8</w:t>
            </w:r>
          </w:p>
        </w:tc>
        <w:tc>
          <w:tcPr>
            <w:tcW w:w="2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(81.6)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(87.1)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(85.3)</w:t>
            </w:r>
          </w:p>
        </w:tc>
        <w:tc>
          <w:tcPr>
            <w:tcW w:w="6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(24.7)</w:t>
            </w:r>
          </w:p>
        </w:tc>
        <w:tc>
          <w:tcPr>
            <w:tcW w:w="92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(140.6)</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Interest expense, net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(29.4)</w:t>
            </w:r>
          </w:p>
        </w:tc>
        <w:tc>
          <w:tcPr>
            <w:tcW w:w="660" w:type="dxa"/>
            <w:vAlign w:val="bottom"/>
            <w:gridSpan w:val="2"/>
          </w:tcPr>
          <w:p>
            <w:pPr>
              <w:jc w:val="right"/>
              <w:ind w:right="52"/>
              <w:spacing w:after="0"/>
              <w:rPr>
                <w:sz w:val="20"/>
                <w:szCs w:val="20"/>
                <w:color w:val="auto"/>
              </w:rPr>
            </w:pPr>
            <w:r>
              <w:rPr>
                <w:rFonts w:ascii="Arial" w:cs="Arial" w:eastAsia="Arial" w:hAnsi="Arial"/>
                <w:sz w:val="18"/>
                <w:szCs w:val="18"/>
                <w:color w:val="auto"/>
              </w:rPr>
              <w:t>(8.5)</w:t>
            </w:r>
          </w:p>
        </w:tc>
        <w:tc>
          <w:tcPr>
            <w:tcW w:w="920" w:type="dxa"/>
            <w:vAlign w:val="bottom"/>
            <w:gridSpan w:val="3"/>
          </w:tcPr>
          <w:p>
            <w:pPr>
              <w:jc w:val="right"/>
              <w:ind w:right="132"/>
              <w:spacing w:after="0"/>
              <w:rPr>
                <w:sz w:val="20"/>
                <w:szCs w:val="20"/>
                <w:color w:val="auto"/>
              </w:rPr>
            </w:pPr>
            <w:r>
              <w:rPr>
                <w:rFonts w:ascii="Arial" w:cs="Arial" w:eastAsia="Arial" w:hAnsi="Arial"/>
                <w:sz w:val="18"/>
                <w:szCs w:val="18"/>
                <w:color w:val="auto"/>
              </w:rPr>
              <w:t>(29.1)</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net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(83.2)</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vMerge w:val="restart"/>
          </w:tcPr>
          <w:p>
            <w:pPr>
              <w:jc w:val="right"/>
              <w:ind w:right="52"/>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(31.9)</w:t>
            </w: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w w:val="89"/>
              </w:rPr>
              <w:t>(17.3)</w:t>
            </w:r>
          </w:p>
        </w:tc>
        <w:tc>
          <w:tcPr>
            <w:tcW w:w="0" w:type="dxa"/>
            <w:vAlign w:val="bottom"/>
          </w:tcPr>
          <w:p>
            <w:pPr>
              <w:spacing w:after="0" w:line="20" w:lineRule="exact"/>
              <w:rPr>
                <w:sz w:val="1"/>
                <w:szCs w:val="1"/>
                <w:color w:val="auto"/>
              </w:rPr>
            </w:pPr>
          </w:p>
        </w:tc>
      </w:tr>
      <w:tr>
        <w:trPr>
          <w:trHeight w:val="221"/>
        </w:trPr>
        <w:tc>
          <w:tcPr>
            <w:tcW w:w="7060" w:type="dxa"/>
            <w:vAlign w:val="bottom"/>
            <w:gridSpan w:val="2"/>
            <w:vMerge w:val="continue"/>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(108.2)</w:t>
            </w:r>
          </w:p>
        </w:tc>
        <w:tc>
          <w:tcPr>
            <w:tcW w:w="660" w:type="dxa"/>
            <w:vAlign w:val="bottom"/>
            <w:gridSpan w:val="2"/>
            <w:vMerge w:val="continue"/>
          </w:tcPr>
          <w:p>
            <w:pPr>
              <w:spacing w:after="0"/>
              <w:rPr>
                <w:sz w:val="19"/>
                <w:szCs w:val="19"/>
                <w:color w:val="auto"/>
              </w:rPr>
            </w:pPr>
          </w:p>
        </w:tc>
        <w:tc>
          <w:tcPr>
            <w:tcW w:w="920" w:type="dxa"/>
            <w:vAlign w:val="bottom"/>
            <w:gridSpan w:val="3"/>
          </w:tcPr>
          <w:p>
            <w:pPr>
              <w:jc w:val="right"/>
              <w:ind w:right="132"/>
              <w:spacing w:after="0"/>
              <w:rPr>
                <w:sz w:val="20"/>
                <w:szCs w:val="20"/>
                <w:color w:val="auto"/>
              </w:rPr>
            </w:pPr>
            <w:r>
              <w:rPr>
                <w:rFonts w:ascii="Arial" w:cs="Arial" w:eastAsia="Arial" w:hAnsi="Arial"/>
                <w:sz w:val="18"/>
                <w:szCs w:val="18"/>
                <w:color w:val="auto"/>
              </w:rPr>
              <w:t>(130.9)</w:t>
            </w:r>
          </w:p>
        </w:tc>
        <w:tc>
          <w:tcPr>
            <w:tcW w:w="760" w:type="dxa"/>
            <w:vAlign w:val="bottom"/>
            <w:gridSpan w:val="2"/>
            <w:vMerge w:val="continue"/>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22.7</w:t>
            </w:r>
          </w:p>
        </w:tc>
        <w:tc>
          <w:tcPr>
            <w:tcW w:w="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(19.6)</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vMerge w:val="restart"/>
          </w:tcPr>
          <w:p>
            <w:pPr>
              <w:jc w:val="right"/>
              <w:ind w:right="52"/>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(33.1)</w:t>
            </w: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w w:val="89"/>
              </w:rPr>
              <w:t>(17.4)</w:t>
            </w:r>
          </w:p>
        </w:tc>
        <w:tc>
          <w:tcPr>
            <w:tcW w:w="0" w:type="dxa"/>
            <w:vAlign w:val="bottom"/>
          </w:tcPr>
          <w:p>
            <w:pPr>
              <w:spacing w:after="0" w:line="20" w:lineRule="exact"/>
              <w:rPr>
                <w:sz w:val="1"/>
                <w:szCs w:val="1"/>
                <w:color w:val="auto"/>
              </w:rPr>
            </w:pPr>
          </w:p>
        </w:tc>
      </w:tr>
      <w:tr>
        <w:trPr>
          <w:trHeight w:val="222"/>
        </w:trPr>
        <w:tc>
          <w:tcPr>
            <w:tcW w:w="7060" w:type="dxa"/>
            <w:vAlign w:val="bottom"/>
            <w:gridSpan w:val="2"/>
            <w:vMerge w:val="continue"/>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(112.3)</w:t>
            </w:r>
          </w:p>
        </w:tc>
        <w:tc>
          <w:tcPr>
            <w:tcW w:w="660" w:type="dxa"/>
            <w:vAlign w:val="bottom"/>
            <w:gridSpan w:val="2"/>
            <w:vMerge w:val="continue"/>
          </w:tcPr>
          <w:p>
            <w:pPr>
              <w:spacing w:after="0"/>
              <w:rPr>
                <w:sz w:val="19"/>
                <w:szCs w:val="19"/>
                <w:color w:val="auto"/>
              </w:rPr>
            </w:pPr>
          </w:p>
        </w:tc>
        <w:tc>
          <w:tcPr>
            <w:tcW w:w="920" w:type="dxa"/>
            <w:vAlign w:val="bottom"/>
            <w:gridSpan w:val="3"/>
          </w:tcPr>
          <w:p>
            <w:pPr>
              <w:jc w:val="right"/>
              <w:ind w:right="13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(136.0)</w:t>
            </w:r>
          </w:p>
        </w:tc>
        <w:tc>
          <w:tcPr>
            <w:tcW w:w="760" w:type="dxa"/>
            <w:vAlign w:val="bottom"/>
            <w:gridSpan w:val="2"/>
            <w:vMerge w:val="continue"/>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$ 23.7</w:t>
            </w:r>
          </w:p>
        </w:tc>
        <w:tc>
          <w:tcPr>
            <w:tcW w:w="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Sales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1480" w:type="dxa"/>
            <w:vAlign w:val="bottom"/>
            <w:gridSpan w:val="4"/>
          </w:tcPr>
          <w:p>
            <w:pPr>
              <w:jc w:val="center"/>
              <w:ind w:right="112"/>
              <w:spacing w:after="0" w:line="136" w:lineRule="exact"/>
              <w:rPr>
                <w:sz w:val="20"/>
                <w:szCs w:val="20"/>
                <w:color w:val="auto"/>
              </w:rPr>
            </w:pPr>
            <w:r>
              <w:rPr>
                <w:rFonts w:ascii="Arial" w:cs="Arial" w:eastAsia="Arial" w:hAnsi="Arial"/>
                <w:sz w:val="14"/>
                <w:szCs w:val="14"/>
                <w:b w:val="1"/>
                <w:bCs w:val="1"/>
                <w:color w:val="auto"/>
                <w:w w:val="84"/>
              </w:rPr>
              <w:t>Six months ended</w:t>
            </w:r>
          </w:p>
        </w:tc>
        <w:tc>
          <w:tcPr>
            <w:tcW w:w="100" w:type="dxa"/>
            <w:vAlign w:val="bottom"/>
          </w:tcPr>
          <w:p>
            <w:pPr>
              <w:spacing w:after="0"/>
              <w:rPr>
                <w:sz w:val="11"/>
                <w:szCs w:val="11"/>
                <w:color w:val="auto"/>
              </w:rPr>
            </w:pPr>
          </w:p>
        </w:tc>
        <w:tc>
          <w:tcPr>
            <w:tcW w:w="1580" w:type="dxa"/>
            <w:vAlign w:val="bottom"/>
            <w:gridSpan w:val="4"/>
          </w:tcPr>
          <w:p>
            <w:pPr>
              <w:jc w:val="center"/>
              <w:ind w:right="280"/>
              <w:spacing w:after="0" w:line="136" w:lineRule="exact"/>
              <w:rPr>
                <w:sz w:val="20"/>
                <w:szCs w:val="20"/>
                <w:color w:val="auto"/>
              </w:rPr>
            </w:pPr>
            <w:r>
              <w:rPr>
                <w:rFonts w:ascii="Arial" w:cs="Arial" w:eastAsia="Arial" w:hAnsi="Arial"/>
                <w:sz w:val="14"/>
                <w:szCs w:val="14"/>
                <w:b w:val="1"/>
                <w:bCs w:val="1"/>
                <w:color w:val="auto"/>
                <w:w w:val="84"/>
              </w:rPr>
              <w:t>Six months ended</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480" w:type="dxa"/>
            <w:vAlign w:val="bottom"/>
            <w:gridSpan w:val="4"/>
          </w:tcPr>
          <w:p>
            <w:pPr>
              <w:jc w:val="center"/>
              <w:ind w:right="112"/>
              <w:spacing w:after="0"/>
              <w:rPr>
                <w:sz w:val="20"/>
                <w:szCs w:val="20"/>
                <w:color w:val="auto"/>
              </w:rPr>
            </w:pPr>
            <w:r>
              <w:rPr>
                <w:rFonts w:ascii="Arial" w:cs="Arial" w:eastAsia="Arial" w:hAnsi="Arial"/>
                <w:sz w:val="14"/>
                <w:szCs w:val="14"/>
                <w:b w:val="1"/>
                <w:bCs w:val="1"/>
                <w:color w:val="auto"/>
                <w:w w:val="88"/>
              </w:rPr>
              <w:t>July 1, 2007</w:t>
            </w:r>
          </w:p>
        </w:tc>
        <w:tc>
          <w:tcPr>
            <w:tcW w:w="100" w:type="dxa"/>
            <w:vAlign w:val="bottom"/>
          </w:tcPr>
          <w:p>
            <w:pPr>
              <w:spacing w:after="0"/>
              <w:rPr>
                <w:sz w:val="14"/>
                <w:szCs w:val="14"/>
                <w:color w:val="auto"/>
              </w:rPr>
            </w:pPr>
          </w:p>
        </w:tc>
        <w:tc>
          <w:tcPr>
            <w:tcW w:w="15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July 2, 2006</w:t>
            </w:r>
          </w:p>
        </w:tc>
        <w:tc>
          <w:tcPr>
            <w:tcW w:w="12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total</w:t>
            </w:r>
          </w:p>
        </w:tc>
        <w:tc>
          <w:tcPr>
            <w:tcW w:w="28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5"/>
                <w:szCs w:val="15"/>
                <w:color w:val="auto"/>
              </w:rPr>
            </w:pPr>
          </w:p>
        </w:tc>
        <w:tc>
          <w:tcPr>
            <w:tcW w:w="3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gridSpan w:val="2"/>
          </w:tcPr>
          <w:p>
            <w:pPr>
              <w:ind w:left="20"/>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560" w:type="dxa"/>
            <w:vAlign w:val="bottom"/>
          </w:tcPr>
          <w:p>
            <w:pPr>
              <w:jc w:val="center"/>
              <w:spacing w:after="0" w:line="142" w:lineRule="exact"/>
              <w:rPr>
                <w:sz w:val="20"/>
                <w:szCs w:val="20"/>
                <w:color w:val="auto"/>
              </w:rPr>
            </w:pPr>
            <w:r>
              <w:rPr>
                <w:rFonts w:ascii="Arial" w:cs="Arial" w:eastAsia="Arial" w:hAnsi="Arial"/>
                <w:sz w:val="14"/>
                <w:szCs w:val="14"/>
                <w:b w:val="1"/>
                <w:bCs w:val="1"/>
                <w:i w:val="1"/>
                <w:iCs w:val="1"/>
                <w:color w:val="auto"/>
                <w:w w:val="74"/>
              </w:rPr>
              <w:t>millions of</w:t>
            </w:r>
          </w:p>
        </w:tc>
        <w:tc>
          <w:tcPr>
            <w:tcW w:w="260" w:type="dxa"/>
            <w:vAlign w:val="bottom"/>
          </w:tcPr>
          <w:p>
            <w:pPr>
              <w:jc w:val="center"/>
              <w:ind w:right="12"/>
              <w:spacing w:after="0" w:line="142" w:lineRule="exact"/>
              <w:rPr>
                <w:sz w:val="20"/>
                <w:szCs w:val="20"/>
                <w:color w:val="auto"/>
              </w:rPr>
            </w:pPr>
            <w:r>
              <w:rPr>
                <w:rFonts w:ascii="Arial" w:cs="Arial" w:eastAsia="Arial" w:hAnsi="Arial"/>
                <w:sz w:val="14"/>
                <w:szCs w:val="14"/>
                <w:b w:val="1"/>
                <w:bCs w:val="1"/>
                <w:i w:val="1"/>
                <w:iCs w:val="1"/>
                <w:color w:val="auto"/>
                <w:w w:val="92"/>
              </w:rPr>
              <w:t>US</w:t>
            </w:r>
          </w:p>
        </w:tc>
        <w:tc>
          <w:tcPr>
            <w:tcW w:w="7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i w:val="1"/>
                <w:iCs w:val="1"/>
                <w:color w:val="auto"/>
                <w:w w:val="75"/>
              </w:rPr>
              <w:t>dollars; %)</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$ 144.0</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41.6</w:t>
            </w:r>
          </w:p>
        </w:tc>
        <w:tc>
          <w:tcPr>
            <w:tcW w:w="92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$ 159.1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 (15.1)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Imaging solutions</w:t>
            </w:r>
          </w:p>
        </w:tc>
        <w:tc>
          <w:tcPr>
            <w:tcW w:w="560" w:type="dxa"/>
            <w:vAlign w:val="bottom"/>
          </w:tcPr>
          <w:p>
            <w:pPr>
              <w:jc w:val="right"/>
              <w:spacing w:after="0"/>
              <w:rPr>
                <w:sz w:val="20"/>
                <w:szCs w:val="20"/>
                <w:color w:val="auto"/>
              </w:rPr>
            </w:pPr>
            <w:r>
              <w:rPr>
                <w:rFonts w:ascii="Arial" w:cs="Arial" w:eastAsia="Arial" w:hAnsi="Arial"/>
                <w:sz w:val="18"/>
                <w:szCs w:val="18"/>
                <w:color w:val="auto"/>
              </w:rPr>
              <w:t>29.1</w:t>
            </w:r>
          </w:p>
        </w:tc>
        <w:tc>
          <w:tcPr>
            <w:tcW w:w="260" w:type="dxa"/>
            <w:vAlign w:val="bottom"/>
          </w:tcPr>
          <w:p>
            <w:pPr>
              <w:spacing w:after="0"/>
              <w:rPr>
                <w:sz w:val="18"/>
                <w:szCs w:val="18"/>
                <w:color w:val="auto"/>
              </w:rPr>
            </w:pPr>
          </w:p>
        </w:tc>
        <w:tc>
          <w:tcPr>
            <w:tcW w:w="660" w:type="dxa"/>
            <w:vAlign w:val="bottom"/>
            <w:gridSpan w:val="2"/>
          </w:tcPr>
          <w:p>
            <w:pPr>
              <w:jc w:val="right"/>
              <w:ind w:right="112"/>
              <w:spacing w:after="0"/>
              <w:rPr>
                <w:sz w:val="20"/>
                <w:szCs w:val="20"/>
                <w:color w:val="auto"/>
              </w:rPr>
            </w:pPr>
            <w:r>
              <w:rPr>
                <w:rFonts w:ascii="Arial" w:cs="Arial" w:eastAsia="Arial" w:hAnsi="Arial"/>
                <w:sz w:val="18"/>
                <w:szCs w:val="18"/>
                <w:color w:val="auto"/>
              </w:rPr>
              <w:t>8.4</w:t>
            </w:r>
          </w:p>
        </w:tc>
        <w:tc>
          <w:tcPr>
            <w:tcW w:w="920" w:type="dxa"/>
            <w:vAlign w:val="bottom"/>
            <w:gridSpan w:val="3"/>
          </w:tcPr>
          <w:p>
            <w:pPr>
              <w:jc w:val="right"/>
              <w:ind w:right="192"/>
              <w:spacing w:after="0"/>
              <w:rPr>
                <w:sz w:val="20"/>
                <w:szCs w:val="20"/>
                <w:color w:val="auto"/>
              </w:rPr>
            </w:pPr>
            <w:r>
              <w:rPr>
                <w:rFonts w:ascii="Arial" w:cs="Arial" w:eastAsia="Arial" w:hAnsi="Arial"/>
                <w:sz w:val="18"/>
                <w:szCs w:val="18"/>
                <w:color w:val="auto"/>
              </w:rPr>
              <w:t>35.0</w:t>
            </w:r>
          </w:p>
        </w:tc>
        <w:tc>
          <w:tcPr>
            <w:tcW w:w="48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38.4</w:t>
            </w:r>
          </w:p>
        </w:tc>
        <w:tc>
          <w:tcPr>
            <w:tcW w:w="92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196.4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All other</w:t>
            </w:r>
          </w:p>
        </w:tc>
        <w:tc>
          <w:tcPr>
            <w:tcW w:w="560" w:type="dxa"/>
            <w:vAlign w:val="bottom"/>
          </w:tcPr>
          <w:p>
            <w:pPr>
              <w:jc w:val="right"/>
              <w:spacing w:after="0"/>
              <w:rPr>
                <w:sz w:val="20"/>
                <w:szCs w:val="20"/>
                <w:color w:val="auto"/>
              </w:rPr>
            </w:pPr>
            <w:r>
              <w:rPr>
                <w:rFonts w:ascii="Arial" w:cs="Arial" w:eastAsia="Arial" w:hAnsi="Arial"/>
                <w:sz w:val="18"/>
                <w:szCs w:val="18"/>
                <w:color w:val="auto"/>
              </w:rPr>
              <w:t>39.9</w:t>
            </w:r>
          </w:p>
        </w:tc>
        <w:tc>
          <w:tcPr>
            <w:tcW w:w="260" w:type="dxa"/>
            <w:vAlign w:val="bottom"/>
          </w:tcPr>
          <w:p>
            <w:pPr>
              <w:spacing w:after="0"/>
              <w:rPr>
                <w:sz w:val="18"/>
                <w:szCs w:val="18"/>
                <w:color w:val="auto"/>
              </w:rPr>
            </w:pPr>
          </w:p>
        </w:tc>
        <w:tc>
          <w:tcPr>
            <w:tcW w:w="660" w:type="dxa"/>
            <w:vAlign w:val="bottom"/>
            <w:gridSpan w:val="2"/>
          </w:tcPr>
          <w:p>
            <w:pPr>
              <w:jc w:val="right"/>
              <w:ind w:right="112"/>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20.3</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19.6</w:t>
            </w:r>
          </w:p>
        </w:tc>
        <w:tc>
          <w:tcPr>
            <w:tcW w:w="380" w:type="dxa"/>
            <w:vAlign w:val="bottom"/>
          </w:tcPr>
          <w:p>
            <w:pPr>
              <w:jc w:val="right"/>
              <w:spacing w:after="0"/>
              <w:rPr>
                <w:sz w:val="20"/>
                <w:szCs w:val="20"/>
                <w:color w:val="auto"/>
              </w:rPr>
            </w:pPr>
            <w:r>
              <w:rPr>
                <w:rFonts w:ascii="Arial" w:cs="Arial" w:eastAsia="Arial" w:hAnsi="Arial"/>
                <w:sz w:val="18"/>
                <w:szCs w:val="18"/>
                <w:color w:val="auto"/>
              </w:rPr>
              <w:t>96.6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$ 345.8</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100.0</w:t>
            </w:r>
          </w:p>
        </w:tc>
        <w:tc>
          <w:tcPr>
            <w:tcW w:w="92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$ 410.8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 (65.0)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derive a majority of our net sales from three operating segments: Display Solutions, Imaging Solutions and Semiconductor Manufacturing Services.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“All other” category represents certain business activities other than these business segments, principally composed of rental and unit processing.</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Total net sales for the six months ended July 1, 2007 decreased $65.0 million, or 15.8% compared to the six months ended July 2, 2006. Net sales generated in the three operating segments during the current period were $305.9 million, a decrease of $84.6 million or 21.7% from the net sales of our three operating segments for the prior-year period.</w:t>
      </w:r>
    </w:p>
    <w:p>
      <w:pPr>
        <w:spacing w:after="0" w:line="14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i w:val="1"/>
          <w:iCs w:val="1"/>
          <w:color w:val="auto"/>
        </w:rPr>
        <w:t xml:space="preserve">Display Solutions. </w:t>
      </w:r>
      <w:r>
        <w:rPr>
          <w:rFonts w:ascii="Arial" w:cs="Arial" w:eastAsia="Arial" w:hAnsi="Arial"/>
          <w:sz w:val="16"/>
          <w:szCs w:val="16"/>
          <w:color w:val="auto"/>
        </w:rPr>
        <w:t>Net sales from Display Solutions for the six months ended July 1, 2007 were $144.0 million, a $15.1 million or 9.5% decrease from</w:t>
      </w:r>
      <w:r>
        <w:rPr>
          <w:rFonts w:ascii="Arial" w:cs="Arial" w:eastAsia="Arial" w:hAnsi="Arial"/>
          <w:sz w:val="16"/>
          <w:szCs w:val="16"/>
          <w:i w:val="1"/>
          <w:iCs w:val="1"/>
          <w:color w:val="auto"/>
        </w:rPr>
        <w:t xml:space="preserve"> </w:t>
      </w:r>
      <w:r>
        <w:rPr>
          <w:rFonts w:ascii="Arial" w:cs="Arial" w:eastAsia="Arial" w:hAnsi="Arial"/>
          <w:sz w:val="16"/>
          <w:szCs w:val="16"/>
          <w:color w:val="auto"/>
        </w:rPr>
        <w:t>$159.1 million for the six months ended July 2, 2006. This sales decrease was primarily attributable to a decline in average selling price.</w:t>
      </w:r>
    </w:p>
    <w:p>
      <w:pPr>
        <w:spacing w:after="0" w:line="85"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i w:val="1"/>
          <w:iCs w:val="1"/>
          <w:color w:val="auto"/>
        </w:rPr>
        <w:t xml:space="preserve">Imaging Solutions. </w:t>
      </w:r>
      <w:r>
        <w:rPr>
          <w:rFonts w:ascii="Arial" w:cs="Arial" w:eastAsia="Arial" w:hAnsi="Arial"/>
          <w:sz w:val="15"/>
          <w:szCs w:val="15"/>
          <w:color w:val="auto"/>
        </w:rPr>
        <w:t>Imaging Solutions net sales decreased $5.9 million in the current period, or 16.9% compared to net sales generated in the prior-year</w:t>
      </w:r>
      <w:r>
        <w:rPr>
          <w:rFonts w:ascii="Arial" w:cs="Arial" w:eastAsia="Arial" w:hAnsi="Arial"/>
          <w:sz w:val="15"/>
          <w:szCs w:val="15"/>
          <w:i w:val="1"/>
          <w:iCs w:val="1"/>
          <w:color w:val="auto"/>
        </w:rPr>
        <w:t xml:space="preserve"> </w:t>
      </w:r>
      <w:r>
        <w:rPr>
          <w:rFonts w:ascii="Arial" w:cs="Arial" w:eastAsia="Arial" w:hAnsi="Arial"/>
          <w:sz w:val="15"/>
          <w:szCs w:val="15"/>
          <w:color w:val="auto"/>
        </w:rPr>
        <w:t>period. This decrease was primarily attributable to the delays in transition to new mega-pixel products, which was expected to substitute our VGA products.</w:t>
      </w:r>
    </w:p>
    <w:p>
      <w:pPr>
        <w:spacing w:after="0" w:line="62"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Net sales from Semiconductor Manufacturing Services for the six months ended July 1, 2007, were $132.8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 $63.6 million or 32.4% decrease compared to net sales of $196.4 million for the six months ended July 2, 2006. This decrease was mainly due to a decrease in end-market demand, coupled with continued average selling price erosion.</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Net sales from All other for the six months ended July 1, 2007 were $39.9 million compared to $20.3 million for the six months ended July 2,</w:t>
      </w:r>
      <w:r>
        <w:rPr>
          <w:rFonts w:ascii="Arial" w:cs="Arial" w:eastAsia="Arial" w:hAnsi="Arial"/>
          <w:sz w:val="18"/>
          <w:szCs w:val="18"/>
          <w:i w:val="1"/>
          <w:iCs w:val="1"/>
          <w:color w:val="auto"/>
        </w:rPr>
        <w:t xml:space="preserve"> </w:t>
      </w:r>
      <w:r>
        <w:rPr>
          <w:rFonts w:ascii="Arial" w:cs="Arial" w:eastAsia="Arial" w:hAnsi="Arial"/>
          <w:sz w:val="18"/>
          <w:szCs w:val="18"/>
          <w:color w:val="auto"/>
        </w:rPr>
        <w:t>2006. This increase of $19.6 million substantially represents the revenue increase from our unit processing service.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center"/>
              <w:ind w:right="292"/>
              <w:spacing w:after="0"/>
              <w:rPr>
                <w:sz w:val="20"/>
                <w:szCs w:val="20"/>
                <w:color w:val="auto"/>
              </w:rPr>
            </w:pPr>
            <w:r>
              <w:rPr>
                <w:rFonts w:ascii="Arial" w:cs="Arial" w:eastAsia="Arial" w:hAnsi="Arial"/>
                <w:sz w:val="14"/>
                <w:szCs w:val="14"/>
                <w:b w:val="1"/>
                <w:bCs w:val="1"/>
                <w:color w:val="auto"/>
                <w:w w:val="84"/>
              </w:rPr>
              <w:t>Six months ended</w:t>
            </w:r>
          </w:p>
        </w:tc>
        <w:tc>
          <w:tcPr>
            <w:tcW w:w="100" w:type="dxa"/>
            <w:vAlign w:val="bottom"/>
          </w:tcPr>
          <w:p>
            <w:pPr>
              <w:spacing w:after="0"/>
              <w:rPr>
                <w:sz w:val="14"/>
                <w:szCs w:val="14"/>
                <w:color w:val="auto"/>
              </w:rPr>
            </w:pPr>
          </w:p>
        </w:tc>
        <w:tc>
          <w:tcPr>
            <w:tcW w:w="14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84"/>
              </w:rPr>
              <w:t>Six months ended</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center"/>
              <w:ind w:right="292"/>
              <w:spacing w:after="0"/>
              <w:rPr>
                <w:sz w:val="20"/>
                <w:szCs w:val="20"/>
                <w:color w:val="auto"/>
              </w:rPr>
            </w:pPr>
            <w:r>
              <w:rPr>
                <w:rFonts w:ascii="Arial" w:cs="Arial" w:eastAsia="Arial" w:hAnsi="Arial"/>
                <w:sz w:val="14"/>
                <w:szCs w:val="14"/>
                <w:b w:val="1"/>
                <w:bCs w:val="1"/>
                <w:color w:val="auto"/>
                <w:w w:val="88"/>
              </w:rPr>
              <w:t>July 1, 2007</w:t>
            </w:r>
          </w:p>
        </w:tc>
        <w:tc>
          <w:tcPr>
            <w:tcW w:w="100" w:type="dxa"/>
            <w:vAlign w:val="bottom"/>
          </w:tcPr>
          <w:p>
            <w:pPr>
              <w:spacing w:after="0"/>
              <w:rPr>
                <w:sz w:val="14"/>
                <w:szCs w:val="14"/>
                <w:color w:val="auto"/>
              </w:rPr>
            </w:pPr>
          </w:p>
        </w:tc>
        <w:tc>
          <w:tcPr>
            <w:tcW w:w="14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July 2, 2006</w:t>
            </w:r>
          </w:p>
        </w:tc>
        <w:tc>
          <w:tcPr>
            <w:tcW w:w="12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49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18"/>
              <w:spacing w:after="0" w:line="129"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260" w:type="dxa"/>
            <w:vAlign w:val="bottom"/>
          </w:tcPr>
          <w:p>
            <w:pPr>
              <w:spacing w:after="0"/>
              <w:rPr>
                <w:sz w:val="15"/>
                <w:szCs w:val="15"/>
                <w:color w:val="auto"/>
              </w:rPr>
            </w:pPr>
          </w:p>
        </w:tc>
        <w:tc>
          <w:tcPr>
            <w:tcW w:w="760" w:type="dxa"/>
            <w:vAlign w:val="bottom"/>
            <w:gridSpan w:val="2"/>
          </w:tcPr>
          <w:p>
            <w:pPr>
              <w:jc w:val="center"/>
              <w:ind w:right="212"/>
              <w:spacing w:after="0"/>
              <w:rPr>
                <w:sz w:val="20"/>
                <w:szCs w:val="20"/>
                <w:color w:val="auto"/>
              </w:rPr>
            </w:pPr>
            <w:r>
              <w:rPr>
                <w:rFonts w:ascii="Arial" w:cs="Arial" w:eastAsia="Arial" w:hAnsi="Arial"/>
                <w:sz w:val="14"/>
                <w:szCs w:val="14"/>
                <w:b w:val="1"/>
                <w:bCs w:val="1"/>
                <w:color w:val="auto"/>
                <w:w w:val="80"/>
              </w:rPr>
              <w:t>net sales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76"/>
              </w:rPr>
              <w:t>net sales</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Amount</w:t>
            </w:r>
          </w:p>
        </w:tc>
        <w:tc>
          <w:tcPr>
            <w:tcW w:w="420" w:type="dxa"/>
            <w:vAlign w:val="bottom"/>
          </w:tcPr>
          <w:p>
            <w:pPr>
              <w:jc w:val="right"/>
              <w:ind w:right="5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2"/>
              <w:spacing w:after="0"/>
              <w:rPr>
                <w:sz w:val="20"/>
                <w:szCs w:val="20"/>
                <w:color w:val="auto"/>
              </w:rPr>
            </w:pPr>
            <w:r>
              <w:rPr>
                <w:rFonts w:ascii="Arial" w:cs="Arial" w:eastAsia="Arial" w:hAnsi="Arial"/>
                <w:sz w:val="14"/>
                <w:szCs w:val="14"/>
                <w:b w:val="1"/>
                <w:bCs w:val="1"/>
                <w:i w:val="1"/>
                <w:iCs w:val="1"/>
                <w:color w:val="auto"/>
              </w:rPr>
              <w:t>(in</w:t>
            </w:r>
          </w:p>
        </w:tc>
        <w:tc>
          <w:tcPr>
            <w:tcW w:w="48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1520" w:type="dxa"/>
            <w:vAlign w:val="bottom"/>
            <w:gridSpan w:val="5"/>
          </w:tcPr>
          <w:p>
            <w:pPr>
              <w:spacing w:after="0" w:line="142" w:lineRule="exact"/>
              <w:rPr>
                <w:sz w:val="20"/>
                <w:szCs w:val="20"/>
                <w:color w:val="auto"/>
              </w:rPr>
            </w:pPr>
            <w:r>
              <w:rPr>
                <w:rFonts w:ascii="Arial" w:cs="Arial" w:eastAsia="Arial" w:hAnsi="Arial"/>
                <w:sz w:val="14"/>
                <w:szCs w:val="14"/>
                <w:b w:val="1"/>
                <w:bCs w:val="1"/>
                <w:i w:val="1"/>
                <w:iCs w:val="1"/>
                <w:color w:val="auto"/>
                <w:w w:val="88"/>
              </w:rPr>
              <w:t>millions of US dollars; %)</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228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 (10.8)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(41.4)</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Imaging solutions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760" w:type="dxa"/>
            <w:vAlign w:val="bottom"/>
            <w:gridSpan w:val="2"/>
          </w:tcPr>
          <w:p>
            <w:pPr>
              <w:jc w:val="right"/>
              <w:ind w:right="15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(22.9)</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(97.5)</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(64.8)</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All other</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48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11.8</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907.7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 (17.9)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(29.5)</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gross profit decreased $17.9 million in the six months ended July 1, 2007, or 29.5%, compared to the gross profit generated in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July 2, 2006. Gross margin percentage for the six months ended July 1, 2007 was 12.3% of net sales, a decrease of 2.5% from 14.8%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July 2, 2006. This decline in gross margin percentage was primarily attributable to an overall decrease in average selling prices.</w:t>
      </w:r>
    </w:p>
    <w:p>
      <w:pPr>
        <w:spacing w:after="0" w:line="16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 xml:space="preserve">Display Solutions. </w:t>
      </w:r>
      <w:r>
        <w:rPr>
          <w:rFonts w:ascii="Arial" w:cs="Arial" w:eastAsia="Arial" w:hAnsi="Arial"/>
          <w:sz w:val="16"/>
          <w:szCs w:val="16"/>
          <w:color w:val="auto"/>
        </w:rPr>
        <w:t>Gross margin percentage for Display Solutions for the six months ended July 1, 2007 declined to 10.6% compared to 16.4%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July 2, 2006. This decline in gross margin percentage was primarily attributable to lower average selling price.</w:t>
      </w:r>
    </w:p>
    <w:p>
      <w:pPr>
        <w:spacing w:after="0" w:line="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Gross margin percentage for the current period was improved compared to the prior period mainly due to a decrease in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resulting from impairment charges taken in the second quarter of 2006.</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Gross margin for Semiconductor Manufacturing Services declined to 10.9% in the six months ended July 1, 2007</w:t>
      </w:r>
      <w:r>
        <w:rPr>
          <w:rFonts w:ascii="Arial" w:cs="Arial" w:eastAsia="Arial" w:hAnsi="Arial"/>
          <w:sz w:val="18"/>
          <w:szCs w:val="18"/>
          <w:i w:val="1"/>
          <w:iCs w:val="1"/>
          <w:color w:val="auto"/>
        </w:rPr>
        <w:t xml:space="preserve"> </w:t>
      </w:r>
      <w:r>
        <w:rPr>
          <w:rFonts w:ascii="Arial" w:cs="Arial" w:eastAsia="Arial" w:hAnsi="Arial"/>
          <w:sz w:val="18"/>
          <w:szCs w:val="18"/>
          <w:color w:val="auto"/>
        </w:rPr>
        <w:t>from 21.0% in the six months ended July 2, 2006. The year-over-year decrease was mainly due to a decrease in end-user market demand and a decline in average selling price.</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Gross margin percentage for All other for current period increased to 32.8% from 6.4% for the prior period. This improvement in gross margin</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is mainly attributable to sales volume increase for unit processing.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were $48.2 million or 13.9% of net sales for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July 1, 2007 compared to $43.6 million or 10.6% for the six months ended July 2, 2006. The increase of $4.6 million or 10.6% from the prior-year period was mainly attributable to employee related expenses, including other expenses such as the special charge for a settlement with former subcontractors, that was partially offset by decreases in depreciation and amortization expenses resulting from impairment charges taken during the second quarter of 2006.</w:t>
      </w:r>
    </w:p>
    <w:p>
      <w:pPr>
        <w:spacing w:after="0" w:line="11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current period were $67.7 million, an increase of $3.8 million or 5.9%</w:t>
      </w:r>
      <w:r>
        <w:rPr>
          <w:rFonts w:ascii="Arial" w:cs="Arial" w:eastAsia="Arial" w:hAnsi="Arial"/>
          <w:sz w:val="16"/>
          <w:szCs w:val="16"/>
          <w:i w:val="1"/>
          <w:iCs w:val="1"/>
          <w:color w:val="auto"/>
        </w:rPr>
        <w:t xml:space="preserve"> </w:t>
      </w:r>
      <w:r>
        <w:rPr>
          <w:rFonts w:ascii="Arial" w:cs="Arial" w:eastAsia="Arial" w:hAnsi="Arial"/>
          <w:sz w:val="16"/>
          <w:szCs w:val="16"/>
          <w:color w:val="auto"/>
        </w:rPr>
        <w:t>from $63.9 million for the prior year period. This increase in research and development expenses essentially represented our focus on the introduction of new products, especially for the Imaging Solutions and Semiconductor Manufacturing Services segments. As a percentage of net sales, research and development expenses for the current period increased to 19.6% compared to 15.6% for the prior-year period.</w:t>
      </w:r>
    </w:p>
    <w:p>
      <w:pPr>
        <w:spacing w:after="0" w:line="113"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the second quarter ended July 1, 2007, we recognized restructuring and impairment charges of $12.1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which consisted of $10.1 million of impairment under SFAS No. 144 and $2.0 million of restructuring under SFAS No. 146</w:t>
      </w:r>
      <w:r>
        <w:rPr>
          <w:rFonts w:ascii="Arial" w:cs="Arial" w:eastAsia="Arial" w:hAnsi="Arial"/>
          <w:sz w:val="18"/>
          <w:szCs w:val="18"/>
          <w:i w:val="1"/>
          <w:iCs w:val="1"/>
          <w:color w:val="auto"/>
        </w:rPr>
        <w:t>.</w:t>
      </w:r>
      <w:r>
        <w:rPr>
          <w:rFonts w:ascii="Arial" w:cs="Arial" w:eastAsia="Arial" w:hAnsi="Arial"/>
          <w:sz w:val="18"/>
          <w:szCs w:val="18"/>
          <w:color w:val="auto"/>
        </w:rPr>
        <w:t xml:space="preserve"> The impairment charges were recorded related to the closure of our 5-inch wafer fabrication facilities that has generated losses and no longer supported to our strategic technology roadmap.</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the six months ended July 2, 2006, we recorded restructuring and impairment charges totaling $93.7 million, which included $92.5 million of impairment under SFAS No. 144 and $1.2 million of restructuring under SFAS No. 146. The impairment charges were recorded against one of our fabrication facilities and certain related technology and customer-based intangible assets and the restructuring charges were incurred in association with changes in certain of our management.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 and Net Foreign Currency Gain or Loss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Net Interest Expense. </w:t>
      </w:r>
      <w:r>
        <w:rPr>
          <w:rFonts w:ascii="Arial" w:cs="Arial" w:eastAsia="Arial" w:hAnsi="Arial"/>
          <w:sz w:val="18"/>
          <w:szCs w:val="18"/>
          <w:color w:val="auto"/>
        </w:rPr>
        <w:t>Net interest expense was $29.4 million during the six months period ended July 1, 2007, relatively consistent with $29.1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July 2, 2006. Substantially all of our interest expense is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service our long-term borrowings of $750.0 million at a weighted-average interest rate of 7.4%. The increase in net interest expense was mainly due to a decrease in interest income from financial assets including cash and cash equivalents.</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 xml:space="preserve">Net Foreign Currency Gain or Loss. </w:t>
      </w:r>
      <w:r>
        <w:rPr>
          <w:rFonts w:ascii="Arial" w:cs="Arial" w:eastAsia="Arial" w:hAnsi="Arial"/>
          <w:sz w:val="16"/>
          <w:szCs w:val="16"/>
          <w:color w:val="auto"/>
        </w:rPr>
        <w:t>Net foreign currency gain for the six months ended July 1, 2007 was $6.5 million, compared to net foreign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gain of $38.8 million for the six months ended July 2, 2006. A substantial portion of our net foreign currency gain or loss is non-cash translation gain or loss recorded for intercompany borrowings at our Korea subsidiary and is affected by changes in the exchange rate between the Korea won and U.S. dollar.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Income Tax Expenses</w:t>
      </w:r>
      <w:r>
        <w:rPr>
          <w:rFonts w:ascii="Arial" w:cs="Arial" w:eastAsia="Arial" w:hAnsi="Arial"/>
          <w:sz w:val="16"/>
          <w:szCs w:val="16"/>
          <w:color w:val="auto"/>
        </w:rPr>
        <w:t>. Income tax expenses for the current period were $4.1 million, compared to income tax expenses of $5.1 million for the same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of 2006. Our income tax expenses are mostly composed of withholding taxes on inter-company interest payments and changes in deferred tax assets. Due to the uncertainty of the utilization of foreign tax credits, we treated this withholding tax as a current tax expense.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principal capital requirements are to fund working capital needs, to meet required debt payments, including debt service payments on the notes and the senior credit facility, and to invest in research and development and capital equipment. We anticipate that operating cash flow, together with available borrowing capacity under our senior credit facility, will be sufficient to meet our working capital needs, our research and development and capital expenditures needs and service requirements on our debt obligations for the foreseeable future. As of July 1, 2007, we had total outstanding long-term debt of $750.0 million.</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principal sources of liquidity are our cash, cash equivalents and available borrowings under our senior credit facility of $100 million. As of July 1, 2007, our cash and cash equivalents balance was $54.7 million or 7.6% of our total assets, a $34.5 million decrease from $89.2 million or 11.6% of total assets as of December 31, 2006. The decrease in cash and cash equivalents during the first half of 2007 was primarily attributable to cash outflow of $50.0 million in operating activities, coupled with cash outflow related to six months capital expenditures of $25.0 million.</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six-month period ended July 1, 2007, net cash used in operating activities was $50.0 million, compared to $10.5 million of net cash generated by operating activities during the year-ago period. This decrease in cash from operating activities between the two periods was primarily attributable to a reduction in gross profit of $17.9 million resulting mainly from lower revenue. The net operating cash outflow for the current period principally reflects our net loss of $112.3 million adjusted by $105.2 million which mostly consisted of costs related to depreciation, impairment and amortization charges and an increase in working capital of $42.9 million.</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working capital balance as of July 1, 2007 was $89.0 million compared to $122.6 million as of December 31, 2006. The decrease of $33.6 million in our working capital balance was mainly due to a $34.5 million reduction in cash and cash equivalents driven by the aforementioned reasons. This decease in cash and cash equivalents was partially offset by inventory build-up of $13.9 million representing expected sales growth in the coming periods.</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For investing activities, net cash outlay during the six months ended July 1, 2007 was $24.1 million, compared to $14.6 million in the prior-year period. In the prior-year period, cash outlay for our capital expenditures was offset by a cash inflow from the sale of our application processor business.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For the six months ended July 1, 2007, capital expenditures were $25.0 million, a $4.5 million or 22.0% increase from $20.5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July 2, 2006. We will continue to manage the timing of our capital expenditures to support the growth of business from new customers and to optimize return on our investment.</w:t>
      </w:r>
    </w:p>
    <w:p>
      <w:pPr>
        <w:spacing w:after="0" w:line="14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i w:val="1"/>
          <w:iCs w:val="1"/>
          <w:color w:val="auto"/>
        </w:rPr>
        <w:t xml:space="preserve">Future Financing Activities. </w:t>
      </w:r>
      <w:r>
        <w:rPr>
          <w:rFonts w:ascii="Arial" w:cs="Arial" w:eastAsia="Arial" w:hAnsi="Arial"/>
          <w:sz w:val="16"/>
          <w:szCs w:val="16"/>
          <w:color w:val="auto"/>
        </w:rPr>
        <w:t>Our primary future capital requirements on a recurring basis will be funding working capital needs, meeting required debt</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funding research and development, and capital expenditures. We anticipate that operating cash flows, together with available borrowings under our senior credit facility, will be sufficient to meet these capital requirements for the foreseeable future. We may from time to time incur additional debt.</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may need to incur additional debt or issue equity to make strategic acquisitions of investments. However, we cannot assure you that such financing will be available to us on acceptable terms or that such financing will be available at all.</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Summarized in the table below are our obligations and commitments to make future payments under debt obligations and minimum lease payment obligations as of July 1,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8"/>
          </w:tcPr>
          <w:p>
            <w:pPr>
              <w:jc w:val="center"/>
              <w:ind w:left="179"/>
              <w:spacing w:after="0"/>
              <w:rPr>
                <w:sz w:val="20"/>
                <w:szCs w:val="20"/>
                <w:color w:val="auto"/>
              </w:rPr>
            </w:pPr>
            <w:r>
              <w:rPr>
                <w:rFonts w:ascii="Arial" w:cs="Arial" w:eastAsia="Arial" w:hAnsi="Arial"/>
                <w:sz w:val="14"/>
                <w:szCs w:val="14"/>
                <w:b w:val="1"/>
                <w:bCs w:val="1"/>
                <w:color w:val="auto"/>
                <w:w w:val="86"/>
              </w:rPr>
              <w:t>Payments Due by Period</w:t>
            </w: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7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4"/>
                <w:szCs w:val="14"/>
                <w:b w:val="1"/>
                <w:bCs w:val="1"/>
                <w:color w:val="auto"/>
                <w:w w:val="86"/>
              </w:rPr>
              <w:t>Interest</w:t>
            </w:r>
          </w:p>
        </w:tc>
        <w:tc>
          <w:tcPr>
            <w:tcW w:w="60" w:type="dxa"/>
            <w:vAlign w:val="bottom"/>
          </w:tcPr>
          <w:p>
            <w:pPr>
              <w:spacing w:after="0"/>
              <w:rPr>
                <w:sz w:val="11"/>
                <w:szCs w:val="11"/>
                <w:color w:val="auto"/>
              </w:rPr>
            </w:pPr>
          </w:p>
        </w:tc>
      </w:tr>
      <w:tr>
        <w:trPr>
          <w:trHeight w:val="161"/>
        </w:trPr>
        <w:tc>
          <w:tcPr>
            <w:tcW w:w="746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2008</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Thereafter</w:t>
            </w: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8"/>
              </w:rPr>
              <w:t>expense</w:t>
            </w:r>
          </w:p>
        </w:tc>
        <w:tc>
          <w:tcPr>
            <w:tcW w:w="60" w:type="dxa"/>
            <w:vAlign w:val="bottom"/>
          </w:tcPr>
          <w:p>
            <w:pPr>
              <w:spacing w:after="0"/>
              <w:rPr>
                <w:sz w:val="14"/>
                <w:szCs w:val="14"/>
                <w:color w:val="auto"/>
              </w:rPr>
            </w:pPr>
          </w:p>
        </w:tc>
      </w:tr>
      <w:tr>
        <w:trPr>
          <w:trHeight w:val="142"/>
        </w:trPr>
        <w:tc>
          <w:tcPr>
            <w:tcW w:w="7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1"/>
                <w:szCs w:val="11"/>
                <w:b w:val="1"/>
                <w:bCs w:val="1"/>
                <w:i w:val="1"/>
                <w:iCs w:val="1"/>
                <w:color w:val="auto"/>
                <w:w w:val="74"/>
              </w:rPr>
              <w:t>(in</w:t>
            </w:r>
          </w:p>
        </w:tc>
        <w:tc>
          <w:tcPr>
            <w:tcW w:w="1340" w:type="dxa"/>
            <w:vAlign w:val="bottom"/>
            <w:gridSpan w:val="6"/>
          </w:tcPr>
          <w:p>
            <w:pPr>
              <w:ind w:left="60"/>
              <w:spacing w:after="0" w:line="142" w:lineRule="exact"/>
              <w:rPr>
                <w:sz w:val="20"/>
                <w:szCs w:val="20"/>
                <w:color w:val="auto"/>
              </w:rPr>
            </w:pPr>
            <w:r>
              <w:rPr>
                <w:rFonts w:ascii="Arial" w:cs="Arial" w:eastAsia="Arial" w:hAnsi="Arial"/>
                <w:sz w:val="14"/>
                <w:szCs w:val="14"/>
                <w:b w:val="1"/>
                <w:bCs w:val="1"/>
                <w:i w:val="1"/>
                <w:iCs w:val="1"/>
                <w:color w:val="auto"/>
                <w:w w:val="85"/>
              </w:rPr>
              <w:t>millions of US dollars)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Secured notes and subordinated notes(*)</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750.0</w:t>
            </w:r>
          </w:p>
        </w:tc>
        <w:tc>
          <w:tcPr>
            <w:tcW w:w="1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8"/>
          </w:tcPr>
          <w:p>
            <w:pPr>
              <w:jc w:val="right"/>
              <w:ind w:right="100"/>
              <w:spacing w:after="0"/>
              <w:rPr>
                <w:sz w:val="20"/>
                <w:szCs w:val="20"/>
                <w:color w:val="auto"/>
              </w:rPr>
            </w:pPr>
            <w:r>
              <w:rPr>
                <w:rFonts w:ascii="Arial" w:cs="Arial" w:eastAsia="Arial" w:hAnsi="Arial"/>
                <w:sz w:val="18"/>
                <w:szCs w:val="18"/>
                <w:color w:val="auto"/>
              </w:rPr>
              <w:t>—   —   —   500.0</w:t>
            </w:r>
          </w:p>
        </w:tc>
        <w:tc>
          <w:tcPr>
            <w:tcW w:w="62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8"/>
                <w:szCs w:val="18"/>
                <w:color w:val="auto"/>
              </w:rPr>
            </w:pP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11.2</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22"/>
        </w:trPr>
        <w:tc>
          <w:tcPr>
            <w:tcW w:w="7460" w:type="dxa"/>
            <w:vAlign w:val="bottom"/>
          </w:tcPr>
          <w:p>
            <w:pPr>
              <w:spacing w:after="0"/>
              <w:rPr>
                <w:sz w:val="20"/>
                <w:szCs w:val="20"/>
                <w:color w:val="auto"/>
              </w:rPr>
            </w:pPr>
            <w:r>
              <w:rPr>
                <w:rFonts w:ascii="Arial" w:cs="Arial" w:eastAsia="Arial" w:hAnsi="Arial"/>
                <w:sz w:val="18"/>
                <w:szCs w:val="18"/>
                <w:color w:val="auto"/>
              </w:rPr>
              <w:t>Others</w:t>
            </w:r>
          </w:p>
        </w:tc>
        <w:tc>
          <w:tcPr>
            <w:tcW w:w="400" w:type="dxa"/>
            <w:vAlign w:val="bottom"/>
          </w:tcPr>
          <w:p>
            <w:pPr>
              <w:jc w:val="right"/>
              <w:spacing w:after="0"/>
              <w:rPr>
                <w:sz w:val="20"/>
                <w:szCs w:val="20"/>
                <w:color w:val="auto"/>
              </w:rPr>
            </w:pPr>
            <w:r>
              <w:rPr>
                <w:rFonts w:ascii="Arial" w:cs="Arial" w:eastAsia="Arial" w:hAnsi="Arial"/>
                <w:sz w:val="18"/>
                <w:szCs w:val="18"/>
                <w:color w:val="auto"/>
              </w:rPr>
              <w:t>15.2</w:t>
            </w: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6.5</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300"/>
              <w:spacing w:after="0"/>
              <w:rPr>
                <w:sz w:val="20"/>
                <w:szCs w:val="20"/>
                <w:color w:val="auto"/>
              </w:rPr>
            </w:pPr>
            <w:r>
              <w:rPr>
                <w:rFonts w:ascii="Arial" w:cs="Arial" w:eastAsia="Arial" w:hAnsi="Arial"/>
                <w:sz w:val="18"/>
                <w:szCs w:val="18"/>
                <w:color w:val="auto"/>
                <w:w w:val="86"/>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(*)Excludes interest obligations thereon.</w:t>
      </w:r>
    </w:p>
    <w:p>
      <w:pPr>
        <w:spacing w:after="0" w:line="171" w:lineRule="exact"/>
        <w:rPr>
          <w:sz w:val="20"/>
          <w:szCs w:val="20"/>
          <w:color w:val="auto"/>
        </w:rPr>
      </w:pPr>
    </w:p>
    <w:p>
      <w:pPr>
        <w:jc w:val="both"/>
        <w:ind w:right="80" w:firstLine="456"/>
        <w:spacing w:after="0"/>
        <w:rPr>
          <w:sz w:val="20"/>
          <w:szCs w:val="20"/>
          <w:color w:val="auto"/>
        </w:rPr>
      </w:pPr>
      <w:r>
        <w:rPr>
          <w:rFonts w:ascii="Arial" w:cs="Arial" w:eastAsia="Arial" w:hAnsi="Arial"/>
          <w:sz w:val="18"/>
          <w:szCs w:val="18"/>
          <w:color w:val="auto"/>
        </w:rPr>
        <w:t xml:space="preserve">The Floating Rate Second Priority Senior Secured Notes of $300 million and Second Priority Senior Secured Notes of $200 million mature in 2011, while the Senior Subordinated Notes of $250 million mature in 2014. Interest rates are 3 month LIBOR + 3.25%,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 and 8%, respectively. These notes will be paid in full upon maturity.</w:t>
      </w:r>
    </w:p>
    <w:p>
      <w:pPr>
        <w:spacing w:after="0" w:line="18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indenture governing the notes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 (vii) sell all or substantially all of its assets or merge with or into other companies.</w:t>
      </w:r>
    </w:p>
    <w:p>
      <w:pPr>
        <w:spacing w:after="0" w:line="14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On June 28, 2007, the Company entered into the Seventh Amendment to Credit Agreement, dated as of June 28, 2007 (the “Seventh Amendment”), with MagnaChip Semiconductor S.A. and MagnaChip Semiconductor Finance Company, as borrowers, the Subsidiary Guarantors party thereto, the Lenders party thereto, and UBS AG, Stamford Branch, as administrative agent and collateral agent. Under the Seventh Amendment, among other things, the use of proceeds provision under Section 3.12 of the Credit Agreement was revised to provide increased flexibility for MagnaChip Semiconductor S.A. to use proceeds of any borrowing under the Credit Agreement.</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The Company adopted the provision of FIN No.48,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on January 1, 2007. As of the date of adoption, the Company’s unrecognized tax benefits totaled $1.6 million. These unrecognized tax benefits have been excluded from the above table because we cannot estimate the period of cash settlement with the respective taxing authorities.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December 23, 2004, two of the Company’s subsidiaries, MagnaChip Semiconductor S.A. and MagnaChip Semiconductor Finance Company entered into a senior credit agreement with a syndicate of banks, financial institutions and other entities providing for a $100 million senior secured revolving credit facility. The undrawn portion of such senior secured credit line as of July 1, 2007 and December 31, 2006 were $45.2 million and $93.8 million, respectively. The utilized portions of the credit line are related to the issuance of letters of credit and cash drawdowns.</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Other than the senior credit facility, there are no material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February 2007, the Financial Accounting Standards Board (“FASB”) issued Statements of Financial Accounting Standards (“SFAS”) No. 159, “</w:t>
      </w:r>
      <w:r>
        <w:rPr>
          <w:rFonts w:ascii="Arial" w:cs="Arial" w:eastAsia="Arial" w:hAnsi="Arial"/>
          <w:sz w:val="16"/>
          <w:szCs w:val="16"/>
          <w:i w:val="1"/>
          <w:iCs w:val="1"/>
          <w:color w:val="auto"/>
        </w:rPr>
        <w:t>The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 Option for Financial Assets and Financial Liabilities,</w:t>
      </w:r>
      <w:r>
        <w:rPr>
          <w:rFonts w:ascii="Arial" w:cs="Arial" w:eastAsia="Arial" w:hAnsi="Arial"/>
          <w:sz w:val="16"/>
          <w:szCs w:val="16"/>
          <w:color w:val="auto"/>
        </w:rPr>
        <w:t>” which provides companies with an option to report selected financial assets and liabilities at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in an attempt to reduce both complexity in accounting for financial instruments and the volatility in earnings caused by measuring related assets and liabilities differently. This Statement is effective as of the beginning of an entity’s first fiscal year beginning after November 15, 2007. We are currently evaluating the impact that the adoption may have on our consolidated financial statements.</w:t>
      </w:r>
    </w:p>
    <w:p>
      <w:pPr>
        <w:spacing w:after="0" w:line="11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Statement defines fair value, establishes a framework for measuring fair value and requires enhanced disclosures about fair value measurements. SFAS 157 requires companies to disclose the fair value of its financial instruments according to a fair value hierarchy, as defined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and may be required to provide additional disclosures based on that hierarchy. SFAS 157 is effective for financial statements issued for fiscal years beginning after November 15, 2007. We are currently evaluating the impact that the adoption may have on our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our management to make significant judgments and estimates that affect our financial position and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revenue is derived from the sale of semiconductor products we design and the manufacture of semiconductor wafers for third parties. We recognize revenue when persuasive evidence of an arrangement exists, the product has been delivered and title and risk of loss have transferred, the price is fixed and determinable, and collection of resulting receivables is reasonably assured. For certain distributors, standard products are sold without rights to return products or stock rotation or price protection rights. Our policy is to recognize revenue upon delivery of products to customers, where shipment represents the point when the rights and risks of ownership have passed to the customer, when persuasive evidence of an arrangement exists, the product has been delivered, the price is fixed or determinable and collection of the resulting receivable is reasonably assured. Specialty foundry services are performed pursuant to manufacturing agreements and purchase orders. Standard products are shipped and sold based upon purchase orders from customers. All amounts billed to a customer related to shipping and handling are classified as sales, while all costs incurred by us for shipping and handling are classified as expenses.</w:t>
      </w:r>
    </w:p>
    <w:p>
      <w:pPr>
        <w:spacing w:after="0" w:line="11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maintain allowances for doubtful accounts for estimated losses resulting from the inability of our customers to make payment. If the financial condition of our customers were to deteriorate, additional allowances may be required. We record warranty liabilities for the estimated costs that may be incurred under our limited warranty. This warranty covers product defects based on compliance to our specifications and is normally applicable for twelve months from the date of purchase. These liabilities are recorded when related revenue is recognized. Warranty costs include the costs to replace the defective product. Factors that affect our warranty liability include the historical and anticipated rate of warranty claims on those repairs and the cost per claim to satisfy our warranty obligations. As these factors are impacted by actual experience and future expectations, we periodically assess the adequacy of our recorded warranty liabilities and adjust the amounts as necessary.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Inventories are stated at the lower of cost or market, using the average cost method, which approximates the first in, first out method. If net realizable value is less than cost at the balance sheet date, the carrying amount is reduced to the realizable value, and the difference is recognized as a loss on valuation of inventories under cost of sales. We estimate the net realizable value for such finished goods and work-in-progress based on current invoice prices. Inventory reserves are established when conditions indicate that the net realizable value is less than cost due to physical deterioration, obsolescence, changes in price levels, or other causes. Reserves are also established for excess inventory based on inventory levels in excess of six months of projected demand, as judged by management, for each specific product.</w:t>
      </w:r>
    </w:p>
    <w:p>
      <w:pPr>
        <w:spacing w:after="0" w:line="14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addition, as prescribed in SFAS No. 151, the cost of inventories is determined based on the normal capacity of each fabrication facility. In case the capacity utilization is lower than a certain level, that the management believes to be normal, the fixed overhead costs per production unit which exceeds those under normal capacity, are charged to cost of sales rather than capitalized as inventories.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Useful Lives of Tangible and Intangible Assets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Buildings and related structures are depreciated over the 10 to 40 year periods. Machinery, equipment and other assets including vehicles are depreciated over the estimated useful lives ranging 5 to 10 years.</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intangible assets represent rights under patents, trademarks, property use rights, customer relationship and technology, and are amortized over the periods of benefit, ranging up to 10 years, on a straight-line basis.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review the carrying value of fixed assets for impairment when events and circumstances indicate that the carrying value of an asset or group of assets may not be recoverable from the estimated future cash flows expected to result from its use and/or disposition. Factors which could trigger an impairment review include the following: (i) significant negative industry or economic trends, (ii) exiting an activity in conjunction with a restructuring of operations, (iii) current, historical or projected losses that demonstrate continuing losses associated with an asset, and (iv) management’s assessment of future manufacturing capacity requirements. In cases where undiscounted expected future cash flows are less than the carrying value, an impairment charge is recognized equal to the amount by which the carrying value exceeds the estimated fair value of the assets. The estimation of future cash flows involves numerous assumptions, which require our judgment, including, but not limited to, future use of the assets for our operations versus sale or disposal of the assets, future-selling prices for our products and future production and sales volumes. In addition, we must use our judgment in determining the groups of assets for which impairment tests are separately performed.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We recognize restructuring charges in accordance with SFAS No.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xml:space="preserve"> Certain costs and expenses related to exit or disposal activities are recorded as restructuring charges when liabilities for those costs and expenses are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 xml:space="preserve">We account for income taxes in accordance with SFAS No. 109, </w:t>
      </w:r>
      <w:r>
        <w:rPr>
          <w:rFonts w:ascii="Arial" w:cs="Arial" w:eastAsia="Arial" w:hAnsi="Arial"/>
          <w:sz w:val="15"/>
          <w:szCs w:val="15"/>
          <w:i w:val="1"/>
          <w:iCs w:val="1"/>
          <w:color w:val="auto"/>
        </w:rPr>
        <w:t>Accounting for Income Taxes</w:t>
      </w:r>
      <w:r>
        <w:rPr>
          <w:rFonts w:ascii="Arial" w:cs="Arial" w:eastAsia="Arial" w:hAnsi="Arial"/>
          <w:sz w:val="15"/>
          <w:szCs w:val="15"/>
          <w:color w:val="auto"/>
        </w:rPr>
        <w:t>. SFAS No. 109 requires recognition of deferred tax assets and liabilities for the expected future tax consequences of events that have been recognized in a company’s financial statements or tax returns. Under this method, deferred tax assets and liabilities are determined based on the difference between the financial statement carrying amounts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 We established valuation allowances for deferred tax assets at most of our subsidiaries since, other than with respect to one particular subsidiary, it is not probable that a majority of the deferred tax assets will be realizable. The valuation allowance at this particular subsidiary was not set up since it is expected that the deferred tax assets at this subsidiary will be deemed realizable based on the current prospects for its future taxable income.</w:t>
      </w:r>
    </w:p>
    <w:p>
      <w:pPr>
        <w:spacing w:after="0" w:line="10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In addition, beginning January 1, 2007, we account for uncertainties related to income taxes in compliance with FIN No. 48, </w:t>
      </w:r>
      <w:r>
        <w:rPr>
          <w:rFonts w:ascii="Arial" w:cs="Arial" w:eastAsia="Arial" w:hAnsi="Arial"/>
          <w:sz w:val="16"/>
          <w:szCs w:val="16"/>
          <w:i w:val="1"/>
          <w:iCs w:val="1"/>
          <w:color w:val="auto"/>
        </w:rPr>
        <w:t>Accounting for Uncertainty in</w:t>
      </w:r>
      <w:r>
        <w:rPr>
          <w:rFonts w:ascii="Arial" w:cs="Arial" w:eastAsia="Arial" w:hAnsi="Arial"/>
          <w:sz w:val="16"/>
          <w:szCs w:val="16"/>
          <w:color w:val="auto"/>
        </w:rPr>
        <w:t xml:space="preserve"> </w:t>
      </w:r>
      <w:r>
        <w:rPr>
          <w:rFonts w:ascii="Arial" w:cs="Arial" w:eastAsia="Arial" w:hAnsi="Arial"/>
          <w:sz w:val="16"/>
          <w:szCs w:val="16"/>
          <w:i w:val="1"/>
          <w:iCs w:val="1"/>
          <w:color w:val="auto"/>
        </w:rPr>
        <w:t>Income Taxes</w:t>
      </w:r>
      <w:r>
        <w:rPr>
          <w:rFonts w:ascii="Arial" w:cs="Arial" w:eastAsia="Arial" w:hAnsi="Arial"/>
          <w:sz w:val="16"/>
          <w:szCs w:val="16"/>
          <w:color w:val="auto"/>
        </w:rPr>
        <w:t>—an interpretation of SFAS No. 109. Under FIN No. 48, we evaluate our tax positions taken or expected to be taken in a tax return for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measurement on our financial statements. Only those tax positions that meet the more-likely-than-not threshold are recognized on the financial statements at the largest amount of benefit that is greater than 50 percent likely of ultimately being realized.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Unit-based Compensation</w:t>
      </w:r>
    </w:p>
    <w:p>
      <w:pPr>
        <w:spacing w:after="0" w:line="90"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Pursuant to the provisions of SFAS No. 123(R), unit-based compensation cost is estimated at the grant date based on the fair-value of the award and is recognized as expense over the requisite service period of the award. We utilize the Black-Scholes option pricing model to value options. In developing assumptions for fair value calculation under SFAS No. 123(R), we use estimates based on historical data and market information. A small change in the assumptions used in the estimate can cause a relatively significant change in the fair value calculation.</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valuation of our common unit is based on an independent appraisal from a third party and is updated reflecting the changes in our financial results and prospects. Determination of the fair value of our common units involves complex and subjective judgments. If we make different judgments or adopt different assumptions, material differences could result in the timing and amount of the unit-based compensation expenses recorded because the estimated fair value of the underlying units for the options granted would be different.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 xml:space="preserve">We have determined, based on the nature of our operations and products offered to customers, that our reportable segments are Display Solutions, Imaging Solutions, and Semiconductor Manufacturing Services. Our chief operating decision maker (“CODM”) as defined by SFAS 131, </w:t>
      </w:r>
      <w:r>
        <w:rPr>
          <w:rFonts w:ascii="Arial" w:cs="Arial" w:eastAsia="Arial" w:hAnsi="Arial"/>
          <w:sz w:val="16"/>
          <w:szCs w:val="16"/>
          <w:i w:val="1"/>
          <w:iCs w:val="1"/>
          <w:color w:val="auto"/>
        </w:rPr>
        <w:t>Disclosure about Segments of an</w:t>
      </w:r>
      <w:r>
        <w:rPr>
          <w:rFonts w:ascii="Arial" w:cs="Arial" w:eastAsia="Arial" w:hAnsi="Arial"/>
          <w:sz w:val="16"/>
          <w:szCs w:val="16"/>
          <w:color w:val="auto"/>
        </w:rPr>
        <w:t xml:space="preserve"> </w:t>
      </w:r>
      <w:r>
        <w:rPr>
          <w:rFonts w:ascii="Arial" w:cs="Arial" w:eastAsia="Arial" w:hAnsi="Arial"/>
          <w:sz w:val="16"/>
          <w:szCs w:val="16"/>
          <w:i w:val="1"/>
          <w:iCs w:val="1"/>
          <w:color w:val="auto"/>
        </w:rPr>
        <w:t>Enterprise and Related Information</w:t>
      </w:r>
      <w:r>
        <w:rPr>
          <w:rFonts w:ascii="Arial" w:cs="Arial" w:eastAsia="Arial" w:hAnsi="Arial"/>
          <w:sz w:val="16"/>
          <w:szCs w:val="16"/>
          <w:color w:val="auto"/>
        </w:rPr>
        <w:t>, allocates resources to and assesses the performance by these segments.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Market risk is the risk that the value of a financial instrument will fluctuate due to changes in market conditions, including changes in interest rates and foreign exchange rates. In the normal course of our business, we are subject to market risk associated with interest rate movements and currency movements on our assets and liabilities.</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color w:val="auto"/>
        </w:rPr>
        <w:t xml:space="preserve">Foreign Currency Risk. </w:t>
      </w:r>
      <w:r>
        <w:rPr>
          <w:rFonts w:ascii="Arial" w:cs="Arial" w:eastAsia="Arial" w:hAnsi="Arial"/>
          <w:sz w:val="18"/>
          <w:szCs w:val="18"/>
          <w:color w:val="auto"/>
        </w:rPr>
        <w:t>We have exposure to foreign currency exchange-rate fluctuations on net income from our subsidiaries denominated in currencies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July 1, 2007 for our Korean subsidiary, a 10% devaluation of the Korean Won against the U.S. dollar would have resulted in a decrease of $1.6 million in our U.S. dollar financial instruments balance and cash balance.</w:t>
      </w:r>
    </w:p>
    <w:p>
      <w:pPr>
        <w:spacing w:after="0" w:line="171" w:lineRule="exact"/>
        <w:rPr>
          <w:sz w:val="20"/>
          <w:szCs w:val="20"/>
          <w:color w:val="auto"/>
        </w:rPr>
      </w:pPr>
    </w:p>
    <w:p>
      <w:pPr>
        <w:ind w:right="100" w:firstLine="456"/>
        <w:spacing w:after="0" w:line="229"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$200 million 6</w:t>
      </w:r>
      <w:r>
        <w:rPr>
          <w:rFonts w:ascii="Arial" w:cs="Arial" w:eastAsia="Arial" w:hAnsi="Arial"/>
          <w:sz w:val="18"/>
          <w:szCs w:val="18"/>
          <w:i w:val="1"/>
          <w:iCs w:val="1"/>
          <w:color w:val="auto"/>
        </w:rPr>
        <w:t xml:space="preserve"> </w:t>
      </w:r>
      <w:r>
        <w:rPr>
          <w:rFonts w:ascii="Arial" w:cs="Arial" w:eastAsia="Arial" w:hAnsi="Arial"/>
          <w:sz w:val="22"/>
          <w:szCs w:val="22"/>
          <w:color w:val="auto"/>
          <w:vertAlign w:val="superscript"/>
        </w:rPr>
        <w:t>7</w:t>
      </w:r>
      <w:r>
        <w:rPr>
          <w:rFonts w:ascii="Arial" w:cs="Arial" w:eastAsia="Arial" w:hAnsi="Arial"/>
          <w:sz w:val="18"/>
          <w:szCs w:val="18"/>
          <w:color w:val="auto"/>
        </w:rPr>
        <w:t>/8% Second Priority Senior Secured Notes due 2011 and the $250 million 8% Senior Subordinated Notes due 2014</w:t>
      </w:r>
      <w:r>
        <w:rPr>
          <w:rFonts w:ascii="Arial" w:cs="Arial" w:eastAsia="Arial" w:hAnsi="Arial"/>
          <w:sz w:val="18"/>
          <w:szCs w:val="18"/>
          <w:i w:val="1"/>
          <w:iCs w:val="1"/>
          <w:color w:val="auto"/>
        </w:rPr>
        <w:t xml:space="preserve"> </w:t>
      </w:r>
      <w:r>
        <w:rPr>
          <w:rFonts w:ascii="Arial" w:cs="Arial" w:eastAsia="Arial" w:hAnsi="Arial"/>
          <w:sz w:val="18"/>
          <w:szCs w:val="18"/>
          <w:color w:val="auto"/>
        </w:rPr>
        <w:t>are subject to changes in fair value due to interest rate changes. If the market interest rate had decreased by 10% and all other variables were held constant from their levels at July 1, 2007, we estimate that we would have additional interest expense costs over the market rate of $0.7 million for the three months ended July 1, 2007. The fair value of these fixed rate notes would have decreased by $7.8 million or increased by $8.1 million with a 10% increase or decrease in the interest rate, respectively.</w:t>
      </w:r>
    </w:p>
    <w:p>
      <w:pPr>
        <w:spacing w:after="0" w:line="184"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i w:val="1"/>
          <w:iCs w:val="1"/>
          <w:color w:val="auto"/>
        </w:rPr>
        <w:t>Cash Flow Interest Rate Risk</w:t>
      </w:r>
      <w:r>
        <w:rPr>
          <w:rFonts w:ascii="Arial" w:cs="Arial" w:eastAsia="Arial" w:hAnsi="Arial"/>
          <w:sz w:val="18"/>
          <w:szCs w:val="18"/>
          <w:color w:val="auto"/>
        </w:rPr>
        <w:t>. In 2005, we entered into an interest rate swap agreement to convert the variable interest rate on our Floating Rate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 Senior Secured Notes to a fixed interest rate for the periods to maturity date of June 2008. With this interest rate swap, cash flow interest rate risk was replaced with exposure to interest rate risk. For details, refer to “Note 6. Long-term Borrowings.”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4T.</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As required by the Securities Exchange Act of 1934, as amended (the “Exchange Act”), our management, including our Chief Executive Officer (“CEO”) and our Chief Financial Officer (“CFO”), conducted an evaluation of the effectiveness of the design and operation of our disclosure controls and procedures as of the end of the period covered by this report. As defined in Rule 13a-15(e) and 15d-15(e) under the Exchange Act, disclosure controls and procedures are controls and other procedures that we use that are designed to ensure that information required to be disclosed by us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CEO and our CFO, as appropriate, to allow timely decisions regarding required disclosure.</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Based upon that evaluation, our CEO and our CFO concluded that our disclosure controls and procedures were effective as of the end of the period covered by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96"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Our management, including our CEO and CFO, does not expect that our disclosure controls and procedures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 Our internal control over financial reporting is designed to provide reasonable assurance regarding the reliability of our financial reporting and preparation of financial statements for external purposes in accordance with generally accepted accounting principles. Because of its inherent limitations, internal control over financial reporting may not prevent or detect misstatements.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cyclical nature of the semiconductor industry may limit our ability to maintain or increase net sales and profit levels during industry downturns.</w:t>
      </w:r>
    </w:p>
    <w:p>
      <w:pPr>
        <w:spacing w:after="0" w:line="11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semiconductor industry is highly cyclical and periodically experiences significant economic downturns characterized by diminished product demand, resulting in production overcapacity and excess inventory in the markets we serve, which can result in rapid erosion of average selling prices. The industry has experienced significant downturns, often in connection with, or in anticipation of, maturing product cycles of both semiconductor companies’ and their customers’ products and the decline in general economic conditions.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experienced these conditions in our business in the past and may experience renewed, and possibly more severe and prolonged, downturns in the future as a result of such cyclical changes. This may reduce our profitability and the value of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demand is difficult to accurately forecast.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make significant decisions, including determining the levels of business that we will seek and accept, production schedules, component procurement commitments, personnel needs and other resource requirements, based on our estimates of customer requirements. The short-term nature of commitments by many of our customers and the possibility of rapid changes in demand for their products reduces our ability to accurately estimate future customer demand. On occasion, customers may require rapid increases in production, which can challenge our resources and reduce margins. We may not have sufficient capacity at any given time to meet our customers’ increased demand for our product. Conversely, downturns in the semiconductor industry may cause and have caused our customers to significantly reduce the amount of products ordered from us. Because many of our costs and operating expenses are relatively fixed, a reduction in customer demand may decrease our gross margins and operating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 may cancel their orders, change production quantities or delay production.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generally do not obtain firm, long-term purchase commitments from our customers. Customers may cancel their orders, change production quantities or delay production for a number of reasons. Cancellations, reductions or delays by a significant customer or by a group of customers, which we have experienced as a result of the recent downturn in the semiconductor industry, have adversely affected and may continue to adversely affect our results of operations. In addition, while we do not obtain long-term purchase commitments, we generally agree to the pricing of a particular product for the entire lifecycle of the product, which can extend over a number of years. If we underestimate our costs when determining the pricing, our margins and results of operations would be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sales comes from a relatively limited number of customers.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If we were to lose key customers or if customers cease to place orders for our high volume devices, our financial results will be adversely affected. While we served more than 171 customers in the six-month period ended July 1, 2007, net sales to our 10 largest customers represented approximately 65.6% of our net sales for the period. We had one individual customer and one group of affiliated customers that each represented greater than 10% of our net sales during the six months ended July 1, 2007. Significant reductions in sales to any of these customers, the loss of major customers or the curtailment of orders for our high-volume devices within a short period of time would adversely affect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is highly competitive.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semiconductor industry is highly competitive and includes hundreds of companies, a number of which have achieved substantial market share. Current and prospective customers for our products evaluate our capabilities against the merits of our direct competitors. Some of our competitors are well-established as independent companies and have substantially greater market share and manufacturing, financial, research and development and marketing resources than we do. We also compete with emerging companies that are attempting to sell their products in specialized markets, and with the internal capabilities of many of our significant customers. We expect to experience continuing competitive pressures in our markets from existing competitors and new entrants. Any consolidation among our competitors could enhance their product offerings and financial resources, further enhancing their competitive position. Our ability to compete successfully depends on a number of factors, including the following: our ability to offer cost effective products on a timely basis using our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98" w:lineRule="auto"/>
        <w:rPr>
          <w:sz w:val="20"/>
          <w:szCs w:val="20"/>
          <w:color w:val="auto"/>
        </w:rPr>
      </w:pPr>
      <w:r>
        <w:rPr>
          <w:rFonts w:ascii="Arial" w:cs="Arial" w:eastAsia="Arial" w:hAnsi="Arial"/>
          <w:sz w:val="16"/>
          <w:szCs w:val="16"/>
          <w:color w:val="auto"/>
        </w:rPr>
        <w:t>technologies; our ability to accurately identify and respond to emerging technological trends and demand for product features and performance characteristics; product introductions by our competitors; our ability to adopt or adapt to emerging industry standards; and the number and nature of our competitors in a given market. Many of these factors are outside of our control. In the future, our competitors may capture our existing or potential customers and our customers may satisfy more of their requirements internally. As a result, we may experience declining revenues and profits.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decline in average selling prices could decrease our profits.</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the past, our industry has experienced a decline in average selling prices. A decline in average selling prices for our products, if not offset by reductions in the costs of producing such products, would decrease our gross profits and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 the consumer electronics and other end markets for our products is an important component in our success.</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continued success will depend in part on the growth of various consumer electronics markets and other end markets that use our semiconductors and on general economic growth. To the extent that we cannot offset recessionary periods or periods of reduced growth that may occur in these markets through greater penetration of these markets, our sales may decline and our business, financial condition and results of operations may suffer as a result.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technological advances for growth.</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industry is subject to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leading edge process technologies or to license or otherwise obtain essential intellectual property required by our customers. Our inability to continue identifying new product opportunities, or manufacturing technologically advanced products on a cost-effective basis, may result in decreased revenues and a loss of market share to our competitors.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attract or retain the technical or management employees necessary to remain competitive in our industry.</w:t>
      </w:r>
    </w:p>
    <w:p>
      <w:pPr>
        <w:spacing w:after="0" w:line="96" w:lineRule="exact"/>
        <w:rPr>
          <w:sz w:val="20"/>
          <w:szCs w:val="20"/>
          <w:color w:val="auto"/>
        </w:rPr>
      </w:pPr>
    </w:p>
    <w:p>
      <w:pPr>
        <w:jc w:val="both"/>
        <w:ind w:right="40" w:firstLine="456"/>
        <w:spacing w:after="0" w:line="332" w:lineRule="auto"/>
        <w:rPr>
          <w:sz w:val="20"/>
          <w:szCs w:val="20"/>
          <w:color w:val="auto"/>
        </w:rPr>
      </w:pPr>
      <w:r>
        <w:rPr>
          <w:rFonts w:ascii="Arial" w:cs="Arial" w:eastAsia="Arial" w:hAnsi="Arial"/>
          <w:sz w:val="16"/>
          <w:szCs w:val="16"/>
          <w:color w:val="auto"/>
        </w:rPr>
        <w:t>We depend on our ability to attract and retain skilled technical and managerial personnel. We could lose the services of, or fail to recruit, skilled personnel, which could hinder our research and product development programs or otherwise have a material adverse effect on our business.</w:t>
      </w:r>
    </w:p>
    <w:p>
      <w:pPr>
        <w:spacing w:after="0" w:line="160"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b w:val="1"/>
          <w:bCs w:val="1"/>
          <w:color w:val="auto"/>
        </w:rPr>
        <w:t>If we encounter future labor problems, we may fail to deliver our products in a timely manner which could adversely affect our revenues and profitability.</w:t>
      </w:r>
    </w:p>
    <w:p>
      <w:pPr>
        <w:spacing w:after="0" w:line="45"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As of August 1, 2007, approximately 61.3% of our employees were represented by the MagnaChip Semiconductor Labor Union, which is a member of the Federation of Korean Metal Workers Trade Unions. We cannot assure you that issues with the labor union and other employees will be resolved favorably for us in the future, that we will not experience significant work stoppages in future years or that we will not record significant charges related to those work stoppages.</w:t>
      </w:r>
    </w:p>
    <w:p>
      <w:pPr>
        <w:spacing w:after="0" w:line="182"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may incur costs to engage in future business combinations or strategic investments and the anticipated benefits of those transactions may not be realized.</w:t>
      </w:r>
    </w:p>
    <w:p>
      <w:pPr>
        <w:spacing w:after="0" w:line="4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Those transactions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worth less than the amount paid for them pursuant to the acquisition of the Company’s business from Hynix Semiconductor Inc. on October 6, 2004. In addition, our senior secured credit facility and the indentures governing our notes may prohibit us from making acquisitions that we may otherwise wish to pursue.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high utilization of our manufacturing capacity.</w:t>
      </w:r>
    </w:p>
    <w:p>
      <w:pPr>
        <w:spacing w:after="0" w:line="96"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As many of our costs are fixed, a reduction in capacity utilization, together with other factors such as yield and product mix, could reduce our profit margins and adversely affect our operating results. A number of factors and circumstances may reduce utilization rates, including periods of industry overcapacity, low levels of customer orders, operating inefficiencies,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mechanical failures and disruption of operations due to expansion or relocation of operations, power interruptions, fire, flood or other natural disasters or calamities.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to achieve acceptable manufacturing yields could adversely affect our business.</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manufacture of semiconductors requires precision, a highly-regulated and sterile environment and expensive equipment. We may have difficulty achieving acceptable yields in the manufacture of our products. Slight impurities or defects in the masks used to print circuits on a wafer or other factors can cause significant difficulties, particularly in connection with the production of a new product, the adoption of a new manufacturing process or any expansion of our manufacturing capacity and related transitions.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certain subcontractors.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majority of our net sales are derived from semiconductor devices assembled in advanced packages. The packaging of semiconductors is a complex process requiring, among other things, a high degree of technical skill and advanced equipment. We outsource our semiconductor packaging to subcontractors, most of which are located in Korea and Southeast Asia. We rely on these subcontractors to package our devices with acceptable quality and yield levels. If our semiconductor packagers experience problems in packaging our semiconductor devices or experience prolonged quality or yield problems, our operating results could be adversely affected.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parts and materials procurement for our manufacturing processes.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use a wide range of parts and materials in the production of our semiconductors, including silicon, processing chemicals, processing gases, precious metals and electronic and mechanical components. We procure materials and electronic and mechanical components from domestic and foreign sources and original equipment manufacturers. If we cannot obtain adequate materials in a timely manner or on favorable terms for the manufacture of our products, either or both of our revenues or profits will decline.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product liability risks and the risk of negative publicity if our products fail.</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semiconductors are incorporated into a number of end products, and our business is exposed to product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we are exposed to the product liability risk and the risk of negative publicity affecting our customers and suppliers. Our sales may decline if any of our customers are sued on a product liability claim. We may also suffer a decline in sales from the negative publicity associated with such a lawsuit or with adverse public perceptions in general regarding our customers’ products.</w:t>
      </w:r>
    </w:p>
    <w:p>
      <w:pPr>
        <w:spacing w:after="0" w:line="215"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Our ability to compete successfully and achieve future growth will depend, in part, on our ability to protect our proprietary technology, as well as our ability to operate without infringing the proprietary rights of others.</w:t>
      </w:r>
    </w:p>
    <w:p>
      <w:pPr>
        <w:spacing w:after="0" w:line="45"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seek to protect our proprietary technologies and know-how through the use of patents, trade secrets, confidentiality agreements and other security measures. The process of seeking patent protection takes a long time and is expensive. We cannot assure you that patents will issue from pending or future applications or that, if patents issue, they will not be challenged, invalidated or circumvented, or that the rights granted under the patents will provide us with meaningful protection or any commercial advantage. Some of our technologies are not covered by any patent or patent application. The confidentiality agreements on which we rely may be breached and may not be adequate to protect our proprietary technologies. We cannot assure you that other countries in which we market our services will protect our intellectual property rights to the same extent as the United States.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ability to compete successfully depends on our ability to operate without infringing the proprietary rights of others. We have no means of knowing what patent applications have been filed in the United States until they are published. In addition, the semiconductor industry is characterized by frequent litigation regarding patent and other intellectual property rights. Litigation, which could result in substantial costs to us and diversion of our resources, may also be necessary to enforce our patents or other intellectual property rights or to defend against claimed infringement of the rights of others. In the event of an adverse outcome in any such litigation, we may be required to pay substantial damages, indemnify customers or licensees for damages they may suffer if the products they purchase from us or the technology they license from us violate the intellectual property rights of others; stop our manufacture, use, sale or importation of infringing products; expend significant resources to develop or acquire non-infringing technologies; discontinue processes; or obtain licenses to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intellectual property we are found to have infringed. We cannot assure you that we would be successful in such development or acquisition or that such licenses would be available under reasonable terms, or at all.</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Our competitors may develop, patent or gain access to know-how and technology similar to our own. Failure to protect our existing intellectual property rights may result in the loss of valuable technologies or our having to pay other companies for infringing on their intellectual property rights.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many environmental laws and regulations that could affect our operations or result in significant expenses.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subject to requirements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wastes, soil and groundwater contamination and employee health and safety. These laws and regulations are complex, constantly changing and have tended to become more stringent over time. We cannot assure you that we have been, or will be at all times, in complete compliance with all these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suffer adverse tax and other financial consequences as a result of changes in, or differences in the interpretation of, applicable tax laws.</w:t>
      </w:r>
    </w:p>
    <w:p>
      <w:pPr>
        <w:spacing w:after="0" w:line="119"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Our company organizational structure is based, in part, on assumptions about the various tax laws, including withholding tax, and other laws of applicable non-U.S. jurisdictions. In addition, our Korean subsidiary was granted a limited tax-holiday under Korean law in October 2004, which provides for certain tax exemptions for corporate taxes, withholding taxes, acquisition taxes, property and land taxes and other taxes for five years. Our interpretations and conclusions are not binding on any taxing authority, and, if our assumptions about tax and other laws are incorrect or if the authorities were to change or modify the relevant laws, we could suffer adverse tax and other financial consequences or have the anticipated benefits of our company organizational structure materially impaired.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limited number of persons indirectly control us.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Court Square Capital Partners, Francisco Partners L.P., and CVC Asia Pacific Limited own approximately 34.0%, 34.0% and 18.3%, respectively, of the outstanding voting interests in MagnaChip. By virtue of their ownership of these voting interests, and the securityholders’ agreement among MagnaChip and its unitholders, these entities have significant influence over our management and will be able to determine the outcome of all matters required to be submitted to the unitholders for approval, including the election of a majority of our directors and the approval of mergers, consolidations and the sale of all or substantially all of our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capital in the future and it may not be available on acceptable terms or at all.</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may require more capital in the future to fund our operations, finance investments in equipment and infrastructure, and respond to competitive pressures and potential strategic opportunities. Additional capital may not be available when needed or, if available, may not be available on satisfactory terms. If we are unable to obtain capital on favorable terms, or if we are unable to obtain capital at all, we may have to reduce our operations or forego opportunities and it may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operations are subject to various risks that may lead to decreases in financial results.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face risks inherent in international operations, such as unexpected changes in regulatory requirements, tariffs and other market barriers, political, social and economic instability, adverse tax consequences, war, civil disturbances and acts of terrorism, difficulties in accounts receivables collection, extended payment terms and differing labor standards, enforcement of contractual obligations and protection of intellectual property. These risks may lead to increased costs or decreased revenue growth, or both.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increase in tensions with North Korea could adversely affect our business, financial condition, and results of operations.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Relations between Korea and North Korea have been tense throughout Korea’s modern history. The level of tension between Korea and North Korea has fluctuated and may increase or change abruptly as a result of current and future events.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Although we do not derive any revenue from, nor sell any products in, North Korea, any future increase in tensions which may occur, for example, the breakdown of high-level contacts between Korea and North Korea or the occurrence of military hostilities, could adversely affect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currency fluctuations.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revenues are denominated in various currencies, specifically, the Korean Won, Japanese Yen, Euro and U.S. dollar. As a result, changes in the exchange rates of these currencies or any other applicable currencies to the U.S. dollar will affect the translated price of products and therefore operating margins and could result in exchange losses.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majority of our costs are denominated in Korean Won and to a lesser extent in Japanese Yen, U.S. dollar and Euro. Therefore, changes in the exchange rates of these currencies or any other applicable currencies to the U.S. dollar will affect cost of goods sold and operating margins and could result in exchange losses.</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cannot fully predict the impact of future exchange rate fluctuations on our profitability. From time to time, we may have engaged in, and may continue to engage in, exchange rate hedging activities in an effort to mitigate the impact of exchange rate fluctuations. However, we cannot assure you that any hedging technique we implement will be effective. If it is not effective, we may experience reduced operating margins.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expenses could increase if Hynix were unwilling or unable to provide certain services related to our shared facilities with Hynix.</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Because we share certain facilities with Hynix, a few services that are essential to our business are provided to us by or through Hynix. These services include electricity, bulk gasses and de-ionized water, campus facilities, wastewater and sewage management, and environmental safety. If any of our agreements with Hynix were terminated or if Hynix were unwilling or unable to fulfill its obligations to us under the terms of these agreements, we would have to procure these services on our own and as a result may experience an increase in our expenses.</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we lease building and warehouse space from Hynix in Cheongju, Korea, and lease to Hynix some of the space we own in Cheongju, Korea. If Hynix were to become insolvent, we could lose our leases on some of our building and warehouse space.</w:t>
      </w:r>
    </w:p>
    <w:p>
      <w:pPr>
        <w:spacing w:after="0" w:line="207"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Research and development investments may not yield profitable and commercially viable products and thus will not necessarily result in increases in revenues for us.</w:t>
      </w:r>
    </w:p>
    <w:p>
      <w:pPr>
        <w:spacing w:after="0" w:line="4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invest significant resources in our research and development. However, research and development efforts may not yield commercially viable products. During each stage of research and development there is a substantial risk that we will have to abandon a potential product which is no longer marketable and in which we have invested significant resources. In the event we are able to develop viable new products, a significant amount of time will have elapsed between our investment in the necessary research and development effort and the receipt of any related revenues.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confidence may be adversely impacted if we are unable to comply with Section 404 of the Sarbanes-Oxley Act of 2002.</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Beginning with our fiscal year ending December 31, 2007, we will be subject to rules adopted by the SEC pursuant to Section 404 of the Sarbanes-Oxley Act of 2002, which require us to include in our Annual Report on Form 10-K our management’s report on, and assessment of the effectiveness of, our internal controls over financial reporting. Beginning with our fiscal year ending December 31, 2008, our independent auditors will be required to attest to and report on management’s assessment of the effectiveness of our internal controls over financial reporting. If we fail to achieve and maintain the adequacy of our internal controls, there is a risk that we will not comply with all of the requirements imposed by Section 404. Moreover, effective internal controls, particularly those related to revenue recognition, are necessary for us to produce reliable financial reports and are important to helping prevent financial fraud. Any of these possible outcomes could result in an adverse reaction in the financial marketplace due to a loss of investor confidence in the reliability of our financial statements, which ultimately could harm our business and could negatively impact the market price of our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4, 2007, a former executive of the Company exercised options to acquire 80,000 of our common units at a purchase price of $80,000.00. These securities were exempt from registration under Section 4(2) of the Securities Act of 1933, as amended, by reason of the fact that the offering was a limited private placement to one knowledgeable investor who agreed not to resell the securities to the public.</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920" w:right="120" w:hanging="873"/>
        <w:spacing w:after="0" w:line="332" w:lineRule="auto"/>
        <w:tabs>
          <w:tab w:leader="none" w:pos="900" w:val="left"/>
        </w:tabs>
        <w:rPr>
          <w:sz w:val="20"/>
          <w:szCs w:val="20"/>
          <w:color w:val="auto"/>
        </w:rPr>
      </w:pPr>
      <w:r>
        <w:rPr>
          <w:rFonts w:ascii="Arial" w:cs="Arial" w:eastAsia="Arial" w:hAnsi="Arial"/>
          <w:sz w:val="18"/>
          <w:szCs w:val="18"/>
          <w:color w:val="auto"/>
        </w:rPr>
        <w:t>10.3.h</w:t>
      </w:r>
      <w:r>
        <w:rPr>
          <w:sz w:val="20"/>
          <w:szCs w:val="20"/>
          <w:color w:val="auto"/>
        </w:rPr>
        <w:tab/>
      </w:r>
      <w:r>
        <w:rPr>
          <w:rFonts w:ascii="Arial" w:cs="Arial" w:eastAsia="Arial" w:hAnsi="Arial"/>
          <w:sz w:val="16"/>
          <w:szCs w:val="16"/>
          <w:color w:val="auto"/>
        </w:rPr>
        <w:t>Waiver to Credit Agreement, dated as of August 13, 2007, by and among MagnaChip Semiconductor S.A. and MagnaChip Semiconductor Finance Company, as borrowers, the Lenders party thereto, and UBS AG, Stamford Branch, as administrative agent and collateral agent.</w:t>
      </w:r>
    </w:p>
    <w:p>
      <w:pPr>
        <w:spacing w:after="0" w:line="31"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pursuant to Rule 13a-14(a) or Rule 15d-14(a) of the Securities Exchange Act of 1934 of the Chief Executive Officer.</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pursuant to Rule 13a-14(a) or Rule 15d-14(a) of the Securities Exchange Act of 1934 of the Chief Financial Officer.</w:t>
      </w:r>
    </w:p>
    <w:p>
      <w:pPr>
        <w:spacing w:after="0" w:line="117" w:lineRule="exact"/>
        <w:rPr>
          <w:sz w:val="20"/>
          <w:szCs w:val="20"/>
          <w:color w:val="auto"/>
        </w:rPr>
      </w:pPr>
    </w:p>
    <w:p>
      <w:pPr>
        <w:ind w:left="920" w:right="320" w:hanging="873"/>
        <w:spacing w:after="0" w:line="268" w:lineRule="auto"/>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 of the Chief Executive Officer.</w:t>
      </w:r>
    </w:p>
    <w:p>
      <w:pPr>
        <w:spacing w:after="0" w:line="78" w:lineRule="exact"/>
        <w:rPr>
          <w:sz w:val="20"/>
          <w:szCs w:val="20"/>
          <w:color w:val="auto"/>
        </w:rPr>
      </w:pPr>
    </w:p>
    <w:p>
      <w:pPr>
        <w:ind w:left="920" w:right="380" w:hanging="873"/>
        <w:spacing w:after="0" w:line="268" w:lineRule="auto"/>
        <w:tabs>
          <w:tab w:leader="none" w:pos="9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 of the Chief Financial Officer.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20" w:type="dxa"/>
            <w:vAlign w:val="bottom"/>
          </w:tcPr>
          <w:p>
            <w:pPr>
              <w:spacing w:after="0"/>
              <w:rPr>
                <w:sz w:val="19"/>
                <w:szCs w:val="19"/>
                <w:color w:val="auto"/>
              </w:rPr>
            </w:pPr>
          </w:p>
        </w:tc>
        <w:tc>
          <w:tcPr>
            <w:tcW w:w="7800" w:type="dxa"/>
            <w:vAlign w:val="bottom"/>
            <w:gridSpan w:val="2"/>
          </w:tcPr>
          <w:p>
            <w:pPr>
              <w:ind w:left="2420"/>
              <w:spacing w:after="0"/>
              <w:rPr>
                <w:sz w:val="20"/>
                <w:szCs w:val="20"/>
                <w:color w:val="auto"/>
              </w:rPr>
            </w:pPr>
            <w:r>
              <w:rPr>
                <w:rFonts w:ascii="Arial" w:cs="Arial" w:eastAsia="Arial" w:hAnsi="Arial"/>
                <w:sz w:val="18"/>
                <w:szCs w:val="18"/>
                <w:color w:val="auto"/>
              </w:rPr>
              <w:t>MAGNACHIP SEMICONDUCTOR LLC</w:t>
            </w:r>
          </w:p>
        </w:tc>
      </w:tr>
      <w:tr>
        <w:trPr>
          <w:trHeight w:val="433"/>
        </w:trPr>
        <w:tc>
          <w:tcPr>
            <w:tcW w:w="3620" w:type="dxa"/>
            <w:vAlign w:val="bottom"/>
          </w:tcPr>
          <w:p>
            <w:pPr>
              <w:spacing w:after="0"/>
              <w:rPr>
                <w:sz w:val="20"/>
                <w:szCs w:val="20"/>
                <w:color w:val="auto"/>
              </w:rPr>
            </w:pPr>
            <w:r>
              <w:rPr>
                <w:rFonts w:ascii="Arial" w:cs="Arial" w:eastAsia="Arial" w:hAnsi="Arial"/>
                <w:sz w:val="18"/>
                <w:szCs w:val="18"/>
                <w:color w:val="auto"/>
              </w:rPr>
              <w:t>Dated: August 9, 2007</w:t>
            </w:r>
          </w:p>
        </w:tc>
        <w:tc>
          <w:tcPr>
            <w:tcW w:w="7800" w:type="dxa"/>
            <w:vAlign w:val="bottom"/>
            <w:gridSpan w:val="2"/>
          </w:tcPr>
          <w:p>
            <w:pPr>
              <w:ind w:left="2420"/>
              <w:spacing w:after="0"/>
              <w:rPr>
                <w:sz w:val="20"/>
                <w:szCs w:val="20"/>
                <w:color w:val="auto"/>
              </w:rPr>
            </w:pPr>
            <w:r>
              <w:rPr>
                <w:rFonts w:ascii="Arial" w:cs="Arial" w:eastAsia="Arial" w:hAnsi="Arial"/>
                <w:sz w:val="18"/>
                <w:szCs w:val="18"/>
                <w:color w:val="auto"/>
              </w:rPr>
              <w:t>By:  /s/ Sang Park</w:t>
            </w:r>
          </w:p>
        </w:tc>
      </w:tr>
      <w:tr>
        <w:trPr>
          <w:trHeight w:val="202"/>
        </w:trPr>
        <w:tc>
          <w:tcPr>
            <w:tcW w:w="36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Sang Park</w:t>
            </w:r>
          </w:p>
        </w:tc>
      </w:tr>
      <w:tr>
        <w:trPr>
          <w:trHeight w:val="222"/>
        </w:trPr>
        <w:tc>
          <w:tcPr>
            <w:tcW w:w="36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 and Chairman</w:t>
            </w:r>
          </w:p>
        </w:tc>
      </w:tr>
      <w:tr>
        <w:trPr>
          <w:trHeight w:val="433"/>
        </w:trPr>
        <w:tc>
          <w:tcPr>
            <w:tcW w:w="3620" w:type="dxa"/>
            <w:vAlign w:val="bottom"/>
          </w:tcPr>
          <w:p>
            <w:pPr>
              <w:spacing w:after="0"/>
              <w:rPr>
                <w:sz w:val="20"/>
                <w:szCs w:val="20"/>
                <w:color w:val="auto"/>
              </w:rPr>
            </w:pPr>
            <w:r>
              <w:rPr>
                <w:rFonts w:ascii="Arial" w:cs="Arial" w:eastAsia="Arial" w:hAnsi="Arial"/>
                <w:sz w:val="18"/>
                <w:szCs w:val="18"/>
                <w:color w:val="auto"/>
              </w:rPr>
              <w:t>Dated: August 9, 2007</w:t>
            </w:r>
          </w:p>
        </w:tc>
        <w:tc>
          <w:tcPr>
            <w:tcW w:w="7800" w:type="dxa"/>
            <w:vAlign w:val="bottom"/>
            <w:gridSpan w:val="2"/>
          </w:tcPr>
          <w:p>
            <w:pPr>
              <w:ind w:left="2420"/>
              <w:spacing w:after="0"/>
              <w:rPr>
                <w:sz w:val="20"/>
                <w:szCs w:val="20"/>
                <w:color w:val="auto"/>
              </w:rPr>
            </w:pPr>
            <w:r>
              <w:rPr>
                <w:rFonts w:ascii="Arial" w:cs="Arial" w:eastAsia="Arial" w:hAnsi="Arial"/>
                <w:sz w:val="18"/>
                <w:szCs w:val="18"/>
                <w:color w:val="auto"/>
              </w:rPr>
              <w:t>By:  /s/ Robert J. Krakauer</w:t>
            </w:r>
          </w:p>
        </w:tc>
      </w:tr>
      <w:tr>
        <w:trPr>
          <w:trHeight w:val="202"/>
        </w:trPr>
        <w:tc>
          <w:tcPr>
            <w:tcW w:w="36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Robert J. Krakauer</w:t>
            </w:r>
          </w:p>
        </w:tc>
      </w:tr>
      <w:tr>
        <w:trPr>
          <w:trHeight w:val="222"/>
        </w:trPr>
        <w:tc>
          <w:tcPr>
            <w:tcW w:w="36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President and Chief Financial Officer</w:t>
            </w:r>
          </w:p>
        </w:tc>
      </w:tr>
      <w:tr>
        <w:trPr>
          <w:trHeight w:val="365"/>
        </w:trPr>
        <w:tc>
          <w:tcPr>
            <w:tcW w:w="3620" w:type="dxa"/>
            <w:vAlign w:val="bottom"/>
          </w:tcPr>
          <w:p>
            <w:pPr>
              <w:spacing w:after="0"/>
              <w:rPr>
                <w:sz w:val="24"/>
                <w:szCs w:val="24"/>
                <w:color w:val="auto"/>
              </w:rPr>
            </w:pPr>
          </w:p>
        </w:tc>
        <w:tc>
          <w:tcPr>
            <w:tcW w:w="2680" w:type="dxa"/>
            <w:vAlign w:val="bottom"/>
          </w:tcPr>
          <w:p>
            <w:pPr>
              <w:jc w:val="right"/>
              <w:ind w:right="412"/>
              <w:spacing w:after="0"/>
              <w:rPr>
                <w:sz w:val="20"/>
                <w:szCs w:val="20"/>
                <w:color w:val="auto"/>
              </w:rPr>
            </w:pPr>
            <w:r>
              <w:rPr>
                <w:rFonts w:ascii="Arial" w:cs="Arial" w:eastAsia="Arial" w:hAnsi="Arial"/>
                <w:sz w:val="18"/>
                <w:szCs w:val="18"/>
                <w:color w:val="auto"/>
              </w:rPr>
              <w:t>42</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INDEX TO EXHIBITS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920" w:hanging="873"/>
        <w:spacing w:after="0" w:line="332" w:lineRule="auto"/>
        <w:tabs>
          <w:tab w:leader="none" w:pos="900" w:val="left"/>
        </w:tabs>
        <w:rPr>
          <w:sz w:val="20"/>
          <w:szCs w:val="20"/>
          <w:color w:val="auto"/>
        </w:rPr>
      </w:pPr>
      <w:r>
        <w:rPr>
          <w:rFonts w:ascii="Arial" w:cs="Arial" w:eastAsia="Arial" w:hAnsi="Arial"/>
          <w:sz w:val="18"/>
          <w:szCs w:val="18"/>
          <w:color w:val="auto"/>
        </w:rPr>
        <w:t>10.3.h</w:t>
      </w:r>
      <w:r>
        <w:rPr>
          <w:sz w:val="20"/>
          <w:szCs w:val="20"/>
          <w:color w:val="auto"/>
        </w:rPr>
        <w:tab/>
      </w:r>
      <w:r>
        <w:rPr>
          <w:rFonts w:ascii="Arial" w:cs="Arial" w:eastAsia="Arial" w:hAnsi="Arial"/>
          <w:sz w:val="16"/>
          <w:szCs w:val="16"/>
          <w:color w:val="auto"/>
        </w:rPr>
        <w:t>Waiver to Credit Agreement, dated as of August 13, 2007, by and among MagnaChip Semiconductor S.A. and MagnaChip Semiconductor Finance Company, as borrowers, the Lenders party thereto, and UBS AG, Stamford Branch, as administrative agent and collateral agent.</w:t>
      </w:r>
    </w:p>
    <w:p>
      <w:pPr>
        <w:spacing w:after="0" w:line="31"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pursuant to Rule 13a-14(a) or Rule 15d-14(a) of the Securities Exchange Act of 1934 of the Chief Executive Officer.</w:t>
      </w:r>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pursuant to Rule 13a-14(a) or Rule 15d-14(a) of the Securities Exchange Act of 1934 of the Chief Financial Officer.</w:t>
      </w:r>
    </w:p>
    <w:p>
      <w:pPr>
        <w:spacing w:after="0" w:line="117" w:lineRule="exact"/>
        <w:rPr>
          <w:sz w:val="20"/>
          <w:szCs w:val="20"/>
          <w:color w:val="auto"/>
        </w:rPr>
      </w:pPr>
    </w:p>
    <w:p>
      <w:pPr>
        <w:ind w:left="920" w:right="200" w:hanging="873"/>
        <w:spacing w:after="0" w:line="268" w:lineRule="auto"/>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 of the Chief Executive Officer.</w:t>
      </w:r>
    </w:p>
    <w:p>
      <w:pPr>
        <w:spacing w:after="0" w:line="78" w:lineRule="exact"/>
        <w:rPr>
          <w:sz w:val="20"/>
          <w:szCs w:val="20"/>
          <w:color w:val="auto"/>
        </w:rPr>
      </w:pPr>
    </w:p>
    <w:p>
      <w:pPr>
        <w:ind w:left="920" w:right="260" w:hanging="873"/>
        <w:spacing w:after="0" w:line="268" w:lineRule="auto"/>
        <w:tabs>
          <w:tab w:leader="none" w:pos="9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 of the Chief Financial Officer.</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60"/>
          </w:cols>
          <w:pgMar w:left="240" w:top="459" w:right="3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10.3.h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WAIVER</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This Waiver (as the same may be amended, restated, supplemented, extended or otherwise modified from time to time, this “</w:t>
      </w:r>
      <w:r>
        <w:rPr>
          <w:rFonts w:ascii="Arial" w:cs="Arial" w:eastAsia="Arial" w:hAnsi="Arial"/>
          <w:sz w:val="16"/>
          <w:szCs w:val="16"/>
          <w:b w:val="1"/>
          <w:bCs w:val="1"/>
          <w:color w:val="auto"/>
        </w:rPr>
        <w:t>Waiver</w:t>
      </w:r>
      <w:r>
        <w:rPr>
          <w:rFonts w:ascii="Arial" w:cs="Arial" w:eastAsia="Arial" w:hAnsi="Arial"/>
          <w:sz w:val="16"/>
          <w:szCs w:val="16"/>
          <w:color w:val="auto"/>
        </w:rPr>
        <w:t xml:space="preserve">”) is entered into as of August 6, 2007, by and among MAGNACHIP SEMICONDUCTOR S.A., a </w:t>
      </w:r>
      <w:r>
        <w:rPr>
          <w:rFonts w:ascii="Arial" w:cs="Arial" w:eastAsia="Arial" w:hAnsi="Arial"/>
          <w:sz w:val="16"/>
          <w:szCs w:val="16"/>
          <w:i w:val="1"/>
          <w:iCs w:val="1"/>
          <w:color w:val="auto"/>
        </w:rPr>
        <w:t>société anonyme</w:t>
      </w:r>
      <w:r>
        <w:rPr>
          <w:rFonts w:ascii="Arial" w:cs="Arial" w:eastAsia="Arial" w:hAnsi="Arial"/>
          <w:sz w:val="16"/>
          <w:szCs w:val="16"/>
          <w:color w:val="auto"/>
        </w:rPr>
        <w:t>, organized and existing under the laws of the Grand Duchy of Luxembourg, having its registered office at 74, rue de Merl, B.P. 709, L-2017 Luxembourg, Grand Duchy of Luxembourg, registered with the Luxembourg Register of commerce and companies under the number B 97,483 (“</w:t>
      </w:r>
      <w:r>
        <w:rPr>
          <w:rFonts w:ascii="Arial" w:cs="Arial" w:eastAsia="Arial" w:hAnsi="Arial"/>
          <w:sz w:val="16"/>
          <w:szCs w:val="16"/>
          <w:b w:val="1"/>
          <w:bCs w:val="1"/>
          <w:color w:val="auto"/>
        </w:rPr>
        <w:t>Luxco</w:t>
      </w:r>
      <w:r>
        <w:rPr>
          <w:rFonts w:ascii="Arial" w:cs="Arial" w:eastAsia="Arial" w:hAnsi="Arial"/>
          <w:sz w:val="16"/>
          <w:szCs w:val="16"/>
          <w:color w:val="auto"/>
        </w:rPr>
        <w:t>”), MAGNACHIP SEMICONDUCTOR FINANCE COMPANY, a Delaware corporation (together with Luxco, “</w:t>
      </w:r>
      <w:r>
        <w:rPr>
          <w:rFonts w:ascii="Arial" w:cs="Arial" w:eastAsia="Arial" w:hAnsi="Arial"/>
          <w:sz w:val="16"/>
          <w:szCs w:val="16"/>
          <w:b w:val="1"/>
          <w:bCs w:val="1"/>
          <w:color w:val="auto"/>
        </w:rPr>
        <w:t>Borrowers</w:t>
      </w:r>
      <w:r>
        <w:rPr>
          <w:rFonts w:ascii="Arial" w:cs="Arial" w:eastAsia="Arial" w:hAnsi="Arial"/>
          <w:sz w:val="16"/>
          <w:szCs w:val="16"/>
          <w:color w:val="auto"/>
        </w:rPr>
        <w:t>”), the Lenders party hereto, UBS AG, STAMFORD BRANCH, as administrative agent (in such capacity, “</w:t>
      </w:r>
      <w:r>
        <w:rPr>
          <w:rFonts w:ascii="Arial" w:cs="Arial" w:eastAsia="Arial" w:hAnsi="Arial"/>
          <w:sz w:val="16"/>
          <w:szCs w:val="16"/>
          <w:b w:val="1"/>
          <w:bCs w:val="1"/>
          <w:color w:val="auto"/>
        </w:rPr>
        <w:t>Administrative Agent</w:t>
      </w:r>
      <w:r>
        <w:rPr>
          <w:rFonts w:ascii="Arial" w:cs="Arial" w:eastAsia="Arial" w:hAnsi="Arial"/>
          <w:sz w:val="16"/>
          <w:szCs w:val="16"/>
          <w:color w:val="auto"/>
        </w:rPr>
        <w:t>”) for the Lenders and as collateral agent (in such capacity, “</w:t>
      </w:r>
      <w:r>
        <w:rPr>
          <w:rFonts w:ascii="Arial" w:cs="Arial" w:eastAsia="Arial" w:hAnsi="Arial"/>
          <w:sz w:val="16"/>
          <w:szCs w:val="16"/>
          <w:b w:val="1"/>
          <w:bCs w:val="1"/>
          <w:color w:val="auto"/>
        </w:rPr>
        <w:t>Collateral Agent</w:t>
      </w:r>
      <w:r>
        <w:rPr>
          <w:rFonts w:ascii="Arial" w:cs="Arial" w:eastAsia="Arial" w:hAnsi="Arial"/>
          <w:sz w:val="16"/>
          <w:szCs w:val="16"/>
          <w:color w:val="auto"/>
        </w:rPr>
        <w:t>”; and together with the Administrative Agent, the “</w:t>
      </w:r>
      <w:r>
        <w:rPr>
          <w:rFonts w:ascii="Arial" w:cs="Arial" w:eastAsia="Arial" w:hAnsi="Arial"/>
          <w:sz w:val="16"/>
          <w:szCs w:val="16"/>
          <w:b w:val="1"/>
          <w:bCs w:val="1"/>
          <w:color w:val="auto"/>
        </w:rPr>
        <w:t>Agents</w:t>
      </w:r>
      <w:r>
        <w:rPr>
          <w:rFonts w:ascii="Arial" w:cs="Arial" w:eastAsia="Arial" w:hAnsi="Arial"/>
          <w:sz w:val="16"/>
          <w:szCs w:val="16"/>
          <w:color w:val="auto"/>
        </w:rPr>
        <w:t>,” and each an “</w:t>
      </w:r>
      <w:r>
        <w:rPr>
          <w:rFonts w:ascii="Arial" w:cs="Arial" w:eastAsia="Arial" w:hAnsi="Arial"/>
          <w:sz w:val="16"/>
          <w:szCs w:val="16"/>
          <w:b w:val="1"/>
          <w:bCs w:val="1"/>
          <w:color w:val="auto"/>
        </w:rPr>
        <w:t>Agent</w:t>
      </w:r>
      <w:r>
        <w:rPr>
          <w:rFonts w:ascii="Arial" w:cs="Arial" w:eastAsia="Arial" w:hAnsi="Arial"/>
          <w:sz w:val="16"/>
          <w:szCs w:val="16"/>
          <w:color w:val="auto"/>
        </w:rPr>
        <w:t>”) for the Secured Parties and the Issuing Bank.</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The Borrowers, MagnaChip Semiconductor LLC, the Subsidiary Guarantors party thereto, UBS Securities LLC, as lead arranger, as documentation agent and as syndication agent, UBS Loan Finance LLC, as swingline lender, Korea Exchange Bank, as issuing bank and Agents are parties to that certain Credit Agreement dated as of December 23, 2004 (as the same has been and hereafter may be amended, restated, supplemented 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Unless otherwise specified herein, all capitalized terms used in this Waiver shall have the meanings ascribed to them in the Credit Agreement.</w:t>
      </w:r>
    </w:p>
    <w:p>
      <w:pPr>
        <w:spacing w:after="0" w:line="137"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 xml:space="preserve">B. The Borrowers have informed the Agents that certain Defaults and Events of Default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b w:val="1"/>
          <w:bCs w:val="1"/>
          <w:color w:val="auto"/>
        </w:rPr>
        <w:t>Specified Defaults</w:t>
      </w:r>
      <w:r>
        <w:rPr>
          <w:rFonts w:ascii="Arial" w:cs="Arial" w:eastAsia="Arial" w:hAnsi="Arial"/>
          <w:sz w:val="18"/>
          <w:szCs w:val="18"/>
          <w:color w:val="auto"/>
        </w:rPr>
        <w:t>”) have occurred and are continuing.</w:t>
      </w:r>
    </w:p>
    <w:p>
      <w:pPr>
        <w:spacing w:after="0" w:line="12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 The Borrowers have requested that the Agents and the Required Lenders waive the Specified Defaults upon the terms and subject to the conditions as herein set forth.</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NOW, THEREFORE, in consideration of the foregoing, the covenants and conditions contained herein and other good and valuable consideration, the receipt and sufficiency of which are hereby acknowledged, the parties hereto agree as follows:</w:t>
      </w:r>
    </w:p>
    <w:p>
      <w:pPr>
        <w:spacing w:after="0" w:line="126"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Waivers; Effectiveness of Seventh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3</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9</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the Agents and the Lenders hereby (a) waive the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Defaults, and (b) agree that the Seventh Amendment to Credit Agreement dated as of June 28, 2007 (the “</w:t>
      </w:r>
      <w:r>
        <w:rPr>
          <w:rFonts w:ascii="Arial" w:cs="Arial" w:eastAsia="Arial" w:hAnsi="Arial"/>
          <w:sz w:val="18"/>
          <w:szCs w:val="18"/>
          <w:b w:val="1"/>
          <w:bCs w:val="1"/>
          <w:color w:val="auto"/>
        </w:rPr>
        <w:t>Seventh Amendment</w:t>
      </w:r>
      <w:r>
        <w:rPr>
          <w:rFonts w:ascii="Arial" w:cs="Arial" w:eastAsia="Arial" w:hAnsi="Arial"/>
          <w:sz w:val="18"/>
          <w:szCs w:val="18"/>
          <w:color w:val="auto"/>
        </w:rPr>
        <w:t>”) shall be deemed to have become effective as of the date thereof.</w:t>
      </w:r>
    </w:p>
    <w:p>
      <w:pPr>
        <w:spacing w:after="0" w:line="132"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To induce the Agents and Lenders to execute and deliver this Waiver, each of the Borrowers represents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warrants that:</w:t>
      </w:r>
    </w:p>
    <w:p>
      <w:pPr>
        <w:spacing w:after="0" w:line="126" w:lineRule="exact"/>
        <w:rPr>
          <w:sz w:val="20"/>
          <w:szCs w:val="20"/>
          <w:color w:val="auto"/>
        </w:rPr>
      </w:pPr>
    </w:p>
    <w:p>
      <w:pPr>
        <w:ind w:right="60" w:firstLine="464"/>
        <w:spacing w:after="0" w:line="291" w:lineRule="auto"/>
        <w:tabs>
          <w:tab w:leader="none" w:pos="69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execution, delivery and performance by the Borrowers of this Waiver and all documents and instruments delivered in connection herewith and the Credit Agreement and all other Loan Documents by Borrowers and the other Loan Parties (in each case to the extent a party thereto) have been duly authorized, and this Waiver and all documents and instruments delivered in connection herewith and the Credit Agreement and all other Loan Documents are legal, valid and binding obligations of the Loan Parties party thereto enforceable against such Loan Parties in accordance with their respective terms, except as the enforcement thereof may be subject to (i) the effect of any applicable bankruptcy, insolvency, reorganization, moratorium or similar law affecting creditors’ rights generally and (ii) general principles of equity (regardless of whether such enforcement is sought in a proceeding in equity or at law);</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6" w:name="page47"/>
    <w:bookmarkEnd w:id="46"/>
    <w:p>
      <w:pPr>
        <w:ind w:firstLine="464"/>
        <w:spacing w:after="0" w:line="294" w:lineRule="auto"/>
        <w:tabs>
          <w:tab w:leader="none" w:pos="705"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than with respect to any matters related to this Waiver, after giving effect to this Waiver, each of the representations and warranties made by or on behalf of such Borrower or any other Loan Party to either Agent or any Lender in any of the Loan Documents was true and correct when made and in all material respects is true and correct on and as of the date of this Waiver with the same full force and effect as if each of such representations and warranties had been made by such Loan Party on the date hereof and in this Waiver, and each of the agreements and covenants in the Credit Agreement and the other Loan Documents is hereby reaffirmed with the same force and effect as if each were separately stated herein and made as of the date hereof;</w:t>
      </w:r>
    </w:p>
    <w:p>
      <w:pPr>
        <w:spacing w:after="0" w:line="115" w:lineRule="exact"/>
        <w:rPr>
          <w:rFonts w:ascii="Arial" w:cs="Arial" w:eastAsia="Arial" w:hAnsi="Arial"/>
          <w:sz w:val="16"/>
          <w:szCs w:val="16"/>
          <w:color w:val="auto"/>
        </w:rPr>
      </w:pPr>
    </w:p>
    <w:p>
      <w:pPr>
        <w:ind w:right="40" w:firstLine="464"/>
        <w:spacing w:after="0" w:line="254"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Neither the execution, delivery and performance of this Waiver or any documents and instruments delivered in connection herewith nor the consummation of the transactions contemplated hereby or thereby (i) does or shall contravene, result in a breach of, or violate (A) any provision of any Loan Party’s corporate charter, bylaws, operating agreement, purchase agreement, or other governing documents, (B) any law or regulation, or any order or decree of any court or government instrumentality, or (C) any indenture, mortgage, deed of trust, lease, agreement or other instrument to which any Loan Party is a party or by which any Loan Party or any of its property is bound or (ii) requires any notice to, registration or filing with, acceptance, consent or approval of, or any other action by, any Governmental Authority;</w:t>
      </w:r>
    </w:p>
    <w:p>
      <w:pPr>
        <w:spacing w:after="0" w:line="144" w:lineRule="exact"/>
        <w:rPr>
          <w:rFonts w:ascii="Arial" w:cs="Arial" w:eastAsia="Arial" w:hAnsi="Arial"/>
          <w:sz w:val="18"/>
          <w:szCs w:val="18"/>
          <w:color w:val="auto"/>
        </w:rPr>
      </w:pPr>
    </w:p>
    <w:p>
      <w:pPr>
        <w:jc w:val="both"/>
        <w:ind w:right="120" w:firstLine="464"/>
        <w:spacing w:after="0" w:line="259"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color w:val="auto"/>
        </w:rPr>
        <w:t>Agents’ and Lenders’ security interests in the Collateral continue to be valid, binding, and enforceable first-priority security interests which secure the Obligations (subject only to any Liens permitted under the Loan Documents), and no tax or judgment liens are currently of record against any Loan Party or any Subsidiary thereof;</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recitals to this Waiver are true and correct; and</w:t>
      </w:r>
    </w:p>
    <w:p>
      <w:pPr>
        <w:spacing w:after="0" w:line="171" w:lineRule="exact"/>
        <w:rPr>
          <w:rFonts w:ascii="Arial" w:cs="Arial" w:eastAsia="Arial" w:hAnsi="Arial"/>
          <w:sz w:val="18"/>
          <w:szCs w:val="18"/>
          <w:color w:val="auto"/>
        </w:rPr>
      </w:pPr>
    </w:p>
    <w:p>
      <w:pPr>
        <w:ind w:right="20" w:firstLine="464"/>
        <w:spacing w:after="0" w:line="268" w:lineRule="auto"/>
        <w:tabs>
          <w:tab w:leader="none" w:pos="676"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for the Specified Defaults, no Default or Event of Default has occurred and is continuing or will occur or be continuing upon the effectiveness of this Waiver.</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Reference to and Effect Upon the Credit Agreement</w:t>
      </w:r>
      <w:r>
        <w:rPr>
          <w:rFonts w:ascii="Arial" w:cs="Arial" w:eastAsia="Arial" w:hAnsi="Arial"/>
          <w:sz w:val="18"/>
          <w:szCs w:val="18"/>
          <w:b w:val="1"/>
          <w:bCs w:val="1"/>
          <w:color w:val="auto"/>
        </w:rPr>
        <w:t>.</w:t>
      </w:r>
    </w:p>
    <w:p>
      <w:pPr>
        <w:spacing w:after="0" w:line="177" w:lineRule="exact"/>
        <w:rPr>
          <w:sz w:val="20"/>
          <w:szCs w:val="20"/>
          <w:color w:val="auto"/>
        </w:rPr>
      </w:pPr>
    </w:p>
    <w:p>
      <w:pPr>
        <w:ind w:right="160" w:firstLine="464"/>
        <w:spacing w:after="0" w:line="268" w:lineRule="auto"/>
        <w:tabs>
          <w:tab w:leader="none" w:pos="695" w:val="left"/>
        </w:tabs>
        <w:numPr>
          <w:ilvl w:val="1"/>
          <w:numId w:val="9"/>
        </w:numPr>
        <w:rPr>
          <w:rFonts w:ascii="Arial" w:cs="Arial" w:eastAsia="Arial" w:hAnsi="Arial"/>
          <w:sz w:val="18"/>
          <w:szCs w:val="18"/>
          <w:color w:val="auto"/>
        </w:rPr>
      </w:pPr>
      <w:r>
        <w:rPr>
          <w:rFonts w:ascii="Arial" w:cs="Arial" w:eastAsia="Arial" w:hAnsi="Arial"/>
          <w:sz w:val="18"/>
          <w:szCs w:val="18"/>
          <w:color w:val="auto"/>
        </w:rPr>
        <w:t>Except as specifically set forth herein, all terms, conditions, covenants, representations and warranties contained in the Credit Agreement or any other Loan Documents, and all rights of Agents and Lenders and all of the Obligations, shall remain in full force and effect.</w:t>
      </w:r>
    </w:p>
    <w:p>
      <w:pPr>
        <w:spacing w:after="0" w:line="131" w:lineRule="exact"/>
        <w:rPr>
          <w:rFonts w:ascii="Arial" w:cs="Arial" w:eastAsia="Arial" w:hAnsi="Arial"/>
          <w:sz w:val="18"/>
          <w:szCs w:val="18"/>
          <w:color w:val="auto"/>
        </w:rPr>
      </w:pPr>
    </w:p>
    <w:p>
      <w:pPr>
        <w:ind w:right="260" w:firstLine="464"/>
        <w:spacing w:after="0" w:line="284" w:lineRule="auto"/>
        <w:tabs>
          <w:tab w:leader="none" w:pos="705" w:val="left"/>
        </w:tabs>
        <w:numPr>
          <w:ilvl w:val="1"/>
          <w:numId w:val="9"/>
        </w:numPr>
        <w:rPr>
          <w:rFonts w:ascii="Arial" w:cs="Arial" w:eastAsia="Arial" w:hAnsi="Arial"/>
          <w:sz w:val="16"/>
          <w:szCs w:val="16"/>
          <w:color w:val="auto"/>
        </w:rPr>
      </w:pPr>
      <w:r>
        <w:rPr>
          <w:rFonts w:ascii="Arial" w:cs="Arial" w:eastAsia="Arial" w:hAnsi="Arial"/>
          <w:sz w:val="16"/>
          <w:szCs w:val="16"/>
          <w:color w:val="auto"/>
        </w:rPr>
        <w:t>Except as expressly set forth herein, the execution, delivery and effectiveness of this Waiver shall not directly or indirectly (i) constitute a consent or waiver of any past, present or future violations of any provisions of the Credit Agreement or any other Loan Documents, (ii) amend, modify or operate as a waiver of any provision of the Credit Agreement or any other Loan Documents or any right, power or remedy of any Agent or any Lender thereunder, or</w:t>
      </w:r>
    </w:p>
    <w:p>
      <w:pPr>
        <w:spacing w:after="0" w:line="1" w:lineRule="exact"/>
        <w:rPr>
          <w:rFonts w:ascii="Arial" w:cs="Arial" w:eastAsia="Arial" w:hAnsi="Arial"/>
          <w:sz w:val="16"/>
          <w:szCs w:val="16"/>
          <w:color w:val="auto"/>
        </w:rPr>
      </w:pPr>
    </w:p>
    <w:p>
      <w:pPr>
        <w:ind w:right="100" w:firstLine="8"/>
        <w:spacing w:after="0" w:line="254" w:lineRule="auto"/>
        <w:tabs>
          <w:tab w:leader="none" w:pos="307"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constitute a course of dealing or other basis for altering any Obligations or any other contract or instrument. Except as expressly set forth herein, each of the Agents and Lenders reserves all of its rights, powers, and remedies under the Credit Agreement, the other Loan Documents, and/or applicable law. All of the provisions of the Credit Agreement and the other Loan Documents, including, without limitation, the time of the essence provisions, are hereby reiterated, and if ever waived, reinstated.</w:t>
      </w:r>
    </w:p>
    <w:p>
      <w:pPr>
        <w:spacing w:after="0" w:line="138"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Costs and Expenses</w:t>
      </w:r>
      <w:r>
        <w:rPr>
          <w:rFonts w:ascii="Arial" w:cs="Arial" w:eastAsia="Arial" w:hAnsi="Arial"/>
          <w:sz w:val="18"/>
          <w:szCs w:val="18"/>
          <w:color w:val="auto"/>
        </w:rPr>
        <w:t>. Each of the Borrowers agrees jointly and severally to reimburse Agents and Lenders for all reasonable fees, costs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including the reasonable fees, costs and expenses of counsel or other advisors for advice, assistance, or other representation in connection with this Waiver.</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7" w:name="page48"/>
    <w:bookmarkEnd w:id="47"/>
    <w:p>
      <w:pPr>
        <w:ind w:right="8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LAWS (AS OPPOSED TO CONFLICTS OF LAWS PROVISIONS) OF THE STATE OF NEW YORK.</w:t>
      </w:r>
    </w:p>
    <w:p>
      <w:pPr>
        <w:spacing w:after="0" w:line="120"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Section headings in this Waiver are included herein for convenience of reference only and shall not constitute a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Waiver for any other purposes.</w:t>
      </w:r>
    </w:p>
    <w:p>
      <w:pPr>
        <w:spacing w:after="0" w:line="120"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SECTION 7. </w:t>
      </w: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Waiver may be executed in any number of counterparts, each of which when so executed shall be deemed an original,</w:t>
      </w:r>
      <w:r>
        <w:rPr>
          <w:rFonts w:ascii="Arial" w:cs="Arial" w:eastAsia="Arial" w:hAnsi="Arial"/>
          <w:sz w:val="16"/>
          <w:szCs w:val="16"/>
          <w:b w:val="1"/>
          <w:bCs w:val="1"/>
          <w:color w:val="auto"/>
        </w:rPr>
        <w:t xml:space="preserve"> </w:t>
      </w:r>
      <w:r>
        <w:rPr>
          <w:rFonts w:ascii="Arial" w:cs="Arial" w:eastAsia="Arial" w:hAnsi="Arial"/>
          <w:sz w:val="16"/>
          <w:szCs w:val="16"/>
          <w:color w:val="auto"/>
        </w:rPr>
        <w:t>but all such counterparts shall constitute one and the same instrument, and all signatures need not appear on any one counterpart. Any party hereto may execute and deliver a counterpart of this Waiver by delivering by facsimile transmission a signature page of this Waiver signed by such party, and any such facsimile signature shall be treated in all respects as having the same effect as an original signature. Any party delivering by facsimile transmission a counterpart executed by it shall promptly thereafter also deliver a manually signed counterpart of this Waiver.</w:t>
      </w:r>
    </w:p>
    <w:p>
      <w:pPr>
        <w:spacing w:after="0" w:line="10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Time of Essence</w:t>
      </w:r>
      <w:r>
        <w:rPr>
          <w:rFonts w:ascii="Arial" w:cs="Arial" w:eastAsia="Arial" w:hAnsi="Arial"/>
          <w:sz w:val="18"/>
          <w:szCs w:val="18"/>
          <w:b w:val="1"/>
          <w:bCs w:val="1"/>
          <w:color w:val="auto"/>
        </w:rPr>
        <w:t xml:space="preserve">. </w:t>
      </w:r>
      <w:r>
        <w:rPr>
          <w:rFonts w:ascii="Arial" w:cs="Arial" w:eastAsia="Arial" w:hAnsi="Arial"/>
          <w:sz w:val="18"/>
          <w:szCs w:val="18"/>
          <w:color w:val="auto"/>
        </w:rPr>
        <w:t>Time is of the essence in the payment and performance of each of the obligations of any of the parties hereunder 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all conditions to be satisfied by such party.</w:t>
      </w:r>
    </w:p>
    <w:p>
      <w:pPr>
        <w:spacing w:after="0" w:line="120"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Effectiveness</w:t>
      </w:r>
      <w:r>
        <w:rPr>
          <w:rFonts w:ascii="Arial" w:cs="Arial" w:eastAsia="Arial" w:hAnsi="Arial"/>
          <w:sz w:val="18"/>
          <w:szCs w:val="18"/>
          <w:color w:val="auto"/>
        </w:rPr>
        <w:t>. This Waiver shall become effective at the time that duly executed signature pages for this Waiver signed by the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and Borrowers shall have been delivered to Administrative Agent.</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Signature Pages Follow ***</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7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Waiver has been executed by the parties hereto as of the date first written above.</w:t>
      </w:r>
    </w:p>
    <w:p>
      <w:pPr>
        <w:spacing w:after="0" w:line="29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MAGNACHIP SEMICONDUCTOR S.A.,</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Luxembourg company</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Paul C. Schorr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178"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MAGNACHIP SEMICONDUCTOR FINANCE</w:t>
      </w:r>
    </w:p>
    <w:p>
      <w:pPr>
        <w:spacing w:after="0" w:line="38"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COMPANY, a Delaware limited liability company</w:t>
      </w:r>
    </w:p>
    <w:p>
      <w:pPr>
        <w:spacing w:after="0" w:line="24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Paul C. Schorr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940"/>
          </w:cols>
          <w:pgMar w:left="700" w:top="280" w:right="1259" w:bottom="1440" w:gutter="0" w:footer="0" w:header="0"/>
        </w:sectPr>
      </w:pPr>
    </w:p>
    <w:bookmarkStart w:id="49" w:name="page50"/>
    <w:bookmarkEnd w:id="4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UBS SECURITIES LLC, as Arranger,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Syndication Agent and Documentation Agent</w:t>
      </w:r>
    </w:p>
    <w:p>
      <w:pPr>
        <w:spacing w:after="0" w:line="2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Richard L. Tavrow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Richard L. Tavrow</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David B. Julie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David B. Julie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Associate Director</w:t>
      </w:r>
    </w:p>
    <w:p>
      <w:pPr>
        <w:spacing w:after="0" w:line="3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UBS AG, STAMFORD BRANCH, as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Administrative Agent and Collateral Agent</w:t>
      </w:r>
    </w:p>
    <w:p>
      <w:pPr>
        <w:spacing w:after="0" w:line="2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Richard L. Tavrow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Richard L. Tavrow</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David B. Julie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David B. Julie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Associate Director</w:t>
      </w:r>
    </w:p>
    <w:p>
      <w:pPr>
        <w:spacing w:after="0" w:line="3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UBS LOAN FINANCE LLC,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Swingline 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Richard L. Tavrow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Richard L. Tavrow</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David B. Julie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David B. Julie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Associate Director</w:t>
      </w:r>
    </w:p>
    <w:p>
      <w:pPr>
        <w:sectPr>
          <w:pgSz w:w="11900" w:h="16838" w:orient="portrait"/>
          <w:cols w:equalWidth="0" w:num="1">
            <w:col w:w="9019"/>
          </w:cols>
          <w:pgMar w:left="1440" w:top="280" w:right="1440" w:bottom="1440" w:gutter="0" w:footer="0" w:header="0"/>
        </w:sectPr>
      </w:pPr>
    </w:p>
    <w:bookmarkStart w:id="50" w:name="page51"/>
    <w:bookmarkEnd w:id="5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KOREA EXCHANGE BANK</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II-Won Joo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II-Won Joo</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Title: Senior Relationship Manager</w:t>
      </w:r>
    </w:p>
    <w:p>
      <w:pPr>
        <w:sectPr>
          <w:pgSz w:w="11900" w:h="16838" w:orient="portrait"/>
          <w:cols w:equalWidth="0" w:num="1">
            <w:col w:w="9019"/>
          </w:cols>
          <w:pgMar w:left="1440" w:top="280" w:right="1440" w:bottom="1440" w:gutter="0" w:footer="0" w:header="0"/>
        </w:sectPr>
      </w:pPr>
    </w:p>
    <w:bookmarkStart w:id="51" w:name="page52"/>
    <w:bookmarkEnd w:id="51"/>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CITICORP NORTH AMERICA, INC.</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Carl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Carl Cho</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019"/>
          </w:cols>
          <w:pgMar w:left="1440" w:top="280" w:right="1440" w:bottom="1440" w:gutter="0" w:footer="0" w:header="0"/>
        </w:sectPr>
      </w:pPr>
    </w:p>
    <w:bookmarkStart w:id="52" w:name="page53"/>
    <w:bookmarkEnd w:id="5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JPMORGAN CHASE BANK N.A.</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William A.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William A. Austin</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Executive Director</w:t>
      </w:r>
    </w:p>
    <w:p>
      <w:pPr>
        <w:sectPr>
          <w:pgSz w:w="11900" w:h="16838" w:orient="portrait"/>
          <w:cols w:equalWidth="0" w:num="1">
            <w:col w:w="9019"/>
          </w:cols>
          <w:pgMar w:left="1440" w:top="280" w:right="1440" w:bottom="1440" w:gutter="0" w:footer="0" w:header="0"/>
        </w:sectPr>
      </w:pPr>
    </w:p>
    <w:bookmarkStart w:id="53" w:name="page54"/>
    <w:bookmarkEnd w:id="53"/>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DEUTSCHE BANK TRUST COMPANY</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AMERICAS</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Paul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Paul O’Leary</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Vice President</w:t>
      </w:r>
    </w:p>
    <w:p>
      <w:pPr>
        <w:spacing w:after="0" w:line="17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DEUTSCHE BANK TRUST COMPANY</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AMERICAS</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Susan Lefevre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Susan Lefevre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019"/>
          </w:cols>
          <w:pgMar w:left="1440" w:top="280" w:right="1440"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WAIVER</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Specified Defaults</w:t>
      </w:r>
    </w:p>
    <w:p>
      <w:pPr>
        <w:spacing w:after="0" w:line="177"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Consolidated EBITDA for the 12-month period ended April 30, 2007 was not in compliance with </w:t>
      </w:r>
      <w:r>
        <w:rPr>
          <w:rFonts w:ascii="Arial" w:cs="Arial" w:eastAsia="Arial" w:hAnsi="Arial"/>
          <w:sz w:val="18"/>
          <w:szCs w:val="18"/>
          <w:u w:val="single" w:color="auto"/>
          <w:color w:val="auto"/>
        </w:rPr>
        <w:t>Section 6.10(e)</w:t>
      </w:r>
      <w:r>
        <w:rPr>
          <w:rFonts w:ascii="Arial" w:cs="Arial" w:eastAsia="Arial" w:hAnsi="Arial"/>
          <w:sz w:val="18"/>
          <w:szCs w:val="18"/>
          <w:color w:val="auto"/>
        </w:rPr>
        <w:t xml:space="preserve"> of the Credit Agreement.</w:t>
      </w:r>
    </w:p>
    <w:p>
      <w:pPr>
        <w:spacing w:after="0" w:line="171" w:lineRule="exact"/>
        <w:rPr>
          <w:rFonts w:ascii="Arial" w:cs="Arial" w:eastAsia="Arial" w:hAnsi="Arial"/>
          <w:sz w:val="18"/>
          <w:szCs w:val="18"/>
          <w:color w:val="auto"/>
        </w:rPr>
      </w:pPr>
    </w:p>
    <w:p>
      <w:pPr>
        <w:ind w:right="160" w:firstLine="8"/>
        <w:spacing w:after="0" w:line="259" w:lineRule="auto"/>
        <w:tabs>
          <w:tab w:leader="none" w:pos="1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Each of the monthly certificates delivered by a Financial Officer of a Loan Party pursuant to </w:t>
      </w:r>
      <w:r>
        <w:rPr>
          <w:rFonts w:ascii="Arial" w:cs="Arial" w:eastAsia="Arial" w:hAnsi="Arial"/>
          <w:sz w:val="18"/>
          <w:szCs w:val="18"/>
          <w:u w:val="single" w:color="auto"/>
          <w:color w:val="auto"/>
        </w:rPr>
        <w:t>Section 5.01(l)</w:t>
      </w:r>
      <w:r>
        <w:rPr>
          <w:rFonts w:ascii="Arial" w:cs="Arial" w:eastAsia="Arial" w:hAnsi="Arial"/>
          <w:sz w:val="18"/>
          <w:szCs w:val="18"/>
          <w:color w:val="auto"/>
        </w:rPr>
        <w:t xml:space="preserve"> of the Credit Agreement that certified that no Event of Default has occurred with respect to the period ended April 30, 2007 was incorrect, because each such certificate failed to disclose the Default referred to in paragraph 1 above.</w:t>
      </w:r>
    </w:p>
    <w:p>
      <w:pPr>
        <w:spacing w:after="0" w:line="140" w:lineRule="exact"/>
        <w:rPr>
          <w:rFonts w:ascii="Arial" w:cs="Arial" w:eastAsia="Arial" w:hAnsi="Arial"/>
          <w:sz w:val="18"/>
          <w:szCs w:val="18"/>
          <w:color w:val="auto"/>
        </w:rPr>
      </w:pPr>
    </w:p>
    <w:p>
      <w:pPr>
        <w:ind w:right="240" w:firstLine="8"/>
        <w:spacing w:after="0" w:line="259" w:lineRule="auto"/>
        <w:tabs>
          <w:tab w:leader="none" w:pos="1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calculations of Consolidated EBITDA for each month set forth in the financial statements delivered by a Financial Officer of a Loan Party pursuant to </w:t>
      </w:r>
      <w:r>
        <w:rPr>
          <w:rFonts w:ascii="Arial" w:cs="Arial" w:eastAsia="Arial" w:hAnsi="Arial"/>
          <w:sz w:val="18"/>
          <w:szCs w:val="18"/>
          <w:u w:val="single" w:color="auto"/>
          <w:color w:val="auto"/>
        </w:rPr>
        <w:t>Sections 5.01(a)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the Credit Agreement in respect of the fiscal quarter ended September 30, 2006 and the Fiscal Year ended December 31, 2006 were subsequently found to be incorrect.</w:t>
      </w:r>
    </w:p>
    <w:p>
      <w:pPr>
        <w:spacing w:after="0" w:line="140" w:lineRule="exact"/>
        <w:rPr>
          <w:rFonts w:ascii="Arial" w:cs="Arial" w:eastAsia="Arial" w:hAnsi="Arial"/>
          <w:sz w:val="18"/>
          <w:szCs w:val="18"/>
          <w:color w:val="auto"/>
        </w:rPr>
      </w:pPr>
    </w:p>
    <w:p>
      <w:pPr>
        <w:ind w:right="100" w:firstLine="8"/>
        <w:spacing w:after="0" w:line="268" w:lineRule="auto"/>
        <w:tabs>
          <w:tab w:leader="none" w:pos="1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notice of the occurrence of the Defaults and Events of Default referred to in paragraphs 1, 2 and 3 above required to be delivered pursuant to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of the Credit Agreement was not delivered within the required timeframe.</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Borrowers requested and obtained Credit Extensions after the occurrence one or more of the Defaults and Events of Default described in paragraphs 1, 2, 3 and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4 above, and, at the time of each such Credit Extension, represented and warranted that no Default or Event of Default had occurred or was continuing.</w:t>
      </w:r>
    </w:p>
    <w:p>
      <w:pPr>
        <w:spacing w:after="0" w:line="187" w:lineRule="exact"/>
        <w:rPr>
          <w:rFonts w:ascii="Arial" w:cs="Arial" w:eastAsia="Arial" w:hAnsi="Arial"/>
          <w:sz w:val="15"/>
          <w:szCs w:val="15"/>
          <w:color w:val="auto"/>
        </w:rPr>
      </w:pPr>
    </w:p>
    <w:p>
      <w:pPr>
        <w:ind w:firstLine="8"/>
        <w:spacing w:after="0" w:line="332" w:lineRule="auto"/>
        <w:tabs>
          <w:tab w:leader="none" w:pos="1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connection with the Seventh Amendment and in other certificates and documents delivered after the occurrence of one or more of the Defaults and Events of Default described in paragraphs 1, 2, 3, 4 and 5, the Borrowers did not disclose the existence and continuance of such Defaults and/or Events of Default.</w:t>
      </w:r>
    </w:p>
    <w:p>
      <w:pPr>
        <w:sectPr>
          <w:pgSz w:w="11900" w:h="16838" w:orient="portrait"/>
          <w:cols w:equalWidth="0" w:num="1">
            <w:col w:w="11400"/>
          </w:cols>
          <w:pgMar w:left="240" w:top="274" w:right="25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BY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Sang Park, certify that:</w:t>
      </w:r>
    </w:p>
    <w:p>
      <w:pPr>
        <w:spacing w:after="0" w:line="90"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LLC;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8"/>
        <w:spacing w:after="0" w:line="268" w:lineRule="auto"/>
        <w:tabs>
          <w:tab w:leader="none" w:pos="17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20" w:firstLine="4"/>
        <w:spacing w:after="0" w:line="332" w:lineRule="auto"/>
        <w:tabs>
          <w:tab w:leader="none" w:pos="709"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60" w:firstLine="4"/>
        <w:spacing w:after="0" w:line="259" w:lineRule="auto"/>
        <w:tabs>
          <w:tab w:leader="none" w:pos="69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80" w:firstLine="4"/>
        <w:spacing w:after="0" w:line="268" w:lineRule="auto"/>
        <w:tabs>
          <w:tab w:leader="none" w:pos="69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00" w:firstLine="4"/>
        <w:spacing w:after="0" w:line="268" w:lineRule="auto"/>
        <w:tabs>
          <w:tab w:leader="none" w:pos="70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2007</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Sang Park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BY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J. Krakauer, certify that:</w:t>
      </w:r>
    </w:p>
    <w:p>
      <w:pPr>
        <w:spacing w:after="0" w:line="90"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LLC;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8"/>
        <w:spacing w:after="0" w:line="268" w:lineRule="auto"/>
        <w:tabs>
          <w:tab w:leader="none" w:pos="17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20" w:firstLine="4"/>
        <w:spacing w:after="0" w:line="332" w:lineRule="auto"/>
        <w:tabs>
          <w:tab w:leader="none" w:pos="709"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60" w:firstLine="4"/>
        <w:spacing w:after="0" w:line="259" w:lineRule="auto"/>
        <w:tabs>
          <w:tab w:leader="none" w:pos="69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80" w:firstLine="4"/>
        <w:spacing w:after="0" w:line="268" w:lineRule="auto"/>
        <w:tabs>
          <w:tab w:leader="none" w:pos="69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00" w:firstLine="4"/>
        <w:spacing w:after="0" w:line="268" w:lineRule="auto"/>
        <w:tabs>
          <w:tab w:leader="none" w:pos="70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2007</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J.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In connection with the Quarterly Report of MagnaChip Semiconductor LLC (the “Company”) on Form 10-Q for the period ending July 1, 2007, as filed with the Securities and Exchange Commission on the date hereof (the “Report”), I, Sang Park, Chief Executive Officer and Chairman of the Company, certify, pursuant to 18 U.S.C. §1350, as adopted pursuant to §906 of the Sarbanes-Oxley Act of 2002, that to my knowledge:</w:t>
      </w:r>
    </w:p>
    <w:p>
      <w:pPr>
        <w:spacing w:after="0" w:line="26" w:lineRule="exact"/>
        <w:rPr>
          <w:sz w:val="20"/>
          <w:szCs w:val="20"/>
          <w:color w:val="auto"/>
        </w:rPr>
      </w:pPr>
    </w:p>
    <w:p>
      <w:pPr>
        <w:ind w:left="720" w:hanging="256"/>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Sang Park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9, 2007</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In connection with the Quarterly Report of MagnaChip Semiconductor LLC (the “Company”) on Form 10-Q for the period ending July 1, 2007, as filed with the Securities and Exchange Commission on the date hereof (the “Report”), I, Robert J. Krakauer, President and Chief Financial Officer of the Company, certify, pursuant to 18 U.S.C. §1350, as adopted pursuant to §906 of the Sarbanes-Oxley Act of 2002, that to my knowledge:</w:t>
      </w:r>
    </w:p>
    <w:p>
      <w:pPr>
        <w:spacing w:after="0" w:line="26" w:lineRule="exact"/>
        <w:rPr>
          <w:sz w:val="20"/>
          <w:szCs w:val="20"/>
          <w:color w:val="auto"/>
        </w:rPr>
      </w:pPr>
    </w:p>
    <w:p>
      <w:pPr>
        <w:ind w:left="720" w:hanging="25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J.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9, 2007</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upperLetter"/>
      <w:start w:val="1"/>
    </w:lvl>
  </w:abstractNum>
  <w:abstractNum w:abstractNumId="4">
    <w:nsid w:val="4DB127F8"/>
    <w:multiLevelType w:val="hybridMultilevel"/>
    <w:lvl w:ilvl="0">
      <w:lvlJc w:val="left"/>
      <w:lvlText w:val="%1."/>
      <w:numFmt w:val="decimal"/>
      <w:start w:val="1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2"/>
    </w:lvl>
  </w:abstractNum>
  <w:abstractNum w:abstractNumId="8">
    <w:nsid w:val="66EF438D"/>
    <w:multiLevelType w:val="hybridMultilevel"/>
    <w:lvl w:ilvl="0">
      <w:lvlJc w:val="left"/>
      <w:lvlText w:val="%1"/>
      <w:numFmt w:val="lowerLetter"/>
      <w:start w:val="1"/>
    </w:lvl>
    <w:lvl w:ilvl="1">
      <w:lvlJc w:val="left"/>
      <w:lvlText w:val="(%2)"/>
      <w:numFmt w:val="lowerLetter"/>
      <w:start w:val="1"/>
    </w:lvl>
  </w:abstractNum>
  <w:abstractNum w:abstractNumId="9">
    <w:nsid w:val="140E0F76"/>
    <w:multiLevelType w:val="hybridMultilevel"/>
    <w:lvl w:ilvl="0">
      <w:lvlJc w:val="left"/>
      <w:lvlText w:val="(%1)"/>
      <w:numFmt w:val="lowerLetter"/>
      <w:start w:val="61"/>
    </w:lvl>
    <w:lvl w:ilvl="1">
      <w:lvlJc w:val="left"/>
      <w:lvlText w:val="%2"/>
      <w:numFmt w:val="lowerLetter"/>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2019-12-12T04:02:59Z</dcterms:created>
  <dcterms:modified xsi:type="dcterms:W3CDTF">2019-12-12T04:02:59Z</dcterms:modified>
</cp:coreProperties>
</file>