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63"/>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26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1920"/>
          </w:cols>
          <w:pgMar w:left="436" w:top="368" w:right="719" w:bottom="1440" w:gutter="0" w:footer="0" w:header="0"/>
          <w:type w:val="continuous"/>
        </w:sectPr>
      </w:pPr>
    </w:p>
    <w:p>
      <w:pPr>
        <w:jc w:val="center"/>
        <w:ind w:right="756"/>
        <w:spacing w:after="0"/>
        <w:rPr>
          <w:sz w:val="20"/>
          <w:szCs w:val="20"/>
          <w:color w:val="auto"/>
        </w:rPr>
      </w:pPr>
      <w:r>
        <w:rPr>
          <w:rFonts w:ascii="Arial" w:cs="Arial" w:eastAsia="Arial" w:hAnsi="Arial"/>
          <w:sz w:val="14"/>
          <w:szCs w:val="14"/>
          <w:b w:val="1"/>
          <w:bCs w:val="1"/>
          <w:color w:val="auto"/>
        </w:rPr>
        <w:t>(State or other jurisdiction</w:t>
      </w:r>
    </w:p>
    <w:p>
      <w:pPr>
        <w:jc w:val="center"/>
        <w:ind w:right="756"/>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68" w:right="719" w:bottom="1440" w:gutter="0" w:footer="0" w:header="0"/>
          <w:type w:val="continuous"/>
        </w:sectPr>
      </w:pPr>
    </w:p>
    <w:p>
      <w:pPr>
        <w:spacing w:after="0" w:line="1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5"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0744"/>
          </w:cols>
          <w:pgMar w:left="436" w:top="368" w:right="719" w:bottom="1440" w:gutter="0" w:footer="0" w:header="0"/>
          <w:type w:val="continuous"/>
        </w:sectPr>
      </w:pPr>
    </w:p>
    <w:p>
      <w:pPr>
        <w:spacing w:after="0" w:line="192"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Theodore S. Kim</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Chief Compliance Officer, Executive Vice President, General Counsel and Secretary</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 Magnachip Semiconductor, Ltd.</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V-Plex Bldg., 15F, 501, Teheran-ro, Gangnam-gu,</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Seoul, Republic of Korea, 06168</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Telephone: +82-2-6903-3666</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Fax: +82-2-6903-5093</w:t>
      </w:r>
    </w:p>
    <w:p>
      <w:pPr>
        <w:spacing w:after="0" w:line="2" w:lineRule="exact"/>
        <w:rPr>
          <w:sz w:val="24"/>
          <w:szCs w:val="24"/>
          <w:color w:val="auto"/>
        </w:rPr>
      </w:pPr>
    </w:p>
    <w:p>
      <w:pPr>
        <w:ind w:left="2364"/>
        <w:spacing w:after="0"/>
        <w:rPr>
          <w:sz w:val="20"/>
          <w:szCs w:val="20"/>
          <w:color w:val="auto"/>
        </w:rPr>
      </w:pPr>
      <w:r>
        <w:rPr>
          <w:rFonts w:ascii="Arial" w:cs="Arial" w:eastAsia="Arial" w:hAnsi="Arial"/>
          <w:sz w:val="14"/>
          <w:szCs w:val="14"/>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type w:val="continuous"/>
        </w:sectPr>
      </w:pPr>
    </w:p>
    <w:bookmarkStart w:id="1" w:name="page2"/>
    <w:bookmarkEnd w:id="1"/>
    <w:p>
      <w:pPr>
        <w:ind w:left="3940"/>
        <w:spacing w:after="0"/>
        <w:tabs>
          <w:tab w:leader="none" w:pos="4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w:t>
      </w:r>
      <w:r>
        <w:rPr>
          <w:sz w:val="20"/>
          <w:szCs w:val="20"/>
          <w:color w:val="auto"/>
        </w:rPr>
        <w:tab/>
      </w:r>
      <w:r>
        <w:rPr>
          <w:rFonts w:ascii="Arial" w:cs="Arial" w:eastAsia="Arial" w:hAnsi="Arial"/>
          <w:sz w:val="16"/>
          <w:szCs w:val="16"/>
          <w:b w:val="1"/>
          <w:bCs w:val="1"/>
          <w:color w:val="auto"/>
        </w:rPr>
        <w:t>Conflict Minerals Disclosure</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Magnachip Semiconductor Corporation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for the reporting period from January 1, 2020 to December 31, 2020.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https://www.magnachip.com/about-us/corporate-responsibility/sustainability/conflict-mineral/. The content on, or accessible through, any web site referred to in this Form SD is not incorporated by reference into this Form SD unless expressly noted.</w:t>
      </w:r>
    </w:p>
    <w:p>
      <w:pPr>
        <w:spacing w:after="0" w:line="32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As specified in Section 2 of Form SD, the Company is hereby filing its Conflict Minerals Report required by Items 1.01 and 1.02 as Exhibit 1.01 to this Form SD.</w:t>
      </w:r>
    </w:p>
    <w:p>
      <w:pPr>
        <w:spacing w:after="0" w:line="382"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 is filed as part of this Form SD.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2"/>
                <w:szCs w:val="22"/>
                <w:color w:val="auto"/>
              </w:rPr>
            </w:pPr>
          </w:p>
        </w:tc>
        <w:tc>
          <w:tcPr>
            <w:tcW w:w="9560" w:type="dxa"/>
            <w:vAlign w:val="bottom"/>
            <w:tcBorders>
              <w:top w:val="single" w:sz="8" w:color="auto"/>
            </w:tcBorders>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Conflict Minerals Report of Magnachip Semiconductor Corporation for the reporting period from January 1, 2020 to December 31,</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9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60" w:type="dxa"/>
            <w:vAlign w:val="bottom"/>
            <w:gridSpan w:val="2"/>
          </w:tcPr>
          <w:p>
            <w:pPr>
              <w:jc w:val="right"/>
              <w:ind w:right="5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CORPORATION</w:t>
            </w:r>
          </w:p>
        </w:tc>
        <w:tc>
          <w:tcPr>
            <w:tcW w:w="7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By:  /s/ Theodore S. Kim</w:t>
            </w:r>
          </w:p>
        </w:tc>
        <w:tc>
          <w:tcPr>
            <w:tcW w:w="7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8"/>
              </w:rPr>
              <w:t>June 1, 2021</w:t>
            </w:r>
          </w:p>
        </w:tc>
      </w:tr>
      <w:tr>
        <w:trPr>
          <w:trHeight w:val="209"/>
        </w:trPr>
        <w:tc>
          <w:tcPr>
            <w:tcW w:w="42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Theodore S. Kim</w:t>
            </w:r>
          </w:p>
        </w:tc>
        <w:tc>
          <w:tcPr>
            <w:tcW w:w="780" w:type="dxa"/>
            <w:vAlign w:val="bottom"/>
          </w:tcPr>
          <w:p>
            <w:pPr>
              <w:spacing w:after="0"/>
              <w:rPr>
                <w:sz w:val="18"/>
                <w:szCs w:val="18"/>
                <w:color w:val="auto"/>
              </w:rPr>
            </w:pPr>
          </w:p>
        </w:tc>
        <w:tc>
          <w:tcPr>
            <w:tcW w:w="4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16"/>
        </w:trPr>
        <w:tc>
          <w:tcPr>
            <w:tcW w:w="4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Compliance Officer, Executive Vice President, General</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Counsel and Secretary</w:t>
            </w:r>
          </w:p>
        </w:tc>
        <w:tc>
          <w:tcPr>
            <w:tcW w:w="7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64"/>
        </w:trPr>
        <w:tc>
          <w:tcPr>
            <w:tcW w:w="4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7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2020 to December 31, 2020</w:t>
      </w:r>
    </w:p>
    <w:p>
      <w:pPr>
        <w:spacing w:after="0" w:line="21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Magnachip Semiconductor Corporation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2020 to December 31, 2020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29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w:t>
      </w:r>
    </w:p>
    <w:p>
      <w:pPr>
        <w:spacing w:after="0" w:line="16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(or coltan, the metal ore from which tantalum is extracted), (b) cassiterite (the metal ore from which tin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78"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The Company’s business is currently conducted through its standard products business, which consists of the Display Solutions and Power Solutions business lines. On September 1, 2020, the Company completed the sale of its Foundry Services Group business and its fabrication facility located in Cheongju to Key Foundry Co., Ltd.</w:t>
      </w:r>
    </w:p>
    <w:p>
      <w:pPr>
        <w:spacing w:after="0" w:line="184"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The Company’s Display Solutions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notebook PCs, monitors and liquid crystal display (LCD), organic light emitting diodes (OLED), Micro light emitting diode (LED) televisions. The Company’s Display Solutions products support the industry’s most advanced display technologies, such as OLEDs, and low temperature polysilicons thin film transistor (LTPS TFT), as well as high-volume display technologies such as amorphous silicon thin film transistors (a-SiTFTs). Since 2007, the Company has designed and manufactured OLED display driver IC products. The Company’s current portfolio of OLED solutions address a wide range of resolutions ranging from HD to Wide Quad High Definition (WQHD) for applications including smartphones, TVs, and other mobile devices.</w:t>
      </w:r>
    </w:p>
    <w:p>
      <w:pPr>
        <w:spacing w:after="0" w:line="192"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Company’s Power Solutions business line produces power management semiconductor products including discrete and integrated circuit solutions for power management in consumer, communications, computing, industrial and automotive applications. These products include metal oxide semiconductor field effect transistors (MOSFETs), insulated-gate bipolar transistors (IGBTs), AC-DC converters, DC-DC converters, LED drivers, switching regulators, linear regulators, interface ICs and power management ICs (PMICs) for a range of devices, including televisions, smartphones, desktop PCs, notebooks, tablets, servers, telecommunication power, home appliances, industrial applications such as uninterruptible power supplies (UPSs), LED lighting, personal mobility, motor drives, battery management systems (BMS) and automotive electronics.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Historically, the Company operated Foundry Services Group which offered foundry services to fabless analog and mixed-signal semiconductor companies and IDMs that require differentiated, specialty analog and mixed-signal process technologies. The Company’s process technologies were optimized for analog and mixed-signal devices and included standard complementary metal-oxide semiconductor (CMOS), high voltage CMOS, ultra-low leakage high voltage CMOS and bipolar complementary double-diffused metal oxide semiconductor and electronically erasable programmable read only memory. Company’s Foundry Services Group customers used us to manufacture a wide range of products, including display drivers, LED drivers, audio encoding and decoding devices, microcontrollers, touch screen controllers, RF switches, park distance control sensors for automotive, electronic tag memories and power management semiconductors. As mentioned above, on September 1, 2020, the Company completed the sale of its Foundry Services Group business and its fabrication facility located in Cheongju and as of the end of the Reporting Period, the Company no longer operates Foundry Services Group business.</w:t>
      </w:r>
    </w:p>
    <w:p>
      <w:pPr>
        <w:spacing w:after="0" w:line="181" w:lineRule="exact"/>
        <w:rPr>
          <w:sz w:val="20"/>
          <w:szCs w:val="20"/>
          <w:color w:val="auto"/>
        </w:rPr>
      </w:pPr>
    </w:p>
    <w:p>
      <w:pPr>
        <w:ind w:left="4" w:right="280" w:firstLine="440"/>
        <w:spacing w:after="0" w:line="342" w:lineRule="auto"/>
        <w:rPr>
          <w:sz w:val="20"/>
          <w:szCs w:val="20"/>
          <w:color w:val="auto"/>
        </w:rPr>
      </w:pPr>
      <w:r>
        <w:rPr>
          <w:rFonts w:ascii="Arial" w:cs="Arial" w:eastAsia="Arial" w:hAnsi="Arial"/>
          <w:sz w:val="16"/>
          <w:szCs w:val="16"/>
          <w:color w:val="auto"/>
        </w:rPr>
        <w:t>The Company’s operations during the Reporting Period may have at times manufactured, or contracted to manufacture, products, including the products listed above, for which conflict minerals are necessary to the functionality or production of those products (collectively, the “</w:t>
      </w:r>
      <w:r>
        <w:rPr>
          <w:rFonts w:ascii="Arial" w:cs="Arial" w:eastAsia="Arial" w:hAnsi="Arial"/>
          <w:sz w:val="16"/>
          <w:szCs w:val="16"/>
          <w:b w:val="1"/>
          <w:bCs w:val="1"/>
          <w:i w:val="1"/>
          <w:iCs w:val="1"/>
          <w:color w:val="auto"/>
        </w:rPr>
        <w:t>products</w:t>
      </w:r>
      <w:r>
        <w:rPr>
          <w:rFonts w:ascii="Arial" w:cs="Arial" w:eastAsia="Arial" w:hAnsi="Arial"/>
          <w:sz w:val="16"/>
          <w:szCs w:val="16"/>
          <w:color w:val="auto"/>
        </w:rPr>
        <w:t>”).</w:t>
      </w:r>
    </w:p>
    <w:p>
      <w:pPr>
        <w:spacing w:after="0" w:line="124"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As required by Form SD, the Company has conducted a good faith reasonable country of origin inquiry (“</w:t>
      </w:r>
      <w:r>
        <w:rPr>
          <w:rFonts w:ascii="Arial" w:cs="Arial" w:eastAsia="Arial" w:hAnsi="Arial"/>
          <w:sz w:val="16"/>
          <w:szCs w:val="16"/>
          <w:b w:val="1"/>
          <w:bCs w:val="1"/>
          <w:i w:val="1"/>
          <w:iCs w:val="1"/>
          <w:color w:val="auto"/>
        </w:rPr>
        <w:t>RCOI</w:t>
      </w:r>
      <w:r>
        <w:rPr>
          <w:rFonts w:ascii="Arial" w:cs="Arial" w:eastAsia="Arial" w:hAnsi="Arial"/>
          <w:sz w:val="16"/>
          <w:szCs w:val="16"/>
          <w:color w:val="auto"/>
        </w:rPr>
        <w:t>”) regarding the conflict minerals included in such products during the Reporting Period, which the Company refers to as the “</w:t>
      </w:r>
      <w:r>
        <w:rPr>
          <w:rFonts w:ascii="Arial" w:cs="Arial" w:eastAsia="Arial" w:hAnsi="Arial"/>
          <w:sz w:val="16"/>
          <w:szCs w:val="16"/>
          <w:b w:val="1"/>
          <w:bCs w:val="1"/>
          <w:i w:val="1"/>
          <w:iCs w:val="1"/>
          <w:color w:val="auto"/>
        </w:rPr>
        <w:t>Subject Minerals</w:t>
      </w:r>
      <w:r>
        <w:rPr>
          <w:rFonts w:ascii="Arial" w:cs="Arial" w:eastAsia="Arial" w:hAnsi="Arial"/>
          <w:sz w:val="16"/>
          <w:szCs w:val="16"/>
          <w:color w:val="auto"/>
        </w:rPr>
        <w:t xml:space="preserve">,”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Arial" w:cs="Arial" w:eastAsia="Arial" w:hAnsi="Arial"/>
          <w:sz w:val="16"/>
          <w:szCs w:val="16"/>
          <w:i w:val="1"/>
          <w:iCs w:val="1"/>
          <w:color w:val="auto"/>
        </w:rPr>
        <w:t>https://www.magnachip.com/about-us/corporate-responsibility/sustainability/conflict-mineral/</w:t>
      </w:r>
      <w:r>
        <w:rPr>
          <w:rFonts w:ascii="Arial" w:cs="Arial" w:eastAsia="Arial" w:hAnsi="Arial"/>
          <w:sz w:val="16"/>
          <w:szCs w:val="16"/>
          <w:color w:val="auto"/>
        </w:rPr>
        <w:t>. The content on, or accessible through, any web site referred to in this Report is not incorporated by reference into this Report unless expressly noted.</w:t>
      </w:r>
    </w:p>
    <w:p>
      <w:pPr>
        <w:spacing w:after="0" w:line="270" w:lineRule="exact"/>
        <w:rPr>
          <w:sz w:val="20"/>
          <w:szCs w:val="20"/>
          <w:color w:val="auto"/>
        </w:rPr>
      </w:pPr>
    </w:p>
    <w:p>
      <w:pPr>
        <w:ind w:left="324" w:hanging="324"/>
        <w:spacing w:after="0"/>
        <w:tabs>
          <w:tab w:leader="none" w:pos="3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RCOI and Due Diligence Process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80" w:firstLine="440"/>
        <w:spacing w:after="0" w:line="293" w:lineRule="auto"/>
        <w:rPr>
          <w:sz w:val="20"/>
          <w:szCs w:val="20"/>
          <w:color w:val="auto"/>
        </w:rPr>
      </w:pPr>
      <w:r>
        <w:rPr>
          <w:rFonts w:ascii="Arial" w:cs="Arial" w:eastAsia="Arial" w:hAnsi="Arial"/>
          <w:sz w:val="16"/>
          <w:szCs w:val="16"/>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Arial" w:cs="Arial" w:eastAsia="Arial" w:hAnsi="Arial"/>
          <w:sz w:val="16"/>
          <w:szCs w:val="16"/>
          <w:b w:val="1"/>
          <w:bCs w:val="1"/>
          <w:i w:val="1"/>
          <w:iCs w:val="1"/>
          <w:color w:val="auto"/>
        </w:rPr>
        <w:t>OECD Guidelines</w:t>
      </w:r>
      <w:r>
        <w:rPr>
          <w:rFonts w:ascii="Arial" w:cs="Arial" w:eastAsia="Arial" w:hAnsi="Arial"/>
          <w:sz w:val="16"/>
          <w:szCs w:val="16"/>
          <w:color w:val="auto"/>
        </w:rPr>
        <w:t>”).</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RCOI</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w:t>
      </w:r>
    </w:p>
    <w:p>
      <w:pPr>
        <w:spacing w:after="0" w:line="19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 xml:space="preserve">During the Reporting Period, the Company worked to identify its Tier 1 suppliers and outsourcing manufacturers that it believed could potentially provide materials or components containing Subject Minerals (collectively, the “ </w:t>
      </w:r>
      <w:r>
        <w:rPr>
          <w:rFonts w:ascii="Arial" w:cs="Arial" w:eastAsia="Arial" w:hAnsi="Arial"/>
          <w:sz w:val="16"/>
          <w:szCs w:val="16"/>
          <w:b w:val="1"/>
          <w:bCs w:val="1"/>
          <w:i w:val="1"/>
          <w:iCs w:val="1"/>
          <w:color w:val="auto"/>
        </w:rPr>
        <w:t>Covered Suppliers</w:t>
      </w:r>
      <w:r>
        <w:rPr>
          <w:rFonts w:ascii="Arial" w:cs="Arial" w:eastAsia="Arial" w:hAnsi="Arial"/>
          <w:sz w:val="16"/>
          <w:szCs w:val="16"/>
          <w:color w:val="auto"/>
        </w:rPr>
        <w:t xml:space="preserve"> ”)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Arial" w:cs="Arial" w:eastAsia="Arial" w:hAnsi="Arial"/>
          <w:sz w:val="16"/>
          <w:szCs w:val="16"/>
          <w:b w:val="1"/>
          <w:bCs w:val="1"/>
          <w:i w:val="1"/>
          <w:iCs w:val="1"/>
          <w:color w:val="auto"/>
        </w:rPr>
        <w:t>CMRT</w:t>
      </w:r>
      <w:r>
        <w:rPr>
          <w:rFonts w:ascii="Arial" w:cs="Arial" w:eastAsia="Arial" w:hAnsi="Arial"/>
          <w:sz w:val="16"/>
          <w:szCs w:val="16"/>
          <w:color w:val="auto"/>
        </w:rPr>
        <w:t xml:space="preserve"> ”) that was developed by the Responsible Minerals Initiative (formerly the Conflict-Free Sourcing Initiative) (the “ </w:t>
      </w:r>
      <w:r>
        <w:rPr>
          <w:rFonts w:ascii="Arial" w:cs="Arial" w:eastAsia="Arial" w:hAnsi="Arial"/>
          <w:sz w:val="16"/>
          <w:szCs w:val="16"/>
          <w:b w:val="1"/>
          <w:bCs w:val="1"/>
          <w:i w:val="1"/>
          <w:iCs w:val="1"/>
          <w:color w:val="auto"/>
        </w:rPr>
        <w:t>RMI</w:t>
      </w:r>
      <w:r>
        <w:rPr>
          <w:rFonts w:ascii="Arial" w:cs="Arial" w:eastAsia="Arial" w:hAnsi="Arial"/>
          <w:sz w:val="16"/>
          <w:szCs w:val="16"/>
          <w:color w:val="auto"/>
        </w:rPr>
        <w:t xml:space="preserve"> ”). The RMI was founded by the Responsible Business Alliance (RBA) (formerly the Electronic Industry Citizenship Coalition) and the Global e-Sustainability</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Initiative (GeSI)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 Conflict-Free Smelter Program) (the “</w:t>
      </w:r>
      <w:r>
        <w:rPr>
          <w:rFonts w:ascii="Arial" w:cs="Arial" w:eastAsia="Arial" w:hAnsi="Arial"/>
          <w:sz w:val="17"/>
          <w:szCs w:val="17"/>
          <w:b w:val="1"/>
          <w:bCs w:val="1"/>
          <w:i w:val="1"/>
          <w:iCs w:val="1"/>
          <w:color w:val="auto"/>
        </w:rPr>
        <w:t>RMAP</w:t>
      </w:r>
      <w:r>
        <w:rPr>
          <w:rFonts w:ascii="Arial" w:cs="Arial" w:eastAsia="Arial" w:hAnsi="Arial"/>
          <w:sz w:val="17"/>
          <w:szCs w:val="17"/>
          <w:color w:val="auto"/>
        </w:rPr>
        <w:t>”) sponsors independent third-party audits of smelters and refiners of conflict minerals which determine the country of origin of minerals processed through those smelters and refiners.</w:t>
      </w:r>
    </w:p>
    <w:p>
      <w:pPr>
        <w:spacing w:after="0" w:line="17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Using a risk-based approach, the Company evaluated responses from the Covered Suppliers for plausibility, consistency, and gaps both in terms of which materials or components were stated to contain or not contain Subject Minerals, as well as the origin of those Subject Minerals.</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“Additional Due Diligence and Risk Mitigation” below for additional detail.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Company’s due diligence process is designed to follow the OECD Guidelines. Due diligence measures undertaken by the Company during the Reporting Period included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has an internal team, consisting of members from its supply management and legal departments, to manage conflict minerals engagement with its suppliers and outsourcing manufacturers. This team is charged with overseeing and driving conflict minerals compliance. This team also works with the Company’s other employees to provide training and guidance, receive and track responses and facilitate communication between departments with respect to compliance with the SEC’s reporting requirements regarding conflict minerals.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Policy Developed to Establish Expectations of Suppliers.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Arial" w:cs="Arial" w:eastAsia="Arial" w:hAnsi="Arial"/>
          <w:sz w:val="18"/>
          <w:szCs w:val="18"/>
          <w:i w:val="1"/>
          <w:iCs w:val="1"/>
          <w:color w:val="auto"/>
        </w:rPr>
        <w:t>https://www.magnachip.com/about-us/corporate-responsibility/social-responsibility/ethics-and-compliances/</w:t>
      </w:r>
      <w:r>
        <w:rPr>
          <w:rFonts w:ascii="Arial" w:cs="Arial" w:eastAsia="Arial" w:hAnsi="Arial"/>
          <w:sz w:val="18"/>
          <w:szCs w:val="18"/>
          <w:color w:val="auto"/>
        </w:rPr>
        <w:t>. The Company’s position statement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reviewed and updated as needed. The Company’s internal conflict minerals team also continually evaluates its supply agreements and purchasing procedures to determine whether additional contractual or other means of implementing the Company’s policy should be adopted as described below under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continues to assess its supply chain risks and work with its suppliers and outsourcing manufacturers in developing greater supply chain transparency.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and outsourcing manufacturers also works to address any significant due diligence findings as they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 possible, the Company has relied on third party assurances and certifications. For example, the Company accepts as reliable any smelter that is a member of the RMAP (in this Report, we refer to RMAP-compliant smelters as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Annually on Supply Chain Due Diligence</w:t>
      </w:r>
    </w:p>
    <w:p>
      <w:pPr>
        <w:spacing w:after="0" w:line="117"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This Report is publicly available at </w:t>
      </w:r>
      <w:r>
        <w:rPr>
          <w:rFonts w:ascii="Arial" w:cs="Arial" w:eastAsia="Arial" w:hAnsi="Arial"/>
          <w:sz w:val="18"/>
          <w:szCs w:val="18"/>
          <w:i w:val="1"/>
          <w:iCs w:val="1"/>
          <w:color w:val="auto"/>
        </w:rPr>
        <w:t>https://www.magnachip.com/about-us/corporate-responsibility/sustainability/conflict-mineral/</w:t>
      </w:r>
      <w:r>
        <w:rPr>
          <w:rFonts w:ascii="Arial" w:cs="Arial" w:eastAsia="Arial" w:hAnsi="Arial"/>
          <w:sz w:val="18"/>
          <w:szCs w:val="18"/>
          <w:color w:val="auto"/>
        </w:rPr>
        <w:t xml:space="preserve"> and meets the OECD recommendation to report annually on supply chain due diligence.</w:t>
      </w:r>
    </w:p>
    <w:p>
      <w:pPr>
        <w:spacing w:after="0" w:line="31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Due Diligence Results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Based solely on the information obtained pursuant to the RCOI and due diligence process described above, including review of CMRTs completed by the Covered Suppliers in 2020, the Company’s Covered Suppliers reported that all of them solely used Members for the Company’s products.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w:t>
      </w:r>
    </w:p>
    <w:p>
      <w:pPr>
        <w:spacing w:after="0" w:line="178"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Arial" w:cs="Arial" w:eastAsia="Arial" w:hAnsi="Arial"/>
          <w:sz w:val="18"/>
          <w:szCs w:val="18"/>
          <w:i w:val="1"/>
          <w:iCs w:val="1"/>
          <w:color w:val="auto"/>
        </w:rPr>
        <w:t>Facilities Used to Process Subject Minerals and Country of Origin</w:t>
      </w:r>
      <w:r>
        <w:rPr>
          <w:rFonts w:ascii="Arial" w:cs="Arial" w:eastAsia="Arial" w:hAnsi="Arial"/>
          <w:sz w:val="18"/>
          <w:szCs w:val="18"/>
          <w:color w:val="auto"/>
        </w:rPr>
        <w:t>” below.</w:t>
      </w:r>
    </w:p>
    <w:p>
      <w:pPr>
        <w:spacing w:after="0" w:line="188"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Company expects to continue to implement and refine its conflict minerals program to improve its supply chain transparency by seeking more accurate and more complete information from its suppliers and outsourcing manufacturers.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328"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Due Diligence and Risk Mitigation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117"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Within the Company’s supplier relationships, the Company seeks to manage its sourcing processes ethically, and to hold the Company, its suppliers, and its outsourcing manufacturers to high standards of behavior. This means that the Company is committed to working with its suppliers and outsourcing manufacturers to encourage responsible practices throughout the supply network. The Company continually works to strengthen its commitment to the responsible sourcing of conflict minerals, including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has also required certifications from its suppliers and outsourcing manufacturers that they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Continuous Improvement of Supply Chain Due Diligence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continually seeks to improve its supply chain due diligence efforts. Such measures may include, but are not limited to:</w:t>
      </w:r>
    </w:p>
    <w:p>
      <w:pPr>
        <w:spacing w:after="0" w:line="131" w:lineRule="exact"/>
        <w:rPr>
          <w:sz w:val="20"/>
          <w:szCs w:val="20"/>
          <w:color w:val="auto"/>
        </w:rPr>
      </w:pPr>
    </w:p>
    <w:p>
      <w:pPr>
        <w:ind w:left="1424" w:hanging="439"/>
        <w:spacing w:after="0"/>
        <w:tabs>
          <w:tab w:leader="none" w:pos="1424" w:val="left"/>
        </w:tabs>
        <w:numPr>
          <w:ilvl w:val="1"/>
          <w:numId w:val="5"/>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30" w:lineRule="exact"/>
        <w:rPr>
          <w:rFonts w:ascii="Arial" w:cs="Arial" w:eastAsia="Arial" w:hAnsi="Arial"/>
          <w:sz w:val="18"/>
          <w:szCs w:val="18"/>
          <w:color w:val="auto"/>
        </w:rPr>
      </w:pPr>
    </w:p>
    <w:p>
      <w:pPr>
        <w:ind w:left="1424" w:right="480" w:hanging="439"/>
        <w:spacing w:after="0" w:line="277" w:lineRule="auto"/>
        <w:tabs>
          <w:tab w:leader="none" w:pos="1424"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increasing the detail and transparency of responses received in the RCOI and due diligence process, including by continuing to request that suppliers provide CMRTs twice a year.</w:t>
      </w:r>
    </w:p>
    <w:p>
      <w:pPr>
        <w:spacing w:after="0" w:line="75" w:lineRule="exact"/>
        <w:rPr>
          <w:rFonts w:ascii="Arial" w:cs="Arial" w:eastAsia="Arial" w:hAnsi="Arial"/>
          <w:sz w:val="18"/>
          <w:szCs w:val="18"/>
          <w:color w:val="auto"/>
        </w:rPr>
      </w:pPr>
    </w:p>
    <w:p>
      <w:pPr>
        <w:ind w:left="1424" w:right="460" w:hanging="439"/>
        <w:spacing w:after="0" w:line="277" w:lineRule="auto"/>
        <w:tabs>
          <w:tab w:leader="none" w:pos="1424"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continuing to compare RCOI and due diligence results to information collected via independent conflict free smelter validation programs such as the RMAP; and</w:t>
      </w:r>
    </w:p>
    <w:p>
      <w:pPr>
        <w:spacing w:after="0" w:line="75" w:lineRule="exact"/>
        <w:rPr>
          <w:rFonts w:ascii="Arial" w:cs="Arial" w:eastAsia="Arial" w:hAnsi="Arial"/>
          <w:sz w:val="18"/>
          <w:szCs w:val="18"/>
          <w:color w:val="auto"/>
        </w:rPr>
      </w:pPr>
    </w:p>
    <w:p>
      <w:pPr>
        <w:ind w:left="1424" w:right="180" w:hanging="439"/>
        <w:spacing w:after="0" w:line="308" w:lineRule="auto"/>
        <w:tabs>
          <w:tab w:leader="none" w:pos="1424" w:val="left"/>
        </w:tabs>
        <w:numPr>
          <w:ilvl w:val="1"/>
          <w:numId w:val="5"/>
        </w:numPr>
        <w:rPr>
          <w:rFonts w:ascii="Arial" w:cs="Arial" w:eastAsia="Arial" w:hAnsi="Arial"/>
          <w:sz w:val="17"/>
          <w:szCs w:val="17"/>
          <w:color w:val="auto"/>
        </w:rPr>
      </w:pPr>
      <w:r>
        <w:rPr>
          <w:rFonts w:ascii="Arial" w:cs="Arial" w:eastAsia="Arial" w:hAnsi="Arial"/>
          <w:sz w:val="17"/>
          <w:szCs w:val="17"/>
          <w:color w:val="auto"/>
        </w:rPr>
        <w:t>contacting suppliers and outsourcing manufacturers regarding smelters identified as a result of the RCOI and due diligence process and request their participation in obtaining a “conflict free” designation from an industry program such as the RMAP.</w:t>
      </w:r>
    </w:p>
    <w:p>
      <w:pPr>
        <w:spacing w:after="0" w:line="290" w:lineRule="exact"/>
        <w:rPr>
          <w:rFonts w:ascii="Arial" w:cs="Arial" w:eastAsia="Arial" w:hAnsi="Arial"/>
          <w:sz w:val="17"/>
          <w:szCs w:val="17"/>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Facilities Used to Process Subject Minerals and Country of Origin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Based on the information obtained pursuant to the RCOI and due diligence process described above, the Company does not have sufficient</w:t>
      </w:r>
    </w:p>
    <w:p>
      <w:pPr>
        <w:spacing w:after="0" w:line="35"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information, with respect to the Reporting Period, to determine the known country of origin of the Subject Minerals, or whether the Subject Minerals in its products are from recycled or scrap sources, for the reasons described above under “</w:t>
      </w:r>
      <w:r>
        <w:rPr>
          <w:rFonts w:ascii="Arial" w:cs="Arial" w:eastAsia="Arial" w:hAnsi="Arial"/>
          <w:sz w:val="17"/>
          <w:szCs w:val="17"/>
          <w:i w:val="1"/>
          <w:iCs w:val="1"/>
          <w:color w:val="auto"/>
        </w:rPr>
        <w:t>Due Diligence Results</w:t>
      </w:r>
      <w:r>
        <w:rPr>
          <w:rFonts w:ascii="Arial" w:cs="Arial" w:eastAsia="Arial" w:hAnsi="Arial"/>
          <w:sz w:val="17"/>
          <w:szCs w:val="17"/>
          <w:color w:val="auto"/>
        </w:rPr>
        <w:t>.” Based on the information provided by the Covered Suppliers in their completed CMRTs, however, the Company believes that facilities that may have been used to process the Subject Minerals in the Company’s products during the Reporting Period include the following smelters and refiners.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4"/>
              </w:rPr>
              <w:t>Subject Mineral</w:t>
            </w:r>
          </w:p>
        </w:tc>
        <w:tc>
          <w:tcPr>
            <w:tcW w:w="2820" w:type="dxa"/>
            <w:vAlign w:val="bottom"/>
          </w:tcPr>
          <w:p>
            <w:pPr>
              <w:spacing w:after="0"/>
              <w:rPr>
                <w:sz w:val="14"/>
                <w:szCs w:val="14"/>
                <w:color w:val="auto"/>
              </w:rPr>
            </w:pPr>
          </w:p>
        </w:tc>
        <w:tc>
          <w:tcPr>
            <w:tcW w:w="374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Smelter or Refiner Name</w:t>
            </w:r>
          </w:p>
        </w:tc>
        <w:tc>
          <w:tcPr>
            <w:tcW w:w="12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4"/>
              </w:rPr>
              <w:t>Country Location of</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vMerge w:val="continue"/>
          </w:tcPr>
          <w:p>
            <w:pPr>
              <w:spacing w:after="0"/>
              <w:rPr>
                <w:sz w:val="16"/>
                <w:szCs w:val="16"/>
                <w:color w:val="auto"/>
              </w:rPr>
            </w:pPr>
          </w:p>
        </w:tc>
        <w:tc>
          <w:tcPr>
            <w:tcW w:w="2820" w:type="dxa"/>
            <w:vAlign w:val="bottom"/>
          </w:tcPr>
          <w:p>
            <w:pPr>
              <w:spacing w:after="0"/>
              <w:rPr>
                <w:sz w:val="16"/>
                <w:szCs w:val="16"/>
                <w:color w:val="auto"/>
              </w:rPr>
            </w:pPr>
          </w:p>
        </w:tc>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Smelter or Refiner</w:t>
            </w:r>
          </w:p>
        </w:tc>
        <w:tc>
          <w:tcPr>
            <w:tcW w:w="0" w:type="dxa"/>
            <w:vAlign w:val="bottom"/>
          </w:tcPr>
          <w:p>
            <w:pPr>
              <w:spacing w:after="0"/>
              <w:rPr>
                <w:sz w:val="1"/>
                <w:szCs w:val="1"/>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Gold</w:t>
            </w:r>
          </w:p>
        </w:tc>
        <w:tc>
          <w:tcPr>
            <w:tcW w:w="2820" w:type="dxa"/>
            <w:vAlign w:val="bottom"/>
          </w:tcPr>
          <w:p>
            <w:pPr>
              <w:spacing w:after="0"/>
              <w:rPr>
                <w:sz w:val="16"/>
                <w:szCs w:val="16"/>
                <w:color w:val="auto"/>
              </w:rPr>
            </w:pPr>
          </w:p>
        </w:tc>
        <w:tc>
          <w:tcPr>
            <w:tcW w:w="3740" w:type="dxa"/>
            <w:vAlign w:val="bottom"/>
          </w:tcPr>
          <w:p>
            <w:pPr>
              <w:spacing w:after="0" w:line="189" w:lineRule="exact"/>
              <w:rPr>
                <w:sz w:val="20"/>
                <w:szCs w:val="20"/>
                <w:color w:val="auto"/>
              </w:rPr>
            </w:pPr>
            <w:r>
              <w:rPr>
                <w:rFonts w:ascii="Arial" w:cs="Arial" w:eastAsia="Arial" w:hAnsi="Arial"/>
                <w:sz w:val="18"/>
                <w:szCs w:val="18"/>
                <w:color w:val="auto"/>
              </w:rPr>
              <w:t>Aida Chemical Industries Co., Ltd.</w:t>
            </w:r>
          </w:p>
        </w:tc>
        <w:tc>
          <w:tcPr>
            <w:tcW w:w="120" w:type="dxa"/>
            <w:vAlign w:val="bottom"/>
          </w:tcPr>
          <w:p>
            <w:pPr>
              <w:spacing w:after="0"/>
              <w:rPr>
                <w:sz w:val="16"/>
                <w:szCs w:val="16"/>
                <w:color w:val="auto"/>
              </w:rPr>
            </w:pPr>
          </w:p>
        </w:tc>
        <w:tc>
          <w:tcPr>
            <w:tcW w:w="3340" w:type="dxa"/>
            <w:vAlign w:val="bottom"/>
          </w:tcPr>
          <w:p>
            <w:pPr>
              <w:spacing w:after="0" w:line="189"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w w:val="99"/>
              </w:rPr>
              <w:t>Allgemeine Gold-und Silberscheideanstalt A.G.</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Argor-Heraeus S.A.</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Asahi Pretec Corp.</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C. Hafner GmbH + Co. KG</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Dowa</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Heimerle + Meule GmbH</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Heraeus Precious Metals GmbH &amp; Co. KG</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Ishifuku Metal Industry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JX Nippon Mining &amp; Metals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Kojima Chemicals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LS-NIKKO Copper Inc.</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Matsuda Sangyo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Metalor USA Refining Corporation</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Met-Mex Penoles, S.A.</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Mitsubishi Materials Corporation</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Mitsui Mining and Smelting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Nihon Material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w w:val="92"/>
              </w:rPr>
              <w:t>Shandong Zhaojin Gold &amp; Silver Refinery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Sumitomo Metal Mining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Tanaka Kikinzoku Kogyo K.K.</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Tokuriki Honten Co., Ltd.</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Umicore Precious Metals Refining Hoboken</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Perth Mint</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gridSpan w:val="2"/>
          </w:tcPr>
          <w:p>
            <w:pPr>
              <w:ind w:left="2820"/>
              <w:spacing w:after="0"/>
              <w:rPr>
                <w:sz w:val="20"/>
                <w:szCs w:val="20"/>
                <w:color w:val="auto"/>
              </w:rPr>
            </w:pPr>
            <w:r>
              <w:rPr>
                <w:rFonts w:ascii="Arial" w:cs="Arial" w:eastAsia="Arial" w:hAnsi="Arial"/>
                <w:sz w:val="18"/>
                <w:szCs w:val="18"/>
                <w:color w:val="auto"/>
              </w:rPr>
              <w:t>SAXONIA Edelmetalle GmbH</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6560" w:type="dxa"/>
            <w:vAlign w:val="bottom"/>
            <w:gridSpan w:val="2"/>
          </w:tcPr>
          <w:p>
            <w:pPr>
              <w:ind w:left="4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Gold</w:t>
            </w:r>
          </w:p>
        </w:tc>
        <w:tc>
          <w:tcPr>
            <w:tcW w:w="5440" w:type="dxa"/>
            <w:vAlign w:val="bottom"/>
          </w:tcPr>
          <w:p>
            <w:pPr>
              <w:ind w:left="1500"/>
              <w:spacing w:after="0"/>
              <w:rPr>
                <w:sz w:val="20"/>
                <w:szCs w:val="20"/>
                <w:color w:val="auto"/>
              </w:rPr>
            </w:pPr>
            <w:r>
              <w:rPr>
                <w:rFonts w:ascii="Arial" w:cs="Arial" w:eastAsia="Arial" w:hAnsi="Arial"/>
                <w:sz w:val="18"/>
                <w:szCs w:val="18"/>
                <w:color w:val="auto"/>
              </w:rPr>
              <w:t>WIELAND Edelmetalle GmbH</w:t>
            </w:r>
          </w:p>
        </w:tc>
        <w:tc>
          <w:tcPr>
            <w:tcW w:w="220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Asaka Riken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Japan</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Changsha South Tantalum Niobium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Exotech Inc.</w:t>
            </w:r>
          </w:p>
        </w:tc>
        <w:tc>
          <w:tcPr>
            <w:tcW w:w="2200" w:type="dxa"/>
            <w:vAlign w:val="bottom"/>
          </w:tcPr>
          <w:p>
            <w:pPr>
              <w:ind w:left="60"/>
              <w:spacing w:after="0"/>
              <w:rPr>
                <w:sz w:val="20"/>
                <w:szCs w:val="20"/>
                <w:color w:val="auto"/>
              </w:rPr>
            </w:pPr>
            <w:r>
              <w:rPr>
                <w:rFonts w:ascii="Arial" w:cs="Arial" w:eastAsia="Arial" w:hAnsi="Arial"/>
                <w:sz w:val="18"/>
                <w:szCs w:val="18"/>
                <w:color w:val="auto"/>
              </w:rPr>
              <w:t>United States of America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F&amp;X Electro-Materials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Guangdong Zhiyuan New Material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JiuJiang JinXin Nonferrous Metals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Jiujiang Tanbre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Metallurgical Products India Pvt., Ltd.</w:t>
            </w:r>
          </w:p>
        </w:tc>
        <w:tc>
          <w:tcPr>
            <w:tcW w:w="2200" w:type="dxa"/>
            <w:vAlign w:val="bottom"/>
          </w:tcPr>
          <w:p>
            <w:pPr>
              <w:ind w:left="60"/>
              <w:spacing w:after="0"/>
              <w:rPr>
                <w:sz w:val="20"/>
                <w:szCs w:val="20"/>
                <w:color w:val="auto"/>
              </w:rPr>
            </w:pPr>
            <w:r>
              <w:rPr>
                <w:rFonts w:ascii="Arial" w:cs="Arial" w:eastAsia="Arial" w:hAnsi="Arial"/>
                <w:sz w:val="18"/>
                <w:szCs w:val="18"/>
                <w:color w:val="auto"/>
              </w:rPr>
              <w:t>India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NPM Silmet AS</w:t>
            </w:r>
          </w:p>
        </w:tc>
        <w:tc>
          <w:tcPr>
            <w:tcW w:w="2200" w:type="dxa"/>
            <w:vAlign w:val="bottom"/>
          </w:tcPr>
          <w:p>
            <w:pPr>
              <w:ind w:left="60"/>
              <w:spacing w:after="0"/>
              <w:rPr>
                <w:sz w:val="20"/>
                <w:szCs w:val="20"/>
                <w:color w:val="auto"/>
              </w:rPr>
            </w:pPr>
            <w:r>
              <w:rPr>
                <w:rFonts w:ascii="Arial" w:cs="Arial" w:eastAsia="Arial" w:hAnsi="Arial"/>
                <w:sz w:val="18"/>
                <w:szCs w:val="18"/>
                <w:color w:val="auto"/>
              </w:rPr>
              <w:t>Estonia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Ningxia Orient Tantalum Industry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Yanling Jincheng Tantalum &amp; Niobium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Ulba Metallurgical Plant JSC</w:t>
            </w:r>
          </w:p>
        </w:tc>
        <w:tc>
          <w:tcPr>
            <w:tcW w:w="2200" w:type="dxa"/>
            <w:vAlign w:val="bottom"/>
          </w:tcPr>
          <w:p>
            <w:pPr>
              <w:ind w:left="60"/>
              <w:spacing w:after="0"/>
              <w:rPr>
                <w:sz w:val="20"/>
                <w:szCs w:val="20"/>
                <w:color w:val="auto"/>
              </w:rPr>
            </w:pPr>
            <w:r>
              <w:rPr>
                <w:rFonts w:ascii="Arial" w:cs="Arial" w:eastAsia="Arial" w:hAnsi="Arial"/>
                <w:sz w:val="18"/>
                <w:szCs w:val="18"/>
                <w:color w:val="auto"/>
              </w:rPr>
              <w:t>Kazakhstan</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w w:val="95"/>
              </w:rPr>
              <w:t>Hengyang King Xing Lifeng New Materials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D Block Metals, LLC</w:t>
            </w:r>
          </w:p>
        </w:tc>
        <w:tc>
          <w:tcPr>
            <w:tcW w:w="2200" w:type="dxa"/>
            <w:vAlign w:val="bottom"/>
          </w:tcPr>
          <w:p>
            <w:pPr>
              <w:ind w:left="60"/>
              <w:spacing w:after="0"/>
              <w:rPr>
                <w:sz w:val="20"/>
                <w:szCs w:val="20"/>
                <w:color w:val="auto"/>
              </w:rPr>
            </w:pPr>
            <w:r>
              <w:rPr>
                <w:rFonts w:ascii="Arial" w:cs="Arial" w:eastAsia="Arial" w:hAnsi="Arial"/>
                <w:sz w:val="18"/>
                <w:szCs w:val="18"/>
                <w:color w:val="auto"/>
              </w:rPr>
              <w:t>United States of America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FIR Metals &amp; Resource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TANIOBIS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Thailand</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TANIOBIS GmbH</w:t>
            </w:r>
          </w:p>
        </w:tc>
        <w:tc>
          <w:tcPr>
            <w:tcW w:w="220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H.C. Starck Hermsdorf GmbH</w:t>
            </w:r>
          </w:p>
        </w:tc>
        <w:tc>
          <w:tcPr>
            <w:tcW w:w="220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H.C. Starck Inc.</w:t>
            </w:r>
          </w:p>
        </w:tc>
        <w:tc>
          <w:tcPr>
            <w:tcW w:w="2200" w:type="dxa"/>
            <w:vAlign w:val="bottom"/>
          </w:tcPr>
          <w:p>
            <w:pPr>
              <w:ind w:left="60"/>
              <w:spacing w:after="0"/>
              <w:rPr>
                <w:sz w:val="20"/>
                <w:szCs w:val="20"/>
                <w:color w:val="auto"/>
              </w:rPr>
            </w:pPr>
            <w:r>
              <w:rPr>
                <w:rFonts w:ascii="Arial" w:cs="Arial" w:eastAsia="Arial" w:hAnsi="Arial"/>
                <w:sz w:val="18"/>
                <w:szCs w:val="18"/>
                <w:color w:val="auto"/>
              </w:rPr>
              <w:t>United States of America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TANIOBIS Japan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Japan</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TANIOBIS Smelting GmbH &amp; Co. KG</w:t>
            </w:r>
          </w:p>
        </w:tc>
        <w:tc>
          <w:tcPr>
            <w:tcW w:w="220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Global Advanced Metals Boyertown</w:t>
            </w:r>
          </w:p>
        </w:tc>
        <w:tc>
          <w:tcPr>
            <w:tcW w:w="2200" w:type="dxa"/>
            <w:vAlign w:val="bottom"/>
          </w:tcPr>
          <w:p>
            <w:pPr>
              <w:ind w:left="60"/>
              <w:spacing w:after="0"/>
              <w:rPr>
                <w:sz w:val="20"/>
                <w:szCs w:val="20"/>
                <w:color w:val="auto"/>
              </w:rPr>
            </w:pPr>
            <w:r>
              <w:rPr>
                <w:rFonts w:ascii="Arial" w:cs="Arial" w:eastAsia="Arial" w:hAnsi="Arial"/>
                <w:sz w:val="18"/>
                <w:szCs w:val="18"/>
                <w:color w:val="auto"/>
              </w:rPr>
              <w:t>United States of America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Global Advanced Metals Aizu</w:t>
            </w:r>
          </w:p>
        </w:tc>
        <w:tc>
          <w:tcPr>
            <w:tcW w:w="2200" w:type="dxa"/>
            <w:vAlign w:val="bottom"/>
          </w:tcPr>
          <w:p>
            <w:pPr>
              <w:ind w:left="60"/>
              <w:spacing w:after="0"/>
              <w:rPr>
                <w:sz w:val="20"/>
                <w:szCs w:val="20"/>
                <w:color w:val="auto"/>
              </w:rPr>
            </w:pPr>
            <w:r>
              <w:rPr>
                <w:rFonts w:ascii="Arial" w:cs="Arial" w:eastAsia="Arial" w:hAnsi="Arial"/>
                <w:sz w:val="18"/>
                <w:szCs w:val="18"/>
                <w:color w:val="auto"/>
              </w:rPr>
              <w:t>Japan</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Tantalum</w:t>
            </w:r>
          </w:p>
        </w:tc>
        <w:tc>
          <w:tcPr>
            <w:tcW w:w="5440" w:type="dxa"/>
            <w:vAlign w:val="bottom"/>
          </w:tcPr>
          <w:p>
            <w:pPr>
              <w:ind w:left="1500"/>
              <w:spacing w:after="0"/>
              <w:rPr>
                <w:sz w:val="20"/>
                <w:szCs w:val="20"/>
                <w:color w:val="auto"/>
              </w:rPr>
            </w:pPr>
            <w:r>
              <w:rPr>
                <w:rFonts w:ascii="Arial" w:cs="Arial" w:eastAsia="Arial" w:hAnsi="Arial"/>
                <w:sz w:val="18"/>
                <w:szCs w:val="18"/>
                <w:color w:val="auto"/>
              </w:rPr>
              <w:t>Jiangxi Tuohong New Raw Material</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Alpha</w:t>
            </w:r>
          </w:p>
        </w:tc>
        <w:tc>
          <w:tcPr>
            <w:tcW w:w="2200" w:type="dxa"/>
            <w:vAlign w:val="bottom"/>
          </w:tcPr>
          <w:p>
            <w:pPr>
              <w:ind w:left="60"/>
              <w:spacing w:after="0"/>
              <w:rPr>
                <w:sz w:val="20"/>
                <w:szCs w:val="20"/>
                <w:color w:val="auto"/>
              </w:rPr>
            </w:pPr>
            <w:r>
              <w:rPr>
                <w:rFonts w:ascii="Arial" w:cs="Arial" w:eastAsia="Arial" w:hAnsi="Arial"/>
                <w:sz w:val="18"/>
                <w:szCs w:val="18"/>
                <w:color w:val="auto"/>
              </w:rPr>
              <w:t>United States of America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Dowa</w:t>
            </w:r>
          </w:p>
        </w:tc>
        <w:tc>
          <w:tcPr>
            <w:tcW w:w="2200" w:type="dxa"/>
            <w:vAlign w:val="bottom"/>
          </w:tcPr>
          <w:p>
            <w:pPr>
              <w:ind w:left="60"/>
              <w:spacing w:after="0"/>
              <w:rPr>
                <w:sz w:val="20"/>
                <w:szCs w:val="20"/>
                <w:color w:val="auto"/>
              </w:rPr>
            </w:pPr>
            <w:r>
              <w:rPr>
                <w:rFonts w:ascii="Arial" w:cs="Arial" w:eastAsia="Arial" w:hAnsi="Arial"/>
                <w:sz w:val="18"/>
                <w:szCs w:val="18"/>
                <w:color w:val="auto"/>
              </w:rPr>
              <w:t>Japan</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EM Vinto</w:t>
            </w:r>
          </w:p>
        </w:tc>
        <w:tc>
          <w:tcPr>
            <w:tcW w:w="2200" w:type="dxa"/>
            <w:vAlign w:val="bottom"/>
          </w:tcPr>
          <w:p>
            <w:pPr>
              <w:ind w:left="60"/>
              <w:spacing w:after="0"/>
              <w:rPr>
                <w:sz w:val="20"/>
                <w:szCs w:val="20"/>
                <w:color w:val="auto"/>
              </w:rPr>
            </w:pPr>
            <w:r>
              <w:rPr>
                <w:rFonts w:ascii="Arial" w:cs="Arial" w:eastAsia="Arial" w:hAnsi="Arial"/>
                <w:sz w:val="18"/>
                <w:szCs w:val="18"/>
                <w:color w:val="auto"/>
                <w:w w:val="92"/>
              </w:rPr>
              <w:t>Bolivia, Plurinational State of</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Fenix Metals</w:t>
            </w:r>
          </w:p>
        </w:tc>
        <w:tc>
          <w:tcPr>
            <w:tcW w:w="2200" w:type="dxa"/>
            <w:vAlign w:val="bottom"/>
          </w:tcPr>
          <w:p>
            <w:pPr>
              <w:ind w:left="60"/>
              <w:spacing w:after="0"/>
              <w:rPr>
                <w:sz w:val="20"/>
                <w:szCs w:val="20"/>
                <w:color w:val="auto"/>
              </w:rPr>
            </w:pPr>
            <w:r>
              <w:rPr>
                <w:rFonts w:ascii="Arial" w:cs="Arial" w:eastAsia="Arial" w:hAnsi="Arial"/>
                <w:sz w:val="18"/>
                <w:szCs w:val="18"/>
                <w:color w:val="auto"/>
              </w:rPr>
              <w:t>Poland</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Gejiu Non-Ferrous Metal Processing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Huichang Jinshunda Tin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Gejiu Kai Meng Industry and Trade LLC</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China Tin Group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Malaysia Smelting Corporation (MSC)</w:t>
            </w:r>
          </w:p>
        </w:tc>
        <w:tc>
          <w:tcPr>
            <w:tcW w:w="2200" w:type="dxa"/>
            <w:vAlign w:val="bottom"/>
          </w:tcPr>
          <w:p>
            <w:pPr>
              <w:ind w:left="60"/>
              <w:spacing w:after="0"/>
              <w:rPr>
                <w:sz w:val="20"/>
                <w:szCs w:val="20"/>
                <w:color w:val="auto"/>
              </w:rPr>
            </w:pPr>
            <w:r>
              <w:rPr>
                <w:rFonts w:ascii="Arial" w:cs="Arial" w:eastAsia="Arial" w:hAnsi="Arial"/>
                <w:sz w:val="18"/>
                <w:szCs w:val="18"/>
                <w:color w:val="auto"/>
              </w:rPr>
              <w:t>Malaysia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Metallic Resources, Inc.</w:t>
            </w:r>
          </w:p>
        </w:tc>
        <w:tc>
          <w:tcPr>
            <w:tcW w:w="2200" w:type="dxa"/>
            <w:vAlign w:val="bottom"/>
          </w:tcPr>
          <w:p>
            <w:pPr>
              <w:ind w:left="60"/>
              <w:spacing w:after="0"/>
              <w:rPr>
                <w:sz w:val="20"/>
                <w:szCs w:val="20"/>
                <w:color w:val="auto"/>
              </w:rPr>
            </w:pPr>
            <w:r>
              <w:rPr>
                <w:rFonts w:ascii="Arial" w:cs="Arial" w:eastAsia="Arial" w:hAnsi="Arial"/>
                <w:sz w:val="18"/>
                <w:szCs w:val="18"/>
                <w:color w:val="auto"/>
              </w:rPr>
              <w:t>United States of America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Mineracao Taboca S.A.</w:t>
            </w:r>
          </w:p>
        </w:tc>
        <w:tc>
          <w:tcPr>
            <w:tcW w:w="2200" w:type="dxa"/>
            <w:vAlign w:val="bottom"/>
          </w:tcPr>
          <w:p>
            <w:pPr>
              <w:ind w:left="60"/>
              <w:spacing w:after="0"/>
              <w:rPr>
                <w:sz w:val="20"/>
                <w:szCs w:val="20"/>
                <w:color w:val="auto"/>
              </w:rPr>
            </w:pPr>
            <w:r>
              <w:rPr>
                <w:rFonts w:ascii="Arial" w:cs="Arial" w:eastAsia="Arial" w:hAnsi="Arial"/>
                <w:sz w:val="18"/>
                <w:szCs w:val="18"/>
                <w:color w:val="auto"/>
              </w:rPr>
              <w:t>Brazil</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Minsur</w:t>
            </w:r>
          </w:p>
        </w:tc>
        <w:tc>
          <w:tcPr>
            <w:tcW w:w="2200" w:type="dxa"/>
            <w:vAlign w:val="bottom"/>
          </w:tcPr>
          <w:p>
            <w:pPr>
              <w:ind w:left="60"/>
              <w:spacing w:after="0"/>
              <w:rPr>
                <w:sz w:val="20"/>
                <w:szCs w:val="20"/>
                <w:color w:val="auto"/>
              </w:rPr>
            </w:pPr>
            <w:r>
              <w:rPr>
                <w:rFonts w:ascii="Arial" w:cs="Arial" w:eastAsia="Arial" w:hAnsi="Arial"/>
                <w:sz w:val="18"/>
                <w:szCs w:val="18"/>
                <w:color w:val="auto"/>
              </w:rPr>
              <w:t>Peru</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Mitsubishi Materials Corporation</w:t>
            </w:r>
          </w:p>
        </w:tc>
        <w:tc>
          <w:tcPr>
            <w:tcW w:w="2200" w:type="dxa"/>
            <w:vAlign w:val="bottom"/>
          </w:tcPr>
          <w:p>
            <w:pPr>
              <w:ind w:left="60"/>
              <w:spacing w:after="0"/>
              <w:rPr>
                <w:sz w:val="20"/>
                <w:szCs w:val="20"/>
                <w:color w:val="auto"/>
              </w:rPr>
            </w:pPr>
            <w:r>
              <w:rPr>
                <w:rFonts w:ascii="Arial" w:cs="Arial" w:eastAsia="Arial" w:hAnsi="Arial"/>
                <w:sz w:val="18"/>
                <w:szCs w:val="18"/>
                <w:color w:val="auto"/>
              </w:rPr>
              <w:t>Japan</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Jiangxi New Nanshan Technology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Operaciones Metalurgicas S.A.</w:t>
            </w:r>
          </w:p>
        </w:tc>
        <w:tc>
          <w:tcPr>
            <w:tcW w:w="2200" w:type="dxa"/>
            <w:vAlign w:val="bottom"/>
          </w:tcPr>
          <w:p>
            <w:pPr>
              <w:ind w:left="60"/>
              <w:spacing w:after="0"/>
              <w:rPr>
                <w:sz w:val="20"/>
                <w:szCs w:val="20"/>
                <w:color w:val="auto"/>
              </w:rPr>
            </w:pPr>
            <w:r>
              <w:rPr>
                <w:rFonts w:ascii="Arial" w:cs="Arial" w:eastAsia="Arial" w:hAnsi="Arial"/>
                <w:sz w:val="18"/>
                <w:szCs w:val="18"/>
                <w:color w:val="auto"/>
                <w:w w:val="92"/>
              </w:rPr>
              <w:t>Bolivia, Plurinational State of</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PT Artha Cipta Langgeng</w:t>
            </w:r>
          </w:p>
        </w:tc>
        <w:tc>
          <w:tcPr>
            <w:tcW w:w="220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PT Mitra Stania Prima</w:t>
            </w:r>
          </w:p>
        </w:tc>
        <w:tc>
          <w:tcPr>
            <w:tcW w:w="220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Smelter not listed</w:t>
            </w:r>
          </w:p>
        </w:tc>
        <w:tc>
          <w:tcPr>
            <w:tcW w:w="220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PT Refined Bangka Tin</w:t>
            </w:r>
          </w:p>
        </w:tc>
        <w:tc>
          <w:tcPr>
            <w:tcW w:w="220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PT Timah Tbk Kundur</w:t>
            </w:r>
          </w:p>
        </w:tc>
        <w:tc>
          <w:tcPr>
            <w:tcW w:w="220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PT Timah Tbk Mentok</w:t>
            </w:r>
          </w:p>
        </w:tc>
        <w:tc>
          <w:tcPr>
            <w:tcW w:w="220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Rui Da Hung</w:t>
            </w:r>
          </w:p>
        </w:tc>
        <w:tc>
          <w:tcPr>
            <w:tcW w:w="2200" w:type="dxa"/>
            <w:vAlign w:val="bottom"/>
          </w:tcPr>
          <w:p>
            <w:pPr>
              <w:ind w:left="60"/>
              <w:spacing w:after="0"/>
              <w:rPr>
                <w:sz w:val="20"/>
                <w:szCs w:val="20"/>
                <w:color w:val="auto"/>
              </w:rPr>
            </w:pPr>
            <w:r>
              <w:rPr>
                <w:rFonts w:ascii="Arial" w:cs="Arial" w:eastAsia="Arial" w:hAnsi="Arial"/>
                <w:sz w:val="18"/>
                <w:szCs w:val="18"/>
                <w:color w:val="auto"/>
              </w:rPr>
              <w:t>Taiwan, Province of 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Thaisarco</w:t>
            </w:r>
          </w:p>
        </w:tc>
        <w:tc>
          <w:tcPr>
            <w:tcW w:w="2200" w:type="dxa"/>
            <w:vAlign w:val="bottom"/>
          </w:tcPr>
          <w:p>
            <w:pPr>
              <w:ind w:left="60"/>
              <w:spacing w:after="0"/>
              <w:rPr>
                <w:sz w:val="20"/>
                <w:szCs w:val="20"/>
                <w:color w:val="auto"/>
              </w:rPr>
            </w:pPr>
            <w:r>
              <w:rPr>
                <w:rFonts w:ascii="Arial" w:cs="Arial" w:eastAsia="Arial" w:hAnsi="Arial"/>
                <w:sz w:val="18"/>
                <w:szCs w:val="18"/>
                <w:color w:val="auto"/>
              </w:rPr>
              <w:t>Thailand</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White Solder Metalurgia e Mineracao Ltda.</w:t>
            </w:r>
          </w:p>
        </w:tc>
        <w:tc>
          <w:tcPr>
            <w:tcW w:w="2200" w:type="dxa"/>
            <w:vAlign w:val="bottom"/>
          </w:tcPr>
          <w:p>
            <w:pPr>
              <w:ind w:left="60"/>
              <w:spacing w:after="0"/>
              <w:rPr>
                <w:sz w:val="20"/>
                <w:szCs w:val="20"/>
                <w:color w:val="auto"/>
              </w:rPr>
            </w:pPr>
            <w:r>
              <w:rPr>
                <w:rFonts w:ascii="Arial" w:cs="Arial" w:eastAsia="Arial" w:hAnsi="Arial"/>
                <w:sz w:val="18"/>
                <w:szCs w:val="18"/>
                <w:color w:val="auto"/>
              </w:rPr>
              <w:t>Brazil</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Yunnan Chengfeng Non-ferrous Metals Co., Ltd.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Yunnan Tin Company Limited</w:t>
            </w:r>
          </w:p>
        </w:tc>
        <w:tc>
          <w:tcPr>
            <w:tcW w:w="220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Tin</w:t>
            </w:r>
          </w:p>
        </w:tc>
        <w:tc>
          <w:tcPr>
            <w:tcW w:w="5440" w:type="dxa"/>
            <w:vAlign w:val="bottom"/>
          </w:tcPr>
          <w:p>
            <w:pPr>
              <w:ind w:left="1500"/>
              <w:spacing w:after="0"/>
              <w:rPr>
                <w:sz w:val="20"/>
                <w:szCs w:val="20"/>
                <w:color w:val="auto"/>
              </w:rPr>
            </w:pPr>
            <w:r>
              <w:rPr>
                <w:rFonts w:ascii="Arial" w:cs="Arial" w:eastAsia="Arial" w:hAnsi="Arial"/>
                <w:sz w:val="18"/>
                <w:szCs w:val="18"/>
                <w:color w:val="auto"/>
              </w:rPr>
              <w:t>PT ATD Makmur Mandiri Jaya</w:t>
            </w:r>
          </w:p>
        </w:tc>
        <w:tc>
          <w:tcPr>
            <w:tcW w:w="220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364"/>
        </w:trPr>
        <w:tc>
          <w:tcPr>
            <w:tcW w:w="2200" w:type="dxa"/>
            <w:vAlign w:val="bottom"/>
          </w:tcPr>
          <w:p>
            <w:pPr>
              <w:spacing w:after="0"/>
              <w:rPr>
                <w:sz w:val="24"/>
                <w:szCs w:val="24"/>
                <w:color w:val="auto"/>
              </w:rPr>
            </w:pPr>
          </w:p>
        </w:tc>
        <w:tc>
          <w:tcPr>
            <w:tcW w:w="5440" w:type="dxa"/>
            <w:vAlign w:val="bottom"/>
          </w:tcPr>
          <w:p>
            <w:pPr>
              <w:ind w:left="3260"/>
              <w:spacing w:after="0"/>
              <w:rPr>
                <w:sz w:val="20"/>
                <w:szCs w:val="20"/>
                <w:color w:val="auto"/>
              </w:rPr>
            </w:pPr>
            <w:r>
              <w:rPr>
                <w:rFonts w:ascii="Arial" w:cs="Arial" w:eastAsia="Arial" w:hAnsi="Arial"/>
                <w:sz w:val="18"/>
                <w:szCs w:val="18"/>
                <w:color w:val="auto"/>
              </w:rPr>
              <w:t>6</w:t>
            </w:r>
          </w:p>
        </w:tc>
        <w:tc>
          <w:tcPr>
            <w:tcW w:w="2200" w:type="dxa"/>
            <w:vAlign w:val="bottom"/>
          </w:tcPr>
          <w:p>
            <w:pPr>
              <w:spacing w:after="0"/>
              <w:rPr>
                <w:sz w:val="24"/>
                <w:szCs w:val="24"/>
                <w:color w:val="auto"/>
              </w:rPr>
            </w:pPr>
          </w:p>
        </w:tc>
      </w:tr>
    </w:tbl>
    <w:p>
      <w:pPr>
        <w:sectPr>
          <w:pgSz w:w="11900" w:h="16838" w:orient="portrait"/>
          <w:cols w:equalWidth="0" w:num="1">
            <w:col w:w="10019"/>
          </w:cols>
          <w:pgMar w:left="440" w:top="274"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Tin</w:t>
            </w:r>
          </w:p>
        </w:tc>
        <w:tc>
          <w:tcPr>
            <w:tcW w:w="5980" w:type="dxa"/>
            <w:vAlign w:val="bottom"/>
          </w:tcPr>
          <w:p>
            <w:pPr>
              <w:ind w:left="1280"/>
              <w:spacing w:after="0"/>
              <w:rPr>
                <w:sz w:val="20"/>
                <w:szCs w:val="20"/>
                <w:color w:val="auto"/>
              </w:rPr>
            </w:pPr>
            <w:r>
              <w:rPr>
                <w:rFonts w:ascii="Arial" w:cs="Arial" w:eastAsia="Arial" w:hAnsi="Arial"/>
                <w:sz w:val="18"/>
                <w:szCs w:val="18"/>
                <w:color w:val="auto"/>
              </w:rPr>
              <w:t>Metallo Belgium N.V.</w:t>
            </w:r>
          </w:p>
        </w:tc>
        <w:tc>
          <w:tcPr>
            <w:tcW w:w="1880" w:type="dxa"/>
            <w:vAlign w:val="bottom"/>
          </w:tcPr>
          <w:p>
            <w:pPr>
              <w:ind w:left="60"/>
              <w:spacing w:after="0"/>
              <w:rPr>
                <w:sz w:val="20"/>
                <w:szCs w:val="20"/>
                <w:color w:val="auto"/>
              </w:rPr>
            </w:pPr>
            <w:r>
              <w:rPr>
                <w:rFonts w:ascii="Arial" w:cs="Arial" w:eastAsia="Arial" w:hAnsi="Arial"/>
                <w:sz w:val="18"/>
                <w:szCs w:val="18"/>
                <w:color w:val="auto"/>
              </w:rPr>
              <w:t>Belgium</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Tin</w:t>
            </w:r>
          </w:p>
        </w:tc>
        <w:tc>
          <w:tcPr>
            <w:tcW w:w="5980" w:type="dxa"/>
            <w:vAlign w:val="bottom"/>
          </w:tcPr>
          <w:p>
            <w:pPr>
              <w:ind w:left="1280"/>
              <w:spacing w:after="0"/>
              <w:rPr>
                <w:sz w:val="20"/>
                <w:szCs w:val="20"/>
                <w:color w:val="auto"/>
              </w:rPr>
            </w:pPr>
            <w:r>
              <w:rPr>
                <w:rFonts w:ascii="Arial" w:cs="Arial" w:eastAsia="Arial" w:hAnsi="Arial"/>
                <w:sz w:val="18"/>
                <w:szCs w:val="18"/>
                <w:color w:val="auto"/>
              </w:rPr>
              <w:t>Thai Nguyen Mining and Metallurgy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Vietnam</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Tin</w:t>
            </w:r>
          </w:p>
        </w:tc>
        <w:tc>
          <w:tcPr>
            <w:tcW w:w="5980" w:type="dxa"/>
            <w:vAlign w:val="bottom"/>
          </w:tcPr>
          <w:p>
            <w:pPr>
              <w:ind w:left="1280"/>
              <w:spacing w:after="0"/>
              <w:rPr>
                <w:sz w:val="20"/>
                <w:szCs w:val="20"/>
                <w:color w:val="auto"/>
              </w:rPr>
            </w:pPr>
            <w:r>
              <w:rPr>
                <w:rFonts w:ascii="Arial" w:cs="Arial" w:eastAsia="Arial" w:hAnsi="Arial"/>
                <w:sz w:val="18"/>
                <w:szCs w:val="18"/>
                <w:color w:val="auto"/>
              </w:rPr>
              <w:t>Smelter not listed</w:t>
            </w:r>
          </w:p>
        </w:tc>
        <w:tc>
          <w:tcPr>
            <w:tcW w:w="1880" w:type="dxa"/>
            <w:vAlign w:val="bottom"/>
          </w:tcPr>
          <w:p>
            <w:pPr>
              <w:ind w:left="60"/>
              <w:spacing w:after="0"/>
              <w:rPr>
                <w:sz w:val="20"/>
                <w:szCs w:val="20"/>
                <w:color w:val="auto"/>
              </w:rPr>
            </w:pPr>
            <w:r>
              <w:rPr>
                <w:rFonts w:ascii="Arial" w:cs="Arial" w:eastAsia="Arial" w:hAnsi="Arial"/>
                <w:sz w:val="18"/>
                <w:szCs w:val="18"/>
                <w:color w:val="auto"/>
              </w:rPr>
              <w:t>Indonesia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Tin</w:t>
            </w:r>
          </w:p>
        </w:tc>
        <w:tc>
          <w:tcPr>
            <w:tcW w:w="5980" w:type="dxa"/>
            <w:vAlign w:val="bottom"/>
          </w:tcPr>
          <w:p>
            <w:pPr>
              <w:ind w:left="1280"/>
              <w:spacing w:after="0"/>
              <w:rPr>
                <w:sz w:val="20"/>
                <w:szCs w:val="20"/>
                <w:color w:val="auto"/>
              </w:rPr>
            </w:pPr>
            <w:r>
              <w:rPr>
                <w:rFonts w:ascii="Arial" w:cs="Arial" w:eastAsia="Arial" w:hAnsi="Arial"/>
                <w:sz w:val="18"/>
                <w:szCs w:val="18"/>
                <w:color w:val="auto"/>
              </w:rPr>
              <w:t>Guangdong Hanhe Non-Ferrous Metal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Tin</w:t>
            </w:r>
          </w:p>
        </w:tc>
        <w:tc>
          <w:tcPr>
            <w:tcW w:w="5980" w:type="dxa"/>
            <w:vAlign w:val="bottom"/>
          </w:tcPr>
          <w:p>
            <w:pPr>
              <w:ind w:left="1280"/>
              <w:spacing w:after="0"/>
              <w:rPr>
                <w:sz w:val="20"/>
                <w:szCs w:val="20"/>
                <w:color w:val="auto"/>
              </w:rPr>
            </w:pPr>
            <w:r>
              <w:rPr>
                <w:rFonts w:ascii="Arial" w:cs="Arial" w:eastAsia="Arial" w:hAnsi="Arial"/>
                <w:sz w:val="18"/>
                <w:szCs w:val="18"/>
                <w:color w:val="auto"/>
              </w:rPr>
              <w:t>Tin Technology &amp; Refining</w:t>
            </w:r>
          </w:p>
        </w:tc>
        <w:tc>
          <w:tcPr>
            <w:tcW w:w="1880" w:type="dxa"/>
            <w:vAlign w:val="bottom"/>
          </w:tcPr>
          <w:p>
            <w:pPr>
              <w:ind w:left="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Tin</w:t>
            </w:r>
          </w:p>
        </w:tc>
        <w:tc>
          <w:tcPr>
            <w:tcW w:w="5980" w:type="dxa"/>
            <w:vAlign w:val="bottom"/>
          </w:tcPr>
          <w:p>
            <w:pPr>
              <w:ind w:left="1280"/>
              <w:spacing w:after="0"/>
              <w:rPr>
                <w:sz w:val="20"/>
                <w:szCs w:val="20"/>
                <w:color w:val="auto"/>
              </w:rPr>
            </w:pPr>
            <w:r>
              <w:rPr>
                <w:rFonts w:ascii="Arial" w:cs="Arial" w:eastAsia="Arial" w:hAnsi="Arial"/>
                <w:sz w:val="18"/>
                <w:szCs w:val="18"/>
                <w:color w:val="auto"/>
              </w:rPr>
              <w:t>Ma’anshan Weitai Tin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A.L.M.T. Corp.</w:t>
            </w:r>
          </w:p>
        </w:tc>
        <w:tc>
          <w:tcPr>
            <w:tcW w:w="1880" w:type="dxa"/>
            <w:vAlign w:val="bottom"/>
          </w:tcPr>
          <w:p>
            <w:pPr>
              <w:ind w:left="60"/>
              <w:spacing w:after="0"/>
              <w:rPr>
                <w:sz w:val="20"/>
                <w:szCs w:val="20"/>
                <w:color w:val="auto"/>
              </w:rPr>
            </w:pPr>
            <w:r>
              <w:rPr>
                <w:rFonts w:ascii="Arial" w:cs="Arial" w:eastAsia="Arial" w:hAnsi="Arial"/>
                <w:sz w:val="18"/>
                <w:szCs w:val="18"/>
                <w:color w:val="auto"/>
              </w:rPr>
              <w:t>Japan</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Kennametal Huntsville</w:t>
            </w:r>
          </w:p>
        </w:tc>
        <w:tc>
          <w:tcPr>
            <w:tcW w:w="1880" w:type="dxa"/>
            <w:vAlign w:val="bottom"/>
          </w:tcPr>
          <w:p>
            <w:pPr>
              <w:ind w:left="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Chongyi Zhangyuan Tungsten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Global Tungsten &amp; Powders Corp.</w:t>
            </w:r>
          </w:p>
        </w:tc>
        <w:tc>
          <w:tcPr>
            <w:tcW w:w="1880" w:type="dxa"/>
            <w:vAlign w:val="bottom"/>
          </w:tcPr>
          <w:p>
            <w:pPr>
              <w:ind w:left="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Hunan Chunchang Nonferrous Metals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Ganzhou Huaxing Tungsten Products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Xiamen Tungsten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w w:val="93"/>
              </w:rPr>
              <w:t>Jiangxi Tonggu Non-ferrous Metallurgical &amp; Chemical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Xiamen Tungsten (H.C.)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Ganzhou Seadragon W &amp; Mo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Chenzhou Diamond Tungsten Products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H.C. Starck Tungsten GmbH</w:t>
            </w:r>
          </w:p>
        </w:tc>
        <w:tc>
          <w:tcPr>
            <w:tcW w:w="188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H.C. Starck Smelting GmbH &amp; Co. KG</w:t>
            </w:r>
          </w:p>
        </w:tc>
        <w:tc>
          <w:tcPr>
            <w:tcW w:w="188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Masan Tungsten Chemical LLC (MTC)</w:t>
            </w:r>
          </w:p>
        </w:tc>
        <w:tc>
          <w:tcPr>
            <w:tcW w:w="1880" w:type="dxa"/>
            <w:vAlign w:val="bottom"/>
          </w:tcPr>
          <w:p>
            <w:pPr>
              <w:ind w:left="60"/>
              <w:spacing w:after="0"/>
              <w:rPr>
                <w:sz w:val="20"/>
                <w:szCs w:val="20"/>
                <w:color w:val="auto"/>
              </w:rPr>
            </w:pPr>
            <w:r>
              <w:rPr>
                <w:rFonts w:ascii="Arial" w:cs="Arial" w:eastAsia="Arial" w:hAnsi="Arial"/>
                <w:sz w:val="18"/>
                <w:szCs w:val="18"/>
                <w:color w:val="auto"/>
              </w:rPr>
              <w:t>Vietnam</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Tungsten</w:t>
            </w:r>
          </w:p>
        </w:tc>
        <w:tc>
          <w:tcPr>
            <w:tcW w:w="5980" w:type="dxa"/>
            <w:vAlign w:val="bottom"/>
          </w:tcPr>
          <w:p>
            <w:pPr>
              <w:ind w:left="1280"/>
              <w:spacing w:after="0"/>
              <w:rPr>
                <w:sz w:val="20"/>
                <w:szCs w:val="20"/>
                <w:color w:val="auto"/>
              </w:rPr>
            </w:pPr>
            <w:r>
              <w:rPr>
                <w:rFonts w:ascii="Arial" w:cs="Arial" w:eastAsia="Arial" w:hAnsi="Arial"/>
                <w:sz w:val="18"/>
                <w:szCs w:val="18"/>
                <w:color w:val="auto"/>
              </w:rPr>
              <w:t>Jiangwu H.C. Starck Tungsten Products Co., Ltd.</w:t>
            </w:r>
          </w:p>
        </w:tc>
        <w:tc>
          <w:tcPr>
            <w:tcW w:w="1880" w:type="dxa"/>
            <w:vAlign w:val="bottom"/>
          </w:tcPr>
          <w:p>
            <w:pPr>
              <w:ind w:left="60"/>
              <w:spacing w:after="0"/>
              <w:rPr>
                <w:sz w:val="20"/>
                <w:szCs w:val="20"/>
                <w:color w:val="auto"/>
              </w:rPr>
            </w:pPr>
            <w:r>
              <w:rPr>
                <w:rFonts w:ascii="Arial" w:cs="Arial" w:eastAsia="Arial" w:hAnsi="Arial"/>
                <w:sz w:val="18"/>
                <w:szCs w:val="18"/>
                <w:color w:val="auto"/>
              </w:rPr>
              <w:t>China</w:t>
            </w:r>
          </w:p>
        </w:tc>
      </w:tr>
      <w:tr>
        <w:trPr>
          <w:trHeight w:val="364"/>
        </w:trPr>
        <w:tc>
          <w:tcPr>
            <w:tcW w:w="1920" w:type="dxa"/>
            <w:vAlign w:val="bottom"/>
          </w:tcPr>
          <w:p>
            <w:pPr>
              <w:spacing w:after="0"/>
              <w:rPr>
                <w:sz w:val="24"/>
                <w:szCs w:val="24"/>
                <w:color w:val="auto"/>
              </w:rPr>
            </w:pPr>
          </w:p>
        </w:tc>
        <w:tc>
          <w:tcPr>
            <w:tcW w:w="5980" w:type="dxa"/>
            <w:vAlign w:val="bottom"/>
          </w:tcPr>
          <w:p>
            <w:pPr>
              <w:ind w:left="3540"/>
              <w:spacing w:after="0"/>
              <w:rPr>
                <w:sz w:val="20"/>
                <w:szCs w:val="20"/>
                <w:color w:val="auto"/>
              </w:rPr>
            </w:pPr>
            <w:r>
              <w:rPr>
                <w:rFonts w:ascii="Arial" w:cs="Arial" w:eastAsia="Arial" w:hAnsi="Arial"/>
                <w:sz w:val="18"/>
                <w:szCs w:val="18"/>
                <w:color w:val="auto"/>
              </w:rPr>
              <w:t>7</w:t>
            </w:r>
          </w:p>
        </w:tc>
        <w:tc>
          <w:tcPr>
            <w:tcW w:w="1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2021-06-01T15:14:32Z</dcterms:created>
  <dcterms:modified xsi:type="dcterms:W3CDTF">2021-06-01T15:14:32Z</dcterms:modified>
</cp:coreProperties>
</file>