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Young-Joon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02/27/2020</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3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6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rPr>
              <w:t>59,119</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217,516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rPr>
              <w:t>21,875</w:t>
            </w:r>
            <w:r>
              <w:rPr>
                <w:rFonts w:ascii="Arial" w:cs="Arial" w:eastAsia="Arial" w:hAnsi="Arial"/>
                <w:sz w:val="22"/>
                <w:szCs w:val="22"/>
                <w:color w:val="008000"/>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11.41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195,641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reflects shares of common stock issued in connection with the vesting of financial performance-based restricted stock units granted on October 22, 2019.</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21,875 shares of common stock to satisfy tax withholding obligations incurred by the Reporting Person upon the vesting of 59,119 shares of common stock issued in connection with the vesting of financial performance-based restricted stock units granted on October 22, 2019.</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Director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2020-03-02T15:12:49Z</dcterms:created>
  <dcterms:modified xsi:type="dcterms:W3CDTF">2020-03-02T15:12:49Z</dcterms:modified>
</cp:coreProperties>
</file>