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Parent.</w:t>
      </w:r>
    </w:p>
    <w:p>
      <w:pPr>
        <w:spacing w:after="0" w:line="192"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closing of the Merger was subject to certain conditions, including clearance by the Committee on Foreign Investment in the United States (“CFIUS”) under the Defense Production Act of 1950, as amended. As previously disclosed, the Company and Parent were advised that CFIUS clearance of the Merger will not be forthcoming and received permission from CFIUS to withdraw their joint filing. In connection therewith, the Company and Parent entered into a Termination and Settlement Agreement, dated December 13, 2021 (the “Termination Agreement”), which was attached as Exhibit 10.1 in the Registrant’s Current Report on Form 8-K, dated December 13, 2021.</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20, 2021, the Merger Agreement terminated pursuant to the Termination Agreement after the Company’s receipt of a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$51 million from Parent and a new standby letter of credit, which secures a deferred fee of $19.2 million from Parent due on or before March 31, 2022.</w:t>
      </w:r>
    </w:p>
    <w:p>
      <w:pPr>
        <w:sectPr>
          <w:pgSz w:w="11900" w:h="16838" w:orient="portrait"/>
          <w:cols w:equalWidth="0" w:num="1">
            <w:col w:w="10920"/>
          </w:cols>
          <w:pgMar w:left="440" w:top="297" w:right="5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2021-12-21T16:15:10Z</dcterms:created>
  <dcterms:modified xsi:type="dcterms:W3CDTF">2021-12-21T16:15:10Z</dcterms:modified>
</cp:coreProperties>
</file>