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February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120" w:type="dxa"/>
            <w:vAlign w:val="bottom"/>
          </w:tcPr>
          <w:p>
            <w:pPr>
              <w:jc w:val="center"/>
              <w:ind w:right="2318"/>
              <w:spacing w:after="0"/>
              <w:rPr>
                <w:sz w:val="20"/>
                <w:szCs w:val="20"/>
                <w:color w:val="auto"/>
              </w:rPr>
            </w:pPr>
            <w:r>
              <w:rPr>
                <w:rFonts w:ascii="Arial" w:cs="Arial" w:eastAsia="Arial" w:hAnsi="Arial"/>
                <w:sz w:val="18"/>
                <w:szCs w:val="18"/>
                <w:b w:val="1"/>
                <w:bCs w:val="1"/>
                <w:color w:val="auto"/>
                <w:w w:val="91"/>
              </w:rPr>
              <w:t>Delaware</w:t>
            </w:r>
          </w:p>
        </w:tc>
        <w:tc>
          <w:tcPr>
            <w:tcW w:w="2220" w:type="dxa"/>
            <w:vAlign w:val="bottom"/>
          </w:tcPr>
          <w:p>
            <w:pPr>
              <w:ind w:left="100"/>
              <w:spacing w:after="0"/>
              <w:rPr>
                <w:sz w:val="20"/>
                <w:szCs w:val="20"/>
                <w:color w:val="auto"/>
              </w:rPr>
            </w:pPr>
            <w:r>
              <w:rPr>
                <w:rFonts w:ascii="Arial" w:cs="Arial" w:eastAsia="Arial" w:hAnsi="Arial"/>
                <w:sz w:val="18"/>
                <w:szCs w:val="18"/>
                <w:b w:val="1"/>
                <w:bCs w:val="1"/>
                <w:color w:val="auto"/>
              </w:rPr>
              <w:t>001-34791</w:t>
            </w:r>
          </w:p>
        </w:tc>
        <w:tc>
          <w:tcPr>
            <w:tcW w:w="2480" w:type="dxa"/>
            <w:vAlign w:val="bottom"/>
          </w:tcPr>
          <w:p>
            <w:pPr>
              <w:jc w:val="center"/>
              <w:ind w:left="1241"/>
              <w:spacing w:after="0"/>
              <w:rPr>
                <w:sz w:val="20"/>
                <w:szCs w:val="20"/>
                <w:color w:val="auto"/>
              </w:rPr>
            </w:pPr>
            <w:r>
              <w:rPr>
                <w:rFonts w:ascii="Arial" w:cs="Arial" w:eastAsia="Arial" w:hAnsi="Arial"/>
                <w:sz w:val="18"/>
                <w:szCs w:val="18"/>
                <w:b w:val="1"/>
                <w:bCs w:val="1"/>
                <w:color w:val="auto"/>
                <w:w w:val="91"/>
              </w:rPr>
              <w:t>83-0406195</w:t>
            </w:r>
          </w:p>
        </w:tc>
      </w:tr>
      <w:tr>
        <w:trPr>
          <w:trHeight w:val="149"/>
        </w:trPr>
        <w:tc>
          <w:tcPr>
            <w:tcW w:w="4120" w:type="dxa"/>
            <w:vAlign w:val="bottom"/>
          </w:tcPr>
          <w:p>
            <w:pPr>
              <w:jc w:val="center"/>
              <w:ind w:right="23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338"/>
              <w:spacing w:after="0"/>
              <w:rPr>
                <w:sz w:val="20"/>
                <w:szCs w:val="20"/>
                <w:color w:val="auto"/>
              </w:rPr>
            </w:pPr>
            <w:r>
              <w:rPr>
                <w:rFonts w:ascii="Arial" w:cs="Arial" w:eastAsia="Arial" w:hAnsi="Arial"/>
                <w:sz w:val="14"/>
                <w:szCs w:val="14"/>
                <w:b w:val="1"/>
                <w:bCs w:val="1"/>
                <w:color w:val="auto"/>
                <w:w w:val="94"/>
              </w:rPr>
              <w:t>of Incorporation)</w:t>
            </w:r>
          </w:p>
        </w:tc>
        <w:tc>
          <w:tcPr>
            <w:tcW w:w="2220" w:type="dxa"/>
            <w:vAlign w:val="bottom"/>
          </w:tcPr>
          <w:p>
            <w:pPr>
              <w:ind w:left="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20" w:type="dxa"/>
            <w:vAlign w:val="bottom"/>
          </w:tcPr>
          <w:p>
            <w:pPr>
              <w:jc w:val="center"/>
              <w:ind w:left="1158"/>
              <w:spacing w:after="0"/>
              <w:rPr>
                <w:sz w:val="20"/>
                <w:szCs w:val="20"/>
                <w:color w:val="auto"/>
              </w:rPr>
            </w:pPr>
            <w:r>
              <w:rPr>
                <w:rFonts w:ascii="Arial" w:cs="Arial" w:eastAsia="Arial" w:hAnsi="Arial"/>
                <w:sz w:val="18"/>
                <w:szCs w:val="18"/>
                <w:b w:val="1"/>
                <w:bCs w:val="1"/>
                <w:color w:val="auto"/>
                <w:w w:val="90"/>
              </w:rPr>
              <w:t>c/o MagnaChip Semiconductor S.A.</w:t>
            </w:r>
          </w:p>
        </w:tc>
        <w:tc>
          <w:tcPr>
            <w:tcW w:w="22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6"/>
        </w:trPr>
        <w:tc>
          <w:tcPr>
            <w:tcW w:w="4120" w:type="dxa"/>
            <w:vAlign w:val="bottom"/>
          </w:tcPr>
          <w:p>
            <w:pPr>
              <w:jc w:val="center"/>
              <w:ind w:left="1158"/>
              <w:spacing w:after="0"/>
              <w:rPr>
                <w:sz w:val="20"/>
                <w:szCs w:val="20"/>
                <w:color w:val="auto"/>
              </w:rPr>
            </w:pPr>
            <w:r>
              <w:rPr>
                <w:rFonts w:ascii="Arial" w:cs="Arial" w:eastAsia="Arial" w:hAnsi="Arial"/>
                <w:sz w:val="18"/>
                <w:szCs w:val="18"/>
                <w:b w:val="1"/>
                <w:bCs w:val="1"/>
                <w:color w:val="auto"/>
                <w:w w:val="90"/>
              </w:rPr>
              <w:t>1, Allée Scheffer, L-2520</w:t>
            </w:r>
          </w:p>
        </w:tc>
        <w:tc>
          <w:tcPr>
            <w:tcW w:w="22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25"/>
        </w:trPr>
        <w:tc>
          <w:tcPr>
            <w:tcW w:w="6340" w:type="dxa"/>
            <w:vAlign w:val="bottom"/>
            <w:gridSpan w:val="2"/>
          </w:tcPr>
          <w:p>
            <w:pPr>
              <w:jc w:val="center"/>
              <w:ind w:right="902"/>
              <w:spacing w:after="0"/>
              <w:rPr>
                <w:sz w:val="20"/>
                <w:szCs w:val="20"/>
                <w:color w:val="auto"/>
              </w:rPr>
            </w:pPr>
            <w:r>
              <w:rPr>
                <w:rFonts w:ascii="Arial" w:cs="Arial" w:eastAsia="Arial" w:hAnsi="Arial"/>
                <w:sz w:val="18"/>
                <w:szCs w:val="18"/>
                <w:b w:val="1"/>
                <w:bCs w:val="1"/>
                <w:color w:val="auto"/>
                <w:w w:val="92"/>
              </w:rPr>
              <w:t>Luxembourg, Grand Duchy of Luxembourg</w:t>
            </w:r>
          </w:p>
        </w:tc>
        <w:tc>
          <w:tcPr>
            <w:tcW w:w="2480" w:type="dxa"/>
            <w:vAlign w:val="bottom"/>
          </w:tcPr>
          <w:p>
            <w:pPr>
              <w:jc w:val="center"/>
              <w:ind w:left="1241"/>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4120" w:type="dxa"/>
            <w:vAlign w:val="bottom"/>
          </w:tcPr>
          <w:p>
            <w:pPr>
              <w:jc w:val="center"/>
              <w:ind w:left="11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20" w:type="dxa"/>
            <w:vAlign w:val="bottom"/>
          </w:tcPr>
          <w:p>
            <w:pPr>
              <w:spacing w:after="0"/>
              <w:rPr>
                <w:sz w:val="16"/>
                <w:szCs w:val="16"/>
                <w:color w:val="auto"/>
              </w:rPr>
            </w:pPr>
          </w:p>
        </w:tc>
        <w:tc>
          <w:tcPr>
            <w:tcW w:w="248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ind w:right="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February 28, 2020, Jonathan Kim, Chief Financial Officer, Executive Vice President and Chief Accounting Officer of MagnaChip Semiconductor Corporation (the “Company”), notified the Company of his intention to resign from the positions of Chief Financial Officer and Executive Vice President, to be effective March 27, 2020. Mr. Jonathan Kim also resigned his position as Chief Accounting Officer, effective immediately, in connection with the appointment of a new Chief Accounting Officer described below. Mr. Jonathan Kim’s resignation was not due to any disagreement with the Company or any matter relating to the Company’s operations, accounting or other policies, or practices.</w:t>
      </w:r>
    </w:p>
    <w:p>
      <w:pPr>
        <w:spacing w:after="0" w:line="1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his resignation, the Company expects to enter into a customary separation agreement with Mr. Jonathan Kim, which is expected to also provide for continuing consulting services for a period of up to two months following his departure, the terms of which are not yet available. Pursuant to the instructions to Item 5.02 of Form 8-K, the Company will file a new or amended Form 8-K with respect to the terms of the separation agreement when such information is determined or becomes available.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Effective February 28, 2020, the Board of Directors of the Company (the “Board”) appointed Shinyoung Park as Chief Accounting Officer of the Company. Ms. Park will serve as the principal accounting officer of the Company, effective immediately.</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Ms. Park, 39, joined the Company in April 2014, and has been serving as the Company’s Corporate Controller since November 2018. Prior to joining the Company, from 2005 to March 2014, Ms. Park served in various senior advisory and audit service positions at Deloitte, a public accounting firm. From 2005 to 2009, she worked at Deloitte &amp; Touche in Chicago, Illinois; from 2009 to 2011 and then from 2013 to March 2014, she worked at Deloitte Anjin in Seoul, South Korea; and from 2011 to 2013, she worked at Deloitte in London, U.K. Ms. Park holds a B.A. degree in business administration from Sogang University, Seoul, Korea, and a Master’s degree in hospitality industry studies from New York University.</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There are no arrangements or understandings between Ms. Park and any other person pursuant to which she was appointed, nor are there are any family relationships between Ms. Park and any of the Company’s directors or other executive officers. Ms. Park does not have any material interest in any transactions, relationships or arrangements with the Company that would require disclosure under Item 404(a) of Regulation S-K promulgated under the Securities Exchange Act of 1934, as amended (the “Exchange Act”).</w:t>
      </w:r>
    </w:p>
    <w:p>
      <w:pPr>
        <w:spacing w:after="0" w:line="18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Effective upon Mr. Jonathan Kim’s resignation on March 27, 2020, the Board has appointed Theodore Kim, the Company’s Chief Compliance Officer, Executive Vice President, General Counsel and Secretary, to serve as principal financial officer of the Company on an interim basis. Mr. Theodore Kim is not expected to receive any additional compensation at this time for his interim role.</w:t>
      </w:r>
    </w:p>
    <w:p>
      <w:pPr>
        <w:spacing w:after="0" w:line="18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Mr. Theodore Kim, 50, became our Chief Compliance Officer and Executive Vice President in May 2015, and became our General Counsel and Secretary in November 2013. Mr. T. Kim previously served as our Senior Vice President from November 2013 to May 2015. Prior to joining our company, Mr. T. Kim served as Head Lawyer, Global Business Development at Samsung Fire &amp; Marine Insurance from October 2012 to October 2013. Mr. T. Kim was employed by Gibson, Dunn &amp; Crutcher LLP, a law firm, from October 2005 to July 2012, serving most recently as Of Counsel. Prior to that, he served as Foreign Legal Consultant at Kim &amp; Chang, a law firm in Korea, from 2001 to 2005, and prior to that, he worked as an associate attorney at Morrison &amp; Foerster LLP, a law firm, from 1997 to 2001. Mr. T. Kim holds a B.A. degree in Economics and a B.S. degree in Mechanical Engineering from the University of California, Irvine, and a J.D. degree from the University of California, Los Angeles, School of Law.</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There are no arrangements or understandings between Mr. Theodore Kim and any other person pursuant to which he was appointed, nor are there are any family relationships between Mr. Theodore Kim and any of the Company’s directors or other executive officers. Mr. Theodore Kim does not have any material interest in any transactions, relationships or arrangements with the Company that would require disclosure under Item 404(a) of Regulation S-K promulgated under the Exchange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On March 1, 2020, the Company issued a press release announcing the resignation and appointment described in Item 5.02 of this Form 8-K and commenting on its previously announced strategic evaluation of its Foundry business and Fab 4. A copy of the Company’s press release is furnished with this Form 8-K and attached hereto as Exhibit 99.1. The information in Exhibit 99.1 shall not be deemed “filed” for purposes of Section 18 of the Securities Exchange Act of 1934, as amended, or otherwise subject to the liabilities of that section, nor shall it be incorporated by reference into any registration document or other document filed by the Company.</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31"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291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of MagnaChip Semiconductor Corporation dated March 1, 2020.</w:t>
        </w:r>
      </w:hyperlink>
    </w:p>
    <w:p>
      <w:pPr>
        <w:sectPr>
          <w:pgSz w:w="11900" w:h="16838" w:orient="portrait"/>
          <w:cols w:equalWidth="0" w:num="1">
            <w:col w:w="10019"/>
          </w:cols>
          <w:pgMar w:left="440" w:top="270" w:right="1440"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20" w:val="left"/>
          <w:tab w:leader="none" w:pos="6040" w:val="left"/>
        </w:tabs>
        <w:rPr>
          <w:sz w:val="20"/>
          <w:szCs w:val="20"/>
          <w:color w:val="auto"/>
        </w:rPr>
      </w:pPr>
      <w:r>
        <w:rPr>
          <w:rFonts w:ascii="Arial" w:cs="Arial" w:eastAsia="Arial" w:hAnsi="Arial"/>
          <w:sz w:val="18"/>
          <w:szCs w:val="18"/>
          <w:color w:val="auto"/>
        </w:rPr>
        <w:t>Dated: March 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Compliance Officer, Executive Vice President, General</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0720"/>
          </w:cols>
          <w:pgMar w:left="440" w:top="270" w:right="7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2255520" cy="548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5552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699770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MagnaChip Semiconductor Announces CFO Transition</w:t>
      </w:r>
    </w:p>
    <w:p>
      <w:pPr>
        <w:spacing w:after="0" w:line="144"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-Shinyoung Park Appointed as Chief Accounting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Commences Executive Search for New CFO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-Strategic Evaluation Process for Foundry Business and Fab 4 Remains Ongoing</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SEOUL, South Korea and SAN JOSE, Calif., March 1, 2020 </w:t>
      </w:r>
      <w:r>
        <w:rPr>
          <w:rFonts w:ascii="Arial" w:cs="Arial" w:eastAsia="Arial" w:hAnsi="Arial"/>
          <w:sz w:val="17"/>
          <w:szCs w:val="17"/>
          <w:color w:val="auto"/>
        </w:rPr>
        <w:t>— MagnaChip Semiconductor Corporation (“MagnaChip” or the “Company”) (NYSE:</w:t>
      </w:r>
      <w:r>
        <w:rPr>
          <w:rFonts w:ascii="Arial" w:cs="Arial" w:eastAsia="Arial" w:hAnsi="Arial"/>
          <w:sz w:val="17"/>
          <w:szCs w:val="17"/>
          <w:b w:val="1"/>
          <w:bCs w:val="1"/>
          <w:color w:val="auto"/>
        </w:rPr>
        <w:t xml:space="preserve"> </w:t>
      </w:r>
      <w:r>
        <w:rPr>
          <w:rFonts w:ascii="Arial" w:cs="Arial" w:eastAsia="Arial" w:hAnsi="Arial"/>
          <w:sz w:val="17"/>
          <w:szCs w:val="17"/>
          <w:color w:val="auto"/>
        </w:rPr>
        <w:t>MX) today announced that Jonathan Kim, MagnaChip’s Chief Financial Officer, Executive Vice President and Chief Accounting Officer, is stepping down effective March 27, 2020 to pursue an executive opportunity outside of the semiconductor industry. Mr. Kim is expected to continue to serve in a consulting role for the Company through May 2020 to assist in the transition. The Company has initiated a search process to identify a permanent Chief Financial Officer and has retained an executive search firm to assist with the process.</w:t>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also announced that Shinyoung Park has been promoted to Chief Accounting Officer, effective immediately. Ms. Park has been with MagnaChip since 2014, most recently serving as Corporate Controller and as a member of the executive team. Prior to joining the Company, Ms. Park held various senior advisory and audit service positions for 10 years with Deloitte in three different locations—Chicago, Illinois, Seoul, South Korea and London, U.K.</w:t>
      </w:r>
    </w:p>
    <w:p>
      <w:pPr>
        <w:spacing w:after="0" w:line="187"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MagnaChip’s Chief Executive Officer, YJ Kim, said: “On behalf of the Board of Directors and the entire management team, I thank Jonathan for his numerous contributions to MagnaChip over the last 6 years.” Mr. Kim added, “Ms. Park is a highly valued member of the executive team, and we are fortunate that she will be continuing her leadership role in a strong finance and accounting team with a deep bench of talent.”</w:t>
      </w:r>
    </w:p>
    <w:p>
      <w:pPr>
        <w:spacing w:after="0" w:line="16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Jonathan Kim said, “It has been an honor to be a part of MagnaChip’s management team, serving its many stakeholders and assisting with the turnaround and growth of the Company. I wish to thank the Board, management team and employees of MagnaChip for their support during my tenure.”</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Strategic Evaluation Process for Foundry Business and Fab 4</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strategic evaluation process continues to make progress, including having discussions with multiple interested parties toward a possible sale of the Company’s Foundry business and Fab 4, as well as consideration of accretive business conversions and other options related to that business. Our decisions regarding the outcome of the various options of the strategic evaluation process will be guided by what the Board and management consider to be the best available path to improve MagnaChip’s profitability and to maximize shareholder value.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 Corporation</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MagnaChip is a designer and manufacturer of analog and mixed-signal semiconductor platform solutions for communications, IoT, consumer, industrial and automotive applications. The Company’s Standard Products Group and Foundry Services Group provide a broad range of standard products and manufacturing services to customers worldwide. MagnaChip, with 41 years of operating history, owns a portfolio of approximately 2,950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180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10"/>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In the United States:</w:t>
            </w:r>
          </w:p>
        </w:tc>
        <w:tc>
          <w:tcPr>
            <w:tcW w:w="1800" w:type="dxa"/>
            <w:vAlign w:val="bottom"/>
          </w:tcPr>
          <w:p>
            <w:pPr>
              <w:spacing w:after="0"/>
              <w:rPr>
                <w:sz w:val="24"/>
                <w:szCs w:val="24"/>
                <w:color w:val="auto"/>
              </w:rPr>
            </w:pPr>
          </w:p>
        </w:tc>
        <w:tc>
          <w:tcPr>
            <w:tcW w:w="2360" w:type="dxa"/>
            <w:vAlign w:val="bottom"/>
          </w:tcPr>
          <w:p>
            <w:pPr>
              <w:spacing w:after="0"/>
              <w:rPr>
                <w:sz w:val="20"/>
                <w:szCs w:val="20"/>
                <w:color w:val="auto"/>
              </w:rPr>
            </w:pPr>
            <w:r>
              <w:rPr>
                <w:rFonts w:ascii="Arial" w:cs="Arial" w:eastAsia="Arial" w:hAnsi="Arial"/>
                <w:sz w:val="18"/>
                <w:szCs w:val="18"/>
                <w:b w:val="1"/>
                <w:bCs w:val="1"/>
                <w:color w:val="auto"/>
              </w:rPr>
              <w:t>In Korea:</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Bruce Entin</w:t>
            </w:r>
          </w:p>
        </w:tc>
        <w:tc>
          <w:tcPr>
            <w:tcW w:w="18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Chankeun Park</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18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Director, Public Relations</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Tel. +1-408-625-1262</w:t>
            </w:r>
          </w:p>
        </w:tc>
        <w:tc>
          <w:tcPr>
            <w:tcW w:w="18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Tel. +82-2-6903-5223</w:t>
            </w:r>
          </w:p>
        </w:tc>
      </w:tr>
      <w:tr>
        <w:trPr>
          <w:trHeight w:val="190"/>
        </w:trPr>
        <w:tc>
          <w:tcPr>
            <w:tcW w:w="3940" w:type="dxa"/>
            <w:vAlign w:val="bottom"/>
            <w:gridSpan w:val="2"/>
          </w:tcPr>
          <w:p>
            <w:pPr>
              <w:spacing w:after="0" w:line="190" w:lineRule="exact"/>
              <w:rPr>
                <w:sz w:val="20"/>
                <w:szCs w:val="20"/>
                <w:color w:val="auto"/>
              </w:rPr>
            </w:pPr>
            <w:r>
              <w:rPr>
                <w:rFonts w:ascii="Arial" w:cs="Arial" w:eastAsia="Arial" w:hAnsi="Arial"/>
                <w:sz w:val="18"/>
                <w:szCs w:val="18"/>
                <w:color w:val="auto"/>
              </w:rPr>
              <w:t>Investor.relations@magnachip.com</w:t>
            </w:r>
          </w:p>
        </w:tc>
        <w:tc>
          <w:tcPr>
            <w:tcW w:w="1800" w:type="dxa"/>
            <w:vAlign w:val="bottom"/>
          </w:tcPr>
          <w:p>
            <w:pPr>
              <w:spacing w:after="0"/>
              <w:rPr>
                <w:sz w:val="16"/>
                <w:szCs w:val="16"/>
                <w:color w:val="auto"/>
              </w:rPr>
            </w:pPr>
          </w:p>
        </w:tc>
        <w:tc>
          <w:tcPr>
            <w:tcW w:w="2360" w:type="dxa"/>
            <w:vAlign w:val="bottom"/>
          </w:tcPr>
          <w:p>
            <w:pPr>
              <w:spacing w:after="0" w:line="190" w:lineRule="exact"/>
              <w:rPr>
                <w:sz w:val="20"/>
                <w:szCs w:val="20"/>
                <w:color w:val="auto"/>
              </w:rPr>
            </w:pPr>
            <w:r>
              <w:rPr>
                <w:rFonts w:ascii="Arial" w:cs="Arial" w:eastAsia="Arial" w:hAnsi="Arial"/>
                <w:sz w:val="18"/>
                <w:szCs w:val="18"/>
                <w:color w:val="auto"/>
                <w:w w:val="88"/>
              </w:rPr>
              <w:t>chankeun.park@magnachip.com</w:t>
            </w:r>
          </w:p>
        </w:tc>
      </w:tr>
      <w:tr>
        <w:trPr>
          <w:trHeight w:val="466"/>
        </w:trPr>
        <w:tc>
          <w:tcPr>
            <w:tcW w:w="256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 # #</w:t>
            </w:r>
          </w:p>
        </w:tc>
        <w:tc>
          <w:tcPr>
            <w:tcW w:w="2360" w:type="dxa"/>
            <w:vAlign w:val="bottom"/>
            <w:tcBorders>
              <w:top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2020-03-02T06:42:41Z</dcterms:created>
  <dcterms:modified xsi:type="dcterms:W3CDTF">2020-03-02T06:42:41Z</dcterms:modified>
</cp:coreProperties>
</file>