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MagnaChip Semiconductor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shares</w:t>
      </w:r>
    </w:p>
    <w:p>
      <w:pPr>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55933J203</w:t>
      </w:r>
    </w:p>
    <w:p>
      <w:pPr>
        <w:spacing w:after="0"/>
        <w:rPr>
          <w:sz w:val="20"/>
          <w:szCs w:val="20"/>
          <w:color w:val="auto"/>
        </w:rPr>
      </w:pPr>
      <w:r>
        <w:rPr>
          <w:rFonts w:ascii="Courier New" w:cs="Courier New" w:eastAsia="Courier New" w:hAnsi="Courier New"/>
          <w:sz w:val="18"/>
          <w:szCs w:val="18"/>
          <w:color w:val="auto"/>
        </w:rPr>
        <w:t>(CUSIP Number)</w:t>
      </w:r>
    </w:p>
    <w:p>
      <w:pPr>
        <w:spacing w:after="0" w:line="237" w:lineRule="auto"/>
        <w:rPr>
          <w:sz w:val="20"/>
          <w:szCs w:val="20"/>
          <w:color w:val="auto"/>
        </w:rPr>
      </w:pPr>
      <w:r>
        <w:rPr>
          <w:rFonts w:ascii="Courier New" w:cs="Courier New" w:eastAsia="Courier New" w:hAnsi="Courier New"/>
          <w:sz w:val="18"/>
          <w:szCs w:val="18"/>
          <w:color w:val="auto"/>
        </w:rPr>
        <w:t>16 April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right="275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1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cover page.</w:t>
      </w:r>
    </w:p>
    <w:p>
      <w:pPr>
        <w:spacing w:after="0" w:line="208" w:lineRule="exact"/>
        <w:rPr>
          <w:sz w:val="24"/>
          <w:szCs w:val="24"/>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55933J203</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Names of Reporting Persons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Assenagon S.A., Assenagon Asset Management S.A.</w:t>
      </w:r>
    </w:p>
    <w:p>
      <w:pPr>
        <w:spacing w:after="0" w:line="238" w:lineRule="auto"/>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238" w:lineRule="auto"/>
        <w:rPr>
          <w:sz w:val="20"/>
          <w:szCs w:val="20"/>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Luxembourg</w:t>
      </w:r>
    </w:p>
    <w:p>
      <w:pPr>
        <w:spacing w:after="0" w:line="238" w:lineRule="auto"/>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rPr>
          <w:sz w:val="20"/>
          <w:szCs w:val="20"/>
          <w:color w:val="auto"/>
        </w:rPr>
      </w:pPr>
      <w:r>
        <w:rPr>
          <w:rFonts w:ascii="Courier New" w:cs="Courier New" w:eastAsia="Courier New" w:hAnsi="Courier New"/>
          <w:sz w:val="18"/>
          <w:szCs w:val="18"/>
          <w:color w:val="auto"/>
        </w:rPr>
        <w:t>Beneficially</w:t>
      </w:r>
    </w:p>
    <w:p>
      <w:pPr>
        <w:spacing w:after="0" w:line="237" w:lineRule="auto"/>
        <w:rPr>
          <w:sz w:val="20"/>
          <w:szCs w:val="20"/>
          <w:color w:val="auto"/>
        </w:rPr>
      </w:pPr>
      <w:r>
        <w:rPr>
          <w:rFonts w:ascii="Courier New" w:cs="Courier New" w:eastAsia="Courier New" w:hAnsi="Courier New"/>
          <w:sz w:val="18"/>
          <w:szCs w:val="18"/>
          <w:color w:val="auto"/>
        </w:rPr>
        <w:t>Owned by Each</w:t>
      </w:r>
    </w:p>
    <w:p>
      <w:pPr>
        <w:spacing w:after="0" w:line="238" w:lineRule="auto"/>
        <w:rPr>
          <w:sz w:val="20"/>
          <w:szCs w:val="20"/>
          <w:color w:val="auto"/>
        </w:rPr>
      </w:pPr>
      <w:r>
        <w:rPr>
          <w:rFonts w:ascii="Courier New" w:cs="Courier New" w:eastAsia="Courier New" w:hAnsi="Courier New"/>
          <w:sz w:val="18"/>
          <w:szCs w:val="18"/>
          <w:color w:val="auto"/>
        </w:rPr>
        <w:t>Reporting</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ind w:left="220"/>
        <w:spacing w:after="0" w:line="238" w:lineRule="auto"/>
        <w:rPr>
          <w:sz w:val="20"/>
          <w:szCs w:val="20"/>
          <w:color w:val="auto"/>
        </w:rPr>
      </w:pPr>
      <w:r>
        <w:rPr>
          <w:rFonts w:ascii="Courier New" w:cs="Courier New" w:eastAsia="Courier New" w:hAnsi="Courier New"/>
          <w:sz w:val="18"/>
          <w:szCs w:val="18"/>
          <w:color w:val="auto"/>
        </w:rPr>
        <w:t>Sole Voting Power</w:t>
      </w:r>
    </w:p>
    <w:p>
      <w:pPr>
        <w:spacing w:after="0" w:line="200" w:lineRule="exact"/>
        <w:rPr>
          <w:sz w:val="24"/>
          <w:szCs w:val="24"/>
          <w:color w:val="auto"/>
        </w:rPr>
      </w:pPr>
    </w:p>
    <w:p>
      <w:pPr>
        <w:spacing w:after="0" w:line="20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765,661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ind w:left="220"/>
        <w:spacing w:after="0" w:line="238" w:lineRule="auto"/>
        <w:rPr>
          <w:sz w:val="20"/>
          <w:szCs w:val="20"/>
          <w:color w:val="auto"/>
        </w:rPr>
      </w:pPr>
      <w:r>
        <w:rPr>
          <w:rFonts w:ascii="Courier New" w:cs="Courier New" w:eastAsia="Courier New" w:hAnsi="Courier New"/>
          <w:sz w:val="18"/>
          <w:szCs w:val="18"/>
          <w:color w:val="auto"/>
        </w:rPr>
        <w:t>Shared Voting Power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ectPr>
          <w:pgSz w:w="11900" w:h="16848" w:orient="portrait"/>
          <w:cols w:equalWidth="0" w:num="1">
            <w:col w:w="10139"/>
          </w:cols>
          <w:pgMar w:left="320" w:top="447" w:right="1440" w:bottom="0" w:gutter="0" w:footer="0" w:header="0"/>
        </w:sectPr>
      </w:pPr>
    </w:p>
    <w:bookmarkStart w:id="1" w:name="page2"/>
    <w:bookmarkEnd w:id="1"/>
    <w:p>
      <w:pPr>
        <w:ind w:left="220"/>
        <w:spacing w:after="0"/>
        <w:rPr>
          <w:sz w:val="20"/>
          <w:szCs w:val="20"/>
          <w:color w:val="auto"/>
        </w:rPr>
      </w:pPr>
      <w:r>
        <w:rPr>
          <w:rFonts w:ascii="Courier New" w:cs="Courier New" w:eastAsia="Courier New" w:hAnsi="Courier New"/>
          <w:sz w:val="18"/>
          <w:szCs w:val="18"/>
          <w:color w:val="auto"/>
        </w:rPr>
        <w:t>Sole Dispositive Power</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765,661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ind w:left="220"/>
        <w:spacing w:after="0" w:line="238" w:lineRule="auto"/>
        <w:rPr>
          <w:sz w:val="20"/>
          <w:szCs w:val="20"/>
          <w:color w:val="auto"/>
        </w:rPr>
      </w:pPr>
      <w:r>
        <w:rPr>
          <w:rFonts w:ascii="Courier New" w:cs="Courier New" w:eastAsia="Courier New" w:hAnsi="Courier New"/>
          <w:sz w:val="18"/>
          <w:szCs w:val="18"/>
          <w:color w:val="auto"/>
        </w:rPr>
        <w:t>Shared Dispositive Power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38" w:lineRule="auto"/>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765,661</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238" w:lineRule="auto"/>
        <w:rPr>
          <w:sz w:val="20"/>
          <w:szCs w:val="20"/>
          <w:color w:val="auto"/>
        </w:rPr>
      </w:pPr>
      <w:r>
        <w:rPr>
          <w:rFonts w:ascii="Courier New" w:cs="Courier New" w:eastAsia="Courier New" w:hAnsi="Courier New"/>
          <w:sz w:val="18"/>
          <w:szCs w:val="18"/>
          <w:color w:val="auto"/>
        </w:rPr>
        <w:t>Check box if the aggregate amount in row (9) excludes certain shares</w:t>
      </w:r>
    </w:p>
    <w:p>
      <w:pPr>
        <w:spacing w:after="0" w:line="202"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 FI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860" w:hanging="852"/>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MagnaChip Semiconductor Corporation</w:t>
      </w:r>
    </w:p>
    <w:p>
      <w:pPr>
        <w:spacing w:after="0" w:line="4" w:lineRule="exact"/>
        <w:rPr>
          <w:rFonts w:ascii="Courier New" w:cs="Courier New" w:eastAsia="Courier New" w:hAnsi="Courier New"/>
          <w:sz w:val="18"/>
          <w:szCs w:val="18"/>
          <w:color w:val="auto"/>
        </w:rPr>
      </w:pPr>
    </w:p>
    <w:p>
      <w:pPr>
        <w:ind w:left="120" w:right="1399" w:hanging="112"/>
        <w:spacing w:after="0" w:line="290" w:lineRule="auto"/>
        <w:tabs>
          <w:tab w:leader="none" w:pos="8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c/o MagnaChip Semiconductor S.A., 1, Allee Scheffer, L-2520, Luxembourg, Grand Duchy of Luxembourg</w:t>
      </w:r>
    </w:p>
    <w:p>
      <w:pPr>
        <w:spacing w:after="0" w:line="164" w:lineRule="exact"/>
        <w:rPr>
          <w:sz w:val="20"/>
          <w:szCs w:val="20"/>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Assenagon S.A.</w:t>
      </w:r>
    </w:p>
    <w:p>
      <w:pPr>
        <w:spacing w:after="0" w:line="4" w:lineRule="exact"/>
        <w:rPr>
          <w:rFonts w:ascii="Courier New" w:cs="Courier New" w:eastAsia="Courier New" w:hAnsi="Courier New"/>
          <w:sz w:val="18"/>
          <w:szCs w:val="18"/>
          <w:color w:val="auto"/>
        </w:rPr>
      </w:pPr>
    </w:p>
    <w:p>
      <w:pPr>
        <w:ind w:right="2979" w:firstLine="8"/>
        <w:spacing w:after="0" w:line="268" w:lineRule="auto"/>
        <w:tabs>
          <w:tab w:leader="none" w:pos="84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Aerogolf Center, 1B Heienhaff, 1736 Senningerberg, Luxembourg</w:t>
      </w: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r>
        <w:rPr>
          <w:rFonts w:ascii="Courier New" w:cs="Courier New" w:eastAsia="Courier New" w:hAnsi="Courier New"/>
          <w:sz w:val="16"/>
          <w:szCs w:val="16"/>
          <w:color w:val="auto"/>
        </w:rPr>
        <w:t>Luxembourg</w:t>
      </w:r>
    </w:p>
    <w:p>
      <w:pPr>
        <w:ind w:left="860" w:hanging="852"/>
        <w:spacing w:after="0" w:line="238"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and Class of Securities: Common shares</w:t>
      </w: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No.:</w:t>
      </w:r>
      <w:r>
        <w:rPr>
          <w:rFonts w:ascii="Courier New" w:cs="Courier New" w:eastAsia="Courier New" w:hAnsi="Courier New"/>
          <w:sz w:val="16"/>
          <w:szCs w:val="16"/>
          <w:color w:val="auto"/>
        </w:rPr>
        <w:t>55933J203</w:t>
      </w: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 240.13d-1(b) or</w:t>
      </w: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spacing w:after="0" w:line="4" w:lineRule="exact"/>
        <w:rPr>
          <w:rFonts w:ascii="Courier New" w:cs="Courier New" w:eastAsia="Courier New" w:hAnsi="Courier New"/>
          <w:sz w:val="18"/>
          <w:szCs w:val="18"/>
          <w:color w:val="auto"/>
        </w:rPr>
      </w:pPr>
    </w:p>
    <w:p>
      <w:pPr>
        <w:ind w:right="9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An investment adviser in accordance with Rule 13d-1(b)(1)(ii)(E);</w:t>
      </w:r>
    </w:p>
    <w:p>
      <w:pPr>
        <w:spacing w:after="0" w:line="4" w:lineRule="exact"/>
        <w:rPr>
          <w:rFonts w:ascii="Courier New" w:cs="Courier New" w:eastAsia="Courier New" w:hAnsi="Courier New"/>
          <w:sz w:val="18"/>
          <w:szCs w:val="18"/>
          <w:color w:val="auto"/>
        </w:rPr>
      </w:pPr>
    </w:p>
    <w:p>
      <w:pPr>
        <w:ind w:right="9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right="9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right="169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right="139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 non-U.S. institution in accordance with Rule 240.13d-1(b)(1)(ii)(J);</w:t>
      </w:r>
    </w:p>
    <w:p>
      <w:pPr>
        <w:spacing w:after="0" w:line="4" w:lineRule="exact"/>
        <w:rPr>
          <w:rFonts w:ascii="Courier New" w:cs="Courier New" w:eastAsia="Courier New" w:hAnsi="Courier New"/>
          <w:sz w:val="18"/>
          <w:szCs w:val="18"/>
          <w:color w:val="auto"/>
        </w:rPr>
      </w:pPr>
    </w:p>
    <w:p>
      <w:pPr>
        <w:ind w:right="1179" w:firstLine="8"/>
        <w:spacing w:after="0" w:line="235"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240.13d-1(b)(1)(ii)(K). If filing as a non-U.S. institution in accordance with Rule 240.13d-1(b)(1)(ii)(J), please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type of institution: 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747"/>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3%</w:t>
      </w:r>
    </w:p>
    <w:p>
      <w:pPr>
        <w:ind w:left="860" w:hanging="747"/>
        <w:spacing w:after="0" w:line="238"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648,796</w:t>
      </w:r>
    </w:p>
    <w:p>
      <w:pPr>
        <w:ind w:left="1700" w:hanging="849"/>
        <w:spacing w:after="0" w:line="238" w:lineRule="auto"/>
        <w:tabs>
          <w:tab w:leader="none" w:pos="17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648,796</w:t>
      </w:r>
    </w:p>
    <w:p>
      <w:pPr>
        <w:ind w:left="860"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6"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Item 6. Ownership of more than Five Percent on Behalf of Another Person. Invesco Markets PLC has the right to receive dividends and the proceeds from the sale of the securities mentioned herein. Invesco Markets PLC is a UCITS investment fund established under the laws of Ireland, and is an umbrella fund to various index tracking sub-funds. Invesco Markets PLC has delegated investment and voting power to its Management Company, Invesco Investment Management Limited, which has sub-delegated those powers to an investment manager.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Neither Invesco Market PLC nor Invesco Investment Management Limited have</w:t>
      </w:r>
    </w:p>
    <w:p>
      <w:pPr>
        <w:sectPr>
          <w:pgSz w:w="11900" w:h="16838" w:orient="portrait"/>
          <w:cols w:equalWidth="0" w:num="1">
            <w:col w:w="10139"/>
          </w:cols>
          <w:pgMar w:left="320" w:top="136" w:right="1440" w:bottom="0" w:gutter="0" w:footer="0" w:header="0"/>
        </w:sectPr>
      </w:pPr>
    </w:p>
    <w:bookmarkStart w:id="2" w:name="page3"/>
    <w:bookmarkEnd w:id="2"/>
    <w:p>
      <w:pPr>
        <w:ind w:right="2019"/>
        <w:spacing w:after="0" w:line="237" w:lineRule="auto"/>
        <w:rPr>
          <w:sz w:val="20"/>
          <w:szCs w:val="20"/>
          <w:color w:val="auto"/>
        </w:rPr>
      </w:pPr>
      <w:r>
        <w:rPr>
          <w:rFonts w:ascii="Courier New" w:cs="Courier New" w:eastAsia="Courier New" w:hAnsi="Courier New"/>
          <w:sz w:val="18"/>
          <w:szCs w:val="18"/>
          <w:color w:val="auto"/>
        </w:rPr>
        <w:t>retained the right under the respective outsourcing contracts to rescind the authority granted to the investment manager (other than by way of termination of the outsourcing contracts) and are thus not able to regain investment or voting power over the shares within 60 days.</w:t>
      </w:r>
    </w:p>
    <w:p>
      <w:pPr>
        <w:spacing w:after="0" w:line="5"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 The subsidiary of Assenagon S.A. is the before mentioned investent manager of Invesco Markets PLC. Invesco Markets PLC has delegated investment and voting power to its Management Company, Invesco Investment Management Limited, which has sub-delegated those powers to the subsidiary. For identity and classification of the subsidiary, please refer to Exhibit 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For the group structure, please refer to the attached overview.</w:t>
      </w: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37" w:lineRule="auto"/>
        <w:rPr>
          <w:sz w:val="20"/>
          <w:szCs w:val="20"/>
          <w:color w:val="auto"/>
        </w:rPr>
      </w:pPr>
      <w:r>
        <w:rPr>
          <w:rFonts w:ascii="Courier New" w:cs="Courier New" w:eastAsia="Courier New" w:hAnsi="Courier New"/>
          <w:sz w:val="18"/>
          <w:szCs w:val="18"/>
          <w:color w:val="auto"/>
        </w:rPr>
        <w:t>Not applicable.</w:t>
      </w: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5" w:lineRule="exact"/>
        <w:rPr>
          <w:sz w:val="20"/>
          <w:szCs w:val="20"/>
          <w:color w:val="auto"/>
        </w:rPr>
      </w:pPr>
    </w:p>
    <w:p>
      <w:pPr>
        <w:ind w:right="191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 w:lineRule="exact"/>
        <w:rPr>
          <w:sz w:val="20"/>
          <w:szCs w:val="20"/>
          <w:color w:val="auto"/>
        </w:rPr>
      </w:pPr>
    </w:p>
    <w:p>
      <w:pPr>
        <w:ind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an EU UCITS Management Company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After reasonable inquiry and to the best of my knowledge and belief, I certify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 the information set forth in this statement is true, complete and correct.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17 April 2020</w:t>
      </w:r>
    </w:p>
    <w:p>
      <w:pPr>
        <w:spacing w:after="0" w:line="238" w:lineRule="auto"/>
        <w:rPr>
          <w:sz w:val="20"/>
          <w:szCs w:val="20"/>
          <w:color w:val="auto"/>
        </w:rPr>
      </w:pPr>
      <w:r>
        <w:rPr>
          <w:rFonts w:ascii="Courier New" w:cs="Courier New" w:eastAsia="Courier New" w:hAnsi="Courier New"/>
          <w:sz w:val="18"/>
          <w:szCs w:val="18"/>
          <w:color w:val="auto"/>
        </w:rPr>
        <w:t>/s/ 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 Dr. Dr. Heimo Ploessnig/Managing Director, Head of Legal&amp;Compliance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 of 6</w:t>
      </w:r>
    </w:p>
    <w:p>
      <w:pPr>
        <w:spacing w:after="0" w:line="238" w:lineRule="auto"/>
        <w:rPr>
          <w:sz w:val="20"/>
          <w:szCs w:val="20"/>
          <w:color w:val="auto"/>
        </w:rPr>
      </w:pPr>
      <w:r>
        <w:rPr>
          <w:rFonts w:ascii="Courier New" w:cs="Courier New" w:eastAsia="Courier New" w:hAnsi="Courier New"/>
          <w:sz w:val="18"/>
          <w:szCs w:val="18"/>
          <w:color w:val="auto"/>
        </w:rPr>
        <w:t>1297544.3</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2"/>
    </w:lvl>
    <w:lvl w:ilvl="1">
      <w:lvlJc w:val="left"/>
      <w:lvlText w:val="(%2)"/>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2020-04-17T10:06:44Z</dcterms:created>
  <dcterms:modified xsi:type="dcterms:W3CDTF">2020-04-17T10:06:44Z</dcterms:modified>
</cp:coreProperties>
</file>