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7"/>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5"/>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Brigade Leveraged Capital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5"/>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80" w:type="dxa"/>
            <w:vAlign w:val="bottom"/>
            <w:tcBorders>
              <w:top w:val="single" w:sz="8" w:color="0000EE"/>
            </w:tcBorders>
            <w:gridSpan w:val="3"/>
          </w:tcPr>
          <w:p>
            <w:pPr>
              <w:spacing w:after="0" w:line="223" w:lineRule="exact"/>
              <w:rPr>
                <w:rFonts w:ascii="Arial" w:cs="Arial" w:eastAsia="Arial" w:hAnsi="Arial"/>
                <w:sz w:val="22"/>
                <w:szCs w:val="22"/>
                <w:color w:val="0000EE"/>
                <w:w w:val="98"/>
              </w:rPr>
            </w:pPr>
            <w:hyperlink r:id="rId11">
              <w:r>
                <w:rPr>
                  <w:rFonts w:ascii="Arial" w:cs="Arial" w:eastAsia="Arial" w:hAnsi="Arial"/>
                  <w:sz w:val="22"/>
                  <w:szCs w:val="22"/>
                  <w:color w:val="0000EE"/>
                  <w:w w:val="98"/>
                </w:rPr>
                <w:t>Structures Fund Ltd.</w:t>
              </w:r>
            </w:hyperlink>
          </w:p>
        </w:tc>
        <w:tc>
          <w:tcPr>
            <w:tcW w:w="360" w:type="dxa"/>
            <w:vAlign w:val="bottom"/>
            <w:tcBorders>
              <w:top w:val="single" w:sz="8" w:color="0000EE"/>
            </w:tcBorders>
          </w:tcPr>
          <w:p>
            <w:pPr>
              <w:spacing w:after="0"/>
              <w:rPr>
                <w:sz w:val="19"/>
                <w:szCs w:val="19"/>
                <w:color w:val="auto"/>
              </w:rPr>
            </w:pPr>
          </w:p>
        </w:tc>
        <w:tc>
          <w:tcPr>
            <w:tcW w:w="880" w:type="dxa"/>
            <w:vAlign w:val="bottom"/>
          </w:tcPr>
          <w:p>
            <w:pPr>
              <w:spacing w:after="0"/>
              <w:rPr>
                <w:sz w:val="19"/>
                <w:szCs w:val="19"/>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0000FF"/>
              </w:rPr>
              <w:t>01/17/2017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(Last)</w:t>
            </w:r>
          </w:p>
        </w:tc>
        <w:tc>
          <w:tcPr>
            <w:tcW w:w="104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240" w:type="dxa"/>
            <w:vAlign w:val="bottom"/>
            <w:gridSpan w:val="2"/>
          </w:tcPr>
          <w:p>
            <w:pPr>
              <w:ind w:left="20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20" w:type="dxa"/>
            <w:vAlign w:val="bottom"/>
            <w:gridSpan w:val="5"/>
          </w:tcPr>
          <w:p>
            <w:pPr>
              <w:spacing w:after="0"/>
              <w:rPr>
                <w:sz w:val="20"/>
                <w:szCs w:val="20"/>
                <w:color w:val="auto"/>
              </w:rPr>
            </w:pPr>
            <w:r>
              <w:rPr>
                <w:rFonts w:ascii="Arial" w:cs="Arial" w:eastAsia="Arial" w:hAnsi="Arial"/>
                <w:sz w:val="18"/>
                <w:szCs w:val="18"/>
                <w:color w:val="0000FF"/>
              </w:rPr>
              <w:t>C/O INTERTRUST CORP SVCS</w:t>
            </w: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80" w:type="dxa"/>
            <w:vAlign w:val="bottom"/>
            <w:gridSpan w:val="3"/>
          </w:tcPr>
          <w:p>
            <w:pPr>
              <w:spacing w:after="0"/>
              <w:rPr>
                <w:sz w:val="20"/>
                <w:szCs w:val="20"/>
                <w:color w:val="auto"/>
              </w:rPr>
            </w:pPr>
            <w:r>
              <w:rPr>
                <w:rFonts w:ascii="Arial" w:cs="Arial" w:eastAsia="Arial" w:hAnsi="Arial"/>
                <w:sz w:val="18"/>
                <w:szCs w:val="18"/>
                <w:color w:val="0000FF"/>
              </w:rPr>
              <w:t>(CAYMAN) LTD</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20" w:type="dxa"/>
            <w:vAlign w:val="bottom"/>
            <w:gridSpan w:val="5"/>
          </w:tcPr>
          <w:p>
            <w:pPr>
              <w:spacing w:after="0"/>
              <w:rPr>
                <w:sz w:val="20"/>
                <w:szCs w:val="20"/>
                <w:color w:val="auto"/>
              </w:rPr>
            </w:pPr>
            <w:r>
              <w:rPr>
                <w:rFonts w:ascii="Arial" w:cs="Arial" w:eastAsia="Arial" w:hAnsi="Arial"/>
                <w:sz w:val="18"/>
                <w:szCs w:val="18"/>
                <w:color w:val="0000FF"/>
              </w:rPr>
              <w:t>190 ELGIN AVENUE, GEORGE TOWN</w:t>
            </w: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80" w:type="dxa"/>
            <w:vAlign w:val="bottom"/>
            <w:gridSpan w:val="3"/>
          </w:tcPr>
          <w:p>
            <w:pPr>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GRAND</w:t>
            </w:r>
          </w:p>
        </w:tc>
        <w:tc>
          <w:tcPr>
            <w:tcW w:w="1040" w:type="dxa"/>
            <w:vAlign w:val="bottom"/>
            <w:gridSpan w:val="2"/>
            <w:vMerge w:val="restart"/>
          </w:tcPr>
          <w:p>
            <w:pPr>
              <w:ind w:left="160"/>
              <w:spacing w:after="0"/>
              <w:rPr>
                <w:sz w:val="20"/>
                <w:szCs w:val="20"/>
                <w:color w:val="auto"/>
              </w:rPr>
            </w:pPr>
            <w:r>
              <w:rPr>
                <w:rFonts w:ascii="Arial" w:cs="Arial" w:eastAsia="Arial" w:hAnsi="Arial"/>
                <w:sz w:val="18"/>
                <w:szCs w:val="18"/>
                <w:color w:val="0000FF"/>
              </w:rPr>
              <w:t>E9</w:t>
            </w:r>
          </w:p>
        </w:tc>
        <w:tc>
          <w:tcPr>
            <w:tcW w:w="1240" w:type="dxa"/>
            <w:vAlign w:val="bottom"/>
            <w:gridSpan w:val="2"/>
            <w:vMerge w:val="restart"/>
          </w:tcPr>
          <w:p>
            <w:pPr>
              <w:ind w:left="200"/>
              <w:spacing w:after="0"/>
              <w:rPr>
                <w:sz w:val="20"/>
                <w:szCs w:val="20"/>
                <w:color w:val="auto"/>
              </w:rPr>
            </w:pPr>
            <w:r>
              <w:rPr>
                <w:rFonts w:ascii="Arial" w:cs="Arial" w:eastAsia="Arial" w:hAnsi="Arial"/>
                <w:sz w:val="18"/>
                <w:szCs w:val="18"/>
                <w:color w:val="0000FF"/>
              </w:rPr>
              <w:t>KY1-9007</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vMerge w:val="restart"/>
          </w:tcPr>
          <w:p>
            <w:pPr>
              <w:spacing w:after="0"/>
              <w:rPr>
                <w:sz w:val="20"/>
                <w:szCs w:val="20"/>
                <w:color w:val="auto"/>
              </w:rPr>
            </w:pPr>
            <w:r>
              <w:rPr>
                <w:rFonts w:ascii="Arial" w:cs="Arial" w:eastAsia="Arial" w:hAnsi="Arial"/>
                <w:sz w:val="18"/>
                <w:szCs w:val="18"/>
                <w:color w:val="0000FF"/>
              </w:rPr>
              <w:t>CAYMAN</w:t>
            </w:r>
          </w:p>
        </w:tc>
        <w:tc>
          <w:tcPr>
            <w:tcW w:w="104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0"/>
          <w:szCs w:val="20"/>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MAGNACHIP SEMICONDUCTOR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3"/>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42"/>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42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1660" w:type="dxa"/>
            <w:vAlign w:val="bottom"/>
            <w:vMerge w:val="continue"/>
          </w:tcPr>
          <w:p>
            <w:pPr>
              <w:spacing w:after="0"/>
              <w:rPr>
                <w:sz w:val="3"/>
                <w:szCs w:val="3"/>
                <w:color w:val="auto"/>
              </w:rPr>
            </w:pPr>
          </w:p>
        </w:tc>
        <w:tc>
          <w:tcPr>
            <w:tcW w:w="16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1660" w:type="dxa"/>
            <w:vAlign w:val="bottom"/>
          </w:tcPr>
          <w:p>
            <w:pPr>
              <w:ind w:left="540"/>
              <w:spacing w:after="0"/>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rPr>
                <w:sz w:val="20"/>
                <w:szCs w:val="20"/>
                <w:color w:val="auto"/>
              </w:rPr>
            </w:pPr>
            <w:r>
              <w:rPr>
                <w:rFonts w:ascii="Arial" w:cs="Arial" w:eastAsia="Arial" w:hAnsi="Arial"/>
                <w:sz w:val="14"/>
                <w:szCs w:val="14"/>
                <w:color w:val="auto"/>
              </w:rPr>
              <w:t>below)</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80" w:type="dxa"/>
            <w:vAlign w:val="bottom"/>
            <w:gridSpan w:val="3"/>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ind w:left="40"/>
              <w:spacing w:after="0" w:line="189" w:lineRule="exact"/>
              <w:rPr>
                <w:sz w:val="20"/>
                <w:szCs w:val="20"/>
                <w:color w:val="auto"/>
              </w:rPr>
            </w:pPr>
            <w:r>
              <w:rPr>
                <w:rFonts w:ascii="Arial" w:cs="Arial" w:eastAsia="Arial" w:hAnsi="Arial"/>
                <w:sz w:val="18"/>
                <w:szCs w:val="18"/>
                <w:color w:val="0000FF"/>
              </w:rPr>
              <w:t>X</w:t>
            </w: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bl>
    <w:p>
      <w:pPr>
        <w:spacing w:after="0" w:line="522" w:lineRule="exact"/>
        <w:rPr>
          <w:sz w:val="20"/>
          <w:szCs w:val="20"/>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125" w:lineRule="exact"/>
        <w:rPr>
          <w:sz w:val="20"/>
          <w:szCs w:val="20"/>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20" w:type="dxa"/>
            <w:vAlign w:val="bottom"/>
            <w:gridSpan w:val="2"/>
          </w:tcPr>
          <w:p>
            <w:pPr>
              <w:ind w:left="520"/>
              <w:spacing w:after="0"/>
              <w:rPr>
                <w:sz w:val="20"/>
                <w:szCs w:val="20"/>
                <w:color w:val="auto"/>
              </w:rPr>
            </w:pPr>
            <w:r>
              <w:rPr>
                <w:rFonts w:ascii="Arial" w:cs="Arial" w:eastAsia="Arial" w:hAnsi="Arial"/>
                <w:sz w:val="14"/>
                <w:szCs w:val="14"/>
                <w:b w:val="1"/>
                <w:bCs w:val="1"/>
                <w:color w:val="auto"/>
              </w:rPr>
              <w:t>2. Amount of Securities</w:t>
            </w: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3. Ownership</w:t>
            </w:r>
          </w:p>
        </w:tc>
        <w:tc>
          <w:tcPr>
            <w:tcW w:w="3100" w:type="dxa"/>
            <w:vAlign w:val="bottom"/>
            <w:gridSpan w:val="4"/>
          </w:tcPr>
          <w:p>
            <w:pPr>
              <w:ind w:left="20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20" w:type="dxa"/>
            <w:vAlign w:val="bottom"/>
            <w:gridSpan w:val="2"/>
          </w:tcPr>
          <w:p>
            <w:pPr>
              <w:ind w:left="52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1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5"/>
              </w:rPr>
              <w:t>Form: Direct (D)</w:t>
            </w:r>
          </w:p>
        </w:tc>
        <w:tc>
          <w:tcPr>
            <w:tcW w:w="148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3"/>
              </w:rPr>
              <w:t>or Indirect (I)</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(Instr. 5)</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9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5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0" w:type="dxa"/>
            <w:vAlign w:val="bottom"/>
            <w:tcBorders>
              <w:bottom w:val="single" w:sz="8" w:color="2C2C2C"/>
            </w:tcBorders>
          </w:tcPr>
          <w:p>
            <w:pPr>
              <w:ind w:left="560"/>
              <w:spacing w:after="0"/>
              <w:rPr>
                <w:sz w:val="20"/>
                <w:szCs w:val="20"/>
                <w:color w:val="auto"/>
              </w:rPr>
            </w:pPr>
            <w:r>
              <w:rPr>
                <w:rFonts w:ascii="Arial" w:cs="Arial" w:eastAsia="Arial" w:hAnsi="Arial"/>
                <w:sz w:val="18"/>
                <w:szCs w:val="18"/>
                <w:color w:val="0000FF"/>
              </w:rPr>
              <w:t>3,130,000</w:t>
            </w:r>
          </w:p>
        </w:tc>
        <w:tc>
          <w:tcPr>
            <w:tcW w:w="900" w:type="dxa"/>
            <w:vAlign w:val="bottom"/>
            <w:tcBorders>
              <w:bottom w:val="single" w:sz="8" w:color="2C2C2C"/>
            </w:tcBorders>
            <w:gridSpan w:val="2"/>
          </w:tcPr>
          <w:p>
            <w:pPr>
              <w:ind w:left="5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26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4540" w:type="dxa"/>
            <w:vAlign w:val="bottom"/>
            <w:tcBorders>
              <w:top w:val="single" w:sz="8" w:color="2C2C2C"/>
            </w:tcBorders>
            <w:gridSpan w:val="9"/>
          </w:tcPr>
          <w:p>
            <w:pPr>
              <w:ind w:left="8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2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320" w:type="dxa"/>
            <w:vAlign w:val="bottom"/>
            <w:gridSpan w:val="12"/>
          </w:tcPr>
          <w:p>
            <w:pPr>
              <w:ind w:left="3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40" w:type="dxa"/>
            <w:vAlign w:val="bottom"/>
            <w:gridSpan w:val="6"/>
          </w:tcPr>
          <w:p>
            <w:pPr>
              <w:ind w:left="20"/>
              <w:spacing w:after="0"/>
              <w:rPr>
                <w:sz w:val="20"/>
                <w:szCs w:val="20"/>
                <w:color w:val="auto"/>
              </w:rPr>
            </w:pPr>
            <w:r>
              <w:rPr>
                <w:rFonts w:ascii="Arial" w:cs="Arial" w:eastAsia="Arial" w:hAnsi="Arial"/>
                <w:sz w:val="14"/>
                <w:szCs w:val="14"/>
                <w:b w:val="1"/>
                <w:bCs w:val="1"/>
                <w:color w:val="auto"/>
              </w:rPr>
              <w:t>2. Date Exercisable and</w:t>
            </w:r>
          </w:p>
        </w:tc>
        <w:tc>
          <w:tcPr>
            <w:tcW w:w="2900" w:type="dxa"/>
            <w:vAlign w:val="bottom"/>
            <w:gridSpan w:val="3"/>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rPr>
              <w:t>4.</w:t>
            </w:r>
          </w:p>
        </w:tc>
        <w:tc>
          <w:tcPr>
            <w:tcW w:w="600" w:type="dxa"/>
            <w:vAlign w:val="bottom"/>
          </w:tcPr>
          <w:p>
            <w:pPr>
              <w:spacing w:after="0"/>
              <w:rPr>
                <w:sz w:val="16"/>
                <w:szCs w:val="16"/>
                <w:color w:val="auto"/>
              </w:rPr>
            </w:pP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6"/>
          </w:tcPr>
          <w:p>
            <w:pPr>
              <w:ind w:left="20"/>
              <w:spacing w:after="0" w:line="149" w:lineRule="exact"/>
              <w:rPr>
                <w:sz w:val="20"/>
                <w:szCs w:val="20"/>
                <w:color w:val="auto"/>
              </w:rPr>
            </w:pPr>
            <w:r>
              <w:rPr>
                <w:rFonts w:ascii="Arial" w:cs="Arial" w:eastAsia="Arial" w:hAnsi="Arial"/>
                <w:sz w:val="14"/>
                <w:szCs w:val="14"/>
                <w:b w:val="1"/>
                <w:bCs w:val="1"/>
                <w:color w:val="auto"/>
              </w:rPr>
              <w:t>Expiration Date</w:t>
            </w:r>
          </w:p>
        </w:tc>
        <w:tc>
          <w:tcPr>
            <w:tcW w:w="29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6"/>
          </w:tcPr>
          <w:p>
            <w:pPr>
              <w:ind w:left="20"/>
              <w:spacing w:after="0" w:line="149" w:lineRule="exact"/>
              <w:rPr>
                <w:sz w:val="20"/>
                <w:szCs w:val="20"/>
                <w:color w:val="auto"/>
              </w:rPr>
            </w:pPr>
            <w:r>
              <w:rPr>
                <w:rFonts w:ascii="Arial" w:cs="Arial" w:eastAsia="Arial" w:hAnsi="Arial"/>
                <w:sz w:val="14"/>
                <w:szCs w:val="14"/>
                <w:b w:val="1"/>
                <w:bCs w:val="1"/>
                <w:color w:val="auto"/>
              </w:rPr>
              <w:t>(Month/Day/Year)</w:t>
            </w:r>
          </w:p>
        </w:tc>
        <w:tc>
          <w:tcPr>
            <w:tcW w:w="2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 or</w:t>
            </w:r>
          </w:p>
        </w:tc>
        <w:tc>
          <w:tcPr>
            <w:tcW w:w="820" w:type="dxa"/>
            <w:vAlign w:val="bottom"/>
            <w:gridSpan w:val="2"/>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2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Date</w:t>
            </w: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Expiration</w:t>
            </w:r>
          </w:p>
        </w:tc>
        <w:tc>
          <w:tcPr>
            <w:tcW w:w="20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Number of</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Exercisable</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Date</w:t>
            </w:r>
          </w:p>
        </w:tc>
        <w:tc>
          <w:tcPr>
            <w:tcW w:w="2000" w:type="dxa"/>
            <w:vAlign w:val="bottom"/>
            <w:vMerge w:val="continue"/>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4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540" w:type="dxa"/>
            <w:vAlign w:val="bottom"/>
            <w:gridSpan w:val="5"/>
          </w:tcPr>
          <w:p>
            <w:pPr>
              <w:ind w:left="60"/>
              <w:spacing w:after="0"/>
              <w:rPr>
                <w:sz w:val="20"/>
                <w:szCs w:val="20"/>
                <w:color w:val="auto"/>
              </w:rPr>
            </w:pPr>
            <w:r>
              <w:rPr>
                <w:rFonts w:ascii="Arial" w:cs="Arial" w:eastAsia="Arial" w:hAnsi="Arial"/>
                <w:sz w:val="18"/>
                <w:szCs w:val="18"/>
                <w:color w:val="0000FF"/>
                <w:w w:val="91"/>
              </w:rPr>
              <w:t>5.00% Exchangeable Senior Notes due 2021</w:t>
            </w:r>
            <w:r>
              <w:rPr>
                <w:rFonts w:ascii="Arial" w:cs="Arial" w:eastAsia="Arial" w:hAnsi="Arial"/>
                <w:sz w:val="22"/>
                <w:szCs w:val="22"/>
                <w:color w:val="008000"/>
                <w:w w:val="91"/>
                <w:vertAlign w:val="superscript"/>
              </w:rPr>
              <w:t>(2)</w:t>
            </w:r>
          </w:p>
        </w:tc>
        <w:tc>
          <w:tcPr>
            <w:tcW w:w="740" w:type="dxa"/>
            <w:vAlign w:val="bottom"/>
            <w:gridSpan w:val="2"/>
          </w:tcPr>
          <w:p>
            <w:pPr>
              <w:ind w:left="32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24"/>
                <w:szCs w:val="2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color w:val="0000FF"/>
                <w:w w:val="99"/>
              </w:rPr>
              <w:t>03/01/2021</w:t>
            </w:r>
          </w:p>
        </w:tc>
        <w:tc>
          <w:tcPr>
            <w:tcW w:w="2000" w:type="dxa"/>
            <w:vAlign w:val="bottom"/>
          </w:tcPr>
          <w:p>
            <w:pPr>
              <w:ind w:left="80"/>
              <w:spacing w:after="0"/>
              <w:rPr>
                <w:sz w:val="20"/>
                <w:szCs w:val="20"/>
                <w:color w:val="auto"/>
              </w:rPr>
            </w:pPr>
            <w:r>
              <w:rPr>
                <w:rFonts w:ascii="Arial" w:cs="Arial" w:eastAsia="Arial" w:hAnsi="Arial"/>
                <w:sz w:val="18"/>
                <w:szCs w:val="18"/>
                <w:color w:val="0000FF"/>
                <w:w w:val="91"/>
              </w:rPr>
              <w:t>Common Stock, par value</w:t>
            </w:r>
          </w:p>
        </w:tc>
        <w:tc>
          <w:tcPr>
            <w:tcW w:w="840" w:type="dxa"/>
            <w:vAlign w:val="bottom"/>
          </w:tcPr>
          <w:p>
            <w:pPr>
              <w:ind w:left="80"/>
              <w:spacing w:after="0"/>
              <w:rPr>
                <w:sz w:val="20"/>
                <w:szCs w:val="20"/>
                <w:color w:val="auto"/>
              </w:rPr>
            </w:pPr>
            <w:r>
              <w:rPr>
                <w:rFonts w:ascii="Arial" w:cs="Arial" w:eastAsia="Arial" w:hAnsi="Arial"/>
                <w:sz w:val="18"/>
                <w:szCs w:val="18"/>
                <w:color w:val="0000FF"/>
                <w:w w:val="92"/>
              </w:rPr>
              <w:t>1,726,227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right"/>
              <w:ind w:right="202"/>
              <w:spacing w:after="0"/>
              <w:rPr>
                <w:sz w:val="20"/>
                <w:szCs w:val="20"/>
                <w:color w:val="auto"/>
              </w:rPr>
            </w:pPr>
            <w:r>
              <w:rPr>
                <w:rFonts w:ascii="Arial" w:cs="Arial" w:eastAsia="Arial" w:hAnsi="Arial"/>
                <w:sz w:val="18"/>
                <w:szCs w:val="18"/>
                <w:color w:val="0000FF"/>
                <w:w w:val="85"/>
              </w:rPr>
              <w:t>8.26</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1260" w:type="dxa"/>
            <w:vAlign w:val="bottom"/>
            <w:tcBorders>
              <w:bottom w:val="single" w:sz="8" w:color="2C2C2C"/>
            </w:tcBorders>
          </w:tcPr>
          <w:p>
            <w:pPr>
              <w:spacing w:after="0"/>
              <w:rPr>
                <w:sz w:val="19"/>
                <w:szCs w:val="19"/>
                <w:color w:val="auto"/>
              </w:rPr>
            </w:pPr>
          </w:p>
        </w:tc>
        <w:tc>
          <w:tcPr>
            <w:tcW w:w="16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200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$.01 per share</w:t>
            </w:r>
          </w:p>
        </w:tc>
        <w:tc>
          <w:tcPr>
            <w:tcW w:w="84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160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540" w:type="dxa"/>
            <w:vAlign w:val="bottom"/>
            <w:gridSpan w:val="5"/>
          </w:tcPr>
          <w:p>
            <w:pPr>
              <w:ind w:left="60"/>
              <w:spacing w:after="0"/>
              <w:rPr>
                <w:sz w:val="20"/>
                <w:szCs w:val="20"/>
                <w:color w:val="auto"/>
              </w:rPr>
            </w:pPr>
            <w:r>
              <w:rPr>
                <w:rFonts w:ascii="Arial" w:cs="Arial" w:eastAsia="Arial" w:hAnsi="Arial"/>
                <w:sz w:val="18"/>
                <w:szCs w:val="18"/>
                <w:color w:val="0000FF"/>
                <w:w w:val="91"/>
              </w:rPr>
              <w:t>5.00% Exchangeable Senior Notes due 2021</w:t>
            </w:r>
            <w:r>
              <w:rPr>
                <w:rFonts w:ascii="Arial" w:cs="Arial" w:eastAsia="Arial" w:hAnsi="Arial"/>
                <w:sz w:val="22"/>
                <w:szCs w:val="22"/>
                <w:color w:val="008000"/>
                <w:w w:val="91"/>
                <w:vertAlign w:val="superscript"/>
              </w:rPr>
              <w:t>(2)</w:t>
            </w:r>
          </w:p>
        </w:tc>
        <w:tc>
          <w:tcPr>
            <w:tcW w:w="740" w:type="dxa"/>
            <w:vAlign w:val="bottom"/>
            <w:gridSpan w:val="2"/>
          </w:tcPr>
          <w:p>
            <w:pPr>
              <w:ind w:left="32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24"/>
                <w:szCs w:val="2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color w:val="0000FF"/>
                <w:w w:val="99"/>
              </w:rPr>
              <w:t>03/01/2021</w:t>
            </w:r>
          </w:p>
        </w:tc>
        <w:tc>
          <w:tcPr>
            <w:tcW w:w="2000" w:type="dxa"/>
            <w:vAlign w:val="bottom"/>
          </w:tcPr>
          <w:p>
            <w:pPr>
              <w:ind w:left="80"/>
              <w:spacing w:after="0"/>
              <w:rPr>
                <w:sz w:val="20"/>
                <w:szCs w:val="20"/>
                <w:color w:val="auto"/>
              </w:rPr>
            </w:pPr>
            <w:r>
              <w:rPr>
                <w:rFonts w:ascii="Arial" w:cs="Arial" w:eastAsia="Arial" w:hAnsi="Arial"/>
                <w:sz w:val="18"/>
                <w:szCs w:val="18"/>
                <w:color w:val="0000FF"/>
                <w:w w:val="91"/>
              </w:rPr>
              <w:t>Common Stock, par value</w:t>
            </w:r>
          </w:p>
        </w:tc>
        <w:tc>
          <w:tcPr>
            <w:tcW w:w="840" w:type="dxa"/>
            <w:vAlign w:val="bottom"/>
          </w:tcPr>
          <w:p>
            <w:pPr>
              <w:ind w:left="80"/>
              <w:spacing w:after="0"/>
              <w:rPr>
                <w:sz w:val="20"/>
                <w:szCs w:val="20"/>
                <w:color w:val="auto"/>
              </w:rPr>
            </w:pPr>
            <w:r>
              <w:rPr>
                <w:rFonts w:ascii="Arial" w:cs="Arial" w:eastAsia="Arial" w:hAnsi="Arial"/>
                <w:sz w:val="18"/>
                <w:szCs w:val="18"/>
                <w:color w:val="0000FF"/>
                <w:w w:val="92"/>
              </w:rPr>
              <w:t>1,181,102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right"/>
              <w:ind w:right="202"/>
              <w:spacing w:after="0"/>
              <w:rPr>
                <w:sz w:val="20"/>
                <w:szCs w:val="20"/>
                <w:color w:val="auto"/>
              </w:rPr>
            </w:pPr>
            <w:r>
              <w:rPr>
                <w:rFonts w:ascii="Arial" w:cs="Arial" w:eastAsia="Arial" w:hAnsi="Arial"/>
                <w:sz w:val="18"/>
                <w:szCs w:val="18"/>
                <w:color w:val="0000FF"/>
                <w:w w:val="85"/>
              </w:rPr>
              <w:t>8.26</w:t>
            </w:r>
          </w:p>
        </w:tc>
        <w:tc>
          <w:tcPr>
            <w:tcW w:w="880" w:type="dxa"/>
            <w:vAlign w:val="bottom"/>
          </w:tcPr>
          <w:p>
            <w:pPr>
              <w:ind w:left="440"/>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63"/>
        </w:trPr>
        <w:tc>
          <w:tcPr>
            <w:tcW w:w="2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1260" w:type="dxa"/>
            <w:vAlign w:val="bottom"/>
            <w:tcBorders>
              <w:bottom w:val="single" w:sz="8" w:color="2C2C2C"/>
            </w:tcBorders>
          </w:tcPr>
          <w:p>
            <w:pPr>
              <w:spacing w:after="0"/>
              <w:rPr>
                <w:sz w:val="22"/>
                <w:szCs w:val="22"/>
                <w:color w:val="auto"/>
              </w:rPr>
            </w:pPr>
          </w:p>
        </w:tc>
        <w:tc>
          <w:tcPr>
            <w:tcW w:w="162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44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16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200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$.01 per share</w:t>
            </w:r>
          </w:p>
        </w:tc>
        <w:tc>
          <w:tcPr>
            <w:tcW w:w="84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220" w:type="dxa"/>
            <w:vAlign w:val="bottom"/>
            <w:tcBorders>
              <w:bottom w:val="single" w:sz="8" w:color="2C2C2C"/>
            </w:tcBorders>
          </w:tcPr>
          <w:p>
            <w:pPr>
              <w:spacing w:after="0"/>
              <w:rPr>
                <w:sz w:val="22"/>
                <w:szCs w:val="22"/>
                <w:color w:val="auto"/>
              </w:rPr>
            </w:pPr>
          </w:p>
        </w:tc>
        <w:tc>
          <w:tcPr>
            <w:tcW w:w="60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16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980" w:type="dxa"/>
            <w:vAlign w:val="bottom"/>
            <w:tcBorders>
              <w:top w:val="single" w:sz="8" w:color="2C2C2C"/>
            </w:tcBorders>
            <w:gridSpan w:val="3"/>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6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40" w:type="dxa"/>
            <w:vAlign w:val="bottom"/>
            <w:gridSpan w:val="7"/>
          </w:tcPr>
          <w:p>
            <w:pPr>
              <w:spacing w:after="0" w:line="224" w:lineRule="exact"/>
              <w:rPr>
                <w:rFonts w:ascii="Arial" w:cs="Arial" w:eastAsia="Arial" w:hAnsi="Arial"/>
                <w:sz w:val="22"/>
                <w:szCs w:val="22"/>
                <w:color w:val="0000EE"/>
                <w:w w:val="92"/>
              </w:rPr>
            </w:pPr>
            <w:hyperlink r:id="rId11">
              <w:r>
                <w:rPr>
                  <w:rFonts w:ascii="Arial" w:cs="Arial" w:eastAsia="Arial" w:hAnsi="Arial"/>
                  <w:sz w:val="22"/>
                  <w:szCs w:val="22"/>
                  <w:color w:val="0000EE"/>
                  <w:w w:val="92"/>
                </w:rPr>
                <w:t>Brigade Leveraged Capital Structures Fund Ltd.</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20" w:type="dxa"/>
            <w:vAlign w:val="bottom"/>
          </w:tcPr>
          <w:p>
            <w:pPr>
              <w:ind w:left="200"/>
              <w:spacing w:after="0"/>
              <w:rPr>
                <w:sz w:val="20"/>
                <w:szCs w:val="20"/>
                <w:color w:val="auto"/>
              </w:rPr>
            </w:pPr>
            <w:r>
              <w:rPr>
                <w:rFonts w:ascii="Arial" w:cs="Arial" w:eastAsia="Arial" w:hAnsi="Arial"/>
                <w:sz w:val="14"/>
                <w:szCs w:val="14"/>
                <w:color w:val="auto"/>
              </w:rPr>
              <w:t>(First)</w:t>
            </w:r>
          </w:p>
        </w:tc>
        <w:tc>
          <w:tcPr>
            <w:tcW w:w="560" w:type="dxa"/>
            <w:vAlign w:val="bottom"/>
            <w:gridSpan w:val="2"/>
          </w:tcPr>
          <w:p>
            <w:pPr>
              <w:ind w:left="40"/>
              <w:spacing w:after="0"/>
              <w:rPr>
                <w:sz w:val="20"/>
                <w:szCs w:val="20"/>
                <w:color w:val="auto"/>
              </w:rPr>
            </w:pPr>
            <w:r>
              <w:rPr>
                <w:rFonts w:ascii="Arial" w:cs="Arial" w:eastAsia="Arial" w:hAnsi="Arial"/>
                <w:sz w:val="14"/>
                <w:szCs w:val="14"/>
                <w:color w:val="auto"/>
                <w:w w:val="98"/>
              </w:rPr>
              <w:t>(Middle)</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gridSpan w:val="7"/>
          </w:tcPr>
          <w:p>
            <w:pPr>
              <w:spacing w:after="0"/>
              <w:rPr>
                <w:sz w:val="20"/>
                <w:szCs w:val="20"/>
                <w:color w:val="auto"/>
              </w:rPr>
            </w:pPr>
            <w:r>
              <w:rPr>
                <w:rFonts w:ascii="Arial" w:cs="Arial" w:eastAsia="Arial" w:hAnsi="Arial"/>
                <w:sz w:val="18"/>
                <w:szCs w:val="18"/>
                <w:color w:val="0000FF"/>
              </w:rPr>
              <w:t>C/O INTERTRUST CORP SVCS (CAYMAN) LTD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40" w:type="dxa"/>
            <w:vAlign w:val="bottom"/>
            <w:gridSpan w:val="4"/>
          </w:tcPr>
          <w:p>
            <w:pPr>
              <w:spacing w:after="0"/>
              <w:rPr>
                <w:sz w:val="20"/>
                <w:szCs w:val="20"/>
                <w:color w:val="auto"/>
              </w:rPr>
            </w:pPr>
            <w:r>
              <w:rPr>
                <w:rFonts w:ascii="Arial" w:cs="Arial" w:eastAsia="Arial" w:hAnsi="Arial"/>
                <w:sz w:val="18"/>
                <w:szCs w:val="18"/>
                <w:color w:val="0000FF"/>
              </w:rPr>
              <w:t>190 ELGIN AVENUE, GEORGE TOWN</w:t>
            </w: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GRAND</w:t>
            </w:r>
          </w:p>
        </w:tc>
        <w:tc>
          <w:tcPr>
            <w:tcW w:w="1620" w:type="dxa"/>
            <w:vAlign w:val="bottom"/>
            <w:vMerge w:val="restart"/>
          </w:tcPr>
          <w:p>
            <w:pPr>
              <w:ind w:left="200"/>
              <w:spacing w:after="0"/>
              <w:rPr>
                <w:sz w:val="20"/>
                <w:szCs w:val="20"/>
                <w:color w:val="auto"/>
              </w:rPr>
            </w:pPr>
            <w:r>
              <w:rPr>
                <w:rFonts w:ascii="Arial" w:cs="Arial" w:eastAsia="Arial" w:hAnsi="Arial"/>
                <w:sz w:val="18"/>
                <w:szCs w:val="18"/>
                <w:color w:val="0000FF"/>
              </w:rPr>
              <w:t>E9</w:t>
            </w:r>
          </w:p>
        </w:tc>
        <w:tc>
          <w:tcPr>
            <w:tcW w:w="1460" w:type="dxa"/>
            <w:vAlign w:val="bottom"/>
            <w:gridSpan w:val="5"/>
            <w:vMerge w:val="restart"/>
          </w:tcPr>
          <w:p>
            <w:pPr>
              <w:ind w:left="40"/>
              <w:spacing w:after="0"/>
              <w:rPr>
                <w:sz w:val="20"/>
                <w:szCs w:val="20"/>
                <w:color w:val="auto"/>
              </w:rPr>
            </w:pPr>
            <w:r>
              <w:rPr>
                <w:rFonts w:ascii="Arial" w:cs="Arial" w:eastAsia="Arial" w:hAnsi="Arial"/>
                <w:sz w:val="18"/>
                <w:szCs w:val="18"/>
                <w:color w:val="0000FF"/>
              </w:rPr>
              <w:t>KY1-9007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vMerge w:val="restart"/>
          </w:tcPr>
          <w:p>
            <w:pPr>
              <w:spacing w:after="0"/>
              <w:rPr>
                <w:sz w:val="20"/>
                <w:szCs w:val="20"/>
                <w:color w:val="auto"/>
              </w:rPr>
            </w:pPr>
            <w:r>
              <w:rPr>
                <w:rFonts w:ascii="Arial" w:cs="Arial" w:eastAsia="Arial" w:hAnsi="Arial"/>
                <w:sz w:val="18"/>
                <w:szCs w:val="18"/>
                <w:color w:val="0000FF"/>
              </w:rPr>
              <w:t>CAYMAN</w:t>
            </w:r>
          </w:p>
        </w:tc>
        <w:tc>
          <w:tcPr>
            <w:tcW w:w="1620" w:type="dxa"/>
            <w:vAlign w:val="bottom"/>
            <w:vMerge w:val="continue"/>
          </w:tcPr>
          <w:p>
            <w:pPr>
              <w:spacing w:after="0"/>
              <w:rPr>
                <w:sz w:val="9"/>
                <w:szCs w:val="9"/>
                <w:color w:val="auto"/>
              </w:rPr>
            </w:pPr>
          </w:p>
        </w:tc>
        <w:tc>
          <w:tcPr>
            <w:tcW w:w="146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20" w:type="dxa"/>
            <w:vAlign w:val="bottom"/>
          </w:tcPr>
          <w:p>
            <w:pPr>
              <w:ind w:left="200"/>
              <w:spacing w:after="0"/>
              <w:rPr>
                <w:sz w:val="20"/>
                <w:szCs w:val="20"/>
                <w:color w:val="auto"/>
              </w:rPr>
            </w:pPr>
            <w:r>
              <w:rPr>
                <w:rFonts w:ascii="Arial" w:cs="Arial" w:eastAsia="Arial" w:hAnsi="Arial"/>
                <w:sz w:val="14"/>
                <w:szCs w:val="14"/>
                <w:color w:val="auto"/>
              </w:rPr>
              <w:t>(State)</w:t>
            </w:r>
          </w:p>
        </w:tc>
        <w:tc>
          <w:tcPr>
            <w:tcW w:w="560" w:type="dxa"/>
            <w:vAlign w:val="bottom"/>
            <w:gridSpan w:val="2"/>
          </w:tcPr>
          <w:p>
            <w:pPr>
              <w:ind w:left="40"/>
              <w:spacing w:after="0"/>
              <w:rPr>
                <w:sz w:val="20"/>
                <w:szCs w:val="20"/>
                <w:color w:val="auto"/>
              </w:rPr>
            </w:pPr>
            <w:r>
              <w:rPr>
                <w:rFonts w:ascii="Arial" w:cs="Arial" w:eastAsia="Arial" w:hAnsi="Arial"/>
                <w:sz w:val="14"/>
                <w:szCs w:val="14"/>
                <w:color w:val="auto"/>
              </w:rPr>
              <w:t>(Zip)</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8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8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40" w:type="dxa"/>
            <w:vAlign w:val="bottom"/>
            <w:gridSpan w:val="7"/>
          </w:tcPr>
          <w:p>
            <w:pPr>
              <w:spacing w:after="0" w:line="224" w:lineRule="exact"/>
              <w:rPr>
                <w:rFonts w:ascii="Arial" w:cs="Arial" w:eastAsia="Arial" w:hAnsi="Arial"/>
                <w:sz w:val="22"/>
                <w:szCs w:val="22"/>
                <w:color w:val="0000EE"/>
              </w:rPr>
            </w:pPr>
            <w:hyperlink r:id="rId13">
              <w:r>
                <w:rPr>
                  <w:rFonts w:ascii="Arial" w:cs="Arial" w:eastAsia="Arial" w:hAnsi="Arial"/>
                  <w:sz w:val="22"/>
                  <w:szCs w:val="22"/>
                  <w:color w:val="0000EE"/>
                </w:rPr>
                <w:t>BRIGADE CAPITAL MANAGEMENT, LP</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20" w:type="dxa"/>
            <w:vAlign w:val="bottom"/>
          </w:tcPr>
          <w:p>
            <w:pPr>
              <w:ind w:left="200"/>
              <w:spacing w:after="0"/>
              <w:rPr>
                <w:sz w:val="20"/>
                <w:szCs w:val="20"/>
                <w:color w:val="auto"/>
              </w:rPr>
            </w:pPr>
            <w:r>
              <w:rPr>
                <w:rFonts w:ascii="Arial" w:cs="Arial" w:eastAsia="Arial" w:hAnsi="Arial"/>
                <w:sz w:val="14"/>
                <w:szCs w:val="14"/>
                <w:color w:val="auto"/>
              </w:rPr>
              <w:t>(First)</w:t>
            </w:r>
          </w:p>
        </w:tc>
        <w:tc>
          <w:tcPr>
            <w:tcW w:w="560" w:type="dxa"/>
            <w:vAlign w:val="bottom"/>
            <w:gridSpan w:val="2"/>
          </w:tcPr>
          <w:p>
            <w:pPr>
              <w:ind w:left="40"/>
              <w:spacing w:after="0"/>
              <w:rPr>
                <w:sz w:val="20"/>
                <w:szCs w:val="20"/>
                <w:color w:val="auto"/>
              </w:rPr>
            </w:pPr>
            <w:r>
              <w:rPr>
                <w:rFonts w:ascii="Arial" w:cs="Arial" w:eastAsia="Arial" w:hAnsi="Arial"/>
                <w:sz w:val="14"/>
                <w:szCs w:val="14"/>
                <w:color w:val="auto"/>
                <w:w w:val="98"/>
              </w:rPr>
              <w:t>(Middle)</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0000FF"/>
              </w:rPr>
              <w:t>399 PARK AVENUE</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16TH FLOOR</w:t>
            </w:r>
          </w:p>
        </w:tc>
        <w:tc>
          <w:tcPr>
            <w:tcW w:w="16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20" w:type="dxa"/>
            <w:vAlign w:val="bottom"/>
          </w:tcPr>
          <w:p>
            <w:pPr>
              <w:ind w:left="200"/>
              <w:spacing w:after="0"/>
              <w:rPr>
                <w:sz w:val="20"/>
                <w:szCs w:val="20"/>
                <w:color w:val="auto"/>
              </w:rPr>
            </w:pPr>
            <w:r>
              <w:rPr>
                <w:rFonts w:ascii="Arial" w:cs="Arial" w:eastAsia="Arial" w:hAnsi="Arial"/>
                <w:sz w:val="18"/>
                <w:szCs w:val="18"/>
                <w:color w:val="0000FF"/>
              </w:rPr>
              <w:t>NY</w:t>
            </w:r>
          </w:p>
        </w:tc>
        <w:tc>
          <w:tcPr>
            <w:tcW w:w="500" w:type="dxa"/>
            <w:vAlign w:val="bottom"/>
          </w:tcPr>
          <w:p>
            <w:pPr>
              <w:ind w:left="40"/>
              <w:spacing w:after="0"/>
              <w:rPr>
                <w:sz w:val="20"/>
                <w:szCs w:val="20"/>
                <w:color w:val="auto"/>
              </w:rPr>
            </w:pPr>
            <w:r>
              <w:rPr>
                <w:rFonts w:ascii="Arial" w:cs="Arial" w:eastAsia="Arial" w:hAnsi="Arial"/>
                <w:sz w:val="18"/>
                <w:szCs w:val="18"/>
                <w:color w:val="0000FF"/>
                <w:w w:val="87"/>
              </w:rPr>
              <w:t>10022</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20" w:type="dxa"/>
            <w:vAlign w:val="bottom"/>
          </w:tcPr>
          <w:p>
            <w:pPr>
              <w:ind w:left="200"/>
              <w:spacing w:after="0"/>
              <w:rPr>
                <w:sz w:val="20"/>
                <w:szCs w:val="20"/>
                <w:color w:val="auto"/>
              </w:rPr>
            </w:pPr>
            <w:r>
              <w:rPr>
                <w:rFonts w:ascii="Arial" w:cs="Arial" w:eastAsia="Arial" w:hAnsi="Arial"/>
                <w:sz w:val="14"/>
                <w:szCs w:val="14"/>
                <w:color w:val="auto"/>
              </w:rPr>
              <w:t>(State)</w:t>
            </w:r>
          </w:p>
        </w:tc>
        <w:tc>
          <w:tcPr>
            <w:tcW w:w="560" w:type="dxa"/>
            <w:vAlign w:val="bottom"/>
            <w:gridSpan w:val="2"/>
          </w:tcPr>
          <w:p>
            <w:pPr>
              <w:ind w:left="40"/>
              <w:spacing w:after="0"/>
              <w:rPr>
                <w:sz w:val="20"/>
                <w:szCs w:val="20"/>
                <w:color w:val="auto"/>
              </w:rPr>
            </w:pPr>
            <w:r>
              <w:rPr>
                <w:rFonts w:ascii="Arial" w:cs="Arial" w:eastAsia="Arial" w:hAnsi="Arial"/>
                <w:sz w:val="14"/>
                <w:szCs w:val="14"/>
                <w:color w:val="auto"/>
              </w:rPr>
              <w:t>(Zip)</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21"/>
          <w:szCs w:val="21"/>
          <w:u w:val="single" w:color="auto"/>
          <w:color w:val="0000EE"/>
        </w:rPr>
      </w:pPr>
      <w:hyperlink r:id="rId14">
        <w:r>
          <w:rPr>
            <w:rFonts w:ascii="Arial" w:cs="Arial" w:eastAsia="Arial" w:hAnsi="Arial"/>
            <w:sz w:val="21"/>
            <w:szCs w:val="21"/>
            <w:u w:val="single" w:color="auto"/>
            <w:color w:val="0000EE"/>
          </w:rPr>
          <w:t>MORGAN DONALD E III</w:t>
        </w:r>
      </w:hyperlink>
    </w:p>
    <w:p>
      <w:pPr>
        <w:sectPr>
          <w:pgSz w:w="11900" w:h="16838" w:orient="portrait"/>
          <w:cols w:equalWidth="0" w:num="1">
            <w:col w:w="11420"/>
          </w:cols>
          <w:pgMar w:left="240" w:top="226" w:right="239" w:bottom="0" w:gutter="0" w:footer="0" w:header="0"/>
          <w:type w:val="continuous"/>
        </w:sectPr>
      </w:pPr>
    </w:p>
    <w:bookmarkStart w:id="1" w:name="page2"/>
    <w:bookmarkEnd w:id="1"/>
    <w:p>
      <w:pPr>
        <w:ind w:left="80"/>
        <w:spacing w:after="0"/>
        <w:tabs>
          <w:tab w:leader="none" w:pos="1520" w:val="left"/>
          <w:tab w:leader="none" w:pos="29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393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924175" cy="1393190"/>
                    </a:xfrm>
                    <a:prstGeom prst="rect">
                      <a:avLst/>
                    </a:prstGeom>
                    <a:noFill/>
                  </pic:spPr>
                </pic:pic>
              </a:graphicData>
            </a:graphic>
          </wp:anchor>
        </w:drawing>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C/O BRIGADE CAPITAL MANAGEMENT, LP</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399 PARK AVENUE, 16TH FLOOR</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right="100" w:firstLine="9"/>
        <w:spacing w:after="0" w:line="278"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securities are directly owned by Brigade Leveraged Capital Structures Fund Ltd. (the "Fund") and may be deemed beneficially owned by Brigade Capital Management, LP, the investment manager of the Fund and Donald E. Morgan III, the managing member of Brigade Capital Management, LP's general partner, each a Reporting Person. Brigade Capital Management, LP and Mr. Morgan each disclaim beneficial ownership of the reported securities except to the extent of their pecuniary interest therein, and this report shall not be deemed an admission that each Reporting Person is the beneficial owner of the securities for purposes of Section 16 of the Securities Exchange Act of 1934, as amended, or for any other purpose.</w:t>
      </w:r>
    </w:p>
    <w:p>
      <w:pPr>
        <w:spacing w:after="0" w:line="8" w:lineRule="exact"/>
        <w:rPr>
          <w:rFonts w:ascii="Arial" w:cs="Arial" w:eastAsia="Arial" w:hAnsi="Arial"/>
          <w:sz w:val="12"/>
          <w:szCs w:val="12"/>
          <w:color w:val="008000"/>
        </w:rPr>
      </w:pPr>
    </w:p>
    <w:p>
      <w:pPr>
        <w:ind w:right="160" w:firstLine="9"/>
        <w:spacing w:after="0" w:line="233"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5.00% Exchangeable Senior Notes due 2021 (the "Convertible Notes") bear interest at a rate of 5.00% per annum, with interest payable semiannually. The principal of the Convertible Notes is convertible into shares of the Issuer's Common Stock at any time after their issuance at a conversion price of approximately $8.26 per share, subject to adjustment in certain circumstances in accordance with the terms of the Convertible Notes.</w:t>
      </w:r>
    </w:p>
    <w:p>
      <w:pPr>
        <w:spacing w:after="0" w:line="30"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Convertible Notes are exercisable at any time prior to the expiration date.</w:t>
      </w:r>
    </w:p>
    <w:p>
      <w:pPr>
        <w:spacing w:after="0" w:line="41" w:lineRule="exact"/>
        <w:rPr>
          <w:rFonts w:ascii="Arial" w:cs="Arial" w:eastAsia="Arial" w:hAnsi="Arial"/>
          <w:sz w:val="14"/>
          <w:szCs w:val="14"/>
          <w:color w:val="008000"/>
        </w:rPr>
      </w:pPr>
    </w:p>
    <w:p>
      <w:pPr>
        <w:jc w:val="both"/>
        <w:ind w:firstLine="9"/>
        <w:spacing w:after="0" w:line="230"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reported securities are directly owned by certain private investment funds and managed accounts and may be deemed beneficially owned by Brigade Capital Management, LP, the investment manager of such funds and accounts and Mr. Morgan, the managing member of Brigade Capital Management, LP's general partner. Brigade Capital Management, LP and Mr. Morgan each disclaim beneficial ownership of the reported securities except to the extent of their pecuniary interest therein, and this report shall not be deemed an admission that each Reporting Person is the beneficial owner of the securities for purposes of Section 16 of the Securities Exchange Act of 1934, as amended, or for any other purpose.</w:t>
      </w:r>
    </w:p>
    <w:p>
      <w:pPr>
        <w:sectPr>
          <w:pgSz w:w="11900" w:h="16838" w:orient="portrait"/>
          <w:cols w:equalWidth="0" w:num="1">
            <w:col w:w="11320"/>
          </w:cols>
          <w:pgMar w:left="280" w:top="314" w:right="299" w:bottom="1440" w:gutter="0" w:footer="0" w:header="0"/>
        </w:sectPr>
      </w:pPr>
    </w:p>
    <w:p>
      <w:pPr>
        <w:spacing w:after="0" w:line="6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Brigade Leveraged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00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Structures Fund Ltd.,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693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255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0255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1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Brigade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404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34048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LP, By: /s/ Donald E.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544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III, Managing Member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788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7889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023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0231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Donald E. Morgan, III,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481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34810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975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9975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rPr>
          <w:sz w:val="20"/>
          <w:szCs w:val="20"/>
          <w:color w:val="auto"/>
        </w:rPr>
      </w:pPr>
      <w:r>
        <w:rPr>
          <w:rFonts w:ascii="Arial" w:cs="Arial" w:eastAsia="Arial" w:hAnsi="Arial"/>
          <w:sz w:val="15"/>
          <w:szCs w:val="15"/>
          <w:color w:val="0000FF"/>
        </w:rPr>
        <w:t>01/23/2017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01/23/2017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01/23/2017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8960" w:space="160"/>
            <w:col w:w="2200"/>
          </w:cols>
          <w:pgMar w:left="280" w:top="314" w:right="299" w:bottom="1440" w:gutter="0" w:footer="0" w:header="0"/>
          <w:type w:val="continuous"/>
        </w:sect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3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80" w:top="314"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11" Type="http://schemas.openxmlformats.org/officeDocument/2006/relationships/hyperlink" Target="http://www.sec.govhttp//www.sec.gov/cgi-bin/browse-edgar?action=getcompany&amp;CIK=0001421307" TargetMode="External"/><Relationship Id="rId12" Type="http://schemas.openxmlformats.org/officeDocument/2006/relationships/hyperlink" Target="http://www.sec.gov/cgi-bin/browse-edgar?action=getcompany&amp;CIK=0001325702" TargetMode="External"/><Relationship Id="rId13" Type="http://schemas.openxmlformats.org/officeDocument/2006/relationships/hyperlink" Target="http://www.sec.gov/cgi-bin/browse-edgar?action=getcompany&amp;CIK=0001421306" TargetMode="External"/><Relationship Id="rId14" Type="http://schemas.openxmlformats.org/officeDocument/2006/relationships/hyperlink" Target="http://www.sec.gov/cgi-bin/browse-edgar?action=getcompany&amp;CIK=00014213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2019-12-04T01:07:57Z</dcterms:created>
  <dcterms:modified xsi:type="dcterms:W3CDTF">2019-12-04T01:07:57Z</dcterms:modified>
</cp:coreProperties>
</file>