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FORM 8-K</w:t>
      </w:r>
    </w:p>
    <w:p>
      <w:pPr>
        <w:spacing w:after="0" w:line="34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Exchange Act of 1934</w:t>
      </w:r>
    </w:p>
    <w:p>
      <w:pPr>
        <w:spacing w:after="0" w:line="321"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17, 2008</w:t>
      </w:r>
    </w:p>
    <w:p>
      <w:pPr>
        <w:spacing w:after="0" w:line="35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MAGNACHIP SEMICONDUCTOR LLC</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368" w:right="639" w:bottom="1440" w:gutter="0" w:footer="0" w:header="0"/>
        </w:sectPr>
      </w:pPr>
    </w:p>
    <w:p>
      <w:pPr>
        <w:spacing w:after="0" w:line="1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368"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68" w:right="639" w:bottom="1440" w:gutter="0" w:footer="0" w:header="0"/>
          <w:type w:val="continuous"/>
        </w:sectPr>
      </w:pPr>
    </w:p>
    <w:p>
      <w:pPr>
        <w:spacing w:after="0" w:line="2"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Not Applicable</w:t>
      </w:r>
    </w:p>
    <w:p>
      <w:pPr>
        <w:spacing w:after="0" w:line="278" w:lineRule="exact"/>
        <w:rPr>
          <w:sz w:val="24"/>
          <w:szCs w:val="24"/>
          <w:color w:val="auto"/>
        </w:rPr>
      </w:pPr>
    </w:p>
    <w:p>
      <w:pPr>
        <w:sectPr>
          <w:pgSz w:w="11900" w:h="16838" w:orient="portrait"/>
          <w:cols w:equalWidth="0" w:num="2">
            <w:col w:w="8320" w:space="720"/>
            <w:col w:w="1980"/>
          </w:cols>
          <w:pgMar w:left="240" w:top="368" w:right="63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88" w:lineRule="exact"/>
        <w:rPr>
          <w:sz w:val="24"/>
          <w:szCs w:val="24"/>
          <w:color w:val="auto"/>
        </w:rPr>
      </w:pPr>
    </w:p>
    <w:p>
      <w:pPr>
        <w:sectPr>
          <w:pgSz w:w="11900" w:h="16838" w:orient="portrait"/>
          <w:cols w:equalWidth="0" w:num="2">
            <w:col w:w="8480" w:space="720"/>
            <w:col w:w="1820"/>
          </w:cols>
          <w:pgMar w:left="240" w:top="368" w:right="639" w:bottom="1440" w:gutter="0" w:footer="0" w:header="0"/>
          <w:type w:val="continuous"/>
        </w:sectPr>
      </w:pPr>
    </w:p>
    <w:p>
      <w:pPr>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352) 45-62-62</w:t>
      </w:r>
    </w:p>
    <w:p>
      <w:pPr>
        <w:spacing w:after="0" w:line="177"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17, 2008, MagnaChip Semiconductor LLC (the “Company”) entered into the Tenth Amendment to Credit Agreement (as amended, the “Credit Agreement”), dated as of June 17, 2008 (the “Amendment”), with MagnaChip Semiconductor S.A. and MagnaChip Semiconductor Finance Company, as borrowers, the Subsidiary Guarantors party thereto, the Lenders party thereto (the “Lenders”), and UBS AG, Stamford Branch, as administrative agent and collateral agent. Under the Amendment, among other things, the term “CVC Management LLC” was deleted and replaced with the clause “Court Square Advisor, LLC (successor in interest to CVC Management LLC).” The foregoing description does not purport to be complete and is qualified in its entirety by reference to the text of the Amendment, which is attached hereto as Exhibit 10.3.k to this report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240" w:type="dxa"/>
            <w:vAlign w:val="bottom"/>
          </w:tcPr>
          <w:p>
            <w:pPr>
              <w:spacing w:after="0"/>
              <w:rPr>
                <w:sz w:val="14"/>
                <w:szCs w:val="14"/>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10.3.k</w:t>
            </w:r>
          </w:p>
        </w:tc>
        <w:tc>
          <w:tcPr>
            <w:tcW w:w="640" w:type="dxa"/>
            <w:vAlign w:val="bottom"/>
          </w:tcPr>
          <w:p>
            <w:pPr>
              <w:spacing w:after="0"/>
              <w:rPr>
                <w:sz w:val="17"/>
                <w:szCs w:val="17"/>
                <w:color w:val="auto"/>
              </w:rPr>
            </w:pPr>
          </w:p>
        </w:tc>
        <w:tc>
          <w:tcPr>
            <w:tcW w:w="9940" w:type="dxa"/>
            <w:vAlign w:val="bottom"/>
            <w:gridSpan w:val="2"/>
          </w:tcPr>
          <w:p>
            <w:pPr>
              <w:spacing w:after="0" w:line="201" w:lineRule="exact"/>
              <w:rPr>
                <w:sz w:val="20"/>
                <w:szCs w:val="20"/>
                <w:color w:val="auto"/>
              </w:rPr>
            </w:pPr>
            <w:r>
              <w:rPr>
                <w:rFonts w:ascii="Arial" w:cs="Arial" w:eastAsia="Arial" w:hAnsi="Arial"/>
                <w:sz w:val="18"/>
                <w:szCs w:val="18"/>
                <w:color w:val="auto"/>
                <w:w w:val="94"/>
              </w:rPr>
              <w:t>Tenth Amendment to Credit Agreement, dated as of June 17, 2008, by and among MagnaChip Semiconductor S.A. and MagnaChip</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Semiconductor Finance Company, as borrowers, MagnaChip Semiconductor LLC, the Subsidiary Guarantors party thereto, the Lenders party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thereto, and UBS AG, Stamford Branch, as administrative agent and collateral agent.</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920" w:type="dxa"/>
            <w:vAlign w:val="bottom"/>
            <w:gridSpan w:val="2"/>
          </w:tcPr>
          <w:p>
            <w:pPr>
              <w:ind w:left="2000"/>
              <w:spacing w:after="0"/>
              <w:rPr>
                <w:sz w:val="20"/>
                <w:szCs w:val="20"/>
                <w:color w:val="auto"/>
              </w:rPr>
            </w:pPr>
            <w:r>
              <w:rPr>
                <w:rFonts w:ascii="Arial" w:cs="Arial" w:eastAsia="Arial" w:hAnsi="Arial"/>
                <w:sz w:val="18"/>
                <w:szCs w:val="18"/>
                <w:color w:val="auto"/>
              </w:rPr>
              <w:t>MAGNACHIP SEMICONDUCTOR LLC</w:t>
            </w:r>
          </w:p>
        </w:tc>
      </w:tr>
      <w:tr>
        <w:trPr>
          <w:trHeight w:val="541"/>
        </w:trPr>
        <w:tc>
          <w:tcPr>
            <w:tcW w:w="3500" w:type="dxa"/>
            <w:vAlign w:val="bottom"/>
          </w:tcPr>
          <w:p>
            <w:pPr>
              <w:spacing w:after="0"/>
              <w:rPr>
                <w:sz w:val="20"/>
                <w:szCs w:val="20"/>
                <w:color w:val="auto"/>
              </w:rPr>
            </w:pPr>
            <w:r>
              <w:rPr>
                <w:rFonts w:ascii="Arial" w:cs="Arial" w:eastAsia="Arial" w:hAnsi="Arial"/>
                <w:sz w:val="18"/>
                <w:szCs w:val="18"/>
                <w:color w:val="auto"/>
              </w:rPr>
              <w:t>Dated: June 17, 2008</w:t>
            </w:r>
          </w:p>
        </w:tc>
        <w:tc>
          <w:tcPr>
            <w:tcW w:w="7920" w:type="dxa"/>
            <w:vAlign w:val="bottom"/>
            <w:gridSpan w:val="2"/>
          </w:tcPr>
          <w:p>
            <w:pPr>
              <w:ind w:left="2000"/>
              <w:spacing w:after="0"/>
              <w:rPr>
                <w:sz w:val="20"/>
                <w:szCs w:val="20"/>
                <w:color w:val="auto"/>
              </w:rPr>
            </w:pPr>
            <w:r>
              <w:rPr>
                <w:rFonts w:ascii="Arial" w:cs="Arial" w:eastAsia="Arial" w:hAnsi="Arial"/>
                <w:sz w:val="18"/>
                <w:szCs w:val="18"/>
                <w:color w:val="auto"/>
              </w:rPr>
              <w:t>By:    /s/  Robert Krakauer</w:t>
            </w:r>
          </w:p>
        </w:tc>
      </w:tr>
      <w:tr>
        <w:trPr>
          <w:trHeight w:val="202"/>
        </w:trPr>
        <w:tc>
          <w:tcPr>
            <w:tcW w:w="3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10.3.k</w:t>
            </w:r>
          </w:p>
        </w:tc>
        <w:tc>
          <w:tcPr>
            <w:tcW w:w="6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w w:val="94"/>
              </w:rPr>
              <w:t>Tenth Amendment to Credit Agreement, dated as of June 17, 2008, by and among MagnaChip Semiconductor S.A. and MagnaChip</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w w:val="88"/>
              </w:rPr>
              <w:t>Semiconductor Finance Company, as borrowers, MagnaChip Semiconductor LLC, the Subsidiary Guarantors party thereto, the Lenders party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thereto, and UBS AG, Stamford Branch, as administrative agent and collateral agent.</w:t>
            </w:r>
          </w:p>
        </w:tc>
      </w:tr>
    </w:tbl>
    <w:p>
      <w:pPr>
        <w:sectPr>
          <w:pgSz w:w="11900" w:h="16838" w:orient="portrait"/>
          <w:cols w:equalWidth="0" w:num="1">
            <w:col w:w="11300"/>
          </w:cols>
          <w:pgMar w:left="240" w:top="25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EXHIBIT 10.3.k</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TENTH AMENDMENT TO CREDIT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TENTH AMENDMENT (as the same may be amended, restated, supplemented, extended or otherwise modified from time to time,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June 17, 2008,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Grand Duchy of Luxembourg, having its registered office at 74, rue de Merl, B.P. 709, L-2017 Luxembourg, Grand Duchy of 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MagnaChip LLC</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MagnaChip LLC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party hereto, UBS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The Borrowers, MagnaChip LLC, the Subsidiary Guarantors, the Lenders, UBS Securities LLC, as lead arranger, as documentation agent and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UBS Loan Finance LLC, as swingline lender, Korea Exchange Bank, as issuing bank and Agents are parties to that certain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December 23, 2004 (as the same has been and hereafter may be amended, restated, supplemented or otherwise modified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w:t>
      </w:r>
      <w:r>
        <w:rPr>
          <w:rFonts w:ascii="Arial" w:cs="Arial" w:eastAsia="Arial" w:hAnsi="Arial"/>
          <w:sz w:val="16"/>
          <w:szCs w:val="16"/>
          <w:color w:val="auto"/>
        </w:rPr>
        <w:t>”). Unless otherwise specified herein, all capitalized terms used in this Amendment shall have the meanings ascribed to them in the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 The Borrowers have requested that the Agents and the Required Lenders agree to amend Section 1.01 of the Credit Agreement, all upon the terms and subject to the conditions as herein set forth.</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240"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definition of “Sponsors” in Section 1.01 of the Credit Agreement, the term “CVC Management LLC” is hereby deleted and replaced with the clause “Court Square Advisor, LLC (successor in interest to CVC Management LLC)”.</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Representations, Warranties and Covenants of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the Agents and Lenders to execute and deliver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Loan Parties represents, warrants and covenants that:</w:t>
      </w:r>
    </w:p>
    <w:p>
      <w:pPr>
        <w:spacing w:after="0" w:line="126" w:lineRule="exact"/>
        <w:rPr>
          <w:sz w:val="20"/>
          <w:szCs w:val="20"/>
          <w:color w:val="auto"/>
        </w:rPr>
      </w:pPr>
    </w:p>
    <w:p>
      <w:pPr>
        <w:ind w:right="80" w:firstLine="464"/>
        <w:spacing w:after="0" w:line="259"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w:t>
      </w:r>
    </w:p>
    <w:p>
      <w:pPr>
        <w:sectPr>
          <w:pgSz w:w="11900" w:h="16838" w:orient="portrait"/>
          <w:cols w:equalWidth="0" w:num="1">
            <w:col w:w="11320"/>
          </w:cols>
          <w:pgMar w:left="240" w:top="125" w:right="339" w:bottom="1440" w:gutter="0" w:footer="0" w:header="0"/>
        </w:sectPr>
      </w:pPr>
    </w:p>
    <w:bookmarkStart w:id="5" w:name="page6"/>
    <w:bookmarkEnd w:id="5"/>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obligations of the Loan Parties enforceable against the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07" w:lineRule="exact"/>
        <w:rPr>
          <w:sz w:val="20"/>
          <w:szCs w:val="20"/>
          <w:color w:val="auto"/>
        </w:rPr>
      </w:pPr>
    </w:p>
    <w:p>
      <w:pPr>
        <w:ind w:firstLine="464"/>
        <w:spacing w:after="0" w:line="255"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142" w:lineRule="exact"/>
        <w:rPr>
          <w:rFonts w:ascii="Arial" w:cs="Arial" w:eastAsia="Arial" w:hAnsi="Arial"/>
          <w:sz w:val="18"/>
          <w:szCs w:val="18"/>
          <w:color w:val="auto"/>
        </w:rPr>
      </w:pPr>
    </w:p>
    <w:p>
      <w:pPr>
        <w:ind w:right="40" w:firstLine="464"/>
        <w:spacing w:after="0" w:line="254"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Amendment and all documents and instruments delivered in connection herewith nor the consummation of the transactions contemplated hereby or thereby (i) does or shall contravene, result in a breach of, or violate (A) any provision of any Loan Party’s corporate charter, bylaws, operating agreement, purchase agreement, or other governing documents, (B) any law or regulation, or any order or decree of any court or government instrumentality, or (C) any indenture, mortgage, deed of trust, lease, agreement or other instrument to which any Loan Party is a party or by which any Loan Party or any of its property is bound or (ii) requires any notice to, registration or filing with, acceptance, consent or approval of, or any other action by, any Governmental Authority;</w:t>
      </w:r>
    </w:p>
    <w:p>
      <w:pPr>
        <w:spacing w:after="0" w:line="144"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recitals to this Amendment are true and correct.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120" w:firstLine="464"/>
        <w:spacing w:after="0" w:line="314" w:lineRule="auto"/>
        <w:tabs>
          <w:tab w:leader="none" w:pos="695" w:val="left"/>
        </w:tabs>
        <w:numPr>
          <w:ilvl w:val="1"/>
          <w:numId w:val="5"/>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104" w:lineRule="exact"/>
        <w:rPr>
          <w:rFonts w:ascii="Arial" w:cs="Arial" w:eastAsia="Arial" w:hAnsi="Arial"/>
          <w:sz w:val="15"/>
          <w:szCs w:val="15"/>
          <w:color w:val="auto"/>
        </w:rPr>
      </w:pPr>
    </w:p>
    <w:p>
      <w:pPr>
        <w:ind w:right="80" w:firstLine="464"/>
        <w:spacing w:after="0" w:line="284" w:lineRule="auto"/>
        <w:tabs>
          <w:tab w:leader="none" w:pos="705" w:val="left"/>
        </w:tabs>
        <w:numPr>
          <w:ilvl w:val="1"/>
          <w:numId w:val="5"/>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120" w:firstLine="8"/>
        <w:spacing w:after="0" w:line="261"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the other Loan Documents, and/or applicable law. Except as expressly set forth herein, all of the provisions of the Credit Agreement and the other Loan Documents, including, without limitation, the time of the essence provisions, are hereby reiterated, and if ever waived, reinstated.</w:t>
      </w:r>
    </w:p>
    <w:p>
      <w:pPr>
        <w:spacing w:after="0" w:line="85" w:lineRule="exact"/>
        <w:rPr>
          <w:sz w:val="20"/>
          <w:szCs w:val="20"/>
          <w:color w:val="auto"/>
        </w:rPr>
      </w:pPr>
    </w:p>
    <w:p>
      <w:pPr>
        <w:ind w:right="180" w:firstLine="464"/>
        <w:spacing w:after="0" w:line="268"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26"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Borrowers and the other Loan Parties agrees jointly and severally to reimburse Agents and Lenders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9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OPPOSED TO CONFLICTS OF LAWS PROVISIONS) OF THE STATE OF NEW YORK.</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for any other purposes.</w:t>
      </w:r>
    </w:p>
    <w:p>
      <w:pPr>
        <w:spacing w:after="0" w:line="120"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0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party.</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agrees to take, and to cause its Subsidiaries to take, all further actions and to execute and deliver, and</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its Subsidiaries to execute and deliver, all further documents as the Agents, or either of them, may from time to time reasonably request to carry out the transactions contemplated by this Amendment.</w:t>
      </w:r>
    </w:p>
    <w:p>
      <w:pPr>
        <w:spacing w:after="0" w:line="13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at the time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all of the following 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satisfied (or waived) as determined by the Required Lenders in their sole discretion (as evidenced by the Required Lenders’ execution and delivery of this Amendment):</w:t>
      </w:r>
    </w:p>
    <w:p>
      <w:pPr>
        <w:spacing w:after="0" w:line="138" w:lineRule="exact"/>
        <w:rPr>
          <w:sz w:val="20"/>
          <w:szCs w:val="20"/>
          <w:color w:val="auto"/>
        </w:rPr>
      </w:pPr>
    </w:p>
    <w:p>
      <w:pPr>
        <w:ind w:right="4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Duly executed signature pages for this Amendment signed by the Required Lenders and Loan Parties shall have been delivered to the Administrative Agent.</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the Effective 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5"/>
          <w:szCs w:val="15"/>
          <w:u w:val="single" w:color="auto"/>
          <w:color w:val="auto"/>
        </w:rPr>
        <w:t>Expenses</w:t>
      </w:r>
      <w:r>
        <w:rPr>
          <w:rFonts w:ascii="Arial" w:cs="Arial" w:eastAsia="Arial" w:hAnsi="Arial"/>
          <w:sz w:val="15"/>
          <w:szCs w:val="15"/>
          <w:color w:val="auto"/>
        </w:rPr>
        <w:t>. All of the expenses owing the Agents under Section 10.03 of the Credit Agreement shall have been paid in full.</w:t>
      </w:r>
    </w:p>
    <w:p>
      <w:pPr>
        <w:sectPr>
          <w:pgSz w:w="11900" w:h="16838" w:orient="portrait"/>
          <w:cols w:equalWidth="0" w:num="1">
            <w:col w:w="9759"/>
          </w:cols>
          <w:pgMar w:left="700" w:top="280" w:right="1440" w:bottom="1440" w:gutter="0" w:footer="0" w:header="0"/>
        </w:sectPr>
      </w:pPr>
    </w:p>
    <w:p>
      <w:pPr>
        <w:spacing w:after="0" w:line="206"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 Signature Pages Follow ***</w:t>
      </w:r>
    </w:p>
    <w:p>
      <w:pPr>
        <w:spacing w:after="0" w:line="18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59"/>
          </w:cols>
          <w:pgMar w:left="700" w:top="28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Tenth Amendment has been executed by the parties hereto as of the date first written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Luxembourg company</w:t>
      </w:r>
    </w:p>
    <w:p>
      <w:pPr>
        <w:spacing w:after="0" w:line="232" w:lineRule="exact"/>
        <w:rPr>
          <w:sz w:val="20"/>
          <w:szCs w:val="20"/>
          <w:color w:val="auto"/>
        </w:rPr>
      </w:pPr>
    </w:p>
    <w:p>
      <w:pPr>
        <w:ind w:left="6400"/>
        <w:spacing w:after="0"/>
        <w:tabs>
          <w:tab w:leader="none" w:pos="6960" w:val="left"/>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FINANCE COMPANY, a</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6400"/>
        <w:spacing w:after="0"/>
        <w:tabs>
          <w:tab w:leader="none" w:pos="6960" w:val="left"/>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10795</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860"/>
          </w:cols>
          <w:pgMar w:left="700" w:top="280" w:right="339" w:bottom="1440" w:gutter="0" w:footer="0" w:header="0"/>
        </w:sectPr>
      </w:pPr>
    </w:p>
    <w:bookmarkStart w:id="9" w:name="page10"/>
    <w:bookmarkEnd w:id="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10" w:name="page11"/>
    <w:bookmarkEnd w:id="10"/>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California corporation</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11" w:name="page12"/>
    <w:bookmarkEnd w:id="1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 HOLDINGS LLC,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020"/>
          </w:cols>
          <w:pgMar w:left="1440" w:top="280" w:right="439" w:bottom="1440" w:gutter="0" w:footer="0" w:header="0"/>
        </w:sectPr>
      </w:pPr>
    </w:p>
    <w:bookmarkStart w:id="12" w:name="page13"/>
    <w:bookmarkEnd w:id="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 a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incorporated in England and Wales with registered number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05232381</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9880"/>
          </w:cols>
          <w:pgMar w:left="1440" w:top="280" w:right="579" w:bottom="1440" w:gutter="0" w:footer="0" w:header="0"/>
        </w:sectPr>
      </w:pPr>
    </w:p>
    <w:bookmarkStart w:id="13" w:name="page14"/>
    <w:bookmarkEnd w:id="1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Japanese company</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For execution as a deed: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LIMITED</w:t>
            </w: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Witness:</w:t>
            </w:r>
          </w:p>
        </w:tc>
        <w:tc>
          <w:tcPr>
            <w:tcW w:w="478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w w:val="86"/>
              </w:rPr>
              <w:t>Witness:</w:t>
            </w:r>
          </w:p>
        </w:tc>
        <w:tc>
          <w:tcPr>
            <w:tcW w:w="0" w:type="dxa"/>
            <w:vAlign w:val="bottom"/>
          </w:tcPr>
          <w:p>
            <w:pPr>
              <w:spacing w:after="0"/>
              <w:rPr>
                <w:sz w:val="1"/>
                <w:szCs w:val="1"/>
                <w:color w:val="auto"/>
              </w:rPr>
            </w:pPr>
          </w:p>
        </w:tc>
      </w:tr>
      <w:tr>
        <w:trPr>
          <w:trHeight w:val="29"/>
        </w:trPr>
        <w:tc>
          <w:tcPr>
            <w:tcW w:w="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
                <w:szCs w:val="2"/>
                <w:color w:val="auto"/>
              </w:rPr>
            </w:pPr>
          </w:p>
        </w:tc>
        <w:tc>
          <w:tcPr>
            <w:tcW w:w="900" w:type="dxa"/>
            <w:vAlign w:val="bottom"/>
            <w:vMerge w:val="restart"/>
          </w:tcPr>
          <w:p>
            <w:pPr>
              <w:ind w:left="2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316"/>
        </w:trPr>
        <w:tc>
          <w:tcPr>
            <w:tcW w:w="800" w:type="dxa"/>
            <w:vAlign w:val="bottom"/>
            <w:vMerge w:val="continue"/>
          </w:tcPr>
          <w:p>
            <w:pPr>
              <w:spacing w:after="0"/>
              <w:rPr>
                <w:sz w:val="24"/>
                <w:szCs w:val="24"/>
                <w:color w:val="auto"/>
              </w:rPr>
            </w:pPr>
          </w:p>
        </w:tc>
        <w:tc>
          <w:tcPr>
            <w:tcW w:w="47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478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w w:val="84"/>
              </w:rPr>
              <w:t>Address:</w:t>
            </w: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80" w:type="dxa"/>
            <w:vAlign w:val="bottom"/>
            <w:gridSpan w:val="2"/>
          </w:tcPr>
          <w:p>
            <w:pPr>
              <w:spacing w:after="0"/>
              <w:rPr>
                <w:sz w:val="20"/>
                <w:szCs w:val="20"/>
                <w:color w:val="auto"/>
              </w:rPr>
            </w:pPr>
            <w:r>
              <w:rPr>
                <w:rFonts w:ascii="Arial" w:cs="Arial" w:eastAsia="Arial" w:hAnsi="Arial"/>
                <w:sz w:val="18"/>
                <w:szCs w:val="18"/>
                <w:color w:val="auto"/>
              </w:rPr>
              <w:t>SIGNED by /s/ Robert Krakauer</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LIMITED</w:t>
            </w:r>
          </w:p>
        </w:tc>
        <w:tc>
          <w:tcPr>
            <w:tcW w:w="4780" w:type="dxa"/>
            <w:vAlign w:val="bottom"/>
          </w:tcPr>
          <w:p>
            <w:pPr>
              <w:spacing w:after="0"/>
              <w:rPr>
                <w:sz w:val="18"/>
                <w:szCs w:val="18"/>
                <w:color w:val="auto"/>
              </w:rPr>
            </w:pP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1"/>
        </w:trPr>
        <w:tc>
          <w:tcPr>
            <w:tcW w:w="800" w:type="dxa"/>
            <w:vAlign w:val="bottom"/>
          </w:tcPr>
          <w:p>
            <w:pPr>
              <w:spacing w:after="0"/>
              <w:rPr>
                <w:sz w:val="20"/>
                <w:szCs w:val="20"/>
                <w:color w:val="auto"/>
              </w:rPr>
            </w:pPr>
            <w:r>
              <w:rPr>
                <w:rFonts w:ascii="Arial" w:cs="Arial" w:eastAsia="Arial" w:hAnsi="Arial"/>
                <w:sz w:val="18"/>
                <w:szCs w:val="18"/>
                <w:color w:val="auto"/>
              </w:rPr>
              <w:t>Witness:</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John McFarland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-2493645</wp:posOffset>
            </wp:positionV>
            <wp:extent cx="3035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5"/>
          <w:szCs w:val="15"/>
          <w:color w:val="auto"/>
        </w:rPr>
        <w:t>891 Daechi-dong, Gangnam-gu, Seoul, Korea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860"/>
          </w:cols>
          <w:pgMar w:left="240" w:top="274" w:right="799" w:bottom="1440" w:gutter="0" w:footer="0" w:header="0"/>
        </w:sectPr>
      </w:pPr>
    </w:p>
    <w:bookmarkStart w:id="15" w:name="page16"/>
    <w:bookmarkEnd w:id="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LTD., a Taiwan company</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16" w:name="page17"/>
    <w:bookmarkEnd w:id="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48"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Stefan Boermans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 Boermans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17" w:name="page18"/>
    <w:bookmarkEnd w:id="1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a British Virgin Islands company</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51"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020"/>
          </w:cols>
          <w:pgMar w:left="1440" w:top="280" w:right="439" w:bottom="1440" w:gutter="0" w:footer="0" w:header="0"/>
        </w:sectPr>
      </w:pPr>
    </w:p>
    <w:bookmarkStart w:id="18" w:name="page19"/>
    <w:bookmarkEnd w:id="1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 Syndication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Documentation Agent</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Attorney-in-Fact</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Attorney-in-Fact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Collateral Agent</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 Director</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Swingline Lender</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 Director</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Associate Director</w:t>
      </w:r>
    </w:p>
    <w:p>
      <w:pPr>
        <w:spacing w:after="0" w:line="151"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020"/>
          </w:cols>
          <w:pgMar w:left="1440" w:top="280" w:right="439" w:bottom="1440" w:gutter="0" w:footer="0" w:header="0"/>
        </w:sectPr>
      </w:pPr>
    </w:p>
    <w:bookmarkStart w:id="19" w:name="page20"/>
    <w:bookmarkEnd w:id="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tabs>
          <w:tab w:leader="none" w:pos="6220" w:val="left"/>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Caditz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Andrew Caditz</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80"/>
          </w:cols>
          <w:pgMar w:left="1440" w:top="280" w:right="1379" w:bottom="1440" w:gutter="0" w:footer="0" w:header="0"/>
        </w:sectPr>
      </w:pPr>
    </w:p>
    <w:bookmarkStart w:id="20" w:name="page21"/>
    <w:bookmarkEnd w:id="2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Carl Cho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80" w:right="1440" w:bottom="1440" w:gutter="0" w:footer="0" w:header="0"/>
        </w:sectPr>
      </w:pPr>
    </w:p>
    <w:bookmarkStart w:id="21" w:name="page22"/>
    <w:bookmarkEnd w:id="2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tabs>
          <w:tab w:leader="none" w:pos="6220" w:val="left"/>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lvl w:ilvl="1">
      <w:lvlJc w:val="left"/>
      <w:lvlText w:val="(%2)"/>
      <w:numFmt w:val="lowerLetter"/>
      <w:start w:val="1"/>
    </w:lvl>
  </w:abstractNum>
  <w:abstractNum w:abstractNumId="5">
    <w:nsid w:val="41B71EFB"/>
    <w:multiLevelType w:val="hybridMultilevel"/>
    <w:lvl w:ilvl="0">
      <w:lvlJc w:val="left"/>
      <w:lvlText w:val="(%1)"/>
      <w:numFmt w:val="lowerLetter"/>
      <w:start w:val="61"/>
    </w:lvl>
    <w:lvl w:ilvl="1">
      <w:lvlJc w:val="left"/>
      <w:lvlText w:val="%2"/>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2019-12-15T11:09:34Z</dcterms:created>
  <dcterms:modified xsi:type="dcterms:W3CDTF">2019-12-15T11:09:34Z</dcterms:modified>
</cp:coreProperties>
</file>