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spacing w:after="0" w:line="19"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580"/>
        <w:spacing w:after="0"/>
        <w:rPr>
          <w:sz w:val="20"/>
          <w:szCs w:val="20"/>
          <w:color w:val="auto"/>
        </w:rPr>
      </w:pPr>
      <w:r>
        <w:rPr>
          <w:rFonts w:ascii="Arial" w:cs="Arial" w:eastAsia="Arial" w:hAnsi="Arial"/>
          <w:sz w:val="16"/>
          <w:szCs w:val="16"/>
          <w:b w:val="1"/>
          <w:bCs w:val="1"/>
          <w:color w:val="auto"/>
        </w:rPr>
        <w:t>Luxembourg, Grand Duchy of Luxembourg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sectPr>
          <w:pgSz w:w="11900" w:h="16838" w:orient="portrait"/>
          <w:cols w:equalWidth="0" w:num="2">
            <w:col w:w="7360" w:space="720"/>
            <w:col w:w="3340"/>
          </w:cols>
          <w:pgMar w:left="240" w:top="368" w:right="23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100"/>
          </w:cols>
          <w:pgMar w:left="240" w:top="36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New Employment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Overview and Terms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connection with the holistic review of our compensation programs conducted by the Compensation Committee of our Board of Directors throughout 2017, on April 26, 2018 (the “Effective Date”), MagnaChip Semiconductor Corporation (the “Company,” “we,” “us,” and “our”) and its Korean subsidiary MagnaChip Semiconductor, Ltd. entered into a new employment agreement (the “Employment Agreement”) with Young-Joon Kim, our Chief Executive Officer. The Employment Agreement further aligns Mr. Kim’s interests with those of our stockholders by establishing an equity grant program that serves to</w:t>
      </w:r>
    </w:p>
    <w:p>
      <w:pPr>
        <w:spacing w:after="0" w:line="2" w:lineRule="exact"/>
        <w:rPr>
          <w:sz w:val="20"/>
          <w:szCs w:val="20"/>
          <w:color w:val="auto"/>
        </w:rPr>
      </w:pPr>
    </w:p>
    <w:p>
      <w:pPr>
        <w:ind w:right="380" w:firstLine="8"/>
        <w:spacing w:after="0" w:line="273"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gradually increase his potential stock ownership and (ii) balance short-term operational goals with long-term shareholder return. The Employment Agreement also reflects certain changes to Mr. Kim’s prior arrangements to bring them within market practices, including the removal or modification of certain provisions that were determined to no longer be appropriate or desirable (e.g., single-trigger vesting of all equity awards, post-termination continuation of certain perquisites, reduction of non-change in control severance multiple from 3x to 2x).</w:t>
      </w:r>
    </w:p>
    <w:p>
      <w:pPr>
        <w:spacing w:after="0" w:line="17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Employment Agreement provides for an annual base salary of $557,396 and an opportunity to earn an annual bonus in an amount determined by our Board of Directors based on the achievement of performance goals. Mr. Kim is eligible to participate in the Company’s benefit programs as in effect from time to time.</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Employment Agreement, Mr. Kim is entitled to severance payments and benefits upon certain qualifying terminations of his employment with the Company. Upon termination of his employment by the Company without “Cause” or his resignation for “Good Reason”, in each case not in connection with a “Change in Control” (each as defined in the Employment Agreement), he is entitled to receive (i) 24 months of continued base salary (as then in effect or in effect prior to any diminution constituting Good Reason) (the “Salary Payment”), (ii) a pro rata bonus based on actual performance (if such termination occurs after June 30 of the year of termination), (iii) a lump-sum payment equal to the cost of 12 months of Company-paid insurance premiums (the “Insurance Payment”), (iv) 90 days’ continuation of Mr. Kim’s expatriate benefits, and (v) to the extent that Mr. Kim is eligible to receive such payments as part of the expatriate benefits, the repatriation allowance and expenses. Further Mr. Kim will vest in full in all equity awards granted prior to January 1, 2018, and will vest in pro rata portions of all equity grants made on or after the January 1, 2018.</w:t>
      </w:r>
    </w:p>
    <w:p>
      <w:pPr>
        <w:spacing w:after="0" w:line="1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If, during a period of time that (x) the Company is party to a definitive corporate transaction agreement the consummation of which would result in a Change in Control or (y) is within 18 months following a Change in Control, Mr. Kim’s employment is terminated by the Company without Cause, by Mr. Kim for Good Reason, or by reason of Mr. Kim’s death or “Disability” (as defined in the Employment Agreement), then Mr. Kim will be entitled the severance payments described above, provided that (A) the Salary Payment shall be a lump sum payment equal to two times the sum of (1) Mr. Kim’s base salary (as then in effect or in effect prior to any diminution implicating Good Reason) and (2) annual bonus (as then in effect or in effect prior to any diminution implicating Good Reason, but in no event greater than 100% of Mr. Kim’s base salary) and (B) the Insurance Payment will be in respect of 18 months rather than 12. Further Mr. Kim will vest in full in all equity awards granted prior to January 1, 2018 and the RSUs.</w:t>
      </w:r>
    </w:p>
    <w:p>
      <w:pPr>
        <w:sectPr>
          <w:pgSz w:w="11900" w:h="16838" w:orient="portrait"/>
          <w:cols w:equalWidth="0" w:num="1">
            <w:col w:w="11400"/>
          </w:cols>
          <w:pgMar w:left="240" w:top="270" w:right="25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Kim’s right to receive any Change in Control or other severance payments provided in the Employment Agreement is subject to his execution of a release of claims against us and his compliance with certain restrictive covenants.</w:t>
      </w:r>
    </w:p>
    <w:p>
      <w:pPr>
        <w:spacing w:after="0" w:line="17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Employment Agreement contains customary non-competition, non-solicitation and confidentiality provisions. It also provides that Mr. Kim will be subject to any stock ownership guidelines and holding requirements as may be implemented by our Board of Directors from time to time.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Equity Grant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his entry into the Employment Agreement, on April 30, Mr. Kim will receive 112,118 time-based restricted stock units that generally vest in specified tranches over three years, subject to his continued employment on such date.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30, 2018, subject to Mr. Kim’s continued employment on such date, he will also receive 74,320 (assuming achievement at target performance level) performance-based restricted stock units (“PSUs”), comprised of (a) 18,600 PSUs eligible to vest based on the Company’s total shareholder return relative to the S&amp;P Semiconductor Index during the period from January 1, 2018 through December 31, 2020, with payouts ranging from 0 to 200% of the target amount (“TSR PSUs”) and (b) 55,720 PSUs eligible to vest based on certain annual operations plan goals during the period from January 1, 2018 through December 31, 2018 (“AOP PSUs”).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Employment Agreement also provides that, subject to his continued employment with the Company, Mr. Kim will receive the following TSR PSU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AOP PSU grants in 2019 and 2020 that are generally subject to the same terms as Mr. Kim’s 2018 grants, within 60 days following January 1 of each year:</w:t>
      </w:r>
    </w:p>
    <w:p>
      <w:pPr>
        <w:spacing w:after="0" w:line="139" w:lineRule="exact"/>
        <w:rPr>
          <w:sz w:val="20"/>
          <w:szCs w:val="20"/>
          <w:color w:val="auto"/>
        </w:rPr>
      </w:pPr>
    </w:p>
    <w:p>
      <w:pPr>
        <w:ind w:left="900" w:right="1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2019, an award of AOP PSUs with an overall target-level award equal to 55,720 AOP PSUs, and at maximum achievement, an award equal to 83,580 AOP PSUs, subject to adjustment as provided by the award agreement.</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2019, an award of TSR PSUs with an overall target-level award equal to 23,880 TSR PSUs, and at supermaximum achievement, an award equal to 47,760 TSR PSUs, subject to adjustment as provided by the award agreement.</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2020, an award of AOP PSUs with an overall target-level award equal to 67,760 AOP PSUs, and at maximum achievement, an award equal to 101,640 AOP PSUs, subject to adjustment as provided by the award agreement.</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2020, an award of TSR PSUs with an overall target-level award equal to 29,040 TSR PSUs, and at supermaximum achievement, an award equal to 58,080 TSR PSUs, subject to adjustment as provided by the award agreement.</w:t>
      </w:r>
    </w:p>
    <w:p>
      <w:pPr>
        <w:sectPr>
          <w:pgSz w:w="11900" w:h="16838" w:orient="portrait"/>
          <w:cols w:equalWidth="0" w:num="1">
            <w:col w:w="11380"/>
          </w:cols>
          <w:pgMar w:left="240" w:top="274" w:right="279" w:bottom="1440" w:gutter="0" w:footer="0" w:header="0"/>
        </w:sectPr>
      </w:pPr>
    </w:p>
    <w:bookmarkStart w:id="3" w:name="page4"/>
    <w:bookmarkEnd w:id="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descriptions of the Employment Agreement, the RSUs, the TSR PSUs, and the AOP PSUs are qualified in their entirety by reference to the full text of the Employment Agreement, the Company’s form of Restricted Stock Units Agreement, the Company’s form of Restricted Stock Units Agreement (TSR Performance), and the Company’s form of Restricted Stock Units Agreement (AOP Performance), respectively, which are filed as Exhibits 10.1, 10.2, 10.3, and 10.4 to this report, respectively, and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28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2"/>
                <w:szCs w:val="22"/>
                <w:color w:val="auto"/>
              </w:rPr>
            </w:pPr>
          </w:p>
        </w:tc>
        <w:tc>
          <w:tcPr>
            <w:tcW w:w="50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Employment Agreement with Young-Joon Kim, dated April 26, 2018</w:t>
              </w:r>
            </w:hyperlink>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5000" w:type="dxa"/>
            <w:vAlign w:val="bottom"/>
            <w:gridSpan w:val="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Form of Restricted Stock Units Agreement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5000" w:type="dxa"/>
            <w:vAlign w:val="bottom"/>
            <w:gridSpan w:val="5"/>
          </w:tcPr>
          <w:p>
            <w:pPr>
              <w:spacing w:after="0"/>
              <w:rPr>
                <w:rFonts w:ascii="Arial" w:cs="Arial" w:eastAsia="Arial" w:hAnsi="Arial"/>
                <w:sz w:val="18"/>
                <w:szCs w:val="18"/>
                <w:color w:val="0000EE"/>
                <w:w w:val="99"/>
              </w:rPr>
            </w:pPr>
            <w:hyperlink w:anchor="page96">
              <w:r>
                <w:rPr>
                  <w:rFonts w:ascii="Arial" w:cs="Arial" w:eastAsia="Arial" w:hAnsi="Arial"/>
                  <w:sz w:val="18"/>
                  <w:szCs w:val="18"/>
                  <w:color w:val="0000EE"/>
                  <w:w w:val="99"/>
                </w:rPr>
                <w:t>Form of Restricted Stock Units Agreement (TSR Performance)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45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Form of Restricted Stock Units Agreement (AOP Performance)</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April 27, 2018</w:t>
      </w:r>
      <w:r>
        <w:rPr>
          <w:sz w:val="20"/>
          <w:szCs w:val="20"/>
          <w:color w:val="auto"/>
        </w:rPr>
        <w:tab/>
      </w:r>
      <w:r>
        <w:rPr>
          <w:rFonts w:ascii="Arial" w:cs="Arial" w:eastAsia="Arial" w:hAnsi="Arial"/>
          <w:sz w:val="17"/>
          <w:szCs w:val="17"/>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Chief Compliance Officer, Executive Vice President, General Counsel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360"/>
          </w:cols>
          <w:pgMar w:left="240" w:top="270"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entered into on April 26,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Young Joon Kim (the “</w:t>
      </w:r>
      <w:r>
        <w:rPr>
          <w:rFonts w:ascii="Arial" w:cs="Arial" w:eastAsia="Arial" w:hAnsi="Arial"/>
          <w:sz w:val="18"/>
          <w:szCs w:val="18"/>
          <w:u w:val="single" w:color="auto"/>
          <w:color w:val="auto"/>
        </w:rPr>
        <w:t>Executive</w:t>
      </w:r>
      <w:r>
        <w:rPr>
          <w:rFonts w:ascii="Arial" w:cs="Arial" w:eastAsia="Arial" w:hAnsi="Arial"/>
          <w:sz w:val="18"/>
          <w:szCs w:val="18"/>
          <w:color w:val="auto"/>
        </w:rPr>
        <w:t>”), MagnaChip Semiconductor Corporation,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MagnaChip Semiconductor, Ltd. (together with any of its Affiliates as may employ the Executive from time to time, any and all successors thereto, and Parent,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80" w:firstLine="464"/>
        <w:spacing w:after="0" w:line="277" w:lineRule="auto"/>
        <w:tabs>
          <w:tab w:leader="none" w:pos="85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and the Executive desire to enter into this Agreement to assure the Company of the continued exclusive services of the Executive and to set forth the rights and duties of the parties hereto.</w:t>
      </w:r>
    </w:p>
    <w:p>
      <w:pPr>
        <w:spacing w:after="0" w:line="170" w:lineRule="exact"/>
        <w:rPr>
          <w:rFonts w:ascii="Arial" w:cs="Arial" w:eastAsia="Arial" w:hAnsi="Arial"/>
          <w:sz w:val="18"/>
          <w:szCs w:val="18"/>
          <w:color w:val="auto"/>
        </w:rPr>
      </w:pPr>
    </w:p>
    <w:p>
      <w:pPr>
        <w:ind w:right="40" w:firstLine="464"/>
        <w:spacing w:after="0" w:line="264" w:lineRule="auto"/>
        <w:tabs>
          <w:tab w:leader="none" w:pos="847"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as otherwise set forth herein, this Agreement is intended to supersede any prior agreements or understandings, whether formal or informal, between the Executive and the Company or any of its Affiliates (as defined below), including, without limitation, the letter agreement, dated as of November 3, 2015, by and between the Executive, the Company and Parent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set forth below, the parties hereto agree as follows:</w:t>
      </w:r>
    </w:p>
    <w:p>
      <w:pPr>
        <w:spacing w:after="0" w:line="27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64"/>
        <w:spacing w:after="0" w:line="277" w:lineRule="auto"/>
        <w:tabs>
          <w:tab w:leader="none" w:pos="836"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directly or indirectly controlling, controlled by, or under common control with such Person, where “control” shall have the meaning given such term under Rule 405 of the Securities Act of 1933, as amended.</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shall have the meaning set forth in Section 3(a).</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shall have the meaning set forth in Section 3(b).</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right="20" w:firstLine="464"/>
        <w:spacing w:after="0" w:line="276" w:lineRule="auto"/>
        <w:tabs>
          <w:tab w:leader="none" w:pos="813"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Company shall have “</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to terminate the Executive’s employment pursuant to Section 4(a)(iii) hereunder upon (i) the Executive’s conviction of, or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or other crime involving moral turpitude (or, in each case, equivalent crimes in a jurisdiction other than the United States), but excluding minor traffic violations; (ii) the Executive’s commission of fraud, embezzlement, or misappropriation of funds; (iii) a breach by the Executive of his fiduciary duty to the Company or any of its Affiliates; (iv) the Executive’s refusal to fulfill the Executive’s duties and responsibilities (other than by reason of death or Disability) to the Company or any of its Affiliates; (v) the Executive’s material violation of 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 w:name="page7"/>
    <w:bookmarkEnd w:id="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established lawful policy of the Company or any of its Affiliates; (vi) the Executive’s material breach of any of the terms of any agreement the Executive has with the Company or any of its Affiliates; (vii) the Executive’s habitual use of illicit drugs or habitual abuse of alcohol that affects his job performance; or</w:t>
      </w:r>
    </w:p>
    <w:p>
      <w:pPr>
        <w:ind w:firstLine="8"/>
        <w:spacing w:after="0" w:line="267" w:lineRule="auto"/>
        <w:tabs>
          <w:tab w:leader="none" w:pos="40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any gross negligence, material misconduct, or material wrongful act or omission on the Executive’s part in connection with the Executive’s duties and responsibilities to the Company or any of its Affiliates. The Company may terminate the Executive’s employment for Cause under this Agreement following issuance to the Executive of written notice of the circumstances the Company believes constitute Cause within ninety (90) days after it becomes aware of such circumstances;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basis for termination is curable, then the Executive shall have fifteen (15) days after receipt of such written notice to cure such basis, and if not cured, the Company may terminate the Executive’s employment for Cause within ninety (90) days after the expiration of such cure period. If, within ninety (90) days subsequent to the Executive’s termination of employment for any reason other than by the Company for Cause, the Company determines that the Executive’s employment could have been terminated for Cause, the Executive’s employment will be deemed to have been terminated for Cause for all purposes, and the Executive will be required to disgorge to the Company all amounts received pursuant to this Agreement or otherwise on account of such termination that would not have been payable to the Executive had such termination been by the Company for Cause;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Company’s ability to retroactively determine that the Executive’s employment could have been terminated for Cause under this sentence will cease upon the occurrence of a Change in Control.</w:t>
      </w:r>
    </w:p>
    <w:p>
      <w:pPr>
        <w:spacing w:after="0" w:line="186" w:lineRule="exact"/>
        <w:rPr>
          <w:rFonts w:ascii="Arial" w:cs="Arial" w:eastAsia="Arial" w:hAnsi="Arial"/>
          <w:sz w:val="17"/>
          <w:szCs w:val="17"/>
          <w:color w:val="auto"/>
        </w:rPr>
      </w:pPr>
    </w:p>
    <w:p>
      <w:pPr>
        <w:ind w:left="860" w:hanging="396"/>
        <w:spacing w:after="0"/>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given to such term in the MagnaChip Semiconductor Corporation 2011 Equity Incentive Plan.</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right="420" w:firstLine="464"/>
        <w:spacing w:after="0" w:line="277" w:lineRule="auto"/>
        <w:tabs>
          <w:tab w:leader="none" w:pos="806"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shall mean (i) if the Executive’s employment is terminated by his death, the date of his death or (ii) if the Executive’s employment is terminated pursuant to Section 4(a)(ii)-(vi), the date specified or otherwise effective pursuant to Section 4(b).</w:t>
      </w:r>
    </w:p>
    <w:p>
      <w:pPr>
        <w:spacing w:after="0" w:line="170" w:lineRule="exact"/>
        <w:rPr>
          <w:rFonts w:ascii="Arial" w:cs="Arial" w:eastAsia="Arial" w:hAnsi="Arial"/>
          <w:sz w:val="18"/>
          <w:szCs w:val="18"/>
          <w:color w:val="auto"/>
        </w:rPr>
      </w:pPr>
    </w:p>
    <w:p>
      <w:pPr>
        <w:ind w:firstLine="464"/>
        <w:spacing w:after="0" w:line="259" w:lineRule="auto"/>
        <w:tabs>
          <w:tab w:leader="none" w:pos="806"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 finding by the Company of the Executive’s incapacitation through any illness, injury, accident or condition of either a physical or psychological nature that has resulted in his inability to perform the essential functions of his position, even with reasonable accommodations, for one hundred eighty (180) calendar days during any period of three hundred sixty-five (365) consecutive calendar days, and such incapacity is expected to continue.</w:t>
      </w:r>
    </w:p>
    <w:p>
      <w:pPr>
        <w:spacing w:after="0" w:line="186" w:lineRule="exact"/>
        <w:rPr>
          <w:rFonts w:ascii="Arial" w:cs="Arial" w:eastAsia="Arial" w:hAnsi="Arial"/>
          <w:sz w:val="18"/>
          <w:szCs w:val="18"/>
          <w:color w:val="auto"/>
        </w:rPr>
      </w:pPr>
    </w:p>
    <w:p>
      <w:pPr>
        <w:ind w:left="860" w:hanging="396"/>
        <w:spacing w:after="0"/>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right="120" w:firstLine="464"/>
        <w:spacing w:after="0" w:line="276" w:lineRule="auto"/>
        <w:tabs>
          <w:tab w:leader="none" w:pos="806" w:val="left"/>
        </w:tabs>
        <w:numPr>
          <w:ilvl w:val="1"/>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Expatriate Benefits</w:t>
      </w:r>
      <w:r>
        <w:rPr>
          <w:rFonts w:ascii="Arial" w:cs="Arial" w:eastAsia="Arial" w:hAnsi="Arial"/>
          <w:sz w:val="17"/>
          <w:szCs w:val="17"/>
          <w:color w:val="auto"/>
        </w:rPr>
        <w:t>” means the expatriate expenses that the Executive incurs in accordance with the terms set forth on Exhibit A hereto. For the avoidance of doubt, (i) Expatriate Benefits shall not include the Special Allowances or any other payments or benefits the Executive receives from the Company with respect to living expenses or tuition for the Executive’s family in the United States and (ii) other than the Special Allowances, the Company has no obligation to make or provide payments or benefits with respect to living expenses or tuition for the Executive’s family in the United States, and the Executive shall not have Good Reason as a result of the Company not making or providing any such payments or benefits.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7" w:name="page8"/>
    <w:bookmarkEnd w:id="7"/>
    <w:p>
      <w:pPr>
        <w:ind w:left="-20" w:right="180" w:firstLine="464"/>
        <w:spacing w:after="0" w:line="342" w:lineRule="auto"/>
        <w:tabs>
          <w:tab w:leader="none" w:pos="876"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Final Base Salary</w:t>
      </w:r>
      <w:r>
        <w:rPr>
          <w:rFonts w:ascii="Arial" w:cs="Arial" w:eastAsia="Arial" w:hAnsi="Arial"/>
          <w:sz w:val="16"/>
          <w:szCs w:val="16"/>
          <w:color w:val="auto"/>
        </w:rPr>
        <w:t>” means the Executive’s Annual Base Salary as in effect immediately prior to the termination of the Executive’s employment (or, if clause (i) or (ii) of “Good Reason” is implicated, immediately before any relevant diminution of the Executive’s Annual Base Salary).</w:t>
      </w:r>
    </w:p>
    <w:p>
      <w:pPr>
        <w:spacing w:after="0" w:line="123" w:lineRule="exact"/>
        <w:rPr>
          <w:rFonts w:ascii="Arial" w:cs="Arial" w:eastAsia="Arial" w:hAnsi="Arial"/>
          <w:sz w:val="16"/>
          <w:szCs w:val="16"/>
          <w:color w:val="auto"/>
        </w:rPr>
      </w:pPr>
    </w:p>
    <w:p>
      <w:pPr>
        <w:ind w:left="-20" w:right="120" w:firstLine="464"/>
        <w:spacing w:after="0" w:line="302" w:lineRule="auto"/>
        <w:tabs>
          <w:tab w:leader="none" w:pos="826"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Target Annual Bonus</w:t>
      </w:r>
      <w:r>
        <w:rPr>
          <w:rFonts w:ascii="Arial" w:cs="Arial" w:eastAsia="Arial" w:hAnsi="Arial"/>
          <w:sz w:val="16"/>
          <w:szCs w:val="16"/>
          <w:color w:val="auto"/>
        </w:rPr>
        <w:t xml:space="preserve">” means the Executive’s Target Annual Bonus as in effect immediately prior to the termination of the Executive’s employment (or, if clause (i) or (ii) of “Good Reason” is implicated, immediately before any relevant diminution of the Executive’s Target Annual Bonus);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such amount exceed 100% of the Executive’s Final Base Salary for purposes of any severance calculation hereunder. For the avoidance of doubt, the foregoing sentence is not intended to limit the Executive’s target Annual Bonus opportunity or payout amount for any other purpose.</w:t>
      </w:r>
    </w:p>
    <w:p>
      <w:pPr>
        <w:spacing w:after="0" w:line="154" w:lineRule="exact"/>
        <w:rPr>
          <w:rFonts w:ascii="Arial" w:cs="Arial" w:eastAsia="Arial" w:hAnsi="Arial"/>
          <w:sz w:val="16"/>
          <w:szCs w:val="16"/>
          <w:color w:val="auto"/>
        </w:rPr>
      </w:pPr>
    </w:p>
    <w:p>
      <w:pPr>
        <w:ind w:left="-20" w:firstLine="464"/>
        <w:spacing w:after="0" w:line="285" w:lineRule="auto"/>
        <w:tabs>
          <w:tab w:leader="none" w:pos="82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Executive shall have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to resign from his employment pursuant to Section 4(a)(v) in the event that any of the following actions are taken by the Company without his consent: (i) if upon or following a Change in Control, a diminution in the Executive’s Annual Base Salary, Target Annual Bonus opportunity, or, if the Executive’s primary residence is not then located in the United States, the Expatriate Benefits; (ii) if prior to a Change in Control, a diminution in (A) the Executive’s Annual Base Salary, other than an across the board cumulative reduction of no more than fifteen (15%) that applies in a similar manner to all similarly-situated members of the senior management of the Company, (B) the Executive’s Target Annual Bonus opportunity (other than a reduction that occurs as a result of a reduction described in clause (A) hereof), or (C) if the Executive’s primary residence is not then located in the United States, the Expatriate Benefits; (iii) the Company’s material breach of any of the material terms of any material agreement between the Executive and the Company or any of its Affiliates; (iv) a non-temporary relocation of the Executive’s primary work location by the Company to a location that is more than thirty five (35) miles from the Executive’s principal place of employment as of the date hereof (which the parties acknowledge is Seoul, South Korea and/or Cheongju, South Korea) and that increases the Executive’s one-way commute to work by more than thirty five (35) miles; (v) a material diminution of the Executive’s title, duties or responsibilities; </w:t>
      </w:r>
      <w:r>
        <w:rPr>
          <w:rFonts w:ascii="Arial" w:cs="Arial" w:eastAsia="Arial" w:hAnsi="Arial"/>
          <w:sz w:val="16"/>
          <w:szCs w:val="16"/>
          <w:u w:val="single" w:color="auto"/>
          <w:color w:val="auto"/>
        </w:rPr>
        <w:t>provided</w:t>
      </w:r>
      <w:r>
        <w:rPr>
          <w:rFonts w:ascii="Arial" w:cs="Arial" w:eastAsia="Arial" w:hAnsi="Arial"/>
          <w:sz w:val="16"/>
          <w:szCs w:val="16"/>
          <w:color w:val="auto"/>
        </w:rPr>
        <w:t>, that no diminution of the Executive’s title, duties or responsibilities shall be deemed to occur solely as a result of the Company (or its successor or Parent) no longer being a publicly traded entity. For the avoidance of doubt, the hiring or promotion of a President or a Chief Operating Officer (“</w:t>
      </w:r>
      <w:r>
        <w:rPr>
          <w:rFonts w:ascii="Arial" w:cs="Arial" w:eastAsia="Arial" w:hAnsi="Arial"/>
          <w:sz w:val="16"/>
          <w:szCs w:val="16"/>
          <w:u w:val="single" w:color="auto"/>
          <w:color w:val="auto"/>
        </w:rPr>
        <w:t>COO</w:t>
      </w:r>
      <w:r>
        <w:rPr>
          <w:rFonts w:ascii="Arial" w:cs="Arial" w:eastAsia="Arial" w:hAnsi="Arial"/>
          <w:sz w:val="16"/>
          <w:szCs w:val="16"/>
          <w:color w:val="auto"/>
        </w:rPr>
        <w:t>”) or other officer will not be deemed to be a Good Reason event, as long as the Executive remains the most senior officer of Parent and the Company and the COO or other officer reports to the Executive; or (vi) the consummation of a sale of all of the Company’s SPG business line. The Executive will not have Good Reason to terminate the Executive’s employment and receive payments or benefits under Section 5(b) of this Agreement unless the Executive provides the Board with written notice of the circumstances the Executive believes constitute Good Reason within thirty (30) days after the occurrence of such circumstances. If the Company does not cure within fifteen (15) days after receipt of such written notice, then the Executive may terminate the Executive’s employment for Good Reason within ninety (90) days after the expiration of such cure period. If the Executive terminates the Executive’s employment prior to the expiration of the fifteen (15) day cure period or more than ninety (90) days after the expiration of the cure period, the Executive will not be treated as having terminated the Executive’s employment for Good Reason.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8" w:name="page9"/>
    <w:bookmarkEnd w:id="8"/>
    <w:p>
      <w:pPr>
        <w:ind w:left="900" w:hanging="436"/>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Inventions</w:t>
      </w:r>
      <w:r>
        <w:rPr>
          <w:rFonts w:ascii="Arial" w:cs="Arial" w:eastAsia="Arial" w:hAnsi="Arial"/>
          <w:sz w:val="18"/>
          <w:szCs w:val="18"/>
          <w:color w:val="auto"/>
        </w:rPr>
        <w:t>” shall have the meaning set forth in Section 7(c)(i).</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shall have the meaning set forth in Section 4(b).</w:t>
      </w:r>
    </w:p>
    <w:p>
      <w:pPr>
        <w:spacing w:after="0" w:line="225" w:lineRule="exact"/>
        <w:rPr>
          <w:rFonts w:ascii="Arial" w:cs="Arial" w:eastAsia="Arial" w:hAnsi="Arial"/>
          <w:sz w:val="18"/>
          <w:szCs w:val="18"/>
          <w:color w:val="auto"/>
        </w:rPr>
      </w:pPr>
    </w:p>
    <w:p>
      <w:pPr>
        <w:ind w:left="820" w:hanging="356"/>
        <w:spacing w:after="0"/>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right="160" w:firstLine="464"/>
        <w:spacing w:after="0" w:line="277" w:lineRule="auto"/>
        <w:tabs>
          <w:tab w:leader="none" w:pos="82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corporation, limited liability company, business trust, joint stock company, trust, unincorporated association, joint venture, governmental authority, or other entity of whatever nature.</w:t>
      </w:r>
    </w:p>
    <w:p>
      <w:pPr>
        <w:spacing w:after="0" w:line="170" w:lineRule="exact"/>
        <w:rPr>
          <w:rFonts w:ascii="Arial" w:cs="Arial" w:eastAsia="Arial" w:hAnsi="Arial"/>
          <w:sz w:val="18"/>
          <w:szCs w:val="18"/>
          <w:color w:val="auto"/>
        </w:rPr>
      </w:pPr>
    </w:p>
    <w:p>
      <w:pPr>
        <w:ind w:left="820" w:hanging="356"/>
        <w:spacing w:after="0"/>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Rights</w:t>
      </w:r>
      <w:r>
        <w:rPr>
          <w:rFonts w:ascii="Arial" w:cs="Arial" w:eastAsia="Arial" w:hAnsi="Arial"/>
          <w:sz w:val="18"/>
          <w:szCs w:val="18"/>
          <w:color w:val="auto"/>
        </w:rPr>
        <w:t>” shall have the meaning set forth in Section 7(c)(i).</w:t>
      </w:r>
    </w:p>
    <w:p>
      <w:pPr>
        <w:spacing w:after="0" w:line="225" w:lineRule="exact"/>
        <w:rPr>
          <w:rFonts w:ascii="Arial" w:cs="Arial" w:eastAsia="Arial" w:hAnsi="Arial"/>
          <w:sz w:val="18"/>
          <w:szCs w:val="18"/>
          <w:color w:val="auto"/>
        </w:rPr>
      </w:pPr>
    </w:p>
    <w:p>
      <w:pPr>
        <w:ind w:right="80" w:firstLine="464"/>
        <w:spacing w:after="0" w:line="277" w:lineRule="auto"/>
        <w:tabs>
          <w:tab w:leader="none" w:pos="846"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Annual Bonus</w:t>
      </w:r>
      <w:r>
        <w:rPr>
          <w:rFonts w:ascii="Arial" w:cs="Arial" w:eastAsia="Arial" w:hAnsi="Arial"/>
          <w:sz w:val="18"/>
          <w:szCs w:val="18"/>
          <w:color w:val="auto"/>
        </w:rPr>
        <w:t>” means the Executive’s target Annual Bonus, expressed as a percentage of the Annual Base Salary, under the terms of the Company’s Profit Sharing Plan as are then in effect.</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have the meaning set forth in Section 2(b).</w:t>
      </w:r>
    </w:p>
    <w:p>
      <w:pPr>
        <w:spacing w:after="0" w:line="333"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40" w:hanging="376"/>
        <w:spacing w:after="0"/>
        <w:tabs>
          <w:tab w:leader="none" w:pos="840"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The Company shall employ the Executive, and the Executive shall be employed by the Company, for the period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2(b), in the position set forth in Section 2(c), and upon the other terms and conditions herein provided.</w:t>
      </w:r>
    </w:p>
    <w:p>
      <w:pPr>
        <w:spacing w:after="0" w:line="211" w:lineRule="exact"/>
        <w:rPr>
          <w:sz w:val="20"/>
          <w:szCs w:val="20"/>
          <w:color w:val="auto"/>
        </w:rPr>
      </w:pPr>
    </w:p>
    <w:p>
      <w:pPr>
        <w:ind w:right="580" w:firstLine="464"/>
        <w:spacing w:after="0" w:line="277" w:lineRule="auto"/>
        <w:tabs>
          <w:tab w:leader="none" w:pos="84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begin on the Effective Date and remain in effect, until terminated as provided in Section 4.</w:t>
      </w:r>
    </w:p>
    <w:p>
      <w:pPr>
        <w:spacing w:after="0" w:line="170" w:lineRule="exact"/>
        <w:rPr>
          <w:rFonts w:ascii="Arial" w:cs="Arial" w:eastAsia="Arial" w:hAnsi="Arial"/>
          <w:sz w:val="18"/>
          <w:szCs w:val="18"/>
          <w:color w:val="auto"/>
        </w:rPr>
      </w:pPr>
    </w:p>
    <w:p>
      <w:pPr>
        <w:ind w:left="840" w:hanging="376"/>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88" w:lineRule="auto"/>
        <w:tabs>
          <w:tab w:leader="none" w:pos="1263"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During the Term, the Executive shall serve as Chief Executive Officer of the Parent and the Company, with responsibilities, duties, and authority customary for such position. The Executive shall also serve as an officer of other Affiliates of the Company as requested by the Board. Except as otherwise provided herein, the Executive shall not be entitled to any additional compensation for service as a member of the Board or other positions or titles he may hold with any Affiliate of the Company to the extent he is so appointed. The Executive shall report to the Board. The Executive agrees to observe and comply with the Company’s rules and policies as adopted from time to time by the Company. The Executive shall devote his full business time, skill, attention, and best efforts to the performance of his duties hereunder;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Executive shall be entitled to (A) serve on civic, charitable, and religious boards, and (B) manage the Executive’s personal and family investments, in each case, to the extent that such activities do not materially interfere with the performance of the Executive’s duties and responsibilities hereunder, are not in conflict with the business interests of the Company or its Affiliates, and do not otherwise compete with the business of the Company or its Affiliates. The Executive may also serve on the boards of directors or serve as a consultant to for profit companies with the prior written consent of the Board, which consent shall be in the sole discretion of the Board.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9" w:name="page10"/>
    <w:bookmarkEnd w:id="9"/>
    <w:p>
      <w:pPr>
        <w:ind w:left="-8" w:right="120" w:firstLine="921"/>
        <w:spacing w:after="0" w:line="264" w:lineRule="auto"/>
        <w:tabs>
          <w:tab w:leader="none" w:pos="1302" w:val="left"/>
        </w:tabs>
        <w:numPr>
          <w:ilvl w:val="2"/>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Executive’s employment shall be principally based at the Company’s headquarters in the Seoul, South Korea area or Cheongju, South Korea. The Executive shall perform his duties and responsibilities to the Company at such principal place of employment and at such other location(s) to which the Company may reasonably require the Executive to travel for Company business purposes.</w:t>
      </w:r>
    </w:p>
    <w:p>
      <w:pPr>
        <w:spacing w:after="0" w:line="181" w:lineRule="exact"/>
        <w:rPr>
          <w:rFonts w:ascii="Arial" w:cs="Arial" w:eastAsia="Arial" w:hAnsi="Arial"/>
          <w:sz w:val="18"/>
          <w:szCs w:val="18"/>
          <w:color w:val="auto"/>
        </w:rPr>
      </w:pPr>
    </w:p>
    <w:p>
      <w:pPr>
        <w:ind w:left="312" w:hanging="312"/>
        <w:spacing w:after="0"/>
        <w:tabs>
          <w:tab w:leader="none" w:pos="31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40" w:firstLine="464"/>
        <w:spacing w:after="0" w:line="342" w:lineRule="auto"/>
        <w:tabs>
          <w:tab w:leader="none" w:pos="828"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Annual Base Salary</w:t>
      </w:r>
      <w:r>
        <w:rPr>
          <w:rFonts w:ascii="Arial" w:cs="Arial" w:eastAsia="Arial" w:hAnsi="Arial"/>
          <w:sz w:val="16"/>
          <w:szCs w:val="16"/>
          <w:color w:val="auto"/>
        </w:rPr>
        <w:t>. During the Term, the Executive shall receive a base salary at a rate of five hundred fifty seven thousand three hundred ninety six dollars ($557,396) per annum, which shall be paid in accordance with the customary payroll practices of the Company (the ”</w:t>
      </w:r>
      <w:r>
        <w:rPr>
          <w:rFonts w:ascii="Arial" w:cs="Arial" w:eastAsia="Arial" w:hAnsi="Arial"/>
          <w:sz w:val="16"/>
          <w:szCs w:val="16"/>
          <w:u w:val="single" w:color="auto"/>
          <w:color w:val="auto"/>
        </w:rPr>
        <w:t>Annual Base Salary</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8" w:right="140" w:firstLine="464"/>
        <w:spacing w:after="0" w:line="264" w:lineRule="auto"/>
        <w:tabs>
          <w:tab w:leader="none" w:pos="838"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With respect to each calendar year that ends during the Term, the Executive shall be eligible to receive an annual cash bonus (the “</w:t>
      </w:r>
      <w:r>
        <w:rPr>
          <w:rFonts w:ascii="Arial" w:cs="Arial" w:eastAsia="Arial" w:hAnsi="Arial"/>
          <w:sz w:val="18"/>
          <w:szCs w:val="18"/>
          <w:u w:val="single" w:color="auto"/>
          <w:color w:val="auto"/>
        </w:rPr>
        <w:t>Annual Bonus</w:t>
      </w:r>
      <w:r>
        <w:rPr>
          <w:rFonts w:ascii="Arial" w:cs="Arial" w:eastAsia="Arial" w:hAnsi="Arial"/>
          <w:sz w:val="18"/>
          <w:szCs w:val="18"/>
          <w:color w:val="auto"/>
        </w:rPr>
        <w:t>”) under the terms of the Company’s Profit Sharing Plan as are then in effect. It is currently intended that the Board will set the Executive’s target Annual Bonus at 100% of the Executive’s Annual Base Salary.</w:t>
      </w:r>
    </w:p>
    <w:p>
      <w:pPr>
        <w:spacing w:after="0" w:line="181" w:lineRule="exact"/>
        <w:rPr>
          <w:rFonts w:ascii="Arial" w:cs="Arial" w:eastAsia="Arial" w:hAnsi="Arial"/>
          <w:sz w:val="18"/>
          <w:szCs w:val="18"/>
          <w:color w:val="auto"/>
        </w:rPr>
      </w:pPr>
    </w:p>
    <w:p>
      <w:pPr>
        <w:ind w:left="-8" w:firstLine="464"/>
        <w:spacing w:after="0" w:line="255" w:lineRule="auto"/>
        <w:tabs>
          <w:tab w:leader="none" w:pos="828"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On April 30, 2018, subject to the Executive’s continued employment on such date, the Executive will receive equity grants in respect of 2018 in the form of (i) annual operation planning-based performance stock units (“</w:t>
      </w:r>
      <w:r>
        <w:rPr>
          <w:rFonts w:ascii="Arial" w:cs="Arial" w:eastAsia="Arial" w:hAnsi="Arial"/>
          <w:sz w:val="18"/>
          <w:szCs w:val="18"/>
          <w:u w:val="single" w:color="auto"/>
          <w:color w:val="auto"/>
        </w:rPr>
        <w:t>AOP PSUs</w:t>
      </w:r>
      <w:r>
        <w:rPr>
          <w:rFonts w:ascii="Arial" w:cs="Arial" w:eastAsia="Arial" w:hAnsi="Arial"/>
          <w:sz w:val="18"/>
          <w:szCs w:val="18"/>
          <w:color w:val="auto"/>
        </w:rPr>
        <w:t>”), (ii) relative total shareholder return-based performance stock units (“</w:t>
      </w:r>
      <w:r>
        <w:rPr>
          <w:rFonts w:ascii="Arial" w:cs="Arial" w:eastAsia="Arial" w:hAnsi="Arial"/>
          <w:sz w:val="18"/>
          <w:szCs w:val="18"/>
          <w:u w:val="single" w:color="auto"/>
          <w:color w:val="auto"/>
        </w:rPr>
        <w:t>TSR PSUs</w:t>
      </w:r>
      <w:r>
        <w:rPr>
          <w:rFonts w:ascii="Arial" w:cs="Arial" w:eastAsia="Arial" w:hAnsi="Arial"/>
          <w:sz w:val="18"/>
          <w:szCs w:val="18"/>
          <w:color w:val="auto"/>
        </w:rPr>
        <w:t>”), and (iii) time-based restricted stock units, in each case pursuant to an award agreement substantially in the form attached hereto as Exhibit B-1, Exhibit B-2, and Exhibit B-3, respectively (Exhibit B-1 and Exhibit B-2, the “</w:t>
      </w:r>
      <w:r>
        <w:rPr>
          <w:rFonts w:ascii="Arial" w:cs="Arial" w:eastAsia="Arial" w:hAnsi="Arial"/>
          <w:sz w:val="18"/>
          <w:szCs w:val="18"/>
          <w:u w:val="single" w:color="auto"/>
          <w:color w:val="auto"/>
        </w:rPr>
        <w:t>Award Agreements</w:t>
      </w:r>
      <w:r>
        <w:rPr>
          <w:rFonts w:ascii="Arial" w:cs="Arial" w:eastAsia="Arial" w:hAnsi="Arial"/>
          <w:sz w:val="18"/>
          <w:szCs w:val="18"/>
          <w:color w:val="auto"/>
        </w:rPr>
        <w:t>”). Subject to the Executive’s continued employment with the Company, the Executive will receive additional AOP PSU and TSR PSU grants with respect to 2019 and 2020 (the “</w:t>
      </w:r>
      <w:r>
        <w:rPr>
          <w:rFonts w:ascii="Arial" w:cs="Arial" w:eastAsia="Arial" w:hAnsi="Arial"/>
          <w:sz w:val="18"/>
          <w:szCs w:val="18"/>
          <w:u w:val="single" w:color="auto"/>
          <w:color w:val="auto"/>
        </w:rPr>
        <w:t>2019</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Grants</w:t>
      </w:r>
      <w:r>
        <w:rPr>
          <w:rFonts w:ascii="Arial" w:cs="Arial" w:eastAsia="Arial" w:hAnsi="Arial"/>
          <w:sz w:val="18"/>
          <w:szCs w:val="18"/>
          <w:color w:val="auto"/>
        </w:rPr>
        <w:t>” and the “</w:t>
      </w:r>
      <w:r>
        <w:rPr>
          <w:rFonts w:ascii="Arial" w:cs="Arial" w:eastAsia="Arial" w:hAnsi="Arial"/>
          <w:sz w:val="18"/>
          <w:szCs w:val="18"/>
          <w:u w:val="single" w:color="auto"/>
          <w:color w:val="auto"/>
        </w:rPr>
        <w:t>2020 Grants</w:t>
      </w:r>
      <w:r>
        <w:rPr>
          <w:rFonts w:ascii="Arial" w:cs="Arial" w:eastAsia="Arial" w:hAnsi="Arial"/>
          <w:sz w:val="18"/>
          <w:szCs w:val="18"/>
          <w:color w:val="auto"/>
        </w:rPr>
        <w:t>”, respectively) that are generally subject to same terms as in the applicable Award Agreement, except as otherwise set forth in Exhibit B-4.</w:t>
      </w:r>
    </w:p>
    <w:p>
      <w:pPr>
        <w:spacing w:after="0" w:line="189" w:lineRule="exact"/>
        <w:rPr>
          <w:rFonts w:ascii="Arial" w:cs="Arial" w:eastAsia="Arial" w:hAnsi="Arial"/>
          <w:sz w:val="18"/>
          <w:szCs w:val="18"/>
          <w:color w:val="auto"/>
        </w:rPr>
      </w:pPr>
    </w:p>
    <w:p>
      <w:pPr>
        <w:ind w:left="-8" w:firstLine="464"/>
        <w:spacing w:after="0" w:line="302" w:lineRule="auto"/>
        <w:tabs>
          <w:tab w:leader="none" w:pos="838"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During the Term, the Executive shall be entitled to participate in the employee benefit plans, programs, and arrangements of the Company now (or, to the extent determined by the Board, hereafter) in effect, in accordance with their terms, including, without limitation, medical and welfare benefits and the Expatriate Benefits. For the avoidance of doubt, nothing in this Agreement shall limit or otherwise affect the rights that the Executive may have under any statutory pension under Korean law that is accrued to his account as of the effective date of his separation from the Company.</w:t>
      </w:r>
    </w:p>
    <w:p>
      <w:pPr>
        <w:spacing w:after="0" w:line="154" w:lineRule="exact"/>
        <w:rPr>
          <w:rFonts w:ascii="Arial" w:cs="Arial" w:eastAsia="Arial" w:hAnsi="Arial"/>
          <w:sz w:val="16"/>
          <w:szCs w:val="16"/>
          <w:color w:val="auto"/>
        </w:rPr>
      </w:pPr>
    </w:p>
    <w:p>
      <w:pPr>
        <w:ind w:left="-8" w:firstLine="464"/>
        <w:spacing w:after="0" w:line="255" w:lineRule="auto"/>
        <w:tabs>
          <w:tab w:leader="none" w:pos="828"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Tax Equalization.</w:t>
      </w:r>
      <w:r>
        <w:rPr>
          <w:rFonts w:ascii="Arial" w:cs="Arial" w:eastAsia="Arial" w:hAnsi="Arial"/>
          <w:sz w:val="18"/>
          <w:szCs w:val="18"/>
          <w:color w:val="auto"/>
        </w:rPr>
        <w:t xml:space="preserve"> The Company shall provide for tax equalization and tax consulting/preparation services for the Executive for any compensation that he receives pursuant to this Agreement (regardless of whether the Executive is still employed by the Company at the time of any payment pursuant to this Agreement). Executive shall take all actions necessary to minimize taxes, subject to applicable law. For each taxable year, to the extent necessary, the Company shall make a tax equalization payment to the Executive in an amount equal to the amount necessary to put the Executive in the same after-tax position that he would been in if the Executive had been subject to only United States federal, state, and local income taxes. For the avoidance of doubt, the Special Allowances will not be included as expatriate benefits for this purpose. For the avoidance of doubt, tax equalization does not include indemnification or other payments relating</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4" w:right="25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additional tax, interest, or penalties that may be imposed on the Executive as a result of Section 409A of the Code or any damages for failing to comply with Section 409A of the Code, or any excise tax imposed by Section 4999 of the Code.</w:t>
      </w:r>
    </w:p>
    <w:p>
      <w:pPr>
        <w:spacing w:after="0" w:line="170" w:lineRule="exact"/>
        <w:rPr>
          <w:sz w:val="20"/>
          <w:szCs w:val="20"/>
          <w:color w:val="auto"/>
        </w:rPr>
      </w:pPr>
    </w:p>
    <w:p>
      <w:pPr>
        <w:ind w:firstLine="464"/>
        <w:spacing w:after="0" w:line="342" w:lineRule="auto"/>
        <w:tabs>
          <w:tab w:leader="none" w:pos="816"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Visas and Work Permits</w:t>
      </w:r>
      <w:r>
        <w:rPr>
          <w:rFonts w:ascii="Arial" w:cs="Arial" w:eastAsia="Arial" w:hAnsi="Arial"/>
          <w:sz w:val="16"/>
          <w:szCs w:val="16"/>
          <w:color w:val="auto"/>
        </w:rPr>
        <w:t>. The Company shall provide the necessary services and cover the cost to obtain the necessary visas and/or work permits to enable the Executive and his family to legally work and stay or visit in Korea for the duration that the Executive is assigned to perform services in Korea.</w:t>
      </w:r>
    </w:p>
    <w:p>
      <w:pPr>
        <w:spacing w:after="0" w:line="123" w:lineRule="exact"/>
        <w:rPr>
          <w:rFonts w:ascii="Arial" w:cs="Arial" w:eastAsia="Arial" w:hAnsi="Arial"/>
          <w:sz w:val="16"/>
          <w:szCs w:val="16"/>
          <w:color w:val="auto"/>
        </w:rPr>
      </w:pPr>
    </w:p>
    <w:p>
      <w:pPr>
        <w:ind w:left="860" w:hanging="396"/>
        <w:spacing w:after="0"/>
        <w:tabs>
          <w:tab w:leader="none" w:pos="86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Transportation</w:t>
      </w:r>
      <w:r>
        <w:rPr>
          <w:rFonts w:ascii="Arial" w:cs="Arial" w:eastAsia="Arial" w:hAnsi="Arial"/>
          <w:sz w:val="18"/>
          <w:szCs w:val="18"/>
          <w:color w:val="auto"/>
        </w:rPr>
        <w:t>. The Company shall provide a vehicle with a driver for the Executive’s use while in Korea.</w:t>
      </w:r>
    </w:p>
    <w:p>
      <w:pPr>
        <w:spacing w:after="0" w:line="225" w:lineRule="exact"/>
        <w:rPr>
          <w:rFonts w:ascii="Arial" w:cs="Arial" w:eastAsia="Arial" w:hAnsi="Arial"/>
          <w:sz w:val="18"/>
          <w:szCs w:val="18"/>
          <w:color w:val="auto"/>
        </w:rPr>
      </w:pPr>
    </w:p>
    <w:p>
      <w:pPr>
        <w:ind w:right="20" w:firstLine="464"/>
        <w:spacing w:after="0" w:line="286" w:lineRule="auto"/>
        <w:tabs>
          <w:tab w:leader="none" w:pos="846"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Annual Vacation and Home Leave</w:t>
      </w:r>
      <w:r>
        <w:rPr>
          <w:rFonts w:ascii="Arial" w:cs="Arial" w:eastAsia="Arial" w:hAnsi="Arial"/>
          <w:sz w:val="17"/>
          <w:szCs w:val="17"/>
          <w:color w:val="auto"/>
        </w:rPr>
        <w:t>. During the Term, the Executive shall be entitled to two (2) weeks of vacation per year in accordance with the Company’s vacation policies, as well as ten business days of annual home leave in accordance with the Company’s expatriate benefit policy for its executives. Any vacation and any home leave shall be taken at the reasonable and mutual convenience of the Company and the Executive.</w:t>
      </w:r>
    </w:p>
    <w:p>
      <w:pPr>
        <w:spacing w:after="0" w:line="165" w:lineRule="exact"/>
        <w:rPr>
          <w:rFonts w:ascii="Arial" w:cs="Arial" w:eastAsia="Arial" w:hAnsi="Arial"/>
          <w:sz w:val="17"/>
          <w:szCs w:val="17"/>
          <w:color w:val="auto"/>
        </w:rPr>
      </w:pPr>
    </w:p>
    <w:p>
      <w:pPr>
        <w:ind w:right="40" w:firstLine="464"/>
        <w:spacing w:after="0" w:line="302" w:lineRule="auto"/>
        <w:tabs>
          <w:tab w:leader="none" w:pos="806"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During the Term, the Company shall reimburse the Executive for all reasonable travel and other business expenses incurred by him in the performance of his duties to the Company, in accordance with the Company’s expense reimbursement policies and procedures. Further, the Company shall reimburse the Executive for the difference in cost between business class and first class airfare for first class flights taken by him in the performance of his duties to the Company, in accordance with the Company’s expense reimbursement policies and procedures, up to $20,000 per year.</w:t>
      </w:r>
    </w:p>
    <w:p>
      <w:pPr>
        <w:spacing w:after="0" w:line="154" w:lineRule="exact"/>
        <w:rPr>
          <w:rFonts w:ascii="Arial" w:cs="Arial" w:eastAsia="Arial" w:hAnsi="Arial"/>
          <w:sz w:val="16"/>
          <w:szCs w:val="16"/>
          <w:color w:val="auto"/>
        </w:rPr>
      </w:pPr>
    </w:p>
    <w:p>
      <w:pPr>
        <w:ind w:right="560" w:firstLine="464"/>
        <w:spacing w:after="0" w:line="277" w:lineRule="auto"/>
        <w:tabs>
          <w:tab w:leader="none" w:pos="806"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Special Allowances</w:t>
      </w:r>
      <w:r>
        <w:rPr>
          <w:rFonts w:ascii="Arial" w:cs="Arial" w:eastAsia="Arial" w:hAnsi="Arial"/>
          <w:sz w:val="18"/>
          <w:szCs w:val="18"/>
          <w:color w:val="auto"/>
        </w:rPr>
        <w:t>. The Company shall pay to the Executive a cash special allowance of $27,000 for each subsequent year of employment beginning in 2019 no later than January 15 of each such year (the “</w:t>
      </w:r>
      <w:r>
        <w:rPr>
          <w:rFonts w:ascii="Arial" w:cs="Arial" w:eastAsia="Arial" w:hAnsi="Arial"/>
          <w:sz w:val="18"/>
          <w:szCs w:val="18"/>
          <w:u w:val="single" w:color="auto"/>
          <w:color w:val="auto"/>
        </w:rPr>
        <w:t>Special Allowances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Executive’s employment hereunder may be terminated without any breach of this Agreement only under the following circumstances:</w:t>
      </w:r>
    </w:p>
    <w:p>
      <w:pPr>
        <w:spacing w:after="0" w:line="248" w:lineRule="exact"/>
        <w:rPr>
          <w:rFonts w:ascii="Arial" w:cs="Arial" w:eastAsia="Arial" w:hAnsi="Arial"/>
          <w:sz w:val="16"/>
          <w:szCs w:val="16"/>
          <w:color w:val="auto"/>
        </w:rPr>
      </w:pPr>
    </w:p>
    <w:p>
      <w:pPr>
        <w:ind w:left="840" w:hanging="376"/>
        <w:spacing w:after="0"/>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Circumstances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359"/>
        <w:spacing w:after="0"/>
        <w:tabs>
          <w:tab w:leader="none" w:pos="1280"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his death.</w:t>
      </w:r>
    </w:p>
    <w:p>
      <w:pPr>
        <w:spacing w:after="0" w:line="225" w:lineRule="exact"/>
        <w:rPr>
          <w:rFonts w:ascii="Arial" w:cs="Arial" w:eastAsia="Arial" w:hAnsi="Arial"/>
          <w:sz w:val="18"/>
          <w:szCs w:val="18"/>
          <w:color w:val="auto"/>
        </w:rPr>
      </w:pPr>
    </w:p>
    <w:p>
      <w:pPr>
        <w:jc w:val="both"/>
        <w:ind w:right="180" w:firstLine="921"/>
        <w:spacing w:after="0" w:line="259" w:lineRule="auto"/>
        <w:tabs>
          <w:tab w:leader="none" w:pos="1313"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the Executive has incurred a Disability, the Company may give the Executive written notice of its intention to terminate the Executive’s employment. In that event, the Executive’s employment with the Company shall terminate effective on the later of the thirtieth (30</w:t>
      </w:r>
      <w:r>
        <w:rPr>
          <w:rFonts w:ascii="Arial" w:cs="Arial" w:eastAsia="Arial" w:hAnsi="Arial"/>
          <w:sz w:val="15"/>
          <w:szCs w:val="15"/>
          <w:color w:val="auto"/>
        </w:rPr>
        <w:t>th</w:t>
      </w:r>
      <w:r>
        <w:rPr>
          <w:rFonts w:ascii="Arial" w:cs="Arial" w:eastAsia="Arial" w:hAnsi="Arial"/>
          <w:sz w:val="18"/>
          <w:szCs w:val="18"/>
          <w:color w:val="auto"/>
        </w:rPr>
        <w:t>) day after receipt of such notice by the Executive and the date specified in such notice, provided that within the thirty (30) day period following receipt of such notice, the Executive shall not have returned to full-time performance of his duties hereunder.</w:t>
      </w:r>
    </w:p>
    <w:p>
      <w:pPr>
        <w:spacing w:after="0" w:line="186" w:lineRule="exact"/>
        <w:rPr>
          <w:rFonts w:ascii="Arial" w:cs="Arial" w:eastAsia="Arial" w:hAnsi="Arial"/>
          <w:sz w:val="18"/>
          <w:szCs w:val="18"/>
          <w:color w:val="auto"/>
        </w:rPr>
      </w:pPr>
    </w:p>
    <w:p>
      <w:pPr>
        <w:ind w:left="1380" w:hanging="459"/>
        <w:spacing w:after="0"/>
        <w:tabs>
          <w:tab w:leader="none" w:pos="1380"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with Cause</w:t>
      </w:r>
      <w:r>
        <w:rPr>
          <w:rFonts w:ascii="Arial" w:cs="Arial" w:eastAsia="Arial" w:hAnsi="Arial"/>
          <w:sz w:val="18"/>
          <w:szCs w:val="18"/>
          <w:color w:val="auto"/>
        </w:rPr>
        <w:t>. The Company may terminate the Executive’s employment with Cause.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 w:name="page12"/>
    <w:bookmarkEnd w:id="11"/>
    <w:p>
      <w:pPr>
        <w:ind w:left="1352" w:hanging="439"/>
        <w:spacing w:after="0"/>
        <w:tabs>
          <w:tab w:leader="none" w:pos="1352"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without Cause</w:t>
      </w:r>
      <w:r>
        <w:rPr>
          <w:rFonts w:ascii="Arial" w:cs="Arial" w:eastAsia="Arial" w:hAnsi="Arial"/>
          <w:sz w:val="18"/>
          <w:szCs w:val="18"/>
          <w:color w:val="auto"/>
        </w:rPr>
        <w:t>. The Company may terminate the Executive’s employment without Cause.</w:t>
      </w:r>
    </w:p>
    <w:p>
      <w:pPr>
        <w:spacing w:after="0" w:line="225" w:lineRule="exact"/>
        <w:rPr>
          <w:rFonts w:ascii="Arial" w:cs="Arial" w:eastAsia="Arial" w:hAnsi="Arial"/>
          <w:sz w:val="18"/>
          <w:szCs w:val="18"/>
          <w:color w:val="auto"/>
        </w:rPr>
      </w:pPr>
    </w:p>
    <w:p>
      <w:pPr>
        <w:ind w:left="1312" w:hanging="399"/>
        <w:spacing w:after="0"/>
        <w:tabs>
          <w:tab w:leader="none" w:pos="1312"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Resignation with Good Reason</w:t>
      </w:r>
      <w:r>
        <w:rPr>
          <w:rFonts w:ascii="Arial" w:cs="Arial" w:eastAsia="Arial" w:hAnsi="Arial"/>
          <w:sz w:val="18"/>
          <w:szCs w:val="18"/>
          <w:color w:val="auto"/>
        </w:rPr>
        <w:t>. The Executive may resign from his employment with Good Reason.</w:t>
      </w:r>
    </w:p>
    <w:p>
      <w:pPr>
        <w:spacing w:after="0" w:line="225" w:lineRule="exact"/>
        <w:rPr>
          <w:rFonts w:ascii="Arial" w:cs="Arial" w:eastAsia="Arial" w:hAnsi="Arial"/>
          <w:sz w:val="18"/>
          <w:szCs w:val="18"/>
          <w:color w:val="auto"/>
        </w:rPr>
      </w:pPr>
    </w:p>
    <w:p>
      <w:pPr>
        <w:ind w:left="1352" w:hanging="439"/>
        <w:spacing w:after="0"/>
        <w:tabs>
          <w:tab w:leader="none" w:pos="1352"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Resignation without Good Reason</w:t>
      </w:r>
      <w:r>
        <w:rPr>
          <w:rFonts w:ascii="Arial" w:cs="Arial" w:eastAsia="Arial" w:hAnsi="Arial"/>
          <w:sz w:val="17"/>
          <w:szCs w:val="17"/>
          <w:color w:val="auto"/>
        </w:rPr>
        <w:t>. The Executive may resign from his employment without Good Reason upon not less than thirty</w:t>
      </w:r>
    </w:p>
    <w:p>
      <w:pPr>
        <w:spacing w:after="0" w:line="34" w:lineRule="exact"/>
        <w:rPr>
          <w:rFonts w:ascii="Arial" w:cs="Arial" w:eastAsia="Arial" w:hAnsi="Arial"/>
          <w:sz w:val="17"/>
          <w:szCs w:val="17"/>
          <w:color w:val="auto"/>
        </w:rPr>
      </w:pPr>
    </w:p>
    <w:p>
      <w:pPr>
        <w:ind w:left="352" w:hanging="352"/>
        <w:spacing w:after="0"/>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days’ advance written notice to the Board.</w:t>
      </w:r>
    </w:p>
    <w:p>
      <w:pPr>
        <w:spacing w:after="0" w:line="210" w:lineRule="exact"/>
        <w:rPr>
          <w:rFonts w:ascii="Arial" w:cs="Arial" w:eastAsia="Arial" w:hAnsi="Arial"/>
          <w:sz w:val="18"/>
          <w:szCs w:val="18"/>
          <w:color w:val="auto"/>
        </w:rPr>
      </w:pPr>
    </w:p>
    <w:p>
      <w:pPr>
        <w:ind w:left="-8" w:right="40" w:firstLine="464"/>
        <w:spacing w:after="0" w:line="286" w:lineRule="auto"/>
        <w:tabs>
          <w:tab w:leader="none" w:pos="838"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of the Executive’s employment by the Company or by the Executive under this Section 4 (other than termination pursuant to Section 4(a)(i)) shall be communicated by a written notice to the other party hereto (i) indicating the specific termination provision in this Agreement relied upon, (ii) except with respect to a termination pursuant to Section 4(a)(iv) or (vi), setting forth in reasonable detail the facts and circumstances claimed to provide a basis for termination of the Executive’s employment under the provision so indicated, and (iii) specifying a Date of Termination as provided herein (a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xml:space="preserve">”). If the Company delivers a Notice of Termination under Section 4(a)(ii), the Date of Termination shall be at least thirty (30) days following the date of such notice;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such notice need not specify a Date of Termination, in which case the Date of Termination shall be determined pursuant to Section 4(a)(ii). If the Company delivers a Notice of Termination under Section 4(a)(iii) or 4(a)(iv), the Date of Termination shall be, in the Company’s sole discretion, the date on which the Executive receives such notice or any subsequent date selected by the Company. If the Executive delivers a Notice of Termination under Section 4(a)(v) or (a)(vi), the Date of Termination shall be at least thirty (30) days following the date of such notice;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Company may, in its sole discretion, accelerate the Date of Termination to any date that occurs following the Company’s receipt of such notice, without changing the characterization of such termination as voluntary, even if such date is prior to the date specified in such notice. The failure by the Company or the Executive to set forth in the Notice of Termination any fact or circumstance that contributes to a showing of Cause or Good Reason shall not waive any right of the Company or the Executive hereunder or preclude the Company or the Executive from asserting such fact or circumstance in enforcing the Company’s or the Executive’s rights hereunder.</w:t>
      </w:r>
    </w:p>
    <w:p>
      <w:pPr>
        <w:spacing w:after="0" w:line="171" w:lineRule="exact"/>
        <w:rPr>
          <w:rFonts w:ascii="Arial" w:cs="Arial" w:eastAsia="Arial" w:hAnsi="Arial"/>
          <w:sz w:val="16"/>
          <w:szCs w:val="16"/>
          <w:color w:val="auto"/>
        </w:rPr>
      </w:pPr>
    </w:p>
    <w:p>
      <w:pPr>
        <w:ind w:left="-8" w:right="60" w:firstLine="464"/>
        <w:spacing w:after="0" w:line="259" w:lineRule="auto"/>
        <w:tabs>
          <w:tab w:leader="none" w:pos="828"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 and Resignation of All Positions</w:t>
      </w:r>
      <w:r>
        <w:rPr>
          <w:rFonts w:ascii="Arial" w:cs="Arial" w:eastAsia="Arial" w:hAnsi="Arial"/>
          <w:sz w:val="18"/>
          <w:szCs w:val="18"/>
          <w:color w:val="auto"/>
        </w:rPr>
        <w:t>. Upon termination of the Executive’s employment for any reason, the Executive agrees to resign, as of the Date of Termination or such other date requested by the Company, from all positions and offices that the Executive then holds with the Company and its Affiliates. In addition, as applicable, if the Executive fails to resign from any such positions or offices, the Company shall be relieved of its obligations under Section 5(b) hereof.</w:t>
      </w:r>
    </w:p>
    <w:p>
      <w:pPr>
        <w:spacing w:after="0" w:line="295" w:lineRule="exact"/>
        <w:rPr>
          <w:sz w:val="20"/>
          <w:szCs w:val="20"/>
          <w:color w:val="auto"/>
        </w:rPr>
      </w:pPr>
    </w:p>
    <w:p>
      <w:pPr>
        <w:ind w:left="312" w:hanging="312"/>
        <w:spacing w:after="0"/>
        <w:tabs>
          <w:tab w:leader="none" w:pos="31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firstLine="464"/>
        <w:spacing w:after="0" w:line="264" w:lineRule="auto"/>
        <w:tabs>
          <w:tab w:leader="none" w:pos="82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Subject to Section 11(a), upon termination of the Executive’s employment for any reason, the Executive (or the Executive’s estate) shall be entitled to receive (i) any amount of the Executive’s Annual Base Salary earned through the Date of Termination not theretofore paid, (ii) any Annual Bonus for the year prior to the year in which the Date of</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4" w:right="279" w:bottom="1440" w:gutter="0" w:footer="0" w:header="0"/>
        </w:sectPr>
      </w:pPr>
    </w:p>
    <w:bookmarkStart w:id="12" w:name="page13"/>
    <w:bookmarkEnd w:id="1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occurred, that was earned but not yet paid, (iii) any expenses owed to the Executive under Section 3(i), and (iv) any vested payment or benefit arising from the Executive’s participation in, or benefits under, any qualified employee benefit plans, programs, or arrangements under Section 3(d) (other than severance plans, programs, or arrangements), which amounts shall be payable in accordance with the terms and conditions of such employee benefit plans, programs, or arrangements including, where applicable, any death and disability benefits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Notwithstanding anything to the contrary, upon a Termination with Cause, and only in the case of such a termination, the Accrued Obligations shall not include the amount set forth in clause (ii) of the preceding sentence or any other amounts or benefits not payable in accordance with the terms and conditions of any employee benefit plan, program or arrangement.</w:t>
      </w:r>
    </w:p>
    <w:p>
      <w:pPr>
        <w:spacing w:after="0" w:line="189" w:lineRule="exact"/>
        <w:rPr>
          <w:sz w:val="20"/>
          <w:szCs w:val="20"/>
          <w:color w:val="auto"/>
        </w:rPr>
      </w:pPr>
    </w:p>
    <w:p>
      <w:pPr>
        <w:ind w:right="100" w:firstLine="464"/>
        <w:spacing w:after="0" w:line="312" w:lineRule="auto"/>
        <w:tabs>
          <w:tab w:leader="none" w:pos="84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with Good Reason</w:t>
      </w:r>
      <w:r>
        <w:rPr>
          <w:rFonts w:ascii="Arial" w:cs="Arial" w:eastAsia="Arial" w:hAnsi="Arial"/>
          <w:sz w:val="16"/>
          <w:szCs w:val="16"/>
          <w:color w:val="auto"/>
        </w:rPr>
        <w:t>. Subject to Section 11(a) and subject to the Executive’s continued compliance with the covenants contained in Sections 6, 7 and 10, if the Company terminates the Executive’s employment without Cause pursuant to Section 4(a)(iv) or the Executive resigns from his employment with Good Reason pursuant to Section 4(a)(v), the Company shall, in addition to the Accrued Obligations:</w:t>
      </w:r>
    </w:p>
    <w:p>
      <w:pPr>
        <w:spacing w:after="0" w:line="146" w:lineRule="exact"/>
        <w:rPr>
          <w:rFonts w:ascii="Arial" w:cs="Arial" w:eastAsia="Arial" w:hAnsi="Arial"/>
          <w:sz w:val="16"/>
          <w:szCs w:val="16"/>
          <w:color w:val="auto"/>
        </w:rPr>
      </w:pPr>
    </w:p>
    <w:p>
      <w:pPr>
        <w:ind w:firstLine="921"/>
        <w:spacing w:after="0" w:line="268" w:lineRule="auto"/>
        <w:tabs>
          <w:tab w:leader="none" w:pos="1263" w:val="left"/>
        </w:tabs>
        <w:numPr>
          <w:ilvl w:val="1"/>
          <w:numId w:val="18"/>
        </w:numPr>
        <w:rPr>
          <w:rFonts w:ascii="Arial" w:cs="Arial" w:eastAsia="Arial" w:hAnsi="Arial"/>
          <w:sz w:val="17"/>
          <w:szCs w:val="17"/>
          <w:color w:val="auto"/>
        </w:rPr>
      </w:pPr>
      <w:r>
        <w:rPr>
          <w:rFonts w:ascii="Arial" w:cs="Arial" w:eastAsia="Arial" w:hAnsi="Arial"/>
          <w:sz w:val="17"/>
          <w:szCs w:val="17"/>
          <w:color w:val="auto"/>
        </w:rPr>
        <w:t>continue to pay the Final Base Salary in accordance with the Company’s customary payroll practices during the period beginning on the Date of Termination and ending on the earlier to occur of (A) the second anniversary of the Date of Termination and (B) the first date that the Executive violates any covenant contained in Section 6 or 7 (the “</w:t>
      </w:r>
      <w:r>
        <w:rPr>
          <w:rFonts w:ascii="Arial" w:cs="Arial" w:eastAsia="Arial" w:hAnsi="Arial"/>
          <w:sz w:val="17"/>
          <w:szCs w:val="17"/>
          <w:u w:val="single" w:color="auto"/>
          <w:color w:val="auto"/>
        </w:rPr>
        <w:t>Salary Payment</w:t>
      </w:r>
      <w:r>
        <w:rPr>
          <w:rFonts w:ascii="Arial" w:cs="Arial" w:eastAsia="Arial" w:hAnsi="Arial"/>
          <w:sz w:val="17"/>
          <w:szCs w:val="17"/>
          <w:color w:val="auto"/>
        </w:rPr>
        <w:t>”), and if the Date of Termination occurs after June 30 of the calendar year in which the Date of Termination occurs, pay the Executive a prorated portion of the Annual Bonus payable with respect to the calendar year in which such termination occurs, determined on a daily basis, based on actual performance achievement for such year, and payable if and when annual bonuses are paid to other senior executives of the Company with respect to such year (the “</w:t>
      </w:r>
      <w:r>
        <w:rPr>
          <w:rFonts w:ascii="Arial" w:cs="Arial" w:eastAsia="Arial" w:hAnsi="Arial"/>
          <w:sz w:val="17"/>
          <w:szCs w:val="17"/>
          <w:u w:val="single" w:color="auto"/>
          <w:color w:val="auto"/>
        </w:rPr>
        <w:t>Pro Rata Bonus</w:t>
      </w:r>
      <w:r>
        <w:rPr>
          <w:rFonts w:ascii="Arial" w:cs="Arial" w:eastAsia="Arial" w:hAnsi="Arial"/>
          <w:sz w:val="17"/>
          <w:szCs w:val="17"/>
          <w:color w:val="auto"/>
        </w:rPr>
        <w:t>”, together with the Salary Payment, the “</w:t>
      </w:r>
      <w:r>
        <w:rPr>
          <w:rFonts w:ascii="Arial" w:cs="Arial" w:eastAsia="Arial" w:hAnsi="Arial"/>
          <w:sz w:val="17"/>
          <w:szCs w:val="17"/>
          <w:u w:val="single" w:color="auto"/>
          <w:color w:val="auto"/>
        </w:rPr>
        <w:t>Severance Payment</w:t>
      </w:r>
      <w:r>
        <w:rPr>
          <w:rFonts w:ascii="Arial" w:cs="Arial" w:eastAsia="Arial" w:hAnsi="Arial"/>
          <w:sz w:val="17"/>
          <w:szCs w:val="17"/>
          <w:color w:val="auto"/>
        </w:rPr>
        <w:t>”). Notwithstanding the foregoing, if the Company terminates the Executive’s employment without Cause pursuant to Section 4(a)(iv), the Executive resigns from his employment with Good Reason pursuant to Section 4(a)(v), the Executive dies as described in Section 4(a)(i), or the Executive’s employment is terminated by reason of the Executive’s Disability pursuant to Section 4(a)(ii), in each case, either (x) during a period of time when the Company is party to a definitive corporate transaction agreement, the consummation of which would result in a Change in Control or (y) within eighteen (18) months following a Change in Control (such a termination a “</w:t>
      </w:r>
      <w:r>
        <w:rPr>
          <w:rFonts w:ascii="Arial" w:cs="Arial" w:eastAsia="Arial" w:hAnsi="Arial"/>
          <w:sz w:val="17"/>
          <w:szCs w:val="17"/>
          <w:u w:val="single" w:color="auto"/>
          <w:color w:val="auto"/>
        </w:rPr>
        <w:t>CIC Qualified Termination</w:t>
      </w:r>
      <w:r>
        <w:rPr>
          <w:rFonts w:ascii="Arial" w:cs="Arial" w:eastAsia="Arial" w:hAnsi="Arial"/>
          <w:sz w:val="17"/>
          <w:szCs w:val="17"/>
          <w:color w:val="auto"/>
        </w:rPr>
        <w:t>”), then the Salary Payment shall be equal to two (2) times the sum of (x) the Final Base Salary and (y) the Final Target Annual Bonus and be payable (1) in a single cash lump sum on the sixtieth (60</w:t>
      </w:r>
      <w:r>
        <w:rPr>
          <w:rFonts w:ascii="Arial" w:cs="Arial" w:eastAsia="Arial" w:hAnsi="Arial"/>
          <w:sz w:val="14"/>
          <w:szCs w:val="14"/>
          <w:color w:val="auto"/>
        </w:rPr>
        <w:t>th</w:t>
      </w:r>
      <w:r>
        <w:rPr>
          <w:rFonts w:ascii="Arial" w:cs="Arial" w:eastAsia="Arial" w:hAnsi="Arial"/>
          <w:sz w:val="17"/>
          <w:szCs w:val="17"/>
          <w:color w:val="auto"/>
        </w:rPr>
        <w:t>) day following the Date of Termination in the event that the Change in Control is also a “change in control event” (within the meaning of Section 409A of the Code) or (2) in accordance with the schedule contemplated by the first sentence of this Section 5(b)(i) in the event that the Change in Control is not a “change in control event”, in each case, so long as the Release (as defined below) has become effective and the Executive has not violated any covenant contained in Section 6 or 7, in which case the Severance Payment shall be forfeited;</w:t>
      </w:r>
    </w:p>
    <w:p>
      <w:pPr>
        <w:spacing w:after="0" w:line="180" w:lineRule="exact"/>
        <w:rPr>
          <w:rFonts w:ascii="Arial" w:cs="Arial" w:eastAsia="Arial" w:hAnsi="Arial"/>
          <w:sz w:val="17"/>
          <w:szCs w:val="17"/>
          <w:color w:val="auto"/>
        </w:rPr>
      </w:pPr>
    </w:p>
    <w:p>
      <w:pPr>
        <w:ind w:right="600" w:firstLine="921"/>
        <w:spacing w:after="0" w:line="308" w:lineRule="auto"/>
        <w:tabs>
          <w:tab w:leader="none" w:pos="1313" w:val="left"/>
        </w:tabs>
        <w:numPr>
          <w:ilvl w:val="1"/>
          <w:numId w:val="18"/>
        </w:numPr>
        <w:rPr>
          <w:rFonts w:ascii="Arial" w:cs="Arial" w:eastAsia="Arial" w:hAnsi="Arial"/>
          <w:sz w:val="17"/>
          <w:szCs w:val="17"/>
          <w:color w:val="auto"/>
        </w:rPr>
      </w:pPr>
      <w:r>
        <w:rPr>
          <w:rFonts w:ascii="Arial" w:cs="Arial" w:eastAsia="Arial" w:hAnsi="Arial"/>
          <w:sz w:val="17"/>
          <w:szCs w:val="17"/>
          <w:color w:val="auto"/>
        </w:rPr>
        <w:t>pay to the Executive on the sixtieth (60</w:t>
      </w:r>
      <w:r>
        <w:rPr>
          <w:rFonts w:ascii="Arial" w:cs="Arial" w:eastAsia="Arial" w:hAnsi="Arial"/>
          <w:sz w:val="14"/>
          <w:szCs w:val="14"/>
          <w:color w:val="auto"/>
        </w:rPr>
        <w:t>th</w:t>
      </w:r>
      <w:r>
        <w:rPr>
          <w:rFonts w:ascii="Arial" w:cs="Arial" w:eastAsia="Arial" w:hAnsi="Arial"/>
          <w:sz w:val="17"/>
          <w:szCs w:val="17"/>
          <w:color w:val="auto"/>
        </w:rPr>
        <w:t>) day following the Date of Termination a lump sum amount equal to twelve (12) times the employer portion of the monthly cost of maintaining medical, dental and/or vision benefits for the Executive under a group health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3" w:name="page14"/>
    <w:bookmarkEnd w:id="13"/>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of the Company for purposes of the Consolidated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CIC Qualified Termination occurs, then such payment will be equal to eighteen (18) times the employer portion of the monthly cost of maintaining medical, dental and/or vision benefits for the Executive under a group health plan of the Company for purposes of COBRA;</w:t>
      </w:r>
    </w:p>
    <w:p>
      <w:pPr>
        <w:spacing w:after="0" w:line="166" w:lineRule="exact"/>
        <w:rPr>
          <w:sz w:val="20"/>
          <w:szCs w:val="20"/>
          <w:color w:val="auto"/>
        </w:rPr>
      </w:pPr>
    </w:p>
    <w:p>
      <w:pPr>
        <w:ind w:right="160" w:firstLine="921"/>
        <w:spacing w:after="0" w:line="302" w:lineRule="auto"/>
        <w:tabs>
          <w:tab w:leader="none" w:pos="1363"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notwithstanding the Company’s expatriate benefit policy for executives, continue to provide the Expatriate Benefits (as if the Executive were still an employed expatriate) as in effect immediately prior to the Date of Termination (or, if clause (i) or (ii) of “Good Reason” is implicated, immediately before any relevant diminution of the Executive’s Annual Base Salary, Target Annual Bonus, or Expatriate Benefits), during the 90-day period following the Date of Termination, or, if earlier, until the date on which the Executive’s primary residence is relocated back to the United States;</w:t>
      </w:r>
    </w:p>
    <w:p>
      <w:pPr>
        <w:spacing w:after="0" w:line="154" w:lineRule="exact"/>
        <w:rPr>
          <w:rFonts w:ascii="Arial" w:cs="Arial" w:eastAsia="Arial" w:hAnsi="Arial"/>
          <w:sz w:val="16"/>
          <w:szCs w:val="16"/>
          <w:color w:val="auto"/>
        </w:rPr>
      </w:pPr>
    </w:p>
    <w:p>
      <w:pPr>
        <w:ind w:right="80" w:firstLine="921"/>
        <w:spacing w:after="0" w:line="277" w:lineRule="auto"/>
        <w:tabs>
          <w:tab w:leader="none" w:pos="13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the repatriation allowance and repatriation expenses, to the extent the Executive is eligible to receive such payments as part of the Expatriate Benefits; and</w:t>
      </w:r>
    </w:p>
    <w:p>
      <w:pPr>
        <w:spacing w:after="0" w:line="170" w:lineRule="exact"/>
        <w:rPr>
          <w:rFonts w:ascii="Arial" w:cs="Arial" w:eastAsia="Arial" w:hAnsi="Arial"/>
          <w:sz w:val="18"/>
          <w:szCs w:val="18"/>
          <w:color w:val="auto"/>
        </w:rPr>
      </w:pPr>
    </w:p>
    <w:p>
      <w:pPr>
        <w:ind w:right="20" w:firstLine="921"/>
        <w:spacing w:after="0" w:line="342" w:lineRule="auto"/>
        <w:tabs>
          <w:tab w:leader="none" w:pos="13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for vesting of outstanding unvested equity awards (A) for any awards granted prior to January 1, 2018, in full as of the Date of Termination, and (B) for any awards granted on or following January 1, 2018, as set forth in the applicable award agreement or on Exhibit B-4, as applicable;</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provided, however</w:t>
      </w:r>
      <w:r>
        <w:rPr>
          <w:rFonts w:ascii="Arial" w:cs="Arial" w:eastAsia="Arial" w:hAnsi="Arial"/>
          <w:sz w:val="18"/>
          <w:szCs w:val="18"/>
          <w:color w:val="auto"/>
        </w:rPr>
        <w:t>, that all payments and benefits to be paid or provided pursuant to this Section 5(b) shall commence on the sixtieth (60</w:t>
      </w:r>
      <w:r>
        <w:rPr>
          <w:rFonts w:ascii="Arial" w:cs="Arial" w:eastAsia="Arial" w:hAnsi="Arial"/>
          <w:sz w:val="15"/>
          <w:szCs w:val="15"/>
          <w:color w:val="auto"/>
        </w:rPr>
        <w:t>th</w:t>
      </w:r>
      <w:r>
        <w:rPr>
          <w:rFonts w:ascii="Arial" w:cs="Arial" w:eastAsia="Arial" w:hAnsi="Arial"/>
          <w:sz w:val="18"/>
          <w:szCs w:val="18"/>
          <w:color w:val="auto"/>
        </w:rPr>
        <w:t>) day following the Date of Termination, and, only with respect to any cash payments, the initial installment of such payments shall include a lump-sum payment of all amounts accrued under this Section 5(b) from the Date of Termination through the date of such initial payment.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Notwithstanding any provision in this Agreement to the contrary, if the Executive breaches any of the covenants contained in Sections 6 and 7 hereof, the Company shall have the right to cease providing any payments or benefits under this Section 5(b) and, if requested, the Executive shall repay to the Company within sixty (60) days of such request any previously paid payments or benefits under this Section 5(b);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unless the Company provides the Executive with written notice of the circumstances it believes constitutes a breach of such covenants within ninety (90) days after it becomes aware of such circumstances;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basis for the alleged breach is curable, then the Executive shall have fifteen (15) days after receipt of such written notice to cure such basis.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Payment of the amounts and benefits under this Section 5(b) is in lieu of any other severance or separation pay payable to the Executive whether under any employment agreement, offer letter or severance program, plan or policy, applicable law (including law of the Republic of Korea) or other statute,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nothing in this Agreement shall limit or otherwise affect the rights of the Executive may have under any statutory pension under Korean law that has accrued to the Executive’s account as of the Date of Termination.</w:t>
      </w:r>
    </w:p>
    <w:p>
      <w:pPr>
        <w:spacing w:after="0" w:line="187" w:lineRule="exact"/>
        <w:rPr>
          <w:sz w:val="20"/>
          <w:szCs w:val="20"/>
          <w:color w:val="auto"/>
        </w:rPr>
      </w:pPr>
    </w:p>
    <w:p>
      <w:pPr>
        <w:ind w:right="220" w:firstLine="464"/>
        <w:spacing w:after="0" w:line="277" w:lineRule="auto"/>
        <w:tabs>
          <w:tab w:leader="none" w:pos="83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Notwithstanding anything herein to the contrary, the amounts payable and benefits to be provided to the Executive under Section 5(b), other than the Accrued Obligations,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4" w:name="page15"/>
    <w:bookmarkEnd w:id="14"/>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contingent upon and subject to the Executive’s (or the Executive’s estate’s, if applicable) execution and non-revocation of a general waiver and release of claims agreement in substantially in the form attached as Exhibit C hereto (the “</w:t>
      </w:r>
      <w:r>
        <w:rPr>
          <w:rFonts w:ascii="Arial" w:cs="Arial" w:eastAsia="Arial" w:hAnsi="Arial"/>
          <w:sz w:val="18"/>
          <w:szCs w:val="18"/>
          <w:u w:val="single" w:color="auto"/>
          <w:color w:val="auto"/>
        </w:rPr>
        <w:t>Release</w:t>
      </w:r>
      <w:r>
        <w:rPr>
          <w:rFonts w:ascii="Arial" w:cs="Arial" w:eastAsia="Arial" w:hAnsi="Arial"/>
          <w:sz w:val="18"/>
          <w:szCs w:val="18"/>
          <w:color w:val="auto"/>
        </w:rPr>
        <w:t>”) (and the expiration of any applicable revocation period), on or prior to the sixtieth (60</w:t>
      </w:r>
      <w:r>
        <w:rPr>
          <w:rFonts w:ascii="Arial" w:cs="Arial" w:eastAsia="Arial" w:hAnsi="Arial"/>
          <w:sz w:val="15"/>
          <w:szCs w:val="15"/>
          <w:color w:val="auto"/>
        </w:rPr>
        <w:t>th</w:t>
      </w:r>
      <w:r>
        <w:rPr>
          <w:rFonts w:ascii="Arial" w:cs="Arial" w:eastAsia="Arial" w:hAnsi="Arial"/>
          <w:sz w:val="18"/>
          <w:szCs w:val="18"/>
          <w:color w:val="auto"/>
        </w:rPr>
        <w:t>) day following the Date of Termination.</w:t>
      </w:r>
    </w:p>
    <w:p>
      <w:pPr>
        <w:spacing w:after="0" w:line="181" w:lineRule="exact"/>
        <w:rPr>
          <w:sz w:val="20"/>
          <w:szCs w:val="20"/>
          <w:color w:val="auto"/>
        </w:rPr>
      </w:pPr>
    </w:p>
    <w:p>
      <w:pPr>
        <w:ind w:firstLine="464"/>
        <w:spacing w:after="0" w:line="342" w:lineRule="auto"/>
        <w:tabs>
          <w:tab w:leader="none" w:pos="846"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obligations of any of the parties under this Agreement which by their nature may require either partial or total performance after the termination of the Term or this Agreement (including those under Sections 3(e), 6, 7, 8, 9, and 10) will survive any termination of this Agreement.</w:t>
      </w:r>
    </w:p>
    <w:p>
      <w:pPr>
        <w:spacing w:after="0" w:line="123" w:lineRule="exact"/>
        <w:rPr>
          <w:rFonts w:ascii="Arial" w:cs="Arial" w:eastAsia="Arial" w:hAnsi="Arial"/>
          <w:sz w:val="16"/>
          <w:szCs w:val="16"/>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Non-Hire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64"/>
        <w:spacing w:after="0" w:line="255" w:lineRule="auto"/>
        <w:tabs>
          <w:tab w:leader="none" w:pos="83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Executive agrees that during the Executive’s employment with the Company, and for the twenty four (24) month period following the Executive’s termination of employment for any reason, the Executive will not, directly or indirectly, have any equity or equity-based interest, or work or otherwise provide services as an employee, contractor, officer, owner, consultant, partner, director or otherwise, in any business anywhere in the world that competes with any of the businesses of the Company. Notwithstanding the foregoing, the Executive shall be permitted to acquire a passive stock or equity interest in such a business, provided that the stock or other equity interest acquired is not more than five percent (5%) of the outstanding interest in such business;</w:t>
      </w:r>
    </w:p>
    <w:p>
      <w:pPr>
        <w:spacing w:after="0" w:line="193" w:lineRule="exact"/>
        <w:rPr>
          <w:rFonts w:ascii="Arial" w:cs="Arial" w:eastAsia="Arial" w:hAnsi="Arial"/>
          <w:sz w:val="18"/>
          <w:szCs w:val="18"/>
          <w:color w:val="auto"/>
        </w:rPr>
      </w:pPr>
    </w:p>
    <w:p>
      <w:pPr>
        <w:ind w:right="20" w:firstLine="464"/>
        <w:spacing w:after="0" w:line="270" w:lineRule="auto"/>
        <w:tabs>
          <w:tab w:leader="none" w:pos="843" w:val="left"/>
        </w:tabs>
        <w:numPr>
          <w:ilvl w:val="1"/>
          <w:numId w:val="22"/>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Executive agrees that during the Executive’s employment with the Company, and for the twenty four (24) month period following the Executive’s termination of employment for any reason, the Executive will not, directly or indirectly, on the Executive’s own behalf or on behalf of another (i) solicit, induce or attempt to solicit or induce any officer, director, employee or consultant of the Company to terminate their relationship with or leave the employ of the Company, or in any way interfere with the relationship between the Company, on the one hand, and any officer, director, employee, or consultant thereof, on the other hand, (ii) hire (or other similar arrangement) any Person (in any capacity whether as an officer, director, employee or consultant) who is, or at any time in the twelve (12) months preceding the Date of Termination was, an officer, director, employee or consultant of the Company or (iii) induce or attempt to induce any customer, supplier, prospect, licensee or other business relation of the Company to cease doing business with the Company, or in any way interfere with the relationship between any such customer, supplier, prospect, licensee or business relation, on the one hand, and the Company, on the other hand.</w:t>
      </w:r>
    </w:p>
    <w:p>
      <w:pPr>
        <w:spacing w:after="0" w:line="181" w:lineRule="exact"/>
        <w:rPr>
          <w:rFonts w:ascii="Arial" w:cs="Arial" w:eastAsia="Arial" w:hAnsi="Arial"/>
          <w:sz w:val="17"/>
          <w:szCs w:val="17"/>
          <w:color w:val="auto"/>
        </w:rPr>
      </w:pPr>
    </w:p>
    <w:p>
      <w:pPr>
        <w:ind w:right="60" w:firstLine="464"/>
        <w:spacing w:after="0" w:line="291" w:lineRule="auto"/>
        <w:tabs>
          <w:tab w:leader="none" w:pos="836"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 the event that the terms of this Section 6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The Executive hereby acknowledges that the terms of this Section 6 are reasonable in terms of duration, scope and area restrictions and are necessary to protect the goodwill of the Company. The Executive hereby authorizes the Company to inform any future employer or prospective employer of the existence and terms of Sections 6 and 7 of this Agreement without liability for interference with the Executive’s employment or prospective employment.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5" w:name="page16"/>
    <w:bookmarkEnd w:id="15"/>
    <w:p>
      <w:pPr>
        <w:ind w:left="840" w:hanging="376"/>
        <w:spacing w:after="0"/>
        <w:tabs>
          <w:tab w:leader="none" w:pos="840" w:val="left"/>
        </w:tabs>
        <w:numPr>
          <w:ilvl w:val="1"/>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Section 6, the term “Company” shall include Parent, the Company, and any direct or indirect subsidiaries thereof or any successors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318"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 Nondisparagement; Intellectual Property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64"/>
        <w:spacing w:after="0" w:line="286" w:lineRule="auto"/>
        <w:tabs>
          <w:tab w:leader="none" w:pos="836"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Non-Disclosure of Confidential Information; Return of Property</w:t>
      </w:r>
      <w:r>
        <w:rPr>
          <w:rFonts w:ascii="Arial" w:cs="Arial" w:eastAsia="Arial" w:hAnsi="Arial"/>
          <w:sz w:val="16"/>
          <w:szCs w:val="16"/>
          <w:color w:val="auto"/>
        </w:rPr>
        <w:t>. The Executive recognizes and acknowledges that he has access to confidential information and/or has had or will have material contact with the Company’s customers, suppliers, licensees, representatives, agents, partners, licensors, or business relations. The Executive agrees that during his employment and in perpetuity thereafter, the Executive shall maintain in confidence and shall not directly, indirectly or otherwise, use, disseminate, disclose or publish, or use for the Executive’s benefit or the benefit of any Person, any confidential or proprietary information or trade secrets of or relating to the Company, including, without limitation,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the Executive’s termination of employment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The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174" w:lineRule="exact"/>
        <w:rPr>
          <w:rFonts w:ascii="Arial" w:cs="Arial" w:eastAsia="Arial" w:hAnsi="Arial"/>
          <w:sz w:val="16"/>
          <w:szCs w:val="16"/>
          <w:color w:val="auto"/>
        </w:rPr>
      </w:pPr>
    </w:p>
    <w:p>
      <w:pPr>
        <w:ind w:firstLine="464"/>
        <w:spacing w:after="0" w:line="264" w:lineRule="auto"/>
        <w:tabs>
          <w:tab w:leader="none" w:pos="84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The Executive shall not, at any time during his employment and in perpetuity thereafter, directly or indirectly, knowingly disparage, criticize, or otherwise make derogatory statements regarding the Company, or any of its successors, directors or officers. The foregoing shall not be violated by the Executive’s truthful responses to legal process or inquiry by a governmental authority.</w:t>
      </w:r>
    </w:p>
    <w:p>
      <w:pPr>
        <w:spacing w:after="0" w:line="181" w:lineRule="exact"/>
        <w:rPr>
          <w:rFonts w:ascii="Arial" w:cs="Arial" w:eastAsia="Arial" w:hAnsi="Arial"/>
          <w:sz w:val="18"/>
          <w:szCs w:val="18"/>
          <w:color w:val="auto"/>
        </w:rPr>
      </w:pPr>
    </w:p>
    <w:p>
      <w:pPr>
        <w:ind w:left="840" w:hanging="376"/>
        <w:spacing w:after="0"/>
        <w:tabs>
          <w:tab w:leader="none" w:pos="84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60" w:firstLine="921"/>
        <w:spacing w:after="0" w:line="297" w:lineRule="auto"/>
        <w:tabs>
          <w:tab w:leader="none" w:pos="1260" w:val="left"/>
        </w:tabs>
        <w:numPr>
          <w:ilvl w:val="2"/>
          <w:numId w:val="24"/>
        </w:numPr>
        <w:rPr>
          <w:rFonts w:ascii="Arial" w:cs="Arial" w:eastAsia="Arial" w:hAnsi="Arial"/>
          <w:sz w:val="16"/>
          <w:szCs w:val="16"/>
          <w:color w:val="auto"/>
        </w:rPr>
      </w:pPr>
      <w:r>
        <w:rPr>
          <w:rFonts w:ascii="Arial" w:cs="Arial" w:eastAsia="Arial" w:hAnsi="Arial"/>
          <w:sz w:val="16"/>
          <w:szCs w:val="16"/>
          <w:color w:val="auto"/>
        </w:rPr>
        <w:t>The Executive agrees that the results and proceeds of the Executive’s services for the Company (including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the Executive, either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 applicable or as directed by the Company) shall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 deemed the sole owner throughout the universe of any and all trade secret, patent, copyright and other intellectual property rights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Proprietary Rights</w:t>
      </w:r>
      <w:r>
        <w:rPr>
          <w:rFonts w:ascii="Arial" w:cs="Arial" w:eastAsia="Arial" w:hAnsi="Arial"/>
          <w:sz w:val="16"/>
          <w:szCs w:val="16"/>
          <w:color w:val="auto"/>
        </w:rPr>
        <w:t>”) of whatsoever nature therein, whether or not now or hereafter known, existing, contemplated, recognized or developed, with the right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 the same in perpetuity in any manner the Company determines in its sole discretion, without any further payment to the Executive whatsoever. If, for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reason, any of such results and proceeds shall not legally be a work-made-for-hire and/or there are any Proprietary Rights which do not accrue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under the immediately preceding sentence, then the Executive hereby irrevocably assigns and agrees to assign any and all of the Executive’s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title and interest thereto, including, without limitation, any and all Proprietary Rights of whatsoever nature therein, whether or not now or hereafter known,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existing, contemplated, recognized or developed, to the Company (or, if applicable or as directed by the Company, any of its Affiliates), and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Affiliates shall have the right to use the same in perpetuity throughout the universe in any manner determined by the Company or such Affiliates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further payment to the Executive whatsoever. As to any Invention that the Executive is required to assign, the Executive shall promptly and fully disclose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all information known to the Executive concerning such Invention. The Executive hereby waives and quitclaims to the Company any and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claims, of any nature whatsoever, that the Executive now or may hereafter have for infringement of any Proprietary Rights assigned hereunder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firstLine="921"/>
        <w:spacing w:after="0" w:line="268" w:lineRule="auto"/>
        <w:tabs>
          <w:tab w:leader="none" w:pos="131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Executive agrees that, from time to time, as may be requested by the Company and at the Company’s sole cost and expense, the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without limitation, the execution of appropriate copyright and/or patent applications or assignments. To the extent the Executive has any Proprietary Rights in the Inventions that cannot be assigned in the manner described above, the Executive unconditionally and irrevocably waives the enforcement of such Proprietary Rights. This Section 7(c)(ii) is subject to and shall not be deemed to limit, restrict or constitute any waiver by the Company of any Proprietary Rights of ownership to which the Company may be entitled by operation of law by virtue of the Executive’s employment with, or service to, the Company. The Executive further agrees that, from time to time, as may be requested by the Company and at the Company’s sole cost and expense, the Executive shall assist the Company in every proper and lawful way to obtain and from time to time enforce Proprietary Rights relating to Inventions in any and all countries. To this end, the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the Executive shall execute, verify, and deliver assignments of such Proprietary Rights to the Company or its designees. The Executive’s obligation to assist the Company with respect to Proprietary Rights relating to such Inventions in any and all countries shall continue beyond the termination of the Executive’s employment with the Company.</w:t>
      </w:r>
    </w:p>
    <w:p>
      <w:pPr>
        <w:spacing w:after="0" w:line="185" w:lineRule="exact"/>
        <w:rPr>
          <w:rFonts w:ascii="Arial" w:cs="Arial" w:eastAsia="Arial" w:hAnsi="Arial"/>
          <w:sz w:val="17"/>
          <w:szCs w:val="17"/>
          <w:color w:val="auto"/>
        </w:rPr>
      </w:pPr>
    </w:p>
    <w:p>
      <w:pPr>
        <w:ind w:left="840" w:hanging="376"/>
        <w:spacing w:after="0"/>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used in this Section 7, the term “Company” shall include Parent, the Company, and any direct or indirect subsidiaries thereof or any successors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ind w:left="832" w:hanging="376"/>
        <w:spacing w:after="0"/>
        <w:tabs>
          <w:tab w:leader="none" w:pos="83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Protected Disclosures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380" w:firstLine="921"/>
        <w:spacing w:after="0" w:line="259" w:lineRule="auto"/>
        <w:tabs>
          <w:tab w:leader="none" w:pos="1255" w:val="left"/>
        </w:tabs>
        <w:numPr>
          <w:ilvl w:val="2"/>
          <w:numId w:val="27"/>
        </w:numPr>
        <w:rPr>
          <w:rFonts w:ascii="Arial" w:cs="Arial" w:eastAsia="Arial" w:hAnsi="Arial"/>
          <w:sz w:val="18"/>
          <w:szCs w:val="18"/>
          <w:color w:val="auto"/>
        </w:rPr>
      </w:pPr>
      <w:r>
        <w:rPr>
          <w:rFonts w:ascii="Arial" w:cs="Arial" w:eastAsia="Arial" w:hAnsi="Arial"/>
          <w:sz w:val="18"/>
          <w:szCs w:val="18"/>
          <w:color w:val="auto"/>
        </w:rPr>
        <w:t>Nothing in this Agreement will preclude, prohibit or restrict the Executive from (A) communicating with, any federal, state or local administrative or regulatory agency or authority, including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(B) participating or cooperating in any investigation conducted by any governmental agency or authority; or (C) filing a charge of discrimination with the United States Equal Employment Opportunity Commission or any other federal state or local administrative agency or regulatory authority.</w:t>
      </w:r>
    </w:p>
    <w:p>
      <w:pPr>
        <w:spacing w:after="0" w:line="186" w:lineRule="exact"/>
        <w:rPr>
          <w:rFonts w:ascii="Arial" w:cs="Arial" w:eastAsia="Arial" w:hAnsi="Arial"/>
          <w:sz w:val="18"/>
          <w:szCs w:val="18"/>
          <w:color w:val="auto"/>
        </w:rPr>
      </w:pPr>
    </w:p>
    <w:p>
      <w:pPr>
        <w:ind w:left="-8" w:right="100" w:firstLine="921"/>
        <w:spacing w:after="0" w:line="293" w:lineRule="auto"/>
        <w:tabs>
          <w:tab w:leader="none" w:pos="1305" w:val="left"/>
        </w:tabs>
        <w:numPr>
          <w:ilvl w:val="2"/>
          <w:numId w:val="27"/>
        </w:numPr>
        <w:rPr>
          <w:rFonts w:ascii="Arial" w:cs="Arial" w:eastAsia="Arial" w:hAnsi="Arial"/>
          <w:sz w:val="16"/>
          <w:szCs w:val="16"/>
          <w:color w:val="auto"/>
        </w:rPr>
      </w:pPr>
      <w:r>
        <w:rPr>
          <w:rFonts w:ascii="Arial" w:cs="Arial" w:eastAsia="Arial" w:hAnsi="Arial"/>
          <w:sz w:val="16"/>
          <w:szCs w:val="16"/>
          <w:color w:val="auto"/>
        </w:rPr>
        <w:t>Nothing in this Agreement, or any other agreement between the parties, prohibits or is intended in any manner to prohibit, the Executive from (A) reporting a possible violation of federal or other applicable law or regulation to any governmental agency or entity, including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w:t>
      </w:r>
    </w:p>
    <w:p>
      <w:pPr>
        <w:spacing w:after="0" w:line="164" w:lineRule="exact"/>
        <w:rPr>
          <w:rFonts w:ascii="Arial" w:cs="Arial" w:eastAsia="Arial" w:hAnsi="Arial"/>
          <w:sz w:val="16"/>
          <w:szCs w:val="16"/>
          <w:color w:val="auto"/>
        </w:rPr>
      </w:pPr>
    </w:p>
    <w:p>
      <w:pPr>
        <w:ind w:left="-8" w:right="20" w:firstLine="921"/>
        <w:spacing w:after="0" w:line="286" w:lineRule="auto"/>
        <w:tabs>
          <w:tab w:leader="none" w:pos="1355" w:val="left"/>
        </w:tabs>
        <w:numPr>
          <w:ilvl w:val="2"/>
          <w:numId w:val="27"/>
        </w:numPr>
        <w:rPr>
          <w:rFonts w:ascii="Arial" w:cs="Arial" w:eastAsia="Arial" w:hAnsi="Arial"/>
          <w:sz w:val="16"/>
          <w:szCs w:val="16"/>
          <w:color w:val="auto"/>
        </w:rPr>
      </w:pPr>
      <w:r>
        <w:rPr>
          <w:rFonts w:ascii="Arial" w:cs="Arial" w:eastAsia="Arial" w:hAnsi="Arial"/>
          <w:sz w:val="16"/>
          <w:szCs w:val="16"/>
          <w:color w:val="auto"/>
        </w:rPr>
        <w:t>Nothing in this Agreement or any other agreement or policy of the Company is intended to interfere with or restrain the immunity provided under 18 U.S.C. §1833(b). The Executive cannot be held criminally or civilly liable under any federal or state trade secret law for the disclosure of a trade secret that is made (A) (1) in confidence to federal, state or local government officials, directly or indirectly, or to an attorney, and (2) for the purpose of reporting or investigating a suspected violation of law; (B) in a complaint or other document filed in a lawsuit or other proceeding, if filed under seal; or</w:t>
      </w:r>
    </w:p>
    <w:p>
      <w:pPr>
        <w:spacing w:after="0" w:line="1" w:lineRule="exact"/>
        <w:rPr>
          <w:rFonts w:ascii="Arial" w:cs="Arial" w:eastAsia="Arial" w:hAnsi="Arial"/>
          <w:sz w:val="16"/>
          <w:szCs w:val="16"/>
          <w:color w:val="auto"/>
        </w:rPr>
      </w:pPr>
    </w:p>
    <w:p>
      <w:pPr>
        <w:ind w:left="-8" w:right="60" w:firstLine="8"/>
        <w:spacing w:after="0" w:line="261" w:lineRule="auto"/>
        <w:tabs>
          <w:tab w:leader="none" w:pos="2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connection with a lawsuit alleging retaliation for reporting a suspected violation of law, if filed under seal and does not disclose the trade secret, except pursuant to a court order.</w:t>
      </w:r>
    </w:p>
    <w:p>
      <w:pPr>
        <w:spacing w:after="0" w:line="183" w:lineRule="exact"/>
        <w:rPr>
          <w:rFonts w:ascii="Arial" w:cs="Arial" w:eastAsia="Arial" w:hAnsi="Arial"/>
          <w:sz w:val="18"/>
          <w:szCs w:val="18"/>
          <w:color w:val="auto"/>
        </w:rPr>
      </w:pPr>
    </w:p>
    <w:p>
      <w:pPr>
        <w:ind w:left="-8" w:right="680" w:firstLine="921"/>
        <w:spacing w:after="0" w:line="308" w:lineRule="auto"/>
        <w:tabs>
          <w:tab w:leader="none" w:pos="1342" w:val="left"/>
        </w:tabs>
        <w:numPr>
          <w:ilvl w:val="2"/>
          <w:numId w:val="28"/>
        </w:numPr>
        <w:rPr>
          <w:rFonts w:ascii="Arial" w:cs="Arial" w:eastAsia="Arial" w:hAnsi="Arial"/>
          <w:sz w:val="17"/>
          <w:szCs w:val="17"/>
          <w:color w:val="auto"/>
        </w:rPr>
      </w:pPr>
      <w:r>
        <w:rPr>
          <w:rFonts w:ascii="Arial" w:cs="Arial" w:eastAsia="Arial" w:hAnsi="Arial"/>
          <w:sz w:val="17"/>
          <w:szCs w:val="17"/>
          <w:color w:val="auto"/>
        </w:rPr>
        <w:t>The foregoing provisions regarding protected disclosures are intended to comply with all applicable laws. If any laws are adopted, amended or repealed after the execution of this Agreement, this Section 7(e) shall be deemed to be amended to reflect the same.</w:t>
      </w:r>
    </w:p>
    <w:p>
      <w:pPr>
        <w:spacing w:after="0" w:line="147" w:lineRule="exact"/>
        <w:rPr>
          <w:sz w:val="20"/>
          <w:szCs w:val="20"/>
          <w:color w:val="auto"/>
        </w:rPr>
      </w:pPr>
    </w:p>
    <w:p>
      <w:pPr>
        <w:ind w:left="-8" w:firstLine="8"/>
        <w:spacing w:after="0" w:line="293" w:lineRule="auto"/>
        <w:tabs>
          <w:tab w:leader="none" w:pos="30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The Executive recognizes and acknowledges that a breach of any of the covenants contained in Sections 6 and 7 will cause irreparable damage to the Company and its goodwill, the exact amount of which will be difficult or impossible to ascertain, and that the remedies at law for any such breach will be inadequate. Accordingly, the Executive agrees that in the event of a breach or threatened breach of any of the covenants contained in Sections 6 and 7, in addition to any other remedy that may be available at law or in equity, the Company will be entitled to specific performance and injunctive relief (without posting a bond). In the event of any breach or violation by the Executive of any of the covenants contained in Section 6 and 7, the time period of such covenant with respect to the Executive shall, to the fullest extent permitted by law, be tolled until such breach or violation is resolved.</w:t>
      </w:r>
    </w:p>
    <w:p>
      <w:pPr>
        <w:spacing w:after="0" w:line="164" w:lineRule="exact"/>
        <w:rPr>
          <w:rFonts w:ascii="Arial" w:cs="Arial" w:eastAsia="Arial" w:hAnsi="Arial"/>
          <w:sz w:val="16"/>
          <w:szCs w:val="16"/>
          <w:color w:val="auto"/>
        </w:rPr>
      </w:pPr>
    </w:p>
    <w:p>
      <w:pPr>
        <w:ind w:left="-8" w:right="160" w:firstLine="8"/>
        <w:spacing w:after="0" w:line="277" w:lineRule="auto"/>
        <w:tabs>
          <w:tab w:leader="none" w:pos="30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During the Executive’s employment and service as a director or officer (or both) and at all times thereafter during which the Executive may be subject to liability, the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74" w:right="239" w:bottom="1440" w:gutter="0" w:footer="0" w:header="0"/>
        </w:sectPr>
      </w:pPr>
    </w:p>
    <w:bookmarkStart w:id="18" w:name="page19"/>
    <w:bookmarkEnd w:id="1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shall be entitled to the protection set forth in the Indemnification Agreement between the Executive and the Company, dated February 4, 2014, in addition to the protection of any insurance policies the Company may elect to maintain generally for the benefit of its directors and officers against all costs, charges, and expenses incurred or sustained by him in connection with any action, suit, or proceeding to which he may be made a party by reason of his being or having been a director, officer, or employee of the Company or any of its subsidiaries, as well as any rights the Executive may have under the Company’s articles of incorporation and bylaws (in each case, other than any dispute, claim, or controversy arising under or relating to this Agreement or otherwise arising under or relating to the Executive’s employment, equity ownership or compensation). Notwithstanding anything to the contrary herein, the Executive’s rights under this Section 9 shall survive the termination of his employment for any reason and the expiration of this Agreement for any reason.</w:t>
      </w:r>
    </w:p>
    <w:p>
      <w:pPr>
        <w:spacing w:after="0" w:line="167" w:lineRule="exact"/>
        <w:rPr>
          <w:sz w:val="20"/>
          <w:szCs w:val="20"/>
          <w:color w:val="auto"/>
        </w:rPr>
      </w:pPr>
    </w:p>
    <w:p>
      <w:pPr>
        <w:ind w:firstLine="8"/>
        <w:spacing w:after="0" w:line="253" w:lineRule="auto"/>
        <w:tabs>
          <w:tab w:leader="none" w:pos="40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The Executive agrees that, subject to the Executive’s reasonable availability, during and after the Executive’s employment by the Company, and without the necessity of the Company obtaining a subpoena or court order, the Executive shall provide reasonable cooperation in connection with any suit, action or proceeding (or any appeal from any suit, action or proceeding), and any investigation and/or defense of any claims asserted against the Company Releasees (as defined in the Release), which relates to events occurring during the Executive’s employment (including furnishing relevant information and materials to the Company or its designee and/or providing testimony at depositions and at trial);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reimburse the Executive for reasonable out-of-pocket expenses the Executive incurs that are associated with any such cooperation;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such cooperation occurring after the termination of the Executive’s employment shall be scheduled to the extent reasonably practicable so as not to unreasonably interfere with the Executive’s business or personal affairs. Notwithstanding anything herein to the contrary, the preceding cooperation covenant shall not apply to any suit, action, proceeding, investigation, defense or claim that arises out of or relates to a dispute between the Executive and any of the Company Releasees.</w:t>
      </w:r>
    </w:p>
    <w:p>
      <w:pPr>
        <w:spacing w:after="0" w:line="303" w:lineRule="exact"/>
        <w:rPr>
          <w:rFonts w:ascii="Arial" w:cs="Arial" w:eastAsia="Arial" w:hAnsi="Arial"/>
          <w:sz w:val="18"/>
          <w:szCs w:val="18"/>
          <w:color w:val="auto"/>
        </w:rPr>
      </w:pPr>
    </w:p>
    <w:p>
      <w:pPr>
        <w:ind w:left="400" w:hanging="392"/>
        <w:spacing w:after="0"/>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64"/>
        <w:spacing w:after="0" w:line="288" w:lineRule="auto"/>
        <w:tabs>
          <w:tab w:leader="none" w:pos="836"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without limitation any such regulations or other guidance that may be issued after the Effective Date. Notwithstanding any provision of this Agreement to the contrary, in the event that the Company determines that any amounts payable hereunder will be taxable currently to the Executive under Section 409A(a)(1)(A) of the Code and related Department of Treasury guidance, the Company and the Executive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of the Code or to comply with the requirements of Section 409A of the Code and thereby avoid the application of penalty taxes thereunder;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9" w:name="page20"/>
    <w:bookmarkEnd w:id="1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11(a) does not create an obligation on the part of the Company to modify this Agreement and does not guarantee that the amounts payable hereunder will not be subject to interest or penalties under Section 409A, and in no event whatsoever shall the Company or any of its Affiliates be liable for any additional tax, interest, or penalties that may be imposed on the Executive as a result of Section 409A of the Code or any damages for failing to comply with Section 409A of the Code.</w:t>
      </w:r>
    </w:p>
    <w:p>
      <w:pPr>
        <w:spacing w:after="0" w:line="187" w:lineRule="exact"/>
        <w:rPr>
          <w:sz w:val="20"/>
          <w:szCs w:val="20"/>
          <w:color w:val="auto"/>
        </w:rPr>
      </w:pPr>
    </w:p>
    <w:p>
      <w:pPr>
        <w:ind w:firstLine="464"/>
        <w:spacing w:after="0" w:line="283" w:lineRule="auto"/>
        <w:tabs>
          <w:tab w:leader="none" w:pos="846"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Separation from Service under Section 409A</w:t>
      </w:r>
      <w:r>
        <w:rPr>
          <w:rFonts w:ascii="Arial" w:cs="Arial" w:eastAsia="Arial" w:hAnsi="Arial"/>
          <w:sz w:val="16"/>
          <w:szCs w:val="16"/>
          <w:color w:val="auto"/>
        </w:rPr>
        <w:t xml:space="preserve">. Notwithstanding any provision to the contrary in this Agreement: (i) no amount shall be payable pursuant to Section 5(a) or (b) unless the termination of the Executive’s employment constitutes a “separation from service” within the meaning of Section 1.409A-1(h) of the Department of Treasury Regulations; (ii) if the Executive is deemed at the time of his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without limitation, any portion of the additional compensation awarded pursuant to Section 5(a) or (b), is required in order to avoid a prohibited distribution under Section 409A(a)(2)(B)(i) of the Code, such portion of the Executive’s termination benefits shall not be provided to the Executive prior to the earlier of (A) the expiration of the six-month period measured from the date of the Executive’s “separation from service” with the Company (as such term is defined in the Department of Treasury Regulations issued under Section 409A) and (B) the date of the Executive’s death; </w:t>
      </w:r>
      <w:r>
        <w:rPr>
          <w:rFonts w:ascii="Arial" w:cs="Arial" w:eastAsia="Arial" w:hAnsi="Arial"/>
          <w:sz w:val="16"/>
          <w:szCs w:val="16"/>
          <w:u w:val="single" w:color="auto"/>
          <w:color w:val="auto"/>
        </w:rPr>
        <w:t>provided</w:t>
      </w:r>
      <w:r>
        <w:rPr>
          <w:rFonts w:ascii="Arial" w:cs="Arial" w:eastAsia="Arial" w:hAnsi="Arial"/>
          <w:sz w:val="16"/>
          <w:szCs w:val="16"/>
          <w:color w:val="auto"/>
        </w:rPr>
        <w:t>, that upon the earlier of such dates, all payments deferred pursuant to this Section 11(b)(ii) shall be paid to the Executive in a lump sum, and any remaining payments due under this Agreement shall be paid as otherwise provided herein; (iii) the determination of whether the Executive is a “specified employee” for purposes of</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409A(a)(2)(B)(i) of the Code as of the time of his separation from service shall be made by the Company in accordance with the terms of</w:t>
      </w:r>
    </w:p>
    <w:p>
      <w:pPr>
        <w:spacing w:after="0" w:line="20"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Section 409A of the Code and applicable guidance thereunder (including, without limitation, Section 1.409A-1(i) of the Department of Treasury Regulations and any successor provision thereto); (iv) for purposes of Section 409A of the Code, the Executive’s right to receive installment payments pursuant to Section 5 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274" w:lineRule="exact"/>
        <w:rPr>
          <w:rFonts w:ascii="Arial" w:cs="Arial" w:eastAsia="Arial" w:hAnsi="Arial"/>
          <w:sz w:val="16"/>
          <w:szCs w:val="16"/>
          <w:color w:val="auto"/>
        </w:rPr>
      </w:pPr>
    </w:p>
    <w:p>
      <w:pPr>
        <w:ind w:left="420" w:hanging="412"/>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Section 280G of the Code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464"/>
        <w:spacing w:after="0" w:line="308" w:lineRule="auto"/>
        <w:tabs>
          <w:tab w:leader="none" w:pos="836"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there is a change of ownership or effective control or change in the ownership of a substantial portion of the assets of a corporation (within the meaning of Section 280G of the Code) and any payment or benefit (including payments and benefits pursuant to this Agreement)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Executive would receive from the Company or otherwise (“</w:t>
      </w:r>
      <w:r>
        <w:rPr>
          <w:rFonts w:ascii="Arial" w:cs="Arial" w:eastAsia="Arial" w:hAnsi="Arial"/>
          <w:sz w:val="17"/>
          <w:szCs w:val="17"/>
          <w:u w:val="single" w:color="auto"/>
          <w:color w:val="auto"/>
        </w:rPr>
        <w:t>Transaction Payment</w:t>
      </w:r>
      <w:r>
        <w:rPr>
          <w:rFonts w:ascii="Arial" w:cs="Arial" w:eastAsia="Arial" w:hAnsi="Arial"/>
          <w:sz w:val="17"/>
          <w:szCs w:val="17"/>
          <w:color w:val="auto"/>
        </w:rPr>
        <w:t>”) would (i) constitute a “parachute payment” within the meaning of Section 280G of the Internal Revenue Code of 1986 (the “</w:t>
      </w:r>
      <w:r>
        <w:rPr>
          <w:rFonts w:ascii="Arial" w:cs="Arial" w:eastAsia="Arial" w:hAnsi="Arial"/>
          <w:sz w:val="17"/>
          <w:szCs w:val="17"/>
          <w:u w:val="single" w:color="auto"/>
          <w:color w:val="auto"/>
        </w:rPr>
        <w:t>Code</w:t>
      </w:r>
      <w:r>
        <w:rPr>
          <w:rFonts w:ascii="Arial" w:cs="Arial" w:eastAsia="Arial" w:hAnsi="Arial"/>
          <w:sz w:val="17"/>
          <w:szCs w:val="17"/>
          <w:color w:val="auto"/>
        </w:rPr>
        <w:t>”), and (ii) 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7"/>
          <w:szCs w:val="17"/>
          <w:u w:val="single" w:color="auto"/>
          <w:color w:val="auto"/>
        </w:rPr>
        <w:t>Full Payment</w:t>
      </w:r>
      <w:r>
        <w:rPr>
          <w:rFonts w:ascii="Arial" w:cs="Arial" w:eastAsia="Arial" w:hAnsi="Arial"/>
          <w:sz w:val="17"/>
          <w:szCs w:val="17"/>
          <w:color w:val="auto"/>
        </w:rPr>
        <w:t>”), or (2) payment of only a part of the Transaction Payment so that the Executive receives the largest payment possible without the imposition of the Excise Tax (a “</w:t>
      </w:r>
      <w:r>
        <w:rPr>
          <w:rFonts w:ascii="Arial" w:cs="Arial" w:eastAsia="Arial" w:hAnsi="Arial"/>
          <w:sz w:val="17"/>
          <w:szCs w:val="17"/>
          <w:u w:val="single" w:color="auto"/>
          <w:color w:val="auto"/>
        </w:rPr>
        <w:t>Reduced Payment</w:t>
      </w:r>
      <w:r>
        <w:rPr>
          <w:rFonts w:ascii="Arial" w:cs="Arial" w:eastAsia="Arial" w:hAnsi="Arial"/>
          <w:sz w:val="17"/>
          <w:szCs w:val="17"/>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 (1) first, reduction of cash payments, in reverse order of scheduled payment date (or if necessary, to zero), (2) then, reduction of non-cash and non-equity benefits provided to the Executive, on a pro rata basis (or if necessary, to zero), and (3) then, cancellation of the acceleration of vesting of equity award compensation in the reverse order of the date of grant of the Executive’s equity awards.</w:t>
      </w:r>
    </w:p>
    <w:p>
      <w:pPr>
        <w:spacing w:after="0" w:line="188" w:lineRule="exact"/>
        <w:rPr>
          <w:sz w:val="20"/>
          <w:szCs w:val="20"/>
          <w:color w:val="auto"/>
        </w:rPr>
      </w:pPr>
    </w:p>
    <w:p>
      <w:pPr>
        <w:ind w:right="140" w:firstLine="464"/>
        <w:spacing w:after="0" w:line="254" w:lineRule="auto"/>
        <w:tabs>
          <w:tab w:leader="none" w:pos="846" w:val="left"/>
        </w:tabs>
        <w:numPr>
          <w:ilvl w:val="1"/>
          <w:numId w:val="33"/>
        </w:numPr>
        <w:rPr>
          <w:rFonts w:ascii="Arial" w:cs="Arial" w:eastAsia="Arial" w:hAnsi="Arial"/>
          <w:sz w:val="18"/>
          <w:szCs w:val="18"/>
          <w:color w:val="auto"/>
        </w:rPr>
      </w:pPr>
      <w:r>
        <w:rPr>
          <w:rFonts w:ascii="Arial" w:cs="Arial" w:eastAsia="Arial" w:hAnsi="Arial"/>
          <w:sz w:val="18"/>
          <w:szCs w:val="18"/>
          <w:color w:val="auto"/>
        </w:rPr>
        <w:t>Unless the Executive and the Company otherwise agree in writing, any determination required under this section shall be made in writing by the Company’s independent public accountants (the “</w:t>
      </w:r>
      <w:r>
        <w:rPr>
          <w:rFonts w:ascii="Arial" w:cs="Arial" w:eastAsia="Arial" w:hAnsi="Arial"/>
          <w:sz w:val="18"/>
          <w:szCs w:val="18"/>
          <w:u w:val="single" w:color="auto"/>
          <w:color w:val="auto"/>
        </w:rPr>
        <w:t>Accountants</w:t>
      </w:r>
      <w:r>
        <w:rPr>
          <w:rFonts w:ascii="Arial" w:cs="Arial" w:eastAsia="Arial" w:hAnsi="Arial"/>
          <w:sz w:val="18"/>
          <w:szCs w:val="18"/>
          <w:color w:val="auto"/>
        </w:rPr>
        <w:t>”), whose determination shall be conclusive and binding upon the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12(b).</w:t>
      </w:r>
    </w:p>
    <w:p>
      <w:pPr>
        <w:spacing w:after="0" w:line="192" w:lineRule="exact"/>
        <w:rPr>
          <w:rFonts w:ascii="Arial" w:cs="Arial" w:eastAsia="Arial" w:hAnsi="Arial"/>
          <w:sz w:val="18"/>
          <w:szCs w:val="18"/>
          <w:color w:val="auto"/>
        </w:rPr>
      </w:pPr>
    </w:p>
    <w:p>
      <w:pPr>
        <w:ind w:right="100" w:firstLine="8"/>
        <w:spacing w:after="0" w:line="293" w:lineRule="auto"/>
        <w:tabs>
          <w:tab w:leader="none" w:pos="40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Assignment and Successors</w:t>
      </w:r>
      <w:r>
        <w:rPr>
          <w:rFonts w:ascii="Arial" w:cs="Arial" w:eastAsia="Arial" w:hAnsi="Arial"/>
          <w:sz w:val="16"/>
          <w:szCs w:val="16"/>
          <w:color w:val="auto"/>
        </w:rPr>
        <w:t>. The Company may assign 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 Affiliates. The Executive may not assign his rights or obligations under this Agreement to any individual or entity.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employment, all unpaid amounts otherwise due to the Executive (including under Section 5) shall be paid to his estate.</w:t>
      </w:r>
    </w:p>
    <w:p>
      <w:pPr>
        <w:spacing w:after="0" w:line="164" w:lineRule="exact"/>
        <w:rPr>
          <w:rFonts w:ascii="Arial" w:cs="Arial" w:eastAsia="Arial" w:hAnsi="Arial"/>
          <w:sz w:val="16"/>
          <w:szCs w:val="16"/>
          <w:color w:val="auto"/>
        </w:rPr>
      </w:pPr>
    </w:p>
    <w:p>
      <w:pPr>
        <w:jc w:val="center"/>
        <w:ind w:right="280" w:firstLine="8"/>
        <w:spacing w:after="0" w:line="342" w:lineRule="auto"/>
        <w:tabs>
          <w:tab w:leader="none" w:pos="40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1" w:name="page22"/>
    <w:bookmarkEnd w:id="21"/>
    <w:p>
      <w:pPr>
        <w:ind w:left="-8" w:right="160" w:firstLine="8"/>
        <w:spacing w:after="0" w:line="277" w:lineRule="auto"/>
        <w:tabs>
          <w:tab w:leader="none" w:pos="39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0" w:lineRule="exact"/>
        <w:rPr>
          <w:rFonts w:ascii="Arial" w:cs="Arial" w:eastAsia="Arial" w:hAnsi="Arial"/>
          <w:sz w:val="18"/>
          <w:szCs w:val="18"/>
          <w:color w:val="auto"/>
        </w:rPr>
      </w:pPr>
    </w:p>
    <w:p>
      <w:pPr>
        <w:jc w:val="both"/>
        <w:ind w:left="-8" w:right="140" w:firstLine="8"/>
        <w:spacing w:after="0" w:line="259" w:lineRule="auto"/>
        <w:tabs>
          <w:tab w:leader="none" w:pos="39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claim, demand, document, and other communication hereunder to any party hereto shall be effective upon receipt (or refusal of receipt) and shall be in writing and delivered personally or sent by telex, telecopy, email or sent by nationally recognized overnight courier, or certified or registered mail, postage prepaid, to the following address (or at any other address as any party hereto shall have specified by notice in writing to the other party hereto):</w:t>
      </w:r>
    </w:p>
    <w:p>
      <w:pPr>
        <w:spacing w:after="0" w:line="187" w:lineRule="exact"/>
        <w:rPr>
          <w:sz w:val="20"/>
          <w:szCs w:val="20"/>
          <w:color w:val="auto"/>
        </w:rPr>
      </w:pPr>
    </w:p>
    <w:p>
      <w:pPr>
        <w:ind w:left="912" w:right="4420" w:hanging="456"/>
        <w:spacing w:after="0" w:line="375" w:lineRule="auto"/>
        <w:tabs>
          <w:tab w:leader="none" w:pos="8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to the Company, to it at its current executive offices, Attn: Chairman of the Board. and a copy (which shall not constitute notice) to:</w:t>
      </w:r>
    </w:p>
    <w:p>
      <w:pPr>
        <w:spacing w:after="0" w:line="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Milbank, Tweed, Hadley &amp;M</w:t>
      </w:r>
      <w:r>
        <w:rPr>
          <w:rFonts w:ascii="Arial" w:cs="Arial" w:eastAsia="Arial" w:hAnsi="Arial"/>
          <w:sz w:val="15"/>
          <w:szCs w:val="15"/>
          <w:u w:val="single" w:color="auto"/>
          <w:color w:val="auto"/>
        </w:rPr>
        <w:t>c</w:t>
      </w:r>
      <w:r>
        <w:rPr>
          <w:rFonts w:ascii="Arial" w:cs="Arial" w:eastAsia="Arial" w:hAnsi="Arial"/>
          <w:sz w:val="18"/>
          <w:szCs w:val="18"/>
          <w:color w:val="auto"/>
        </w:rPr>
        <w:t>Cloy LLP</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28 Liberty Street</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Fax: (212) 822-5501</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Attention: Manan Shah</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mdshah@milbank.com</w:t>
      </w:r>
    </w:p>
    <w:p>
      <w:pPr>
        <w:spacing w:after="0" w:line="211" w:lineRule="exact"/>
        <w:rPr>
          <w:sz w:val="20"/>
          <w:szCs w:val="20"/>
          <w:color w:val="auto"/>
        </w:rPr>
      </w:pPr>
    </w:p>
    <w:p>
      <w:pPr>
        <w:ind w:left="852" w:hanging="396"/>
        <w:spacing w:after="0"/>
        <w:tabs>
          <w:tab w:leader="none" w:pos="8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to the Executive, at his most recent address on the payroll records of the Company.</w:t>
      </w:r>
    </w:p>
    <w:p>
      <w:pPr>
        <w:spacing w:after="0" w:line="225" w:lineRule="exact"/>
        <w:rPr>
          <w:rFonts w:ascii="Arial" w:cs="Arial" w:eastAsia="Arial" w:hAnsi="Arial"/>
          <w:sz w:val="18"/>
          <w:szCs w:val="18"/>
          <w:color w:val="auto"/>
        </w:rPr>
      </w:pPr>
    </w:p>
    <w:p>
      <w:pPr>
        <w:ind w:left="-8" w:right="120" w:firstLine="8"/>
        <w:spacing w:after="0" w:line="277" w:lineRule="auto"/>
        <w:tabs>
          <w:tab w:leader="none" w:pos="39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Agreement.</w:t>
      </w:r>
    </w:p>
    <w:p>
      <w:pPr>
        <w:spacing w:after="0" w:line="170" w:lineRule="exact"/>
        <w:rPr>
          <w:rFonts w:ascii="Arial" w:cs="Arial" w:eastAsia="Arial" w:hAnsi="Arial"/>
          <w:sz w:val="18"/>
          <w:szCs w:val="18"/>
          <w:color w:val="auto"/>
        </w:rPr>
      </w:pPr>
    </w:p>
    <w:p>
      <w:pPr>
        <w:ind w:left="-8" w:firstLine="8"/>
        <w:spacing w:after="0" w:line="270" w:lineRule="auto"/>
        <w:tabs>
          <w:tab w:leader="none" w:pos="397"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terms of this Agreement (together with the Indemnification Agreement between Parent and the Executive, any pre-invention assignment agreements with the Company and any other agreements and instruments contemplated hereby or referred to herein)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(including, without limitation, the offer letter, dated April 15, 2013 (as amended July 7, 2015), by and between the Executive and the Company, and the Prior Agreement), and all such prior agreements, plans, provisions, understandings or arrangements shall be null and void in their entirety and of no further force or effect as of the Effective Date.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52"/>
          </w:cols>
          <w:pgMar w:left="248" w:top="274" w:right="299" w:bottom="1440" w:gutter="0" w:footer="0" w:header="0"/>
        </w:sectPr>
      </w:pPr>
    </w:p>
    <w:bookmarkStart w:id="22" w:name="page23"/>
    <w:bookmarkEnd w:id="22"/>
    <w:p>
      <w:pPr>
        <w:ind w:left="-8" w:right="20" w:firstLine="8"/>
        <w:spacing w:after="0" w:line="293" w:lineRule="auto"/>
        <w:tabs>
          <w:tab w:leader="none" w:pos="39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Waivers</w:t>
      </w:r>
      <w:r>
        <w:rPr>
          <w:rFonts w:ascii="Arial" w:cs="Arial" w:eastAsia="Arial" w:hAnsi="Arial"/>
          <w:sz w:val="16"/>
          <w:szCs w:val="16"/>
          <w:color w:val="auto"/>
        </w:rPr>
        <w:t xml:space="preserve">. This Agreement may not be modified, amended, or terminated except by an instrument in writing signed by the Executive and a duly authorized officer of the Company that expressly identifies the amended provision of this Agreement. By an instrument in writing similarly executed and similarly identifying the waived compliance, the Executive or a duly authorized officer of the Company may waive compliance by the other party or parties with any provision of this Agreement that such other party was or is obligated to comply with or perform;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64" w:lineRule="exact"/>
        <w:rPr>
          <w:rFonts w:ascii="Arial" w:cs="Arial" w:eastAsia="Arial" w:hAnsi="Arial"/>
          <w:sz w:val="16"/>
          <w:szCs w:val="16"/>
          <w:color w:val="auto"/>
        </w:rPr>
      </w:pPr>
    </w:p>
    <w:p>
      <w:pPr>
        <w:ind w:left="-8" w:right="340" w:firstLine="8"/>
        <w:spacing w:after="0" w:line="264" w:lineRule="auto"/>
        <w:tabs>
          <w:tab w:leader="none" w:pos="39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Inconsistent Actions</w:t>
      </w:r>
      <w:r>
        <w:rPr>
          <w:rFonts w:ascii="Arial" w:cs="Arial" w:eastAsia="Arial" w:hAnsi="Arial"/>
          <w:sz w:val="18"/>
          <w:szCs w:val="18"/>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1" w:lineRule="exact"/>
        <w:rPr>
          <w:rFonts w:ascii="Arial" w:cs="Arial" w:eastAsia="Arial" w:hAnsi="Arial"/>
          <w:sz w:val="18"/>
          <w:szCs w:val="18"/>
          <w:color w:val="auto"/>
        </w:rPr>
      </w:pPr>
    </w:p>
    <w:p>
      <w:pPr>
        <w:ind w:left="-8" w:firstLine="8"/>
        <w:spacing w:after="0" w:line="291" w:lineRule="auto"/>
        <w:tabs>
          <w:tab w:leader="none" w:pos="39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of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and (e) “herein,” “hereof,” “hereunder,” and other similar compounds of the word “here” refer to the entire Agreement and not to any particular paragraph, subparagraph, section, or subsection.</w:t>
      </w:r>
    </w:p>
    <w:p>
      <w:pPr>
        <w:spacing w:after="0" w:line="167" w:lineRule="exact"/>
        <w:rPr>
          <w:rFonts w:ascii="Arial" w:cs="Arial" w:eastAsia="Arial" w:hAnsi="Arial"/>
          <w:sz w:val="16"/>
          <w:szCs w:val="16"/>
          <w:color w:val="auto"/>
        </w:rPr>
      </w:pPr>
    </w:p>
    <w:p>
      <w:pPr>
        <w:ind w:left="-8" w:right="80" w:firstLine="8"/>
        <w:spacing w:after="0" w:line="255" w:lineRule="auto"/>
        <w:tabs>
          <w:tab w:leader="none" w:pos="39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agree that any suit, action or proceeding brought by or against such party in connection with this Agreement shall be brought exclusively in the United States District Court for the District of Delaware to the extent that federal jurisdiction exists, and in the Delaware Chancery Court to the extent that federal jurisdiction does not exist. Each party expressly and irrevocably consents and submits to the jurisdiction and venue of each such court in connection with any such legal proceeding, including to enforce any settlement, order or award, and such party agrees to accept service of process by the other party or any of its agents in connection with any such proceeding. EACH PARTY HEREBY IRREVOCABLY WAIVES ALL RIGHT TO A TRIAL BY JURY IN ANY SUIT, ACTION OR OTHER PROCEEDING INSTITUTED BY OR AGAINST SUCH PARTY IN RESPECT OF ITS RIGHTS OR OBLIGATIONS HEREUNDER.</w:t>
      </w:r>
    </w:p>
    <w:p>
      <w:pPr>
        <w:spacing w:after="0" w:line="189" w:lineRule="exact"/>
        <w:rPr>
          <w:rFonts w:ascii="Arial" w:cs="Arial" w:eastAsia="Arial" w:hAnsi="Arial"/>
          <w:sz w:val="18"/>
          <w:szCs w:val="18"/>
          <w:color w:val="auto"/>
        </w:rPr>
      </w:pPr>
    </w:p>
    <w:p>
      <w:pPr>
        <w:jc w:val="both"/>
        <w:ind w:left="-8" w:right="100" w:firstLine="8"/>
        <w:spacing w:after="0" w:line="279" w:lineRule="auto"/>
        <w:tabs>
          <w:tab w:leader="none" w:pos="397"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74" w:right="239" w:bottom="1440" w:gutter="0" w:footer="0" w:header="0"/>
        </w:sectPr>
      </w:pPr>
    </w:p>
    <w:bookmarkStart w:id="23" w:name="page24"/>
    <w:bookmarkEnd w:id="23"/>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70" w:lineRule="exact"/>
        <w:rPr>
          <w:sz w:val="20"/>
          <w:szCs w:val="20"/>
          <w:color w:val="auto"/>
        </w:rPr>
      </w:pPr>
    </w:p>
    <w:p>
      <w:pPr>
        <w:ind w:right="360" w:firstLine="8"/>
        <w:spacing w:after="0" w:line="264" w:lineRule="auto"/>
        <w:tabs>
          <w:tab w:leader="none" w:pos="40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spacing w:after="0" w:line="181" w:lineRule="exact"/>
        <w:rPr>
          <w:rFonts w:ascii="Arial" w:cs="Arial" w:eastAsia="Arial" w:hAnsi="Arial"/>
          <w:sz w:val="18"/>
          <w:szCs w:val="18"/>
          <w:color w:val="auto"/>
        </w:rPr>
      </w:pPr>
    </w:p>
    <w:p>
      <w:pPr>
        <w:ind w:firstLine="8"/>
        <w:spacing w:after="0" w:line="255" w:lineRule="auto"/>
        <w:tabs>
          <w:tab w:leader="none" w:pos="40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To the extent required by applicable law (including, without limitation, Section 304 of the Sarbanes-Oxley Act and Section 954 of the Dodd-Frank Wall Street Reform and Consumer Protection Act) and/or the rules and regulations of any securities exchange or inter-dealer quotation service on which equity of the Company or Parent is listed or quoted, or if so required pursuant to a written policy adopted by the Company or Parent, payments under this Agreement or in respect of Company or Parent equity incentive awards shall be subject (including on a retroactive basis) to clawback, forfeiture or similar requirements (and such requirements shall be deemed incorporated by reference into this Agreement and all agreements governing the terms of Company or Parent incentive equity compensation).</w:t>
      </w:r>
    </w:p>
    <w:p>
      <w:pPr>
        <w:spacing w:after="0" w:line="193" w:lineRule="exact"/>
        <w:rPr>
          <w:rFonts w:ascii="Arial" w:cs="Arial" w:eastAsia="Arial" w:hAnsi="Arial"/>
          <w:sz w:val="18"/>
          <w:szCs w:val="18"/>
          <w:color w:val="auto"/>
        </w:rPr>
      </w:pPr>
    </w:p>
    <w:p>
      <w:pPr>
        <w:ind w:right="280" w:firstLine="8"/>
        <w:spacing w:after="0" w:line="308" w:lineRule="auto"/>
        <w:tabs>
          <w:tab w:leader="none" w:pos="40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Other Benefit Plans</w:t>
      </w:r>
      <w:r>
        <w:rPr>
          <w:rFonts w:ascii="Arial" w:cs="Arial" w:eastAsia="Arial" w:hAnsi="Arial"/>
          <w:sz w:val="17"/>
          <w:szCs w:val="17"/>
          <w:color w:val="auto"/>
        </w:rPr>
        <w:t>. No payment under this Agreement shall be taken into account in determining any benefits under any pension, retirement, profit sharing, group insurance or other benefit plan of the Company except as expressly required otherwise by law or the terms of such plan.</w:t>
      </w:r>
    </w:p>
    <w:p>
      <w:pPr>
        <w:spacing w:after="0" w:line="146" w:lineRule="exact"/>
        <w:rPr>
          <w:rFonts w:ascii="Arial" w:cs="Arial" w:eastAsia="Arial" w:hAnsi="Arial"/>
          <w:sz w:val="17"/>
          <w:szCs w:val="17"/>
          <w:color w:val="auto"/>
        </w:rPr>
      </w:pPr>
    </w:p>
    <w:p>
      <w:pPr>
        <w:ind w:right="20" w:firstLine="8"/>
        <w:spacing w:after="0" w:line="271" w:lineRule="auto"/>
        <w:tabs>
          <w:tab w:leader="none" w:pos="40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Employee Representations</w:t>
      </w:r>
      <w:r>
        <w:rPr>
          <w:rFonts w:ascii="Arial" w:cs="Arial" w:eastAsia="Arial" w:hAnsi="Arial"/>
          <w:sz w:val="17"/>
          <w:szCs w:val="17"/>
          <w:color w:val="auto"/>
        </w:rPr>
        <w:t>. The Executive represents, warrants and covenants that (i) that he has read and understands this Agreement, is fully aware of its legal effect, has not acted in reliance upon any representations or promises made by the Company other than those contained in writing herein, and has entered into this Agreement freely based on his own judgment, (ii) Executive has the full right, authority and capacity to enter into this Agreement and perform Executive’s obligations hereunder,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the Executive shall keep all terms of this Agreement confidential, except with respect to disclosure to the Executive’s spouse, accountants or attorneys, each of whom shall agree to keep all terms of this Agreement confidential.</w:t>
      </w:r>
    </w:p>
    <w:p>
      <w:pPr>
        <w:spacing w:after="0" w:line="178" w:lineRule="exact"/>
        <w:rPr>
          <w:rFonts w:ascii="Arial" w:cs="Arial" w:eastAsia="Arial" w:hAnsi="Arial"/>
          <w:sz w:val="17"/>
          <w:szCs w:val="17"/>
          <w:color w:val="auto"/>
        </w:rPr>
      </w:pPr>
    </w:p>
    <w:p>
      <w:pPr>
        <w:ind w:right="220" w:firstLine="8"/>
        <w:spacing w:after="0" w:line="277" w:lineRule="auto"/>
        <w:tabs>
          <w:tab w:leader="none" w:pos="40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Equity Ownership</w:t>
      </w:r>
      <w:r>
        <w:rPr>
          <w:rFonts w:ascii="Arial" w:cs="Arial" w:eastAsia="Arial" w:hAnsi="Arial"/>
          <w:sz w:val="18"/>
          <w:szCs w:val="18"/>
          <w:color w:val="auto"/>
        </w:rPr>
        <w:t>. The Executive will be subject to such stock ownership guidelines and holding requirements as may be implemented by the Board from time to time.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have executed this Agreement as of the date first written above.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MAGNACHIP SEMICONDUCTOR,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Theodore Kim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EVP</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Theodore Kim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CCO, GC, EVP</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Young 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Young Joon Kim</w:t>
      </w:r>
    </w:p>
    <w:p>
      <w:pPr>
        <w:sectPr>
          <w:pgSz w:w="11900" w:h="16838" w:orient="portrait"/>
          <w:cols w:equalWidth="0" w:num="1">
            <w:col w:w="11080"/>
          </w:cols>
          <w:pgMar w:left="240" w:top="274" w:right="5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5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420" w:type="dxa"/>
            <w:vAlign w:val="bottom"/>
            <w:gridSpan w:val="5"/>
          </w:tcPr>
          <w:p>
            <w:pPr>
              <w:jc w:val="center"/>
              <w:ind w:right="3908"/>
              <w:spacing w:after="0"/>
              <w:rPr>
                <w:sz w:val="20"/>
                <w:szCs w:val="20"/>
                <w:color w:val="auto"/>
              </w:rPr>
            </w:pPr>
            <w:r>
              <w:rPr>
                <w:rFonts w:ascii="Arial" w:cs="Arial" w:eastAsia="Arial" w:hAnsi="Arial"/>
                <w:sz w:val="18"/>
                <w:szCs w:val="18"/>
                <w:b w:val="1"/>
                <w:bCs w:val="1"/>
                <w:color w:val="auto"/>
                <w:w w:val="99"/>
              </w:rPr>
              <w:t>EXPATRIATE BENEFITS</w:t>
            </w:r>
          </w:p>
        </w:tc>
        <w:tc>
          <w:tcPr>
            <w:tcW w:w="0" w:type="dxa"/>
            <w:vAlign w:val="bottom"/>
          </w:tcPr>
          <w:p>
            <w:pPr>
              <w:spacing w:after="0"/>
              <w:rPr>
                <w:sz w:val="1"/>
                <w:szCs w:val="1"/>
                <w:color w:val="auto"/>
              </w:rPr>
            </w:pPr>
          </w:p>
        </w:tc>
      </w:tr>
      <w:tr>
        <w:trPr>
          <w:trHeight w:val="426"/>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Benefit</w:t>
            </w:r>
          </w:p>
        </w:tc>
        <w:tc>
          <w:tcPr>
            <w:tcW w:w="6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60" w:type="dxa"/>
            <w:vAlign w:val="bottom"/>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9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Housing Support</w:t>
            </w:r>
          </w:p>
        </w:tc>
        <w:tc>
          <w:tcPr>
            <w:tcW w:w="7420" w:type="dxa"/>
            <w:vAlign w:val="bottom"/>
            <w:gridSpan w:val="5"/>
          </w:tcPr>
          <w:p>
            <w:pPr>
              <w:spacing w:after="0" w:line="195" w:lineRule="exact"/>
              <w:rPr>
                <w:sz w:val="20"/>
                <w:szCs w:val="20"/>
                <w:color w:val="auto"/>
              </w:rPr>
            </w:pPr>
            <w:r>
              <w:rPr>
                <w:rFonts w:ascii="Arial" w:cs="Arial" w:eastAsia="Arial" w:hAnsi="Arial"/>
                <w:sz w:val="18"/>
                <w:szCs w:val="18"/>
                <w:color w:val="auto"/>
                <w:w w:val="95"/>
              </w:rPr>
              <w:t>The Executive will receive housing support/reimbursement from the Company while the Executive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rPr>
              <w:t>remains in the same housing as he maintains as of the Effective Date.</w:t>
            </w:r>
          </w:p>
        </w:tc>
        <w:tc>
          <w:tcPr>
            <w:tcW w:w="0" w:type="dxa"/>
            <w:vAlign w:val="bottom"/>
          </w:tcPr>
          <w:p>
            <w:pPr>
              <w:spacing w:after="0"/>
              <w:rPr>
                <w:sz w:val="1"/>
                <w:szCs w:val="1"/>
                <w:color w:val="auto"/>
              </w:rPr>
            </w:pPr>
          </w:p>
        </w:tc>
      </w:tr>
      <w:tr>
        <w:trPr>
          <w:trHeight w:val="324"/>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Housing Expenses</w:t>
            </w:r>
          </w:p>
        </w:tc>
        <w:tc>
          <w:tcPr>
            <w:tcW w:w="7420" w:type="dxa"/>
            <w:vAlign w:val="bottom"/>
            <w:gridSpan w:val="5"/>
          </w:tcPr>
          <w:p>
            <w:pPr>
              <w:spacing w:after="0"/>
              <w:rPr>
                <w:sz w:val="20"/>
                <w:szCs w:val="20"/>
                <w:color w:val="auto"/>
              </w:rPr>
            </w:pPr>
            <w:r>
              <w:rPr>
                <w:rFonts w:ascii="Arial" w:cs="Arial" w:eastAsia="Arial" w:hAnsi="Arial"/>
                <w:sz w:val="18"/>
                <w:szCs w:val="18"/>
                <w:color w:val="auto"/>
              </w:rPr>
              <w:t>Reasonable housing accommodations and expenses, including utilities</w:t>
            </w:r>
          </w:p>
        </w:tc>
        <w:tc>
          <w:tcPr>
            <w:tcW w:w="0" w:type="dxa"/>
            <w:vAlign w:val="bottom"/>
          </w:tcPr>
          <w:p>
            <w:pPr>
              <w:spacing w:after="0"/>
              <w:rPr>
                <w:sz w:val="1"/>
                <w:szCs w:val="1"/>
                <w:color w:val="auto"/>
              </w:rPr>
            </w:pPr>
          </w:p>
        </w:tc>
      </w:tr>
      <w:tr>
        <w:trPr>
          <w:trHeight w:val="310"/>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Tax EQ</w:t>
            </w:r>
          </w:p>
        </w:tc>
        <w:tc>
          <w:tcPr>
            <w:tcW w:w="7420" w:type="dxa"/>
            <w:vAlign w:val="bottom"/>
            <w:gridSpan w:val="5"/>
          </w:tcPr>
          <w:p>
            <w:pPr>
              <w:spacing w:after="0"/>
              <w:rPr>
                <w:sz w:val="20"/>
                <w:szCs w:val="20"/>
                <w:color w:val="auto"/>
              </w:rPr>
            </w:pPr>
            <w:r>
              <w:rPr>
                <w:rFonts w:ascii="Arial" w:cs="Arial" w:eastAsia="Arial" w:hAnsi="Arial"/>
                <w:sz w:val="18"/>
                <w:szCs w:val="18"/>
                <w:color w:val="auto"/>
                <w:w w:val="98"/>
              </w:rPr>
              <w:t>Federal and, if applicable, state. For the avoidance of doubt, the Special Allowances will not be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rPr>
              <w:t>included as expatriate benefits for this purpose.</w:t>
            </w:r>
          </w:p>
        </w:tc>
        <w:tc>
          <w:tcPr>
            <w:tcW w:w="0" w:type="dxa"/>
            <w:vAlign w:val="bottom"/>
          </w:tcPr>
          <w:p>
            <w:pPr>
              <w:spacing w:after="0"/>
              <w:rPr>
                <w:sz w:val="1"/>
                <w:szCs w:val="1"/>
                <w:color w:val="auto"/>
              </w:rPr>
            </w:pPr>
          </w:p>
        </w:tc>
      </w:tr>
      <w:tr>
        <w:trPr>
          <w:trHeight w:val="310"/>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Insurance</w:t>
            </w:r>
          </w:p>
        </w:tc>
        <w:tc>
          <w:tcPr>
            <w:tcW w:w="7420" w:type="dxa"/>
            <w:vAlign w:val="bottom"/>
            <w:gridSpan w:val="5"/>
          </w:tcPr>
          <w:p>
            <w:pPr>
              <w:spacing w:after="0"/>
              <w:rPr>
                <w:sz w:val="20"/>
                <w:szCs w:val="20"/>
                <w:color w:val="auto"/>
              </w:rPr>
            </w:pPr>
            <w:r>
              <w:rPr>
                <w:rFonts w:ascii="Arial" w:cs="Arial" w:eastAsia="Arial" w:hAnsi="Arial"/>
                <w:sz w:val="18"/>
                <w:szCs w:val="18"/>
                <w:color w:val="auto"/>
              </w:rPr>
              <w:t>Life insurance coverage ($5 million) for executive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rPr>
              <w:t>Health insurance coverage for executive and family</w:t>
            </w:r>
          </w:p>
        </w:tc>
        <w:tc>
          <w:tcPr>
            <w:tcW w:w="0" w:type="dxa"/>
            <w:vAlign w:val="bottom"/>
          </w:tcPr>
          <w:p>
            <w:pPr>
              <w:spacing w:after="0"/>
              <w:rPr>
                <w:sz w:val="1"/>
                <w:szCs w:val="1"/>
                <w:color w:val="auto"/>
              </w:rPr>
            </w:pPr>
          </w:p>
        </w:tc>
      </w:tr>
      <w:tr>
        <w:trPr>
          <w:trHeight w:val="338"/>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Transportation</w:t>
            </w:r>
          </w:p>
        </w:tc>
        <w:tc>
          <w:tcPr>
            <w:tcW w:w="7420" w:type="dxa"/>
            <w:vAlign w:val="bottom"/>
            <w:gridSpan w:val="5"/>
          </w:tcPr>
          <w:p>
            <w:pPr>
              <w:spacing w:after="0"/>
              <w:rPr>
                <w:sz w:val="20"/>
                <w:szCs w:val="20"/>
                <w:color w:val="auto"/>
              </w:rPr>
            </w:pPr>
            <w:r>
              <w:rPr>
                <w:rFonts w:ascii="Arial" w:cs="Arial" w:eastAsia="Arial" w:hAnsi="Arial"/>
                <w:sz w:val="18"/>
                <w:szCs w:val="18"/>
                <w:color w:val="auto"/>
              </w:rPr>
              <w:t>Vehicle (commensurate with title) and driver</w:t>
            </w:r>
          </w:p>
        </w:tc>
        <w:tc>
          <w:tcPr>
            <w:tcW w:w="0" w:type="dxa"/>
            <w:vAlign w:val="bottom"/>
          </w:tcPr>
          <w:p>
            <w:pPr>
              <w:spacing w:after="0"/>
              <w:rPr>
                <w:sz w:val="1"/>
                <w:szCs w:val="1"/>
                <w:color w:val="auto"/>
              </w:rPr>
            </w:pPr>
          </w:p>
        </w:tc>
      </w:tr>
      <w:tr>
        <w:trPr>
          <w:trHeight w:val="310"/>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Repatriation Expense</w:t>
            </w:r>
          </w:p>
        </w:tc>
        <w:tc>
          <w:tcPr>
            <w:tcW w:w="7420" w:type="dxa"/>
            <w:vAlign w:val="bottom"/>
            <w:gridSpan w:val="5"/>
          </w:tcPr>
          <w:p>
            <w:pPr>
              <w:spacing w:after="0"/>
              <w:rPr>
                <w:sz w:val="20"/>
                <w:szCs w:val="20"/>
                <w:color w:val="auto"/>
              </w:rPr>
            </w:pPr>
            <w:r>
              <w:rPr>
                <w:rFonts w:ascii="Arial" w:cs="Arial" w:eastAsia="Arial" w:hAnsi="Arial"/>
                <w:sz w:val="18"/>
                <w:szCs w:val="18"/>
                <w:color w:val="auto"/>
                <w:w w:val="98"/>
              </w:rPr>
              <w:t>Actual cost of relocation (including disassembly, packing, shipping, unpacking and assembly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rPr>
              <w:t>household goods, and shipping of 1 automobile) up to $100,000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420" w:type="dxa"/>
            <w:vAlign w:val="bottom"/>
            <w:gridSpan w:val="5"/>
          </w:tcPr>
          <w:p>
            <w:pPr>
              <w:spacing w:after="0"/>
              <w:rPr>
                <w:sz w:val="20"/>
                <w:szCs w:val="20"/>
                <w:color w:val="auto"/>
              </w:rPr>
            </w:pPr>
            <w:r>
              <w:rPr>
                <w:rFonts w:ascii="Arial" w:cs="Arial" w:eastAsia="Arial" w:hAnsi="Arial"/>
                <w:sz w:val="18"/>
                <w:szCs w:val="18"/>
                <w:color w:val="auto"/>
              </w:rPr>
              <w:t>One-way business class airfare for executive</w:t>
            </w:r>
          </w:p>
        </w:tc>
        <w:tc>
          <w:tcPr>
            <w:tcW w:w="0" w:type="dxa"/>
            <w:vAlign w:val="bottom"/>
          </w:tcPr>
          <w:p>
            <w:pPr>
              <w:spacing w:after="0"/>
              <w:rPr>
                <w:sz w:val="1"/>
                <w:szCs w:val="1"/>
                <w:color w:val="auto"/>
              </w:rPr>
            </w:pPr>
          </w:p>
        </w:tc>
      </w:tr>
      <w:tr>
        <w:trPr>
          <w:trHeight w:val="338"/>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Repatriation Allowance</w:t>
            </w:r>
          </w:p>
        </w:tc>
        <w:tc>
          <w:tcPr>
            <w:tcW w:w="7420" w:type="dxa"/>
            <w:vAlign w:val="bottom"/>
            <w:gridSpan w:val="5"/>
          </w:tcPr>
          <w:p>
            <w:pPr>
              <w:spacing w:after="0"/>
              <w:rPr>
                <w:sz w:val="20"/>
                <w:szCs w:val="20"/>
                <w:color w:val="auto"/>
              </w:rPr>
            </w:pPr>
            <w:r>
              <w:rPr>
                <w:rFonts w:ascii="Arial" w:cs="Arial" w:eastAsia="Arial" w:hAnsi="Arial"/>
                <w:sz w:val="18"/>
                <w:szCs w:val="18"/>
                <w:color w:val="auto"/>
              </w:rPr>
              <w:t>One-time lump sum allowance in the amount of one months’ base salary</w:t>
            </w:r>
          </w:p>
        </w:tc>
        <w:tc>
          <w:tcPr>
            <w:tcW w:w="0" w:type="dxa"/>
            <w:vAlign w:val="bottom"/>
          </w:tcPr>
          <w:p>
            <w:pPr>
              <w:spacing w:after="0"/>
              <w:rPr>
                <w:sz w:val="1"/>
                <w:szCs w:val="1"/>
                <w:color w:val="auto"/>
              </w:rPr>
            </w:pPr>
          </w:p>
        </w:tc>
      </w:tr>
      <w:tr>
        <w:trPr>
          <w:trHeight w:val="324"/>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Exception</w:t>
            </w:r>
          </w:p>
        </w:tc>
        <w:tc>
          <w:tcPr>
            <w:tcW w:w="7420" w:type="dxa"/>
            <w:vAlign w:val="bottom"/>
            <w:gridSpan w:val="5"/>
          </w:tcPr>
          <w:p>
            <w:pPr>
              <w:spacing w:after="0"/>
              <w:rPr>
                <w:sz w:val="20"/>
                <w:szCs w:val="20"/>
                <w:color w:val="auto"/>
              </w:rPr>
            </w:pPr>
            <w:r>
              <w:rPr>
                <w:rFonts w:ascii="Arial" w:cs="Arial" w:eastAsia="Arial" w:hAnsi="Arial"/>
                <w:sz w:val="18"/>
                <w:szCs w:val="18"/>
                <w:color w:val="auto"/>
                <w:w w:val="97"/>
              </w:rPr>
              <w:t>If termination is for Cause, then Repatriation Expense and Repatriation Allowance will not apply</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80" w:type="dxa"/>
            <w:vAlign w:val="bottom"/>
            <w:gridSpan w:val="3"/>
          </w:tcPr>
          <w:p>
            <w:pPr>
              <w:jc w:val="center"/>
              <w:ind w:left="1150"/>
              <w:spacing w:after="0"/>
              <w:rPr>
                <w:sz w:val="20"/>
                <w:szCs w:val="20"/>
                <w:color w:val="auto"/>
              </w:rPr>
            </w:pPr>
            <w:r>
              <w:rPr>
                <w:rFonts w:ascii="Arial" w:cs="Arial" w:eastAsia="Arial" w:hAnsi="Arial"/>
                <w:sz w:val="18"/>
                <w:szCs w:val="18"/>
                <w:color w:val="auto"/>
                <w:w w:val="89"/>
              </w:rPr>
              <w:t>21</w:t>
            </w:r>
          </w:p>
        </w:tc>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6" w:name="page27"/>
    <w:bookmarkEnd w:id="2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AOP PSU NOTICE OF GRANT AND AWARD AGREEMENT</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019"/>
          </w:cols>
          <w:pgMar w:left="1440" w:top="270" w:right="1440"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GRANT OF AOP RESTRICTED STOCK UNITS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Participant has been granted an award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w:t>
      </w:r>
      <w:r>
        <w:rPr>
          <w:rFonts w:ascii="Arial" w:cs="Arial" w:eastAsia="Arial" w:hAnsi="Arial"/>
          <w:sz w:val="18"/>
          <w:szCs w:val="18"/>
          <w:color w:val="auto"/>
        </w:rPr>
        <w:t xml:space="preserve">) of certain Restricted Stock Units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i w:val="1"/>
          <w:iCs w:val="1"/>
          <w:color w:val="auto"/>
        </w:rPr>
        <w:t>”</w:t>
      </w:r>
      <w:r>
        <w:rPr>
          <w:rFonts w:ascii="Arial" w:cs="Arial" w:eastAsia="Arial" w:hAnsi="Arial"/>
          <w:sz w:val="18"/>
          <w:szCs w:val="18"/>
          <w:color w:val="auto"/>
        </w:rPr>
        <w:t xml:space="preserve">) of MagnaChip Semiconductor Corporation pursuant to the MagnaChip Semiconductor Corporation 2011 Equity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and the Magnachip Semiconductor Corporation Restricted Stock Units Agreement (AOP Performance) (the “</w:t>
      </w:r>
      <w:r>
        <w:rPr>
          <w:rFonts w:ascii="Arial" w:cs="Arial" w:eastAsia="Arial" w:hAnsi="Arial"/>
          <w:sz w:val="18"/>
          <w:szCs w:val="18"/>
          <w:b w:val="1"/>
          <w:bCs w:val="1"/>
          <w:i w:val="1"/>
          <w:iCs w:val="1"/>
          <w:color w:val="auto"/>
        </w:rPr>
        <w:t>Restricted Stock Units Agreement</w:t>
      </w:r>
      <w:r>
        <w:rPr>
          <w:rFonts w:ascii="Arial" w:cs="Arial" w:eastAsia="Arial" w:hAnsi="Arial"/>
          <w:sz w:val="18"/>
          <w:szCs w:val="18"/>
          <w:i w:val="1"/>
          <w:iCs w:val="1"/>
          <w:color w:val="auto"/>
        </w:rPr>
        <w:t>”</w:t>
      </w:r>
      <w:r>
        <w:rPr>
          <w:rFonts w:ascii="Arial" w:cs="Arial" w:eastAsia="Arial" w:hAnsi="Arial"/>
          <w:sz w:val="18"/>
          <w:szCs w:val="18"/>
          <w:color w:val="auto"/>
        </w:rPr>
        <w:t>) as follows:</w:t>
      </w:r>
    </w:p>
    <w:p>
      <w:pPr>
        <w:sectPr>
          <w:pgSz w:w="11900" w:h="16838" w:orient="portrait"/>
          <w:cols w:equalWidth="0" w:num="1">
            <w:col w:w="11400"/>
          </w:cols>
          <w:pgMar w:left="240" w:top="270" w:right="25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Young Joon Kim</w:t>
      </w:r>
    </w:p>
    <w:p>
      <w:pPr>
        <w:spacing w:after="0" w:line="207" w:lineRule="exact"/>
        <w:rPr>
          <w:sz w:val="20"/>
          <w:szCs w:val="20"/>
          <w:color w:val="auto"/>
        </w:rPr>
      </w:pPr>
    </w:p>
    <w:p>
      <w:pPr>
        <w:sectPr>
          <w:pgSz w:w="11900" w:h="16838" w:orient="portrait"/>
          <w:cols w:equalWidth="0" w:num="2">
            <w:col w:w="2820" w:space="720"/>
            <w:col w:w="7860"/>
          </w:cols>
          <w:pgMar w:left="240" w:top="270"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April 30, 2018 (the “</w:t>
      </w:r>
      <w:r>
        <w:rPr>
          <w:rFonts w:ascii="Arial" w:cs="Arial" w:eastAsia="Arial" w:hAnsi="Arial"/>
          <w:sz w:val="17"/>
          <w:szCs w:val="17"/>
          <w:b w:val="1"/>
          <w:bCs w:val="1"/>
          <w:i w:val="1"/>
          <w:iCs w:val="1"/>
          <w:color w:val="auto"/>
        </w:rPr>
        <w:t>Grant Date</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820" w:space="720"/>
            <w:col w:w="7860"/>
          </w:cols>
          <w:pgMar w:left="240" w:top="270" w:right="2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Number of Restricted Stock Units: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maximum achievement, 65,100 Restricted Stock Units (the “</w:t>
      </w:r>
      <w:r>
        <w:rPr>
          <w:rFonts w:ascii="Arial" w:cs="Arial" w:eastAsia="Arial" w:hAnsi="Arial"/>
          <w:sz w:val="18"/>
          <w:szCs w:val="18"/>
          <w:b w:val="1"/>
          <w:bCs w:val="1"/>
          <w:i w:val="1"/>
          <w:iCs w:val="1"/>
          <w:color w:val="auto"/>
        </w:rPr>
        <w:t>Maximum Award</w:t>
      </w:r>
      <w:r>
        <w:rPr>
          <w:rFonts w:ascii="Arial" w:cs="Arial" w:eastAsia="Arial" w:hAnsi="Arial"/>
          <w:sz w:val="18"/>
          <w:szCs w:val="18"/>
          <w:color w:val="auto"/>
        </w:rPr>
        <w:t>”), subject to adjustment as provided by the Restricted Stock Units Agreement. The Participant’s overall target-level award hereunder is equal to 55,720 Restricted Stock Units (the “</w:t>
      </w:r>
      <w:r>
        <w:rPr>
          <w:rFonts w:ascii="Arial" w:cs="Arial" w:eastAsia="Arial" w:hAnsi="Arial"/>
          <w:sz w:val="18"/>
          <w:szCs w:val="18"/>
          <w:b w:val="1"/>
          <w:bCs w:val="1"/>
          <w:i w:val="1"/>
          <w:iCs w:val="1"/>
          <w:color w:val="auto"/>
        </w:rPr>
        <w:t>Target Award</w:t>
      </w:r>
      <w:r>
        <w:rPr>
          <w:rFonts w:ascii="Arial" w:cs="Arial" w:eastAsia="Arial" w:hAnsi="Arial"/>
          <w:sz w:val="18"/>
          <w:szCs w:val="18"/>
          <w:color w:val="auto"/>
        </w:rPr>
        <w:t>”).</w:t>
      </w:r>
    </w:p>
    <w:p>
      <w:pPr>
        <w:spacing w:after="0" w:line="177" w:lineRule="exact"/>
        <w:rPr>
          <w:sz w:val="20"/>
          <w:szCs w:val="20"/>
          <w:color w:val="auto"/>
        </w:rPr>
      </w:pPr>
    </w:p>
    <w:p>
      <w:pPr>
        <w:sectPr>
          <w:pgSz w:w="11900" w:h="16838" w:orient="portrait"/>
          <w:cols w:equalWidth="0" w:num="2">
            <w:col w:w="3100" w:space="440"/>
            <w:col w:w="7860"/>
          </w:cols>
          <w:pgMar w:left="240" w:top="270" w:right="259" w:bottom="1440" w:gutter="0" w:footer="0" w:header="0"/>
          <w:type w:val="continuous"/>
        </w:sectPr>
      </w:pPr>
    </w:p>
    <w:p>
      <w:pPr>
        <w:ind w:right="380"/>
        <w:spacing w:after="0" w:line="282" w:lineRule="auto"/>
        <w:rPr>
          <w:sz w:val="20"/>
          <w:szCs w:val="20"/>
          <w:color w:val="auto"/>
        </w:rPr>
      </w:pPr>
      <w:r>
        <w:rPr>
          <w:rFonts w:ascii="Arial" w:cs="Arial" w:eastAsia="Arial" w:hAnsi="Arial"/>
          <w:sz w:val="18"/>
          <w:szCs w:val="18"/>
          <w:b w:val="1"/>
          <w:bCs w:val="1"/>
          <w:color w:val="auto"/>
        </w:rPr>
        <w:t>Initial Vesting Date and Vesting Conditions:</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The Participant’s right to receive all or any portion of the Units granted hereunder is contingent upon the Company’s achievement of the performance goals (the “</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specified in the performance matrix attached as Exhibit A to this Grant Notice (the “</w:t>
      </w:r>
      <w:r>
        <w:rPr>
          <w:rFonts w:ascii="Arial" w:cs="Arial" w:eastAsia="Arial" w:hAnsi="Arial"/>
          <w:sz w:val="18"/>
          <w:szCs w:val="18"/>
          <w:b w:val="1"/>
          <w:bCs w:val="1"/>
          <w:i w:val="1"/>
          <w:iCs w:val="1"/>
          <w:color w:val="auto"/>
        </w:rPr>
        <w:t>Performance Matrix</w:t>
      </w:r>
      <w:r>
        <w:rPr>
          <w:rFonts w:ascii="Arial" w:cs="Arial" w:eastAsia="Arial" w:hAnsi="Arial"/>
          <w:sz w:val="18"/>
          <w:szCs w:val="18"/>
          <w:color w:val="auto"/>
        </w:rPr>
        <w:t>”), measured over the “Performance Period” indicated in the Performance Matrix.</w:t>
      </w:r>
    </w:p>
    <w:p>
      <w:pPr>
        <w:spacing w:after="0" w:line="200" w:lineRule="exact"/>
        <w:rPr>
          <w:sz w:val="20"/>
          <w:szCs w:val="20"/>
          <w:color w:val="auto"/>
        </w:rPr>
      </w:pPr>
    </w:p>
    <w:p>
      <w:pPr>
        <w:sectPr>
          <w:pgSz w:w="11900" w:h="16838" w:orient="portrait"/>
          <w:cols w:equalWidth="0" w:num="2">
            <w:col w:w="2820" w:space="720"/>
            <w:col w:w="7860"/>
          </w:cols>
          <w:pgMar w:left="240" w:top="270" w:right="259" w:bottom="1440" w:gutter="0" w:footer="0" w:header="0"/>
          <w:type w:val="continuous"/>
        </w:sectPr>
      </w:pPr>
    </w:p>
    <w:p>
      <w:pPr>
        <w:spacing w:after="0" w:line="14" w:lineRule="exact"/>
        <w:rPr>
          <w:sz w:val="20"/>
          <w:szCs w:val="20"/>
          <w:color w:val="auto"/>
        </w:rPr>
      </w:pPr>
    </w:p>
    <w:p>
      <w:pPr>
        <w:ind w:left="3540" w:right="40"/>
        <w:spacing w:after="0" w:line="268" w:lineRule="auto"/>
        <w:rPr>
          <w:sz w:val="20"/>
          <w:szCs w:val="20"/>
          <w:color w:val="auto"/>
        </w:rPr>
      </w:pPr>
      <w:r>
        <w:rPr>
          <w:rFonts w:ascii="Arial" w:cs="Arial" w:eastAsia="Arial" w:hAnsi="Arial"/>
          <w:sz w:val="17"/>
          <w:szCs w:val="17"/>
          <w:color w:val="auto"/>
        </w:rPr>
        <w:t>Within 60 days following the end of the Performance Period, the Committee shall certify whether and to what extent the Units have been earned for each Performance Goal for the Performance Period (the actual date of such Committee certification, the “</w:t>
      </w:r>
      <w:r>
        <w:rPr>
          <w:rFonts w:ascii="Arial" w:cs="Arial" w:eastAsia="Arial" w:hAnsi="Arial"/>
          <w:sz w:val="17"/>
          <w:szCs w:val="17"/>
          <w:b w:val="1"/>
          <w:bCs w:val="1"/>
          <w:i w:val="1"/>
          <w:iCs w:val="1"/>
          <w:color w:val="auto"/>
        </w:rPr>
        <w:t>Certification Date</w:t>
      </w:r>
      <w:r>
        <w:rPr>
          <w:rFonts w:ascii="Arial" w:cs="Arial" w:eastAsia="Arial" w:hAnsi="Arial"/>
          <w:sz w:val="17"/>
          <w:szCs w:val="17"/>
          <w:color w:val="auto"/>
        </w:rPr>
        <w:t>”). The Committee’s determination of the foregoing shall be final and binding on the Participant absent a showing of manifest error or that the Committee acted in bad faith. Upon such determinations by the Committee, the applicable portion of the Units determined by the Cumulative Payout Percentage (as defined in the Performance Matrix) as a fraction of the Target Award shall vest and become non-forfeitable (subject to the Participant’s continuous Service from the Grant Date through the end of the Performance Period except as provided by Section 2.2(b) of the Restricted Stock Units Agreement) (each such Unit, a “</w:t>
      </w:r>
      <w:r>
        <w:rPr>
          <w:rFonts w:ascii="Arial" w:cs="Arial" w:eastAsia="Arial" w:hAnsi="Arial"/>
          <w:sz w:val="17"/>
          <w:szCs w:val="17"/>
          <w:b w:val="1"/>
          <w:bCs w:val="1"/>
          <w:i w:val="1"/>
          <w:iCs w:val="1"/>
          <w:color w:val="auto"/>
        </w:rPr>
        <w:t>Vested Unit</w:t>
      </w:r>
      <w:r>
        <w:rPr>
          <w:rFonts w:ascii="Arial" w:cs="Arial" w:eastAsia="Arial" w:hAnsi="Arial"/>
          <w:sz w:val="17"/>
          <w:szCs w:val="17"/>
          <w:color w:val="auto"/>
        </w:rPr>
        <w:t>”). On the Certification Date, any Units which do not vest in accordance with the immediately preceding sentence shall immediately be forfeited and cancelled, and the Participant shall not be entitled to any compensation or other amount with respect thereto. Notwithstanding any other provision of this Grant Notice or the Restricted Stock Units Agreement, but subject to Section 2.2</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type w:val="continuous"/>
        </w:sectPr>
      </w:pPr>
    </w:p>
    <w:bookmarkStart w:id="28" w:name="page29"/>
    <w:bookmarkEnd w:id="28"/>
    <w:p>
      <w:pPr>
        <w:ind w:left="3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Restricted Stock Units Agreement, no portion of the Units shall vest until the Committee has made the foregoing determinations.</w:t>
      </w:r>
    </w:p>
    <w:p>
      <w:pPr>
        <w:sectPr>
          <w:pgSz w:w="11900" w:h="16838" w:orient="portrait"/>
          <w:cols w:equalWidth="0" w:num="1">
            <w:col w:w="11400"/>
          </w:cols>
          <w:pgMar w:left="240" w:top="274"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Local Law:</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laws, rules and regulations of South Korea and the United States, of which the Participant is a resident or taxpayer.</w:t>
      </w:r>
    </w:p>
    <w:p>
      <w:pPr>
        <w:spacing w:after="0" w:line="103" w:lineRule="exact"/>
        <w:rPr>
          <w:sz w:val="20"/>
          <w:szCs w:val="20"/>
          <w:color w:val="auto"/>
        </w:rPr>
      </w:pPr>
    </w:p>
    <w:p>
      <w:pPr>
        <w:sectPr>
          <w:pgSz w:w="11900" w:h="16838" w:orient="portrait"/>
          <w:cols w:equalWidth="0" w:num="2">
            <w:col w:w="2820" w:space="720"/>
            <w:col w:w="786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274" w:right="259" w:bottom="1440" w:gutter="0" w:footer="0" w:header="0"/>
          <w:type w:val="continuous"/>
        </w:sectPr>
      </w:pPr>
    </w:p>
    <w:bookmarkStart w:id="29" w:name="page30"/>
    <w:bookmarkEnd w:id="2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their signatures below, the Company and the Participant agree that the Award is governed by this Grant Notice and by the provisions of the Plan and the Restricted Stock Units Agreement, each of which are attached to and made a part of this document. The Participant acknowledges receipt of copies of the Plan and the Restricted Stock Units Agreement, represents that the Participant has read and is familiar with their provisions, and hereby accepts the Award subject to all of their terms and conditions.</w:t>
      </w:r>
    </w:p>
    <w:p>
      <w:pPr>
        <w:spacing w:after="0" w:line="214"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MAGNACHIP SEMICONDUCTOR CORPORATION</w:t>
      </w:r>
      <w:r>
        <w:rPr>
          <w:sz w:val="20"/>
          <w:szCs w:val="20"/>
          <w:color w:val="auto"/>
        </w:rPr>
        <w:tab/>
      </w:r>
      <w:r>
        <w:rPr>
          <w:rFonts w:ascii="Arial" w:cs="Arial" w:eastAsia="Arial" w:hAnsi="Arial"/>
          <w:sz w:val="16"/>
          <w:szCs w:val="16"/>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-10160</wp:posOffset>
            </wp:positionV>
            <wp:extent cx="20859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-19050</wp:posOffset>
            </wp:positionV>
            <wp:extent cx="20859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ATTACHMENTS:</w:t>
      </w:r>
      <w:r>
        <w:rPr>
          <w:sz w:val="20"/>
          <w:szCs w:val="20"/>
          <w:color w:val="auto"/>
        </w:rPr>
        <w:tab/>
      </w:r>
      <w:r>
        <w:rPr>
          <w:rFonts w:ascii="Arial" w:cs="Arial" w:eastAsia="Arial" w:hAnsi="Arial"/>
          <w:sz w:val="18"/>
          <w:szCs w:val="18"/>
          <w:color w:val="auto"/>
        </w:rPr>
        <w:t>2011 Equity Incentive Plan, as amended to the Date of Grant, and Restricted Stock Units Agreement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274" w:right="4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Performance Matrix</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Adjusted EBITDA</w:t>
      </w:r>
      <w:r>
        <w:rPr>
          <w:rFonts w:ascii="Arial" w:cs="Arial" w:eastAsia="Arial" w:hAnsi="Arial"/>
          <w:sz w:val="16"/>
          <w:szCs w:val="16"/>
          <w:color w:val="auto"/>
        </w:rPr>
        <w:t>” means the Company’s GAAP net income (loss) before interest expense, net, income tax expenses (benefits), depreciation and amortization, adjusted to exclude (i) restructuring, impairment and other (gain), (ii) equity-based compensation expense, (iii) foreign currency loss (gain), net,</w:t>
      </w:r>
    </w:p>
    <w:p>
      <w:pPr>
        <w:ind w:right="360" w:firstLine="8"/>
        <w:spacing w:after="0" w:line="261"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derivative valuation loss (gain), net, and (v) restatement related expense. Specific determination of Adjusted EBITDA shall be based solely upon the judgment of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Gross Margin</w:t>
      </w:r>
      <w:r>
        <w:rPr>
          <w:rFonts w:ascii="Arial" w:cs="Arial" w:eastAsia="Arial" w:hAnsi="Arial"/>
          <w:sz w:val="16"/>
          <w:szCs w:val="16"/>
          <w:color w:val="auto"/>
        </w:rPr>
        <w:t>” means the aggregate consolidated gross profit for the Performance Period as a percentage of the Revenue for the Performance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Revenue</w:t>
      </w:r>
      <w:r>
        <w:rPr>
          <w:rFonts w:ascii="Arial" w:cs="Arial" w:eastAsia="Arial" w:hAnsi="Arial"/>
          <w:sz w:val="18"/>
          <w:szCs w:val="18"/>
          <w:color w:val="auto"/>
        </w:rPr>
        <w:t>” means the dollar amount net product revenue recognized by the Company on a consolidated basis for the Performance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shall be January 1, 2018 through December 31, 2018.</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shall be Adjusted EBITDA (weighted 1/3), Revenue (weighted 1/3) and Gross Margin (weighted 1/3), each as measured on a cumulative basis over the Performance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w:t>
      </w:r>
      <w:r>
        <w:rPr>
          <w:rFonts w:ascii="Arial" w:cs="Arial" w:eastAsia="Arial" w:hAnsi="Arial"/>
          <w:sz w:val="18"/>
          <w:szCs w:val="18"/>
          <w:b w:val="1"/>
          <w:bCs w:val="1"/>
          <w:i w:val="1"/>
          <w:iCs w:val="1"/>
          <w:color w:val="auto"/>
        </w:rPr>
        <w:t>Payout Percentage</w:t>
      </w:r>
      <w:r>
        <w:rPr>
          <w:rFonts w:ascii="Arial" w:cs="Arial" w:eastAsia="Arial" w:hAnsi="Arial"/>
          <w:sz w:val="18"/>
          <w:szCs w:val="18"/>
          <w:color w:val="auto"/>
        </w:rPr>
        <w:t>” shall be determined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Payout Percentage (as a</w:t>
            </w:r>
          </w:p>
        </w:tc>
        <w:tc>
          <w:tcPr>
            <w:tcW w:w="0" w:type="dxa"/>
            <w:vAlign w:val="bottom"/>
          </w:tcPr>
          <w:p>
            <w:pPr>
              <w:spacing w:after="0"/>
              <w:rPr>
                <w:sz w:val="1"/>
                <w:szCs w:val="1"/>
                <w:color w:val="auto"/>
              </w:rPr>
            </w:pPr>
          </w:p>
        </w:tc>
      </w:tr>
      <w:tr>
        <w:trPr>
          <w:trHeight w:val="167"/>
        </w:trPr>
        <w:tc>
          <w:tcPr>
            <w:tcW w:w="2500" w:type="dxa"/>
            <w:vAlign w:val="bottom"/>
            <w:gridSpan w:val="2"/>
          </w:tcPr>
          <w:p>
            <w:pPr>
              <w:spacing w:after="0"/>
              <w:rPr>
                <w:sz w:val="20"/>
                <w:szCs w:val="20"/>
                <w:color w:val="auto"/>
              </w:rPr>
            </w:pPr>
            <w:r>
              <w:rPr>
                <w:rFonts w:ascii="Arial" w:cs="Arial" w:eastAsia="Arial" w:hAnsi="Arial"/>
                <w:sz w:val="14"/>
                <w:szCs w:val="14"/>
                <w:color w:val="auto"/>
              </w:rPr>
              <w:t>Achievement</w:t>
            </w: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right"/>
              <w:ind w:right="640"/>
              <w:spacing w:after="0"/>
              <w:rPr>
                <w:sz w:val="20"/>
                <w:szCs w:val="20"/>
                <w:color w:val="auto"/>
              </w:rPr>
            </w:pPr>
            <w:r>
              <w:rPr>
                <w:rFonts w:ascii="Arial" w:cs="Arial" w:eastAsia="Arial" w:hAnsi="Arial"/>
                <w:sz w:val="14"/>
                <w:szCs w:val="14"/>
                <w:color w:val="auto"/>
                <w:w w:val="92"/>
              </w:rPr>
              <w:t>Gross Margin</w:t>
            </w:r>
          </w:p>
        </w:tc>
        <w:tc>
          <w:tcPr>
            <w:tcW w:w="2160" w:type="dxa"/>
            <w:vAlign w:val="bottom"/>
            <w:gridSpan w:val="3"/>
          </w:tcPr>
          <w:p>
            <w:pPr>
              <w:jc w:val="center"/>
              <w:ind w:left="196"/>
              <w:spacing w:after="0"/>
              <w:rPr>
                <w:sz w:val="20"/>
                <w:szCs w:val="20"/>
                <w:color w:val="auto"/>
              </w:rPr>
            </w:pPr>
            <w:r>
              <w:rPr>
                <w:rFonts w:ascii="Arial" w:cs="Arial" w:eastAsia="Arial" w:hAnsi="Arial"/>
                <w:sz w:val="14"/>
                <w:szCs w:val="14"/>
                <w:color w:val="auto"/>
                <w:w w:val="93"/>
              </w:rPr>
              <w:t>fraction of Target Award)</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740" w:type="dxa"/>
            <w:vAlign w:val="bottom"/>
            <w:vMerge w:val="restart"/>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Threshold</w:t>
            </w:r>
          </w:p>
        </w:tc>
        <w:tc>
          <w:tcPr>
            <w:tcW w:w="1740" w:type="dxa"/>
            <w:vAlign w:val="bottom"/>
            <w:vMerge w:val="continue"/>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27.0%</w:t>
            </w:r>
          </w:p>
        </w:tc>
        <w:tc>
          <w:tcPr>
            <w:tcW w:w="50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Target</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8"/>
                <w:szCs w:val="18"/>
                <w:color w:val="auto"/>
              </w:rPr>
              <w:t>28.0%</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w:t>
            </w:r>
          </w:p>
        </w:tc>
        <w:tc>
          <w:tcPr>
            <w:tcW w:w="24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Payout Percentage (as a</w:t>
            </w:r>
          </w:p>
        </w:tc>
        <w:tc>
          <w:tcPr>
            <w:tcW w:w="0" w:type="dxa"/>
            <w:vAlign w:val="bottom"/>
          </w:tcPr>
          <w:p>
            <w:pPr>
              <w:spacing w:after="0"/>
              <w:rPr>
                <w:sz w:val="1"/>
                <w:szCs w:val="1"/>
                <w:color w:val="auto"/>
              </w:rPr>
            </w:pPr>
          </w:p>
        </w:tc>
      </w:tr>
      <w:tr>
        <w:trPr>
          <w:trHeight w:val="167"/>
        </w:trPr>
        <w:tc>
          <w:tcPr>
            <w:tcW w:w="2500" w:type="dxa"/>
            <w:vAlign w:val="bottom"/>
            <w:gridSpan w:val="2"/>
          </w:tcPr>
          <w:p>
            <w:pPr>
              <w:spacing w:after="0"/>
              <w:rPr>
                <w:sz w:val="20"/>
                <w:szCs w:val="20"/>
                <w:color w:val="auto"/>
              </w:rPr>
            </w:pPr>
            <w:r>
              <w:rPr>
                <w:rFonts w:ascii="Arial" w:cs="Arial" w:eastAsia="Arial" w:hAnsi="Arial"/>
                <w:sz w:val="14"/>
                <w:szCs w:val="14"/>
                <w:color w:val="auto"/>
              </w:rPr>
              <w:t>Achievement</w:t>
            </w:r>
          </w:p>
        </w:tc>
        <w:tc>
          <w:tcPr>
            <w:tcW w:w="4020" w:type="dxa"/>
            <w:vAlign w:val="bottom"/>
            <w:gridSpan w:val="5"/>
          </w:tcPr>
          <w:p>
            <w:pPr>
              <w:ind w:left="2400"/>
              <w:spacing w:after="0"/>
              <w:rPr>
                <w:sz w:val="20"/>
                <w:szCs w:val="20"/>
                <w:color w:val="auto"/>
              </w:rPr>
            </w:pPr>
            <w:r>
              <w:rPr>
                <w:rFonts w:ascii="Arial" w:cs="Arial" w:eastAsia="Arial" w:hAnsi="Arial"/>
                <w:sz w:val="14"/>
                <w:szCs w:val="14"/>
                <w:color w:val="auto"/>
              </w:rPr>
              <w:t>Adjusted EBITDA</w:t>
            </w:r>
          </w:p>
        </w:tc>
        <w:tc>
          <w:tcPr>
            <w:tcW w:w="2160" w:type="dxa"/>
            <w:vAlign w:val="bottom"/>
            <w:gridSpan w:val="3"/>
          </w:tcPr>
          <w:p>
            <w:pPr>
              <w:jc w:val="center"/>
              <w:ind w:left="196"/>
              <w:spacing w:after="0"/>
              <w:rPr>
                <w:sz w:val="20"/>
                <w:szCs w:val="20"/>
                <w:color w:val="auto"/>
              </w:rPr>
            </w:pPr>
            <w:r>
              <w:rPr>
                <w:rFonts w:ascii="Arial" w:cs="Arial" w:eastAsia="Arial" w:hAnsi="Arial"/>
                <w:sz w:val="14"/>
                <w:szCs w:val="14"/>
                <w:color w:val="auto"/>
                <w:w w:val="93"/>
              </w:rPr>
              <w:t>fraction of Target Award)</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740" w:type="dxa"/>
            <w:vAlign w:val="bottom"/>
            <w:vMerge w:val="restart"/>
            <w:shd w:val="clear" w:color="auto" w:fill="CCEEFF"/>
          </w:tcPr>
          <w:p>
            <w:pPr>
              <w:spacing w:after="0" w:line="20" w:lineRule="exact"/>
              <w:rPr>
                <w:sz w:val="1"/>
                <w:szCs w:val="1"/>
                <w:color w:val="auto"/>
              </w:rPr>
            </w:pPr>
          </w:p>
        </w:tc>
        <w:tc>
          <w:tcPr>
            <w:tcW w:w="2400" w:type="dxa"/>
            <w:vAlign w:val="bottom"/>
            <w:vMerge w:val="restart"/>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Threshold</w:t>
            </w:r>
          </w:p>
        </w:tc>
        <w:tc>
          <w:tcPr>
            <w:tcW w:w="1740" w:type="dxa"/>
            <w:vAlign w:val="bottom"/>
            <w:vMerge w:val="continue"/>
            <w:shd w:val="clear" w:color="auto" w:fill="CCEEFF"/>
          </w:tcPr>
          <w:p>
            <w:pPr>
              <w:spacing w:after="0"/>
              <w:rPr>
                <w:sz w:val="18"/>
                <w:szCs w:val="18"/>
                <w:color w:val="auto"/>
              </w:rPr>
            </w:pPr>
          </w:p>
        </w:tc>
        <w:tc>
          <w:tcPr>
            <w:tcW w:w="240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 M</w:t>
            </w:r>
          </w:p>
        </w:tc>
        <w:tc>
          <w:tcPr>
            <w:tcW w:w="5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Target</w:t>
            </w:r>
          </w:p>
        </w:tc>
        <w:tc>
          <w:tcPr>
            <w:tcW w:w="2580" w:type="dxa"/>
            <w:vAlign w:val="bottom"/>
            <w:gridSpan w:val="2"/>
          </w:tcPr>
          <w:p>
            <w:pPr>
              <w:ind w:left="24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93.1M</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w:t>
            </w:r>
          </w:p>
        </w:tc>
        <w:tc>
          <w:tcPr>
            <w:tcW w:w="2580" w:type="dxa"/>
            <w:vAlign w:val="bottom"/>
            <w:tcBorders>
              <w:right w:val="single" w:sz="8" w:color="CCEEFF"/>
            </w:tcBorders>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107.1M</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0" w:type="dxa"/>
            <w:vAlign w:val="bottom"/>
          </w:tcPr>
          <w:p>
            <w:pPr>
              <w:jc w:val="right"/>
              <w:ind w:right="394"/>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Payout Percentage (as a</w:t>
            </w: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rPr>
                <w:sz w:val="20"/>
                <w:szCs w:val="20"/>
                <w:color w:val="auto"/>
              </w:rPr>
            </w:pPr>
            <w:r>
              <w:rPr>
                <w:rFonts w:ascii="Arial" w:cs="Arial" w:eastAsia="Arial" w:hAnsi="Arial"/>
                <w:sz w:val="14"/>
                <w:szCs w:val="14"/>
                <w:color w:val="auto"/>
              </w:rPr>
              <w:t>Achievement</w:t>
            </w:r>
          </w:p>
        </w:tc>
        <w:tc>
          <w:tcPr>
            <w:tcW w:w="24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5"/>
              </w:rPr>
              <w:t>Revenue</w:t>
            </w:r>
          </w:p>
        </w:tc>
        <w:tc>
          <w:tcPr>
            <w:tcW w:w="2540" w:type="dxa"/>
            <w:vAlign w:val="bottom"/>
            <w:gridSpan w:val="3"/>
          </w:tcPr>
          <w:p>
            <w:pPr>
              <w:jc w:val="right"/>
              <w:ind w:right="220"/>
              <w:spacing w:after="0"/>
              <w:rPr>
                <w:sz w:val="20"/>
                <w:szCs w:val="20"/>
                <w:color w:val="auto"/>
              </w:rPr>
            </w:pPr>
            <w:r>
              <w:rPr>
                <w:rFonts w:ascii="Arial" w:cs="Arial" w:eastAsia="Arial" w:hAnsi="Arial"/>
                <w:sz w:val="14"/>
                <w:szCs w:val="14"/>
                <w:color w:val="auto"/>
              </w:rPr>
              <w:t>fraction of Target Award)</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420" w:type="dxa"/>
            <w:vAlign w:val="bottom"/>
            <w:vMerge w:val="restart"/>
            <w:shd w:val="clear" w:color="auto" w:fill="CCEEFF"/>
          </w:tcPr>
          <w:p>
            <w:pPr>
              <w:spacing w:after="0" w:line="20" w:lineRule="exact"/>
              <w:rPr>
                <w:sz w:val="1"/>
                <w:szCs w:val="1"/>
                <w:color w:val="auto"/>
              </w:rPr>
            </w:pPr>
          </w:p>
        </w:tc>
        <w:tc>
          <w:tcPr>
            <w:tcW w:w="24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Threshold</w:t>
            </w:r>
          </w:p>
        </w:tc>
        <w:tc>
          <w:tcPr>
            <w:tcW w:w="2420" w:type="dxa"/>
            <w:vAlign w:val="bottom"/>
            <w:vMerge w:val="continue"/>
            <w:shd w:val="clear" w:color="auto" w:fill="CCEEFF"/>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$737M</w:t>
            </w:r>
          </w:p>
        </w:tc>
        <w:tc>
          <w:tcPr>
            <w:tcW w:w="8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Target</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$758M</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$790M</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Indicates the Payout Percentage determined by dividing the Maximum Award by the Target Award.</w:t>
      </w:r>
    </w:p>
    <w:p>
      <w:pPr>
        <w:spacing w:after="0" w:line="22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Straight-line interpolation shall be used to determine the Payout Percentage for any level of achievement between threshold performance and the target performance and between target achievement and maximum achievement, based upon the Payout Percentages set forth above.</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determine the total number of Restricted Stock Units that become Vested Units in respect of the Performance Period, the Committee shall add the Payout Percentage achieved for each Performance Goal, and divide such amount by 3 (the resulting percentage, the “</w:t>
      </w:r>
      <w:r>
        <w:rPr>
          <w:rFonts w:ascii="Arial" w:cs="Arial" w:eastAsia="Arial" w:hAnsi="Arial"/>
          <w:sz w:val="18"/>
          <w:szCs w:val="18"/>
          <w:b w:val="1"/>
          <w:bCs w:val="1"/>
          <w:i w:val="1"/>
          <w:iCs w:val="1"/>
          <w:color w:val="auto"/>
        </w:rPr>
        <w:t>Cumulative Payout Percentage</w:t>
      </w:r>
      <w:r>
        <w:rPr>
          <w:rFonts w:ascii="Arial" w:cs="Arial" w:eastAsia="Arial" w:hAnsi="Arial"/>
          <w:sz w:val="18"/>
          <w:szCs w:val="18"/>
          <w:color w:val="auto"/>
        </w:rPr>
        <w:t>”), and then multiply the Cumulative Payout Percentage (expressed as a fraction) by the Target Award; provided, that in the event that “threshold” level is not achieved for a Performance Goal, then the Payout Percentage for such Performance Goal for purposes of the foregoing calculation shall be 0%. For the avoidance of doubt, no Restricted Stock Units shall vest in respect of a Performance Goal unless the “threshold” level of achievement shown above for such Performance Goal has been achieved.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57" w:right="23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(AOP PERFORMANCE)</w:t>
      </w:r>
    </w:p>
    <w:p>
      <w:pPr>
        <w:spacing w:after="0" w:line="21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AOP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Award has been granted pursuant to and shall in all respects be subject to the terms conditions of the MagnaChip Semiconductor Corporation 2011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6"/>
          <w:szCs w:val="16"/>
          <w:b w:val="1"/>
          <w:bCs w:val="1"/>
          <w:i w:val="1"/>
          <w:iCs w:val="1"/>
          <w:color w:val="auto"/>
        </w:rPr>
        <w:t>“Plan Prospectus”</w:t>
      </w:r>
      <w:r>
        <w:rPr>
          <w:rFonts w:ascii="Arial" w:cs="Arial" w:eastAsia="Arial" w:hAnsi="Arial"/>
          <w:sz w:val="16"/>
          <w:szCs w:val="16"/>
          <w:color w:val="auto"/>
        </w:rPr>
        <w:t>), (b) accepts the Award subject to all of the terms and conditions of the Grant Notice, this Agreement and the Plan and</w:t>
      </w:r>
    </w:p>
    <w:p>
      <w:pPr>
        <w:spacing w:after="0" w:line="2" w:lineRule="exact"/>
        <w:rPr>
          <w:sz w:val="20"/>
          <w:szCs w:val="20"/>
          <w:color w:val="auto"/>
        </w:rPr>
      </w:pPr>
    </w:p>
    <w:p>
      <w:pPr>
        <w:ind w:right="100" w:firstLine="8"/>
        <w:spacing w:after="0" w:line="261"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agrees to accept as binding, conclusive and final all decisions or interpretations of the Committee upon any questions arising under the Grant Notice, this Agreement or the Plan.</w:t>
      </w:r>
    </w:p>
    <w:p>
      <w:pPr>
        <w:spacing w:after="0" w:line="288" w:lineRule="exact"/>
        <w:rPr>
          <w:sz w:val="20"/>
          <w:szCs w:val="20"/>
          <w:color w:val="auto"/>
        </w:rPr>
      </w:pPr>
    </w:p>
    <w:p>
      <w:pPr>
        <w:ind w:left="780" w:hanging="31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 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880" w:hanging="388"/>
        <w:spacing w:after="0"/>
        <w:tabs>
          <w:tab w:leader="none" w:pos="18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225" w:lineRule="exact"/>
        <w:rPr>
          <w:rFonts w:ascii="Arial" w:cs="Arial" w:eastAsia="Arial" w:hAnsi="Arial"/>
          <w:sz w:val="18"/>
          <w:szCs w:val="18"/>
          <w:color w:val="auto"/>
        </w:rPr>
      </w:pPr>
    </w:p>
    <w:p>
      <w:pPr>
        <w:ind w:right="420" w:firstLine="1492"/>
        <w:spacing w:after="0" w:line="277" w:lineRule="auto"/>
        <w:tabs>
          <w:tab w:leader="none" w:pos="1873"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166" w:lineRule="exact"/>
        <w:rPr>
          <w:sz w:val="20"/>
          <w:szCs w:val="20"/>
          <w:color w:val="auto"/>
        </w:rPr>
      </w:pPr>
    </w:p>
    <w:p>
      <w:pPr>
        <w:ind w:right="260" w:firstLine="913"/>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284" w:lineRule="exact"/>
        <w:rPr>
          <w:sz w:val="20"/>
          <w:szCs w:val="20"/>
          <w:color w:val="auto"/>
        </w:rPr>
      </w:pPr>
    </w:p>
    <w:p>
      <w:pPr>
        <w:ind w:left="780" w:hanging="31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0" w:right="279" w:bottom="1440" w:gutter="0" w:footer="0" w:header="0"/>
        </w:sectPr>
      </w:pPr>
    </w:p>
    <w:bookmarkStart w:id="33" w:name="page34"/>
    <w:bookmarkEnd w:id="33"/>
    <w:p>
      <w:pPr>
        <w:ind w:left="920"/>
        <w:spacing w:after="0"/>
        <w:tabs>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 xml:space="preserve">Employment Conditions. </w:t>
      </w:r>
      <w:r>
        <w:rPr>
          <w:rFonts w:ascii="Arial" w:cs="Arial" w:eastAsia="Arial" w:hAnsi="Arial"/>
          <w:sz w:val="16"/>
          <w:szCs w:val="16"/>
          <w:color w:val="auto"/>
        </w:rPr>
        <w:t>By accepting the Award, the Participant acknowledges and agrees that:</w:t>
      </w:r>
    </w:p>
    <w:p>
      <w:pPr>
        <w:spacing w:after="0" w:line="229" w:lineRule="exact"/>
        <w:rPr>
          <w:sz w:val="20"/>
          <w:szCs w:val="20"/>
          <w:color w:val="auto"/>
        </w:rPr>
      </w:pPr>
    </w:p>
    <w:p>
      <w:pPr>
        <w:ind w:firstLine="1492"/>
        <w:spacing w:after="0" w:line="302" w:lineRule="auto"/>
        <w:tabs>
          <w:tab w:leader="none" w:pos="18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54" w:lineRule="exact"/>
        <w:rPr>
          <w:rFonts w:ascii="Arial" w:cs="Arial" w:eastAsia="Arial" w:hAnsi="Arial"/>
          <w:sz w:val="16"/>
          <w:szCs w:val="16"/>
          <w:color w:val="auto"/>
        </w:rPr>
      </w:pPr>
    </w:p>
    <w:p>
      <w:pPr>
        <w:ind w:right="40" w:firstLine="1492"/>
        <w:spacing w:after="0" w:line="269" w:lineRule="auto"/>
        <w:tabs>
          <w:tab w:leader="none" w:pos="1873"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Notwithstanding anything to the contrary in the Grant Notice, if the Participant is terminated without Cause or resigns for Good Reason (each as defined in the Participant’s employment agreement with the Company dated April 26, 2018) prior to the settlement of the Award, the Participant will remain eligible to vest (determined in accordance with the terms set forth in the Grant Notice) in a pro rata portion of the Restricted Stock Units on the Certification Date,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Restricted Stock Units remaining outstanding and unvested immediately prior to the Change in Control (after application of the foregoing provisions of this Section 2.2(b)) shall vest and become non-forfeitable at the target level of achievement (determined in accordance with the Grant Notice) immediately upon the occurrence of the Change in Control and the date that the Change in Control is consummated shall be the Settlement Date for purposes of Section 7 hereof.</w:t>
      </w:r>
    </w:p>
    <w:p>
      <w:pPr>
        <w:spacing w:after="0" w:line="179" w:lineRule="exact"/>
        <w:rPr>
          <w:rFonts w:ascii="Arial" w:cs="Arial" w:eastAsia="Arial" w:hAnsi="Arial"/>
          <w:sz w:val="17"/>
          <w:szCs w:val="17"/>
          <w:color w:val="auto"/>
        </w:rPr>
      </w:pPr>
    </w:p>
    <w:p>
      <w:pPr>
        <w:ind w:right="40" w:firstLine="1492"/>
        <w:spacing w:after="0" w:line="264" w:lineRule="auto"/>
        <w:tabs>
          <w:tab w:leader="none" w:pos="1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Further, all unvested Units will be forfeited and cancelled and the Participant will not be entitled to any compensation or other amount with respect thereto.</w:t>
      </w:r>
    </w:p>
    <w:p>
      <w:pPr>
        <w:spacing w:after="0" w:line="181" w:lineRule="exact"/>
        <w:rPr>
          <w:rFonts w:ascii="Arial" w:cs="Arial" w:eastAsia="Arial" w:hAnsi="Arial"/>
          <w:sz w:val="18"/>
          <w:szCs w:val="18"/>
          <w:color w:val="auto"/>
        </w:rPr>
      </w:pPr>
    </w:p>
    <w:p>
      <w:pPr>
        <w:ind w:right="320" w:firstLine="1492"/>
        <w:spacing w:after="0" w:line="277" w:lineRule="auto"/>
        <w:tabs>
          <w:tab w:leader="none" w:pos="18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right="400" w:firstLine="1492"/>
        <w:spacing w:after="0" w:line="277" w:lineRule="auto"/>
        <w:tabs>
          <w:tab w:leader="none" w:pos="1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840" w:hanging="348"/>
        <w:spacing w:after="0"/>
        <w:tabs>
          <w:tab w:leader="none" w:pos="1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jc w:val="both"/>
        <w:ind w:right="260" w:firstLine="1492"/>
        <w:spacing w:after="0" w:line="264" w:lineRule="auto"/>
        <w:tabs>
          <w:tab w:leader="none" w:pos="18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4" w:name="page35"/>
    <w:bookmarkEnd w:id="34"/>
    <w:p>
      <w:pPr>
        <w:ind w:left="1800" w:hanging="388"/>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Participant is voluntarily participating in the Plan.</w:t>
      </w:r>
    </w:p>
    <w:p>
      <w:pPr>
        <w:spacing w:after="0" w:line="225" w:lineRule="exact"/>
        <w:rPr>
          <w:rFonts w:ascii="Arial" w:cs="Arial" w:eastAsia="Arial" w:hAnsi="Arial"/>
          <w:sz w:val="18"/>
          <w:szCs w:val="18"/>
          <w:color w:val="auto"/>
        </w:rPr>
      </w:pPr>
    </w:p>
    <w:p>
      <w:pPr>
        <w:ind w:left="-80" w:right="200" w:firstLine="1492"/>
        <w:spacing w:after="0" w:line="308" w:lineRule="auto"/>
        <w:tabs>
          <w:tab w:leader="none" w:pos="175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146" w:lineRule="exact"/>
        <w:rPr>
          <w:rFonts w:ascii="Arial" w:cs="Arial" w:eastAsia="Arial" w:hAnsi="Arial"/>
          <w:sz w:val="17"/>
          <w:szCs w:val="17"/>
          <w:color w:val="auto"/>
        </w:rPr>
      </w:pPr>
    </w:p>
    <w:p>
      <w:pPr>
        <w:ind w:left="-80" w:right="80" w:firstLine="1492"/>
        <w:spacing w:after="0" w:line="342" w:lineRule="auto"/>
        <w:tabs>
          <w:tab w:leader="none" w:pos="175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23" w:lineRule="exact"/>
        <w:rPr>
          <w:rFonts w:ascii="Arial" w:cs="Arial" w:eastAsia="Arial" w:hAnsi="Arial"/>
          <w:sz w:val="16"/>
          <w:szCs w:val="16"/>
          <w:color w:val="auto"/>
        </w:rPr>
      </w:pPr>
    </w:p>
    <w:p>
      <w:pPr>
        <w:ind w:left="-80" w:firstLine="1492"/>
        <w:spacing w:after="0" w:line="264" w:lineRule="auto"/>
        <w:tabs>
          <w:tab w:leader="none" w:pos="17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1" w:lineRule="exact"/>
        <w:rPr>
          <w:rFonts w:ascii="Arial" w:cs="Arial" w:eastAsia="Arial" w:hAnsi="Arial"/>
          <w:sz w:val="18"/>
          <w:szCs w:val="18"/>
          <w:color w:val="auto"/>
        </w:rPr>
      </w:pPr>
    </w:p>
    <w:p>
      <w:pPr>
        <w:ind w:left="-80" w:right="120" w:firstLine="1492"/>
        <w:spacing w:after="0" w:line="277" w:lineRule="auto"/>
        <w:tabs>
          <w:tab w:leader="none" w:pos="17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ind w:left="-80" w:right="180" w:firstLine="1492"/>
        <w:spacing w:after="0" w:line="276" w:lineRule="auto"/>
        <w:tabs>
          <w:tab w:leader="none" w:pos="18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69" w:lineRule="exact"/>
        <w:rPr>
          <w:sz w:val="20"/>
          <w:szCs w:val="20"/>
          <w:color w:val="auto"/>
        </w:rPr>
      </w:pPr>
    </w:p>
    <w:p>
      <w:pPr>
        <w:ind w:left="840"/>
        <w:spacing w:after="0"/>
        <w:tabs>
          <w:tab w:leader="none" w:pos="12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Data Privacy Consent.</w:t>
      </w:r>
    </w:p>
    <w:p>
      <w:pPr>
        <w:spacing w:after="0" w:line="225" w:lineRule="exact"/>
        <w:rPr>
          <w:sz w:val="20"/>
          <w:szCs w:val="20"/>
          <w:color w:val="auto"/>
        </w:rPr>
      </w:pPr>
    </w:p>
    <w:p>
      <w:pPr>
        <w:ind w:left="-80" w:right="20" w:firstLine="1492"/>
        <w:spacing w:after="0" w:line="261" w:lineRule="auto"/>
        <w:tabs>
          <w:tab w:leader="none" w:pos="1783"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ADMINISTERING AND MANAGING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80" w:lineRule="exact"/>
        <w:rPr>
          <w:rFonts w:ascii="Arial" w:cs="Arial" w:eastAsia="Arial" w:hAnsi="Arial"/>
          <w:sz w:val="18"/>
          <w:szCs w:val="18"/>
          <w:color w:val="auto"/>
        </w:rPr>
      </w:pPr>
    </w:p>
    <w:p>
      <w:pPr>
        <w:ind w:left="-80" w:right="60" w:firstLine="1492"/>
        <w:spacing w:after="0" w:line="261" w:lineRule="auto"/>
        <w:tabs>
          <w:tab w:leader="none" w:pos="1793"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 INFORMATION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 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320" w:top="274" w:right="299" w:bottom="1440" w:gutter="0" w:footer="0" w:header="0"/>
        </w:sectPr>
      </w:pPr>
    </w:p>
    <w:bookmarkStart w:id="35" w:name="page36"/>
    <w:bookmarkEnd w:id="35"/>
    <w:p>
      <w:pPr>
        <w:spacing w:after="0" w:line="252"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WHICH MAY INCLUDE AREAS OUTSIDE THE </w:t>
      </w:r>
      <w:r>
        <w:rPr>
          <w:rFonts w:ascii="Arial" w:cs="Arial" w:eastAsia="Arial" w:hAnsi="Arial"/>
          <w:sz w:val="18"/>
          <w:szCs w:val="18"/>
          <w:b w:val="1"/>
          <w:bCs w:val="1"/>
          <w:color w:val="auto"/>
        </w:rPr>
        <w:t>E</w:t>
      </w:r>
      <w:r>
        <w:rPr>
          <w:rFonts w:ascii="Arial" w:cs="Arial" w:eastAsia="Arial" w:hAnsi="Arial"/>
          <w:sz w:val="15"/>
          <w:szCs w:val="15"/>
          <w:b w:val="1"/>
          <w:bCs w:val="1"/>
          <w:color w:val="auto"/>
        </w:rPr>
        <w:t xml:space="preserve">UROPEAN </w:t>
      </w:r>
      <w:r>
        <w:rPr>
          <w:rFonts w:ascii="Arial" w:cs="Arial" w:eastAsia="Arial" w:hAnsi="Arial"/>
          <w:sz w:val="18"/>
          <w:szCs w:val="18"/>
          <w:b w:val="1"/>
          <w:bCs w:val="1"/>
          <w:color w:val="auto"/>
        </w:rPr>
        <w:t>E</w:t>
      </w:r>
      <w:r>
        <w:rPr>
          <w:rFonts w:ascii="Arial" w:cs="Arial" w:eastAsia="Arial" w:hAnsi="Arial"/>
          <w:sz w:val="15"/>
          <w:szCs w:val="15"/>
          <w:b w:val="1"/>
          <w:bCs w:val="1"/>
          <w:color w:val="auto"/>
        </w:rPr>
        <w:t>CONOMIC AREA AND THAT THE 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COUNTRY MAY HAVE DIFFERENT DATA PRIVACY LAWS AND PROTECTIONS THAN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REQUEST A LIST WITH THE NAMES AND ADDRESSES OF ANY POTENTIAL RECIPIENTS OF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AUTHORIZES THE RECIPIENTS TO RECEIVE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POSSESS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USE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RETAIN AND TRANSFER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PURPOSES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 REQUISITE TRANSFER OF 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MAY ELECT TO DEPOSIT ANY SHARES ACQUIRED UPON SETTLEMENT OF THE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WILL BE HELD ONLY AS LONG AS IS NECESSARY TO 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AT ANY TIME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VIEW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REQUEST ADDITIONAL INFORMATION ABOUT THE STORAGE AND 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HOWEVER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THAT REFUSING OR WITHDRAWING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CONSENT MAY AFFECT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ABILITY TO 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F</w:t>
      </w:r>
      <w:r>
        <w:rPr>
          <w:rFonts w:ascii="Arial" w:cs="Arial" w:eastAsia="Arial" w:hAnsi="Arial"/>
          <w:sz w:val="15"/>
          <w:szCs w:val="15"/>
          <w:b w:val="1"/>
          <w:bCs w:val="1"/>
          <w:color w:val="auto"/>
        </w:rPr>
        <w:t xml:space="preserve">OR MORE INFORMATION ON THE CONSEQUENCES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 WITHDRAWAL OF CONSENT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CONTACT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19" w:lineRule="exact"/>
        <w:rPr>
          <w:sz w:val="20"/>
          <w:szCs w:val="20"/>
          <w:color w:val="auto"/>
        </w:rPr>
      </w:pPr>
    </w:p>
    <w:p>
      <w:pPr>
        <w:ind w:left="780" w:hanging="31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296" w:lineRule="exact"/>
        <w:rPr>
          <w:sz w:val="20"/>
          <w:szCs w:val="20"/>
          <w:color w:val="auto"/>
        </w:rPr>
      </w:pPr>
    </w:p>
    <w:p>
      <w:pPr>
        <w:ind w:left="780" w:hanging="31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0" w:right="259" w:bottom="1440" w:gutter="0" w:footer="0" w:header="0"/>
        </w:sectPr>
      </w:pPr>
    </w:p>
    <w:bookmarkStart w:id="36" w:name="page37"/>
    <w:bookmarkEnd w:id="36"/>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20"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84"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w:t>
      </w:r>
    </w:p>
    <w:p>
      <w:pPr>
        <w:spacing w:after="0" w:line="3" w:lineRule="exact"/>
        <w:rPr>
          <w:sz w:val="20"/>
          <w:szCs w:val="20"/>
          <w:color w:val="auto"/>
        </w:rPr>
      </w:pPr>
    </w:p>
    <w:p>
      <w:pPr>
        <w:jc w:val="both"/>
        <w:ind w:right="140" w:firstLine="8"/>
        <w:spacing w:after="0" w:line="277" w:lineRule="auto"/>
        <w:tabs>
          <w:tab w:leader="none" w:pos="2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277" w:lineRule="exact"/>
        <w:rPr>
          <w:sz w:val="20"/>
          <w:szCs w:val="20"/>
          <w:color w:val="auto"/>
        </w:rPr>
      </w:pPr>
    </w:p>
    <w:p>
      <w:pPr>
        <w:ind w:left="780" w:hanging="31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251" w:lineRule="exact"/>
        <w:rPr>
          <w:sz w:val="20"/>
          <w:szCs w:val="20"/>
          <w:color w:val="auto"/>
        </w:rPr>
      </w:pPr>
    </w:p>
    <w:p>
      <w:pPr>
        <w:ind w:left="780" w:hanging="31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60" w:firstLine="913"/>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Grant of Company Reacquisition Right.</w:t>
      </w:r>
      <w:r>
        <w:rPr>
          <w:rFonts w:ascii="Arial" w:cs="Arial" w:eastAsia="Arial" w:hAnsi="Arial"/>
          <w:sz w:val="17"/>
          <w:szCs w:val="17"/>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7"/>
          <w:szCs w:val="17"/>
          <w:b w:val="1"/>
          <w:bCs w:val="1"/>
          <w:i w:val="1"/>
          <w:iCs w:val="1"/>
          <w:color w:val="auto"/>
        </w:rPr>
        <w:t>“Company Reacquisition Right”</w:t>
      </w:r>
      <w:r>
        <w:rPr>
          <w:rFonts w:ascii="Arial" w:cs="Arial" w:eastAsia="Arial" w:hAnsi="Arial"/>
          <w:sz w:val="17"/>
          <w:szCs w:val="17"/>
          <w:color w:val="auto"/>
        </w:rPr>
        <w:t>).</w:t>
      </w:r>
    </w:p>
    <w:p>
      <w:pPr>
        <w:spacing w:after="0" w:line="266" w:lineRule="exact"/>
        <w:rPr>
          <w:sz w:val="20"/>
          <w:szCs w:val="20"/>
          <w:color w:val="auto"/>
        </w:rPr>
      </w:pPr>
    </w:p>
    <w:p>
      <w:pPr>
        <w:ind w:left="780" w:hanging="31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vest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calendar year following the calendar year in which such vesting occurs), the Company shall issue to the Participant with respect to each such Vested Unit one (1) share of Stock. Shares of Stock issued in settlement of Units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274" w:right="319" w:bottom="1440" w:gutter="0" w:footer="0" w:header="0"/>
        </w:sectPr>
      </w:pPr>
    </w:p>
    <w:bookmarkStart w:id="37" w:name="page38"/>
    <w:bookmarkEnd w:id="37"/>
    <w:p>
      <w:pPr>
        <w:ind w:right="5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12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Restrictions on Grant of the Award and Issuance of Shares.</w:t>
      </w:r>
      <w:r>
        <w:rPr>
          <w:rFonts w:ascii="Arial" w:cs="Arial" w:eastAsia="Arial" w:hAnsi="Arial"/>
          <w:sz w:val="17"/>
          <w:szCs w:val="17"/>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4"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Company shall not be required to issue fractional shares upon the settlement of the Award.</w:t>
      </w:r>
    </w:p>
    <w:p>
      <w:pPr>
        <w:spacing w:after="0" w:line="333" w:lineRule="exact"/>
        <w:rPr>
          <w:sz w:val="20"/>
          <w:szCs w:val="20"/>
          <w:color w:val="auto"/>
        </w:rPr>
      </w:pPr>
    </w:p>
    <w:p>
      <w:pPr>
        <w:ind w:left="780" w:hanging="31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Regardless of any action the Company or the Participant’s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 all income tax, social insurance, payroll tax, payment on account or other tax-related withholding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the Participant acknowledges and agrees that the ultimate liability for all Tax-Related Items legally due by the Participant is and remains the Participant’s responsibility and that the Company and 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 to tax in more than one jurisdiction,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8" w:name="page39"/>
    <w:bookmarkEnd w:id="38"/>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8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w:t>
      </w:r>
    </w:p>
    <w:p>
      <w:pPr>
        <w:spacing w:after="0" w:line="2" w:lineRule="exact"/>
        <w:rPr>
          <w:sz w:val="20"/>
          <w:szCs w:val="20"/>
          <w:color w:val="auto"/>
        </w:rPr>
      </w:pPr>
    </w:p>
    <w:p>
      <w:pPr>
        <w:ind w:right="20" w:firstLine="8"/>
        <w:spacing w:after="0" w:line="288" w:lineRule="auto"/>
        <w:tabs>
          <w:tab w:leader="none" w:pos="2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withholding from the Participant’s wages or other cash compensation paid by the Company and/or Employer; and/or (3) withholding from proceeds of the sale of shares acquired upon settlement of the Units, either through a voluntary sale or through a sale arranged by the Company (on the Participant’s behalf pursuant to this authorization), to the extent permitted by the Administrator. The “Retained Share Amount”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6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275" w:lineRule="exact"/>
        <w:rPr>
          <w:sz w:val="20"/>
          <w:szCs w:val="20"/>
          <w:color w:val="auto"/>
        </w:rPr>
      </w:pPr>
    </w:p>
    <w:p>
      <w:pPr>
        <w:ind w:left="780" w:hanging="31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event of a Change in Control during the Performance Period, subject to the Participant’s continued Service on the date that such Change in Control is consummated, the Target Award (and any Dividend Equivalent Units associated therewith) will vest and the date that the Change in Control is consummated will be treated as the Settlement Date for purposes of Section 7 hereof. No Restricted Stock Units in excess of the Target Award shall vest pursuant to this Agreement and all Restricted Stock Units in excess of the Target Award shall immediately be forfeited and cancelled, and the Participant shall not be entitled to any compensation or other amount with respect thereto.</w:t>
      </w:r>
    </w:p>
    <w:p>
      <w:pPr>
        <w:spacing w:after="0" w:line="292" w:lineRule="exact"/>
        <w:rPr>
          <w:sz w:val="20"/>
          <w:szCs w:val="20"/>
          <w:color w:val="auto"/>
        </w:rPr>
      </w:pPr>
    </w:p>
    <w:p>
      <w:pPr>
        <w:ind w:left="860" w:hanging="396"/>
        <w:spacing w:after="0"/>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39" w:name="page40"/>
    <w:bookmarkEnd w:id="3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282" w:lineRule="exact"/>
        <w:rPr>
          <w:sz w:val="20"/>
          <w:szCs w:val="20"/>
          <w:color w:val="auto"/>
        </w:rPr>
      </w:pPr>
    </w:p>
    <w:p>
      <w:pPr>
        <w:ind w:left="860" w:hanging="396"/>
        <w:spacing w:after="0"/>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271" w:lineRule="exact"/>
        <w:rPr>
          <w:sz w:val="20"/>
          <w:szCs w:val="20"/>
          <w:color w:val="auto"/>
        </w:rPr>
      </w:pPr>
    </w:p>
    <w:p>
      <w:pPr>
        <w:ind w:left="860" w:hanging="396"/>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291" w:lineRule="exact"/>
        <w:rPr>
          <w:sz w:val="20"/>
          <w:szCs w:val="20"/>
          <w:color w:val="auto"/>
        </w:rPr>
      </w:pPr>
    </w:p>
    <w:p>
      <w:pPr>
        <w:ind w:left="860" w:hanging="396"/>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Termination or Amendment.</w:t>
      </w:r>
      <w:r>
        <w:rPr>
          <w:rFonts w:ascii="Arial" w:cs="Arial" w:eastAsia="Arial" w:hAnsi="Arial"/>
          <w:sz w:val="18"/>
          <w:szCs w:val="18"/>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0" w:name="page41"/>
    <w:bookmarkEnd w:id="40"/>
    <w:p>
      <w:pPr>
        <w:ind w:right="120" w:firstLine="913"/>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13.2 </w:t>
      </w:r>
      <w:r>
        <w:rPr>
          <w:rFonts w:ascii="Arial" w:cs="Arial" w:eastAsia="Arial" w:hAnsi="Arial"/>
          <w:sz w:val="16"/>
          <w:szCs w:val="16"/>
          <w:b w:val="1"/>
          <w:bCs w:val="1"/>
          <w:color w:val="auto"/>
        </w:rPr>
        <w:t>Nontransferability of the Award.</w:t>
      </w:r>
      <w:r>
        <w:rPr>
          <w:rFonts w:ascii="Arial" w:cs="Arial" w:eastAsia="Arial" w:hAnsi="Arial"/>
          <w:sz w:val="16"/>
          <w:szCs w:val="16"/>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51"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40" w:firstLine="913"/>
        <w:spacing w:after="0" w:line="313"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color w:val="auto"/>
        </w:rPr>
        <w:t>Binding Effect.</w:t>
      </w:r>
      <w:r>
        <w:rPr>
          <w:rFonts w:ascii="Arial" w:cs="Arial" w:eastAsia="Arial" w:hAnsi="Arial"/>
          <w:sz w:val="17"/>
          <w:szCs w:val="17"/>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3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Delivery of Documents and Notices.</w:t>
      </w:r>
      <w:r>
        <w:rPr>
          <w:rFonts w:ascii="Arial" w:cs="Arial" w:eastAsia="Arial" w:hAnsi="Arial"/>
          <w:sz w:val="18"/>
          <w:szCs w:val="18"/>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92" w:lineRule="exact"/>
        <w:rPr>
          <w:sz w:val="20"/>
          <w:szCs w:val="20"/>
          <w:color w:val="auto"/>
        </w:rPr>
      </w:pPr>
    </w:p>
    <w:p>
      <w:pPr>
        <w:ind w:right="260" w:firstLine="1492"/>
        <w:spacing w:after="0" w:line="273" w:lineRule="auto"/>
        <w:tabs>
          <w:tab w:leader="none" w:pos="1863"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8" w:lineRule="exact"/>
        <w:rPr>
          <w:rFonts w:ascii="Arial" w:cs="Arial" w:eastAsia="Arial" w:hAnsi="Arial"/>
          <w:sz w:val="17"/>
          <w:szCs w:val="17"/>
          <w:color w:val="auto"/>
        </w:rPr>
      </w:pPr>
    </w:p>
    <w:p>
      <w:pPr>
        <w:ind w:right="60" w:firstLine="1492"/>
        <w:spacing w:after="0" w:line="257" w:lineRule="auto"/>
        <w:tabs>
          <w:tab w:leader="none" w:pos="1873"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Consent to Electronic Delivery. </w:t>
      </w:r>
      <w:r>
        <w:rPr>
          <w:rFonts w:ascii="Arial" w:cs="Arial" w:eastAsia="Arial" w:hAnsi="Arial"/>
          <w:sz w:val="18"/>
          <w:szCs w:val="18"/>
          <w:color w:val="auto"/>
        </w:rPr>
        <w:t>The Participant acknowledges that the Participant has read Section 13.5(a) of this Agreement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0" w:right="279" w:bottom="1440" w:gutter="0" w:footer="0" w:header="0"/>
        </w:sectPr>
      </w:pPr>
    </w:p>
    <w:bookmarkStart w:id="41" w:name="page42"/>
    <w:bookmarkEnd w:id="4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89"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b w:val="1"/>
          <w:bCs w:val="1"/>
          <w:color w:val="auto"/>
        </w:rPr>
        <w:t>Country-Specific Terms and Conditions.</w:t>
      </w:r>
      <w:r>
        <w:rPr>
          <w:rFonts w:ascii="Arial" w:cs="Arial" w:eastAsia="Arial" w:hAnsi="Arial"/>
          <w:sz w:val="16"/>
          <w:szCs w:val="16"/>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54" w:lineRule="exact"/>
        <w:rPr>
          <w:sz w:val="20"/>
          <w:szCs w:val="20"/>
          <w:color w:val="auto"/>
        </w:rPr>
      </w:pPr>
    </w:p>
    <w:p>
      <w:pPr>
        <w:ind w:firstLine="913"/>
        <w:spacing w:after="0" w:line="277"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68"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4" w:right="29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70"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131"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13.10:</w:t>
      </w:r>
    </w:p>
    <w:p>
      <w:pPr>
        <w:spacing w:after="0" w:line="113" w:lineRule="exact"/>
        <w:rPr>
          <w:rFonts w:ascii="Arial" w:cs="Arial" w:eastAsia="Arial" w:hAnsi="Arial"/>
          <w:sz w:val="18"/>
          <w:szCs w:val="18"/>
          <w:color w:val="auto"/>
        </w:rPr>
      </w:pPr>
    </w:p>
    <w:p>
      <w:pPr>
        <w:ind w:left="460"/>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0" w:right="25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TSR PSU NOTICE OF GRANT AND AWARD AGREEMENT</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019"/>
          </w:cols>
          <w:pgMar w:left="1440" w:top="270"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TSR RESTRICTED STOCK UNITS</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Participant has been granted an award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w:t>
      </w:r>
      <w:r>
        <w:rPr>
          <w:rFonts w:ascii="Arial" w:cs="Arial" w:eastAsia="Arial" w:hAnsi="Arial"/>
          <w:sz w:val="18"/>
          <w:szCs w:val="18"/>
          <w:color w:val="auto"/>
        </w:rPr>
        <w:t xml:space="preserve">) of certain Restricted Stock Units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i w:val="1"/>
          <w:iCs w:val="1"/>
          <w:color w:val="auto"/>
        </w:rPr>
        <w:t>”</w:t>
      </w:r>
      <w:r>
        <w:rPr>
          <w:rFonts w:ascii="Arial" w:cs="Arial" w:eastAsia="Arial" w:hAnsi="Arial"/>
          <w:sz w:val="18"/>
          <w:szCs w:val="18"/>
          <w:color w:val="auto"/>
        </w:rPr>
        <w:t xml:space="preserve">) of MagnaChip Semiconductor Corporation pursuant to the MagnaChip Semiconductor Corporation 2011 Equity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and the MagnaChip Semiconductor Corporation Restricted Stock Units Agreement (TSR) (the “</w:t>
      </w:r>
      <w:r>
        <w:rPr>
          <w:rFonts w:ascii="Arial" w:cs="Arial" w:eastAsia="Arial" w:hAnsi="Arial"/>
          <w:sz w:val="18"/>
          <w:szCs w:val="18"/>
          <w:b w:val="1"/>
          <w:bCs w:val="1"/>
          <w:i w:val="1"/>
          <w:iCs w:val="1"/>
          <w:color w:val="auto"/>
        </w:rPr>
        <w:t>Restricted Stock Units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as follows:</w:t>
      </w:r>
    </w:p>
    <w:p>
      <w:pPr>
        <w:sectPr>
          <w:pgSz w:w="11900" w:h="16838" w:orient="portrait"/>
          <w:cols w:equalWidth="0" w:num="1">
            <w:col w:w="11420"/>
          </w:cols>
          <w:pgMar w:left="240" w:top="270" w:right="2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Young Joon Kim</w:t>
      </w:r>
    </w:p>
    <w:p>
      <w:pPr>
        <w:spacing w:after="0" w:line="207" w:lineRule="exact"/>
        <w:rPr>
          <w:sz w:val="20"/>
          <w:szCs w:val="20"/>
          <w:color w:val="auto"/>
        </w:rPr>
      </w:pPr>
    </w:p>
    <w:p>
      <w:pPr>
        <w:sectPr>
          <w:pgSz w:w="11900" w:h="16838" w:orient="portrait"/>
          <w:cols w:equalWidth="0" w:num="2">
            <w:col w:w="3280" w:space="720"/>
            <w:col w:w="7420"/>
          </w:cols>
          <w:pgMar w:left="240" w:top="270"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April 30, 2018 (the “</w:t>
      </w:r>
      <w:r>
        <w:rPr>
          <w:rFonts w:ascii="Arial" w:cs="Arial" w:eastAsia="Arial" w:hAnsi="Arial"/>
          <w:sz w:val="17"/>
          <w:szCs w:val="17"/>
          <w:b w:val="1"/>
          <w:bCs w:val="1"/>
          <w:i w:val="1"/>
          <w:iCs w:val="1"/>
          <w:color w:val="auto"/>
        </w:rPr>
        <w:t>Grant Date</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280" w:space="720"/>
            <w:col w:w="7420"/>
          </w:cols>
          <w:pgMar w:left="240" w:top="270"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Number of Restricted Stock Units: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supermaximum achievement, 37,200, subject to adjustment as provided by the Restricted Stock Units Agreement. The Participant’s overall target-level award hereunder is equal to 18,600 Restricted Stock Units (the “</w:t>
      </w:r>
      <w:r>
        <w:rPr>
          <w:rFonts w:ascii="Arial" w:cs="Arial" w:eastAsia="Arial" w:hAnsi="Arial"/>
          <w:sz w:val="18"/>
          <w:szCs w:val="18"/>
          <w:b w:val="1"/>
          <w:bCs w:val="1"/>
          <w:i w:val="1"/>
          <w:iCs w:val="1"/>
          <w:color w:val="auto"/>
        </w:rPr>
        <w:t>Target Award</w:t>
      </w:r>
      <w:r>
        <w:rPr>
          <w:rFonts w:ascii="Arial" w:cs="Arial" w:eastAsia="Arial" w:hAnsi="Arial"/>
          <w:sz w:val="18"/>
          <w:szCs w:val="18"/>
          <w:color w:val="auto"/>
        </w:rPr>
        <w:t>”).</w:t>
      </w:r>
    </w:p>
    <w:p>
      <w:pPr>
        <w:spacing w:after="0" w:line="177" w:lineRule="exact"/>
        <w:rPr>
          <w:sz w:val="20"/>
          <w:szCs w:val="20"/>
          <w:color w:val="auto"/>
        </w:rPr>
      </w:pPr>
    </w:p>
    <w:p>
      <w:pPr>
        <w:sectPr>
          <w:pgSz w:w="11900" w:h="16838" w:orient="portrait"/>
          <w:cols w:equalWidth="0" w:num="2">
            <w:col w:w="3280" w:space="720"/>
            <w:col w:w="74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Initial Vesting Date and Vesting Conditions:</w:t>
      </w:r>
    </w:p>
    <w:p>
      <w:pPr>
        <w:spacing w:after="0" w:line="20" w:lineRule="exact"/>
        <w:rPr>
          <w:sz w:val="20"/>
          <w:szCs w:val="20"/>
          <w:color w:val="auto"/>
        </w:rPr>
      </w:pPr>
      <w:r>
        <w:rPr>
          <w:sz w:val="20"/>
          <w:szCs w:val="20"/>
          <w:color w:val="auto"/>
        </w:rPr>
        <w:br w:type="column"/>
      </w:r>
    </w:p>
    <w:p>
      <w:pPr>
        <w:ind w:right="40"/>
        <w:spacing w:after="0" w:line="279" w:lineRule="auto"/>
        <w:rPr>
          <w:sz w:val="20"/>
          <w:szCs w:val="20"/>
          <w:color w:val="auto"/>
        </w:rPr>
      </w:pPr>
      <w:r>
        <w:rPr>
          <w:rFonts w:ascii="Arial" w:cs="Arial" w:eastAsia="Arial" w:hAnsi="Arial"/>
          <w:sz w:val="17"/>
          <w:szCs w:val="17"/>
          <w:color w:val="auto"/>
        </w:rPr>
        <w:t>The Participant’s right to receive all or any portion of the Units granted hereunder is contingent upon the Company’s achievement of the performance goal (the “</w:t>
      </w:r>
      <w:r>
        <w:rPr>
          <w:rFonts w:ascii="Arial" w:cs="Arial" w:eastAsia="Arial" w:hAnsi="Arial"/>
          <w:sz w:val="17"/>
          <w:szCs w:val="17"/>
          <w:b w:val="1"/>
          <w:bCs w:val="1"/>
          <w:i w:val="1"/>
          <w:iCs w:val="1"/>
          <w:color w:val="auto"/>
        </w:rPr>
        <w:t>Performance Goal</w:t>
      </w:r>
      <w:r>
        <w:rPr>
          <w:rFonts w:ascii="Arial" w:cs="Arial" w:eastAsia="Arial" w:hAnsi="Arial"/>
          <w:sz w:val="17"/>
          <w:szCs w:val="17"/>
          <w:color w:val="auto"/>
        </w:rPr>
        <w:t>”) specified in the performance matrix attached as Exhibit A to this Grant Notice (the “</w:t>
      </w:r>
      <w:r>
        <w:rPr>
          <w:rFonts w:ascii="Arial" w:cs="Arial" w:eastAsia="Arial" w:hAnsi="Arial"/>
          <w:sz w:val="17"/>
          <w:szCs w:val="17"/>
          <w:b w:val="1"/>
          <w:bCs w:val="1"/>
          <w:i w:val="1"/>
          <w:iCs w:val="1"/>
          <w:color w:val="auto"/>
        </w:rPr>
        <w:t>Performance Matrix</w:t>
      </w:r>
      <w:r>
        <w:rPr>
          <w:rFonts w:ascii="Arial" w:cs="Arial" w:eastAsia="Arial" w:hAnsi="Arial"/>
          <w:sz w:val="17"/>
          <w:szCs w:val="17"/>
          <w:color w:val="auto"/>
        </w:rPr>
        <w:t>”), measured over the “Performance Period” indicated in the Performance Matrix.</w:t>
      </w:r>
    </w:p>
    <w:p>
      <w:pPr>
        <w:spacing w:after="0" w:line="198" w:lineRule="exact"/>
        <w:rPr>
          <w:sz w:val="20"/>
          <w:szCs w:val="20"/>
          <w:color w:val="auto"/>
        </w:rPr>
      </w:pPr>
    </w:p>
    <w:p>
      <w:pPr>
        <w:sectPr>
          <w:pgSz w:w="11900" w:h="16838" w:orient="portrait"/>
          <w:cols w:equalWidth="0" w:num="2">
            <w:col w:w="3380" w:space="620"/>
            <w:col w:w="7420"/>
          </w:cols>
          <w:pgMar w:left="240" w:top="270" w:right="239" w:bottom="1440" w:gutter="0" w:footer="0" w:header="0"/>
          <w:type w:val="continuous"/>
        </w:sectPr>
      </w:pPr>
    </w:p>
    <w:p>
      <w:pPr>
        <w:ind w:left="4000"/>
        <w:spacing w:after="0" w:line="286" w:lineRule="auto"/>
        <w:rPr>
          <w:sz w:val="20"/>
          <w:szCs w:val="20"/>
          <w:color w:val="auto"/>
        </w:rPr>
      </w:pPr>
      <w:r>
        <w:rPr>
          <w:rFonts w:ascii="Arial" w:cs="Arial" w:eastAsia="Arial" w:hAnsi="Arial"/>
          <w:sz w:val="16"/>
          <w:szCs w:val="16"/>
          <w:color w:val="auto"/>
        </w:rPr>
        <w:t>Within 60 days following the end of the Performance Period, the Committee shall certify whether and to what extent the Units have been earned for the Performance Period (the actual date of such Committee certification, the “</w:t>
      </w:r>
      <w:r>
        <w:rPr>
          <w:rFonts w:ascii="Arial" w:cs="Arial" w:eastAsia="Arial" w:hAnsi="Arial"/>
          <w:sz w:val="16"/>
          <w:szCs w:val="16"/>
          <w:b w:val="1"/>
          <w:bCs w:val="1"/>
          <w:i w:val="1"/>
          <w:iCs w:val="1"/>
          <w:color w:val="auto"/>
        </w:rPr>
        <w:t>Certification Date</w:t>
      </w:r>
      <w:r>
        <w:rPr>
          <w:rFonts w:ascii="Arial" w:cs="Arial" w:eastAsia="Arial" w:hAnsi="Arial"/>
          <w:sz w:val="16"/>
          <w:szCs w:val="16"/>
          <w:color w:val="auto"/>
        </w:rPr>
        <w:t>”). The Committee’s determination of the foregoing shall be final and binding on the Participant absent a showing of manifest error or that the Committee acted in bad faith. Upon such determinations by the Committee, the applicable portion of the Units determined by the Payout Percentage (as defined in the Performance Matrix) as a fraction of the Target Award shall vest and become non-forfeitable (subject to the Participant’s continuous Service from the Grant Date through the end of the Performance Period except as provided by Section 2.2(b) of the Restricted Stock Units Agreement) (each such Unit, a “</w:t>
      </w:r>
      <w:r>
        <w:rPr>
          <w:rFonts w:ascii="Arial" w:cs="Arial" w:eastAsia="Arial" w:hAnsi="Arial"/>
          <w:sz w:val="16"/>
          <w:szCs w:val="16"/>
          <w:b w:val="1"/>
          <w:bCs w:val="1"/>
          <w:i w:val="1"/>
          <w:iCs w:val="1"/>
          <w:color w:val="auto"/>
        </w:rPr>
        <w:t>Vested Unit</w:t>
      </w:r>
      <w:r>
        <w:rPr>
          <w:rFonts w:ascii="Arial" w:cs="Arial" w:eastAsia="Arial" w:hAnsi="Arial"/>
          <w:sz w:val="16"/>
          <w:szCs w:val="16"/>
          <w:color w:val="auto"/>
        </w:rPr>
        <w:t>”). On the Certification Date, any Units which do not vest in accordance with the immediately preceding sentence shall immediately be forfeited and cancelled, and the Participant shall not be entitled to any compensation or other amount with respect thereto. Notwithstanding any other provision of this Grant Notice or the Restricted Stock Units Agreement, but subject to Section 2.2 of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type w:val="continuous"/>
        </w:sectPr>
      </w:pPr>
    </w:p>
    <w:bookmarkStart w:id="46" w:name="page47"/>
    <w:bookmarkEnd w:id="46"/>
    <w:p>
      <w:pPr>
        <w:ind w:left="40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Units Agreement, no portion of the Units shall vest until the Committee has made the foregoing determinations.</w:t>
      </w:r>
    </w:p>
    <w:p>
      <w:pPr>
        <w:sectPr>
          <w:pgSz w:w="11900" w:h="16838" w:orient="portrait"/>
          <w:cols w:equalWidth="0" w:num="1">
            <w:col w:w="11380"/>
          </w:cols>
          <w:pgMar w:left="240" w:top="274" w:right="27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Local Law:</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laws, rules and regulations of South Korea and the United States, of which the Participant is a resident or taxpayer.</w:t>
      </w:r>
    </w:p>
    <w:p>
      <w:pPr>
        <w:spacing w:after="0" w:line="103" w:lineRule="exact"/>
        <w:rPr>
          <w:sz w:val="20"/>
          <w:szCs w:val="20"/>
          <w:color w:val="auto"/>
        </w:rPr>
      </w:pPr>
    </w:p>
    <w:p>
      <w:pPr>
        <w:sectPr>
          <w:pgSz w:w="11900" w:h="16838" w:orient="portrait"/>
          <w:cols w:equalWidth="0" w:num="2">
            <w:col w:w="3280" w:space="720"/>
            <w:col w:w="738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80"/>
          </w:cols>
          <w:pgMar w:left="240" w:top="274" w:right="279" w:bottom="1440" w:gutter="0" w:footer="0" w:header="0"/>
          <w:type w:val="continuous"/>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their signatures below, the Company and the Participant agree that the Award is governed by this Grant Notice and by the provisions of the Plan and the Restricted Stock Units Agreement, each of which are attached to and made a part of this document. The Participant acknowledges receipt of copies of the Plan and the Restricted Stock Units Agreement, represents that the Participant has read and is familiar with their provisions, and hereby accepts the Award subject to all of their terms and conditions.</w:t>
      </w:r>
    </w:p>
    <w:p>
      <w:pPr>
        <w:spacing w:after="0" w:line="214"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MAGNACHIP SEMICONDUCTOR CORPORATION</w:t>
      </w:r>
      <w:r>
        <w:rPr>
          <w:sz w:val="20"/>
          <w:szCs w:val="20"/>
          <w:color w:val="auto"/>
        </w:rPr>
        <w:tab/>
      </w:r>
      <w:r>
        <w:rPr>
          <w:rFonts w:ascii="Arial" w:cs="Arial" w:eastAsia="Arial" w:hAnsi="Arial"/>
          <w:sz w:val="16"/>
          <w:szCs w:val="16"/>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-10160</wp:posOffset>
            </wp:positionV>
            <wp:extent cx="22002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-19050</wp:posOffset>
            </wp:positionV>
            <wp:extent cx="22002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ATTACHMENTS:</w:t>
      </w:r>
      <w:r>
        <w:rPr>
          <w:sz w:val="20"/>
          <w:szCs w:val="20"/>
          <w:color w:val="auto"/>
        </w:rPr>
        <w:tab/>
      </w:r>
      <w:r>
        <w:rPr>
          <w:rFonts w:ascii="Arial" w:cs="Arial" w:eastAsia="Arial" w:hAnsi="Arial"/>
          <w:sz w:val="18"/>
          <w:szCs w:val="18"/>
          <w:color w:val="auto"/>
        </w:rPr>
        <w:t>2011 Equity Incentive Plan, as amended to the Date of Grant, and Restricted Stock Units Agreement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274" w:right="459" w:bottom="1440" w:gutter="0" w:footer="0" w:header="0"/>
        </w:sectPr>
      </w:pPr>
    </w:p>
    <w:bookmarkStart w:id="48" w:name="page49"/>
    <w:bookmarkEnd w:id="48"/>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b w:val="1"/>
          <w:bCs w:val="1"/>
          <w:u w:val="single" w:color="auto"/>
          <w:color w:val="auto"/>
        </w:rPr>
        <w:t>Performance Matrix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shall be January 1, 2018 through December 31, 2020.</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Goal</w:t>
      </w:r>
      <w:r>
        <w:rPr>
          <w:rFonts w:ascii="Arial" w:cs="Arial" w:eastAsia="Arial" w:hAnsi="Arial"/>
          <w:sz w:val="18"/>
          <w:szCs w:val="18"/>
          <w:color w:val="auto"/>
        </w:rPr>
        <w:t>” shall be the three-year total shareholder return (“</w:t>
      </w:r>
      <w:r>
        <w:rPr>
          <w:rFonts w:ascii="Arial" w:cs="Arial" w:eastAsia="Arial" w:hAnsi="Arial"/>
          <w:sz w:val="18"/>
          <w:szCs w:val="18"/>
          <w:b w:val="1"/>
          <w:bCs w:val="1"/>
          <w:i w:val="1"/>
          <w:iCs w:val="1"/>
          <w:color w:val="auto"/>
        </w:rPr>
        <w:t>TSR</w:t>
      </w:r>
      <w:r>
        <w:rPr>
          <w:rFonts w:ascii="Arial" w:cs="Arial" w:eastAsia="Arial" w:hAnsi="Arial"/>
          <w:sz w:val="18"/>
          <w:szCs w:val="18"/>
          <w:color w:val="auto"/>
        </w:rPr>
        <w:t>”) of the Company relative to the other entities in the S&amp;P Semiconductor Index (the “</w:t>
      </w:r>
      <w:r>
        <w:rPr>
          <w:rFonts w:ascii="Arial" w:cs="Arial" w:eastAsia="Arial" w:hAnsi="Arial"/>
          <w:sz w:val="18"/>
          <w:szCs w:val="18"/>
          <w:b w:val="1"/>
          <w:bCs w:val="1"/>
          <w:i w:val="1"/>
          <w:iCs w:val="1"/>
          <w:color w:val="auto"/>
        </w:rPr>
        <w:t>TSR Index</w:t>
      </w:r>
      <w:r>
        <w:rPr>
          <w:rFonts w:ascii="Arial" w:cs="Arial" w:eastAsia="Arial" w:hAnsi="Arial"/>
          <w:sz w:val="18"/>
          <w:szCs w:val="18"/>
          <w:color w:val="auto"/>
        </w:rPr>
        <w:t>”). Achievement of the Performance Goal shall be determined by the percentile rank of the Company’s TSR relative to the TSR of each other entity in the TSR Index.</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Determination of TSR: TSR for the Company and each other entity in the TSR Index shall be determined in accordance with the following formula. TSR shall be equal to the quotient of (a) divided by (b), expressed as a percentage, where:</w:t>
      </w:r>
    </w:p>
    <w:p>
      <w:pPr>
        <w:spacing w:after="0" w:line="170" w:lineRule="exact"/>
        <w:rPr>
          <w:sz w:val="20"/>
          <w:szCs w:val="20"/>
          <w:color w:val="auto"/>
        </w:rPr>
      </w:pPr>
    </w:p>
    <w:p>
      <w:pPr>
        <w:jc w:val="both"/>
        <w:ind w:right="140" w:firstLine="8"/>
        <w:spacing w:after="0" w:line="264" w:lineRule="auto"/>
        <w:tabs>
          <w:tab w:leader="none" w:pos="2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equal to the sum of (i) and (ii), where (i) is the difference determined by the Ending Price minus the Starting Price (each as defined below); and (ii) is the sum of all dividends paid on one share of common stock during the Performance Period, provided that all dividends are treated as reinvested at the time paid; and</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equal to the Starting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determining TSR:</w:t>
      </w:r>
    </w:p>
    <w:p>
      <w:pPr>
        <w:spacing w:after="0" w:line="225" w:lineRule="exact"/>
        <w:rPr>
          <w:sz w:val="20"/>
          <w:szCs w:val="20"/>
          <w:color w:val="auto"/>
        </w:rPr>
      </w:pPr>
    </w:p>
    <w:p>
      <w:pPr>
        <w:ind w:right="820" w:firstLine="8"/>
        <w:spacing w:after="0" w:line="277" w:lineRule="auto"/>
        <w:tabs>
          <w:tab w:leader="none" w:pos="2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Starting Price</w:t>
      </w:r>
      <w:r>
        <w:rPr>
          <w:rFonts w:ascii="Arial" w:cs="Arial" w:eastAsia="Arial" w:hAnsi="Arial"/>
          <w:sz w:val="18"/>
          <w:szCs w:val="18"/>
          <w:color w:val="auto"/>
        </w:rPr>
        <w:t>” means the volume-weighted average price of one share of common stock on the applicable stock exchange during the 30 days immediately preceding the first day of the Performance Period.</w:t>
      </w:r>
    </w:p>
    <w:p>
      <w:pPr>
        <w:spacing w:after="0" w:line="170" w:lineRule="exact"/>
        <w:rPr>
          <w:rFonts w:ascii="Arial" w:cs="Arial" w:eastAsia="Arial" w:hAnsi="Arial"/>
          <w:sz w:val="18"/>
          <w:szCs w:val="18"/>
          <w:color w:val="auto"/>
        </w:rPr>
      </w:pPr>
    </w:p>
    <w:p>
      <w:pPr>
        <w:ind w:right="820" w:firstLine="8"/>
        <w:spacing w:after="0" w:line="277" w:lineRule="auto"/>
        <w:tabs>
          <w:tab w:leader="none" w:pos="2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Ending Price</w:t>
      </w:r>
      <w:r>
        <w:rPr>
          <w:rFonts w:ascii="Arial" w:cs="Arial" w:eastAsia="Arial" w:hAnsi="Arial"/>
          <w:sz w:val="18"/>
          <w:szCs w:val="18"/>
          <w:color w:val="auto"/>
        </w:rPr>
        <w:t>” means the volume-weighted average price of one share of common stock on the applicable stock exchange during the 30 days immediately preceding the last day of the Performance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w:t>
      </w:r>
      <w:r>
        <w:rPr>
          <w:rFonts w:ascii="Arial" w:cs="Arial" w:eastAsia="Arial" w:hAnsi="Arial"/>
          <w:sz w:val="16"/>
          <w:szCs w:val="16"/>
          <w:b w:val="1"/>
          <w:bCs w:val="1"/>
          <w:i w:val="1"/>
          <w:iCs w:val="1"/>
          <w:color w:val="auto"/>
        </w:rPr>
        <w:t>Percentile</w:t>
      </w:r>
      <w:r>
        <w:rPr>
          <w:rFonts w:ascii="Arial" w:cs="Arial" w:eastAsia="Arial" w:hAnsi="Arial"/>
          <w:sz w:val="16"/>
          <w:szCs w:val="16"/>
          <w:color w:val="auto"/>
        </w:rPr>
        <w:t>” shall be equal to the absolute value of the difference obtained by (I) the quotient of (A) the Rank (as defined below), divided by</w:t>
      </w:r>
    </w:p>
    <w:p>
      <w:pPr>
        <w:spacing w:after="0" w:line="46" w:lineRule="exact"/>
        <w:rPr>
          <w:sz w:val="20"/>
          <w:szCs w:val="20"/>
          <w:color w:val="auto"/>
        </w:rPr>
      </w:pPr>
    </w:p>
    <w:p>
      <w:pPr>
        <w:ind w:right="420" w:firstLine="8"/>
        <w:spacing w:after="0" w:line="261" w:lineRule="auto"/>
        <w:tabs>
          <w:tab w:leader="none" w:pos="2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total number of entities in the TSR Index (including the Company, but after removal of any entities in accordance with calculation of the Rank), expressed as a percentage, minus (II) 100%.</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w:t>
      </w:r>
      <w:r>
        <w:rPr>
          <w:rFonts w:ascii="Arial" w:cs="Arial" w:eastAsia="Arial" w:hAnsi="Arial"/>
          <w:sz w:val="16"/>
          <w:szCs w:val="16"/>
          <w:b w:val="1"/>
          <w:bCs w:val="1"/>
          <w:i w:val="1"/>
          <w:iCs w:val="1"/>
          <w:color w:val="auto"/>
        </w:rPr>
        <w:t>Rank</w:t>
      </w:r>
      <w:r>
        <w:rPr>
          <w:rFonts w:ascii="Arial" w:cs="Arial" w:eastAsia="Arial" w:hAnsi="Arial"/>
          <w:sz w:val="16"/>
          <w:szCs w:val="16"/>
          <w:color w:val="auto"/>
        </w:rPr>
        <w:t>” shall be determined by the Company’s position within the ranking of each entity in the TSR Index (including the Company) in descending order based on their respective TSRs (with the highest TSR having a Rank of one). For purposes of developing the ordering provided in the immediately-preceding sentence, (A) any entity that filed for bankruptcy protection under the United States Bankruptcy Code during the Performance Period shall be assigned the lowest order of any entity in the TSR Index, and (B) any entity that is acquired during the Performance Period, or otherwise no longer listed on a national securities exchange at the end of the Performance Period (other than the Company), shall be removed from the TSR Index and shall be excluded for purposes of ordering the entities in the TSR Index (and for purposes of calculating the Company’s Percentile).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270"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8"/>
          <w:szCs w:val="18"/>
          <w:b w:val="1"/>
          <w:bCs w:val="1"/>
          <w:i w:val="1"/>
          <w:iCs w:val="1"/>
          <w:color w:val="auto"/>
        </w:rPr>
        <w:t>Payout Percentage</w:t>
      </w:r>
      <w:r>
        <w:rPr>
          <w:rFonts w:ascii="Arial" w:cs="Arial" w:eastAsia="Arial" w:hAnsi="Arial"/>
          <w:sz w:val="18"/>
          <w:szCs w:val="18"/>
          <w:color w:val="auto"/>
        </w:rPr>
        <w:t>” shall be determined as follows, subject to the exceptions below:</w:t>
      </w:r>
    </w:p>
    <w:p>
      <w:pPr>
        <w:spacing w:after="0" w:line="131" w:lineRule="exact"/>
        <w:rPr>
          <w:sz w:val="20"/>
          <w:szCs w:val="20"/>
          <w:color w:val="auto"/>
        </w:rPr>
      </w:pPr>
    </w:p>
    <w:p>
      <w:pPr>
        <w:ind w:left="90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Threshold Performance: If the Company’s Percentile equals 35% (the “</w:t>
      </w:r>
      <w:r>
        <w:rPr>
          <w:rFonts w:ascii="Arial" w:cs="Arial" w:eastAsia="Arial" w:hAnsi="Arial"/>
          <w:sz w:val="18"/>
          <w:szCs w:val="18"/>
          <w:b w:val="1"/>
          <w:bCs w:val="1"/>
          <w:i w:val="1"/>
          <w:iCs w:val="1"/>
          <w:color w:val="auto"/>
        </w:rPr>
        <w:t>Threshold Percentile</w:t>
      </w:r>
      <w:r>
        <w:rPr>
          <w:rFonts w:ascii="Arial" w:cs="Arial" w:eastAsia="Arial" w:hAnsi="Arial"/>
          <w:sz w:val="18"/>
          <w:szCs w:val="18"/>
          <w:color w:val="auto"/>
        </w:rPr>
        <w:t>”), the Payout Percentage shall be 50%. The Payout Percentage shall equal zero if the Company Percentile is less than 35%.</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Target Performance: If the Company’s Percentile equals 60% (the “</w:t>
      </w:r>
      <w:r>
        <w:rPr>
          <w:rFonts w:ascii="Arial" w:cs="Arial" w:eastAsia="Arial" w:hAnsi="Arial"/>
          <w:sz w:val="18"/>
          <w:szCs w:val="18"/>
          <w:b w:val="1"/>
          <w:bCs w:val="1"/>
          <w:i w:val="1"/>
          <w:iCs w:val="1"/>
          <w:color w:val="auto"/>
        </w:rPr>
        <w:t>Target Percentile</w:t>
      </w:r>
      <w:r>
        <w:rPr>
          <w:rFonts w:ascii="Arial" w:cs="Arial" w:eastAsia="Arial" w:hAnsi="Arial"/>
          <w:sz w:val="18"/>
          <w:szCs w:val="18"/>
          <w:color w:val="auto"/>
        </w:rPr>
        <w:t>”), the Payout Percentage shall be 100%.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Maximum Performance: If the Company’s Percentile equals 75% (the “</w:t>
      </w:r>
      <w:r>
        <w:rPr>
          <w:rFonts w:ascii="Arial" w:cs="Arial" w:eastAsia="Arial" w:hAnsi="Arial"/>
          <w:sz w:val="17"/>
          <w:szCs w:val="17"/>
          <w:b w:val="1"/>
          <w:bCs w:val="1"/>
          <w:i w:val="1"/>
          <w:iCs w:val="1"/>
          <w:color w:val="auto"/>
        </w:rPr>
        <w:t>Maximum Percentile</w:t>
      </w:r>
      <w:r>
        <w:rPr>
          <w:rFonts w:ascii="Arial" w:cs="Arial" w:eastAsia="Arial" w:hAnsi="Arial"/>
          <w:sz w:val="17"/>
          <w:szCs w:val="17"/>
          <w:color w:val="auto"/>
        </w:rPr>
        <w:t>”), the Payout Percentage shall be 150%.</w:t>
      </w:r>
    </w:p>
    <w:p>
      <w:pPr>
        <w:spacing w:after="0" w:line="142" w:lineRule="exact"/>
        <w:rPr>
          <w:rFonts w:ascii="Arial" w:cs="Arial" w:eastAsia="Arial" w:hAnsi="Arial"/>
          <w:sz w:val="17"/>
          <w:szCs w:val="17"/>
          <w:color w:val="auto"/>
        </w:rPr>
      </w:pPr>
    </w:p>
    <w:p>
      <w:pPr>
        <w:ind w:left="900" w:right="54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Supermaximum Performance: If the Company’s Percentile equals the Percentile achieved by a Rank of one in the TSR Index, the Payout Percentage shall be 200%.</w:t>
      </w:r>
    </w:p>
    <w:p>
      <w:pPr>
        <w:spacing w:after="0" w:line="75" w:lineRule="exact"/>
        <w:rPr>
          <w:rFonts w:ascii="Arial" w:cs="Arial" w:eastAsia="Arial" w:hAnsi="Arial"/>
          <w:sz w:val="18"/>
          <w:szCs w:val="18"/>
          <w:color w:val="auto"/>
        </w:rPr>
      </w:pPr>
    </w:p>
    <w:p>
      <w:pPr>
        <w:ind w:left="900" w:right="140" w:hanging="325"/>
        <w:spacing w:after="0" w:line="34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Straight-line interpolation shall be used to determine the Payout Percentage for any Company Percentile between the Threshold Percentile and the Target Percentile and between the Target Percentile and the Maximum Percentile, based upon the Payout Percentages set forth above.</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exception exists with respect to the Payout Percentage determination set forth above: If the Company’s absolute TSR (irrespective of its Rank or Percentile) is less than 0%, then the Payout Percentage shall be 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274" w:right="35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(TSR PERFORMANCE)</w:t>
      </w:r>
    </w:p>
    <w:p>
      <w:pPr>
        <w:spacing w:after="0" w:line="21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TSR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Award has been granted pursuant to and shall in all respects be subject to the terms conditions of the MagnaChip Semiconductor Corporation 2011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6"/>
          <w:szCs w:val="16"/>
          <w:b w:val="1"/>
          <w:bCs w:val="1"/>
          <w:i w:val="1"/>
          <w:iCs w:val="1"/>
          <w:color w:val="auto"/>
        </w:rPr>
        <w:t>“Plan Prospectus”</w:t>
      </w:r>
      <w:r>
        <w:rPr>
          <w:rFonts w:ascii="Arial" w:cs="Arial" w:eastAsia="Arial" w:hAnsi="Arial"/>
          <w:sz w:val="16"/>
          <w:szCs w:val="16"/>
          <w:color w:val="auto"/>
        </w:rPr>
        <w:t>), (b) accepts the Award subject to all of the terms and conditions of the Grant Notice, this Agreement and the Plan and</w:t>
      </w:r>
    </w:p>
    <w:p>
      <w:pPr>
        <w:spacing w:after="0" w:line="2" w:lineRule="exact"/>
        <w:rPr>
          <w:sz w:val="20"/>
          <w:szCs w:val="20"/>
          <w:color w:val="auto"/>
        </w:rPr>
      </w:pPr>
    </w:p>
    <w:p>
      <w:pPr>
        <w:ind w:right="100" w:firstLine="8"/>
        <w:spacing w:after="0" w:line="261" w:lineRule="auto"/>
        <w:tabs>
          <w:tab w:leader="none" w:pos="2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agrees to accept as binding, conclusive and final all decisions or interpretations of the Committee upon any questions arising under the Grant Notice, this Agreement or the Plan.</w:t>
      </w:r>
    </w:p>
    <w:p>
      <w:pPr>
        <w:spacing w:after="0" w:line="288" w:lineRule="exact"/>
        <w:rPr>
          <w:sz w:val="20"/>
          <w:szCs w:val="20"/>
          <w:color w:val="auto"/>
        </w:rPr>
      </w:pPr>
    </w:p>
    <w:p>
      <w:pPr>
        <w:ind w:left="780" w:hanging="31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 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880" w:hanging="388"/>
        <w:spacing w:after="0"/>
        <w:tabs>
          <w:tab w:leader="none" w:pos="188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225" w:lineRule="exact"/>
        <w:rPr>
          <w:rFonts w:ascii="Arial" w:cs="Arial" w:eastAsia="Arial" w:hAnsi="Arial"/>
          <w:sz w:val="18"/>
          <w:szCs w:val="18"/>
          <w:color w:val="auto"/>
        </w:rPr>
      </w:pPr>
    </w:p>
    <w:p>
      <w:pPr>
        <w:ind w:right="420" w:firstLine="1492"/>
        <w:spacing w:after="0" w:line="277" w:lineRule="auto"/>
        <w:tabs>
          <w:tab w:leader="none" w:pos="1873"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166" w:lineRule="exact"/>
        <w:rPr>
          <w:sz w:val="20"/>
          <w:szCs w:val="20"/>
          <w:color w:val="auto"/>
        </w:rPr>
      </w:pPr>
    </w:p>
    <w:p>
      <w:pPr>
        <w:ind w:right="260" w:firstLine="913"/>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284" w:lineRule="exact"/>
        <w:rPr>
          <w:sz w:val="20"/>
          <w:szCs w:val="20"/>
          <w:color w:val="auto"/>
        </w:rPr>
      </w:pPr>
    </w:p>
    <w:p>
      <w:pPr>
        <w:ind w:left="780" w:hanging="31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0" w:right="279" w:bottom="1440" w:gutter="0" w:footer="0" w:header="0"/>
        </w:sectPr>
      </w:pPr>
    </w:p>
    <w:bookmarkStart w:id="51" w:name="page52"/>
    <w:bookmarkEnd w:id="51"/>
    <w:p>
      <w:pPr>
        <w:ind w:left="920"/>
        <w:spacing w:after="0"/>
        <w:tabs>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 xml:space="preserve">Employment Conditions. </w:t>
      </w:r>
      <w:r>
        <w:rPr>
          <w:rFonts w:ascii="Arial" w:cs="Arial" w:eastAsia="Arial" w:hAnsi="Arial"/>
          <w:sz w:val="16"/>
          <w:szCs w:val="16"/>
          <w:color w:val="auto"/>
        </w:rPr>
        <w:t>By accepting the Award, the Participant acknowledges and agrees that:</w:t>
      </w:r>
    </w:p>
    <w:p>
      <w:pPr>
        <w:spacing w:after="0" w:line="229" w:lineRule="exact"/>
        <w:rPr>
          <w:sz w:val="20"/>
          <w:szCs w:val="20"/>
          <w:color w:val="auto"/>
        </w:rPr>
      </w:pPr>
    </w:p>
    <w:p>
      <w:pPr>
        <w:ind w:firstLine="1492"/>
        <w:spacing w:after="0" w:line="302" w:lineRule="auto"/>
        <w:tabs>
          <w:tab w:leader="none" w:pos="1853"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54" w:lineRule="exact"/>
        <w:rPr>
          <w:rFonts w:ascii="Arial" w:cs="Arial" w:eastAsia="Arial" w:hAnsi="Arial"/>
          <w:sz w:val="16"/>
          <w:szCs w:val="16"/>
          <w:color w:val="auto"/>
        </w:rPr>
      </w:pPr>
    </w:p>
    <w:p>
      <w:pPr>
        <w:ind w:right="40" w:firstLine="1492"/>
        <w:spacing w:after="0" w:line="269" w:lineRule="auto"/>
        <w:tabs>
          <w:tab w:leader="none" w:pos="1873" w:val="left"/>
        </w:tabs>
        <w:numPr>
          <w:ilvl w:val="0"/>
          <w:numId w:val="72"/>
        </w:numPr>
        <w:rPr>
          <w:rFonts w:ascii="Arial" w:cs="Arial" w:eastAsia="Arial" w:hAnsi="Arial"/>
          <w:sz w:val="17"/>
          <w:szCs w:val="17"/>
          <w:color w:val="auto"/>
        </w:rPr>
      </w:pPr>
      <w:r>
        <w:rPr>
          <w:rFonts w:ascii="Arial" w:cs="Arial" w:eastAsia="Arial" w:hAnsi="Arial"/>
          <w:sz w:val="17"/>
          <w:szCs w:val="17"/>
          <w:color w:val="auto"/>
        </w:rPr>
        <w:t>Notwithstanding anything to the contrary in the Grant Notice, if the Participant is terminated without Cause or resigns for Good Reason (each as defined in the Participant’s employment agreement with the Company dated April 26, 2018) prior to the settlement of the Award, the Participant will remain eligible to vest (determined in accordance with the terms set forth in the Grant Notice) in a pro rata portion of the Restricted Stock Units on the Certification Date,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Restricted Stock Units remaining outstanding and unvested immediately prior to the Change in Control (after application of the foregoing provisions of this Section 2.2(b)) shall vest and become non-forfeitable at the target level of achievement (determined in accordance with the Grant Notice) immediately upon the occurrence of the Change in Control and the date that the Change in Control is consummated shall be the Settlement Date for purposes of Section 7 hereof.</w:t>
      </w:r>
    </w:p>
    <w:p>
      <w:pPr>
        <w:spacing w:after="0" w:line="179" w:lineRule="exact"/>
        <w:rPr>
          <w:rFonts w:ascii="Arial" w:cs="Arial" w:eastAsia="Arial" w:hAnsi="Arial"/>
          <w:sz w:val="17"/>
          <w:szCs w:val="17"/>
          <w:color w:val="auto"/>
        </w:rPr>
      </w:pPr>
    </w:p>
    <w:p>
      <w:pPr>
        <w:ind w:right="40" w:firstLine="1492"/>
        <w:spacing w:after="0" w:line="264" w:lineRule="auto"/>
        <w:tabs>
          <w:tab w:leader="none" w:pos="1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Further, all unvested Units will be forfeited and cancelled and the Participant will not be entitled to any compensation or other amount with respect thereto.</w:t>
      </w:r>
    </w:p>
    <w:p>
      <w:pPr>
        <w:spacing w:after="0" w:line="181" w:lineRule="exact"/>
        <w:rPr>
          <w:rFonts w:ascii="Arial" w:cs="Arial" w:eastAsia="Arial" w:hAnsi="Arial"/>
          <w:sz w:val="18"/>
          <w:szCs w:val="18"/>
          <w:color w:val="auto"/>
        </w:rPr>
      </w:pPr>
    </w:p>
    <w:p>
      <w:pPr>
        <w:ind w:right="320" w:firstLine="1492"/>
        <w:spacing w:after="0" w:line="277" w:lineRule="auto"/>
        <w:tabs>
          <w:tab w:leader="none" w:pos="18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right="400" w:firstLine="1492"/>
        <w:spacing w:after="0" w:line="277" w:lineRule="auto"/>
        <w:tabs>
          <w:tab w:leader="none" w:pos="1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840" w:hanging="348"/>
        <w:spacing w:after="0"/>
        <w:tabs>
          <w:tab w:leader="none" w:pos="1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jc w:val="both"/>
        <w:ind w:right="260" w:firstLine="1492"/>
        <w:spacing w:after="0" w:line="264" w:lineRule="auto"/>
        <w:tabs>
          <w:tab w:leader="none" w:pos="18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52" w:name="page53"/>
    <w:bookmarkEnd w:id="52"/>
    <w:p>
      <w:pPr>
        <w:ind w:left="1800" w:hanging="388"/>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Participant is voluntarily participating in the Plan.</w:t>
      </w:r>
    </w:p>
    <w:p>
      <w:pPr>
        <w:spacing w:after="0" w:line="225" w:lineRule="exact"/>
        <w:rPr>
          <w:rFonts w:ascii="Arial" w:cs="Arial" w:eastAsia="Arial" w:hAnsi="Arial"/>
          <w:sz w:val="18"/>
          <w:szCs w:val="18"/>
          <w:color w:val="auto"/>
        </w:rPr>
      </w:pPr>
    </w:p>
    <w:p>
      <w:pPr>
        <w:ind w:left="-80" w:right="200" w:firstLine="1492"/>
        <w:spacing w:after="0" w:line="308" w:lineRule="auto"/>
        <w:tabs>
          <w:tab w:leader="none" w:pos="175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146" w:lineRule="exact"/>
        <w:rPr>
          <w:rFonts w:ascii="Arial" w:cs="Arial" w:eastAsia="Arial" w:hAnsi="Arial"/>
          <w:sz w:val="17"/>
          <w:szCs w:val="17"/>
          <w:color w:val="auto"/>
        </w:rPr>
      </w:pPr>
    </w:p>
    <w:p>
      <w:pPr>
        <w:ind w:left="-80" w:right="80" w:firstLine="1492"/>
        <w:spacing w:after="0" w:line="342" w:lineRule="auto"/>
        <w:tabs>
          <w:tab w:leader="none" w:pos="175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23" w:lineRule="exact"/>
        <w:rPr>
          <w:rFonts w:ascii="Arial" w:cs="Arial" w:eastAsia="Arial" w:hAnsi="Arial"/>
          <w:sz w:val="16"/>
          <w:szCs w:val="16"/>
          <w:color w:val="auto"/>
        </w:rPr>
      </w:pPr>
    </w:p>
    <w:p>
      <w:pPr>
        <w:ind w:left="-80" w:firstLine="1492"/>
        <w:spacing w:after="0" w:line="264" w:lineRule="auto"/>
        <w:tabs>
          <w:tab w:leader="none" w:pos="17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1" w:lineRule="exact"/>
        <w:rPr>
          <w:rFonts w:ascii="Arial" w:cs="Arial" w:eastAsia="Arial" w:hAnsi="Arial"/>
          <w:sz w:val="18"/>
          <w:szCs w:val="18"/>
          <w:color w:val="auto"/>
        </w:rPr>
      </w:pPr>
    </w:p>
    <w:p>
      <w:pPr>
        <w:ind w:left="-80" w:right="120" w:firstLine="1492"/>
        <w:spacing w:after="0" w:line="277" w:lineRule="auto"/>
        <w:tabs>
          <w:tab w:leader="none" w:pos="17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ind w:left="-80" w:right="180" w:firstLine="1492"/>
        <w:spacing w:after="0" w:line="276" w:lineRule="auto"/>
        <w:tabs>
          <w:tab w:leader="none" w:pos="18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277" w:lineRule="exact"/>
        <w:rPr>
          <w:sz w:val="20"/>
          <w:szCs w:val="20"/>
          <w:color w:val="auto"/>
        </w:rPr>
      </w:pPr>
    </w:p>
    <w:p>
      <w:pPr>
        <w:ind w:left="840"/>
        <w:spacing w:after="0"/>
        <w:tabs>
          <w:tab w:leader="none" w:pos="12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Data Privacy Consent</w:t>
      </w:r>
      <w:r>
        <w:rPr>
          <w:rFonts w:ascii="Arial" w:cs="Arial" w:eastAsia="Arial" w:hAnsi="Arial"/>
          <w:sz w:val="16"/>
          <w:szCs w:val="16"/>
          <w:color w:val="auto"/>
        </w:rPr>
        <w:t>.</w:t>
      </w:r>
    </w:p>
    <w:p>
      <w:pPr>
        <w:spacing w:after="0" w:line="117" w:lineRule="exact"/>
        <w:rPr>
          <w:sz w:val="20"/>
          <w:szCs w:val="20"/>
          <w:color w:val="auto"/>
        </w:rPr>
      </w:pPr>
    </w:p>
    <w:p>
      <w:pPr>
        <w:ind w:left="-80" w:right="20" w:firstLine="1492"/>
        <w:spacing w:after="0" w:line="261" w:lineRule="auto"/>
        <w:tabs>
          <w:tab w:leader="none" w:pos="1783"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ADMINISTERING AND MANAGING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80" w:lineRule="exact"/>
        <w:rPr>
          <w:rFonts w:ascii="Arial" w:cs="Arial" w:eastAsia="Arial" w:hAnsi="Arial"/>
          <w:sz w:val="18"/>
          <w:szCs w:val="18"/>
          <w:color w:val="auto"/>
        </w:rPr>
      </w:pPr>
    </w:p>
    <w:p>
      <w:pPr>
        <w:ind w:left="-80" w:right="60" w:firstLine="1492"/>
        <w:spacing w:after="0" w:line="261" w:lineRule="auto"/>
        <w:tabs>
          <w:tab w:leader="none" w:pos="1793"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 INFORMATION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 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80"/>
          </w:cols>
          <w:pgMar w:left="320" w:top="274" w:right="299" w:bottom="1440" w:gutter="0" w:footer="0" w:header="0"/>
        </w:sectPr>
      </w:pPr>
    </w:p>
    <w:bookmarkStart w:id="53" w:name="page54"/>
    <w:bookmarkEnd w:id="53"/>
    <w:p>
      <w:pPr>
        <w:spacing w:after="0" w:line="252"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WHICH MAY INCLUDE AREAS OUTSIDE THE </w:t>
      </w:r>
      <w:r>
        <w:rPr>
          <w:rFonts w:ascii="Arial" w:cs="Arial" w:eastAsia="Arial" w:hAnsi="Arial"/>
          <w:sz w:val="18"/>
          <w:szCs w:val="18"/>
          <w:b w:val="1"/>
          <w:bCs w:val="1"/>
          <w:color w:val="auto"/>
        </w:rPr>
        <w:t>E</w:t>
      </w:r>
      <w:r>
        <w:rPr>
          <w:rFonts w:ascii="Arial" w:cs="Arial" w:eastAsia="Arial" w:hAnsi="Arial"/>
          <w:sz w:val="15"/>
          <w:szCs w:val="15"/>
          <w:b w:val="1"/>
          <w:bCs w:val="1"/>
          <w:color w:val="auto"/>
        </w:rPr>
        <w:t xml:space="preserve">UROPEAN </w:t>
      </w:r>
      <w:r>
        <w:rPr>
          <w:rFonts w:ascii="Arial" w:cs="Arial" w:eastAsia="Arial" w:hAnsi="Arial"/>
          <w:sz w:val="18"/>
          <w:szCs w:val="18"/>
          <w:b w:val="1"/>
          <w:bCs w:val="1"/>
          <w:color w:val="auto"/>
        </w:rPr>
        <w:t>E</w:t>
      </w:r>
      <w:r>
        <w:rPr>
          <w:rFonts w:ascii="Arial" w:cs="Arial" w:eastAsia="Arial" w:hAnsi="Arial"/>
          <w:sz w:val="15"/>
          <w:szCs w:val="15"/>
          <w:b w:val="1"/>
          <w:bCs w:val="1"/>
          <w:color w:val="auto"/>
        </w:rPr>
        <w:t>CONOMIC AREA AND THAT THE 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COUNTRY MAY HAVE DIFFERENT DATA PRIVACY LAWS AND PROTECTIONS THAN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REQUEST A LIST WITH THE NAMES AND ADDRESSES OF ANY POTENTIAL RECIPIENTS OF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AUTHORIZES THE RECIPIENTS TO RECEIVE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POSSESS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USE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RETAIN AND TRANSFER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PURPOSES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 REQUISITE TRANSFER OF 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MAY ELECT TO DEPOSIT ANY SHARES ACQUIRED UPON SETTLEMENT OF THE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WILL BE HELD ONLY AS LONG AS IS NECESSARY TO 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AT ANY TIME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VIEW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REQUEST ADDITIONAL INFORMATION ABOUT THE STORAGE AND 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HOWEVER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THAT REFUSING OR WITHDRAWING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CONSENT MAY AFFECT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ABILITY TO 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F</w:t>
      </w:r>
      <w:r>
        <w:rPr>
          <w:rFonts w:ascii="Arial" w:cs="Arial" w:eastAsia="Arial" w:hAnsi="Arial"/>
          <w:sz w:val="15"/>
          <w:szCs w:val="15"/>
          <w:b w:val="1"/>
          <w:bCs w:val="1"/>
          <w:color w:val="auto"/>
        </w:rPr>
        <w:t xml:space="preserve">OR MORE INFORMATION ON THE CONSEQUENCES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 WITHDRAWAL OF CONSENT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CONTACT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19" w:lineRule="exact"/>
        <w:rPr>
          <w:sz w:val="20"/>
          <w:szCs w:val="20"/>
          <w:color w:val="auto"/>
        </w:rPr>
      </w:pPr>
    </w:p>
    <w:p>
      <w:pPr>
        <w:ind w:left="780" w:hanging="31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296" w:lineRule="exact"/>
        <w:rPr>
          <w:sz w:val="20"/>
          <w:szCs w:val="20"/>
          <w:color w:val="auto"/>
        </w:rPr>
      </w:pPr>
    </w:p>
    <w:p>
      <w:pPr>
        <w:ind w:left="780" w:hanging="31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0" w:right="259" w:bottom="1440" w:gutter="0" w:footer="0" w:header="0"/>
        </w:sectPr>
      </w:pPr>
    </w:p>
    <w:bookmarkStart w:id="54" w:name="page55"/>
    <w:bookmarkEnd w:id="5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20"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84"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w:t>
      </w:r>
    </w:p>
    <w:p>
      <w:pPr>
        <w:spacing w:after="0" w:line="3" w:lineRule="exact"/>
        <w:rPr>
          <w:sz w:val="20"/>
          <w:szCs w:val="20"/>
          <w:color w:val="auto"/>
        </w:rPr>
      </w:pPr>
    </w:p>
    <w:p>
      <w:pPr>
        <w:jc w:val="both"/>
        <w:ind w:right="140" w:firstLine="8"/>
        <w:spacing w:after="0" w:line="277" w:lineRule="auto"/>
        <w:tabs>
          <w:tab w:leader="none" w:pos="2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277" w:lineRule="exact"/>
        <w:rPr>
          <w:sz w:val="20"/>
          <w:szCs w:val="20"/>
          <w:color w:val="auto"/>
        </w:rPr>
      </w:pPr>
    </w:p>
    <w:p>
      <w:pPr>
        <w:ind w:left="780" w:hanging="31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251" w:lineRule="exact"/>
        <w:rPr>
          <w:sz w:val="20"/>
          <w:szCs w:val="20"/>
          <w:color w:val="auto"/>
        </w:rPr>
      </w:pPr>
    </w:p>
    <w:p>
      <w:pPr>
        <w:ind w:left="780" w:hanging="316"/>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60" w:firstLine="913"/>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Grant of Company Reacquisition Right.</w:t>
      </w:r>
      <w:r>
        <w:rPr>
          <w:rFonts w:ascii="Arial" w:cs="Arial" w:eastAsia="Arial" w:hAnsi="Arial"/>
          <w:sz w:val="17"/>
          <w:szCs w:val="17"/>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7"/>
          <w:szCs w:val="17"/>
          <w:b w:val="1"/>
          <w:bCs w:val="1"/>
          <w:i w:val="1"/>
          <w:iCs w:val="1"/>
          <w:color w:val="auto"/>
        </w:rPr>
        <w:t>“Company Reacquisition Right”</w:t>
      </w:r>
      <w:r>
        <w:rPr>
          <w:rFonts w:ascii="Arial" w:cs="Arial" w:eastAsia="Arial" w:hAnsi="Arial"/>
          <w:sz w:val="17"/>
          <w:szCs w:val="17"/>
          <w:color w:val="auto"/>
        </w:rPr>
        <w:t>).</w:t>
      </w:r>
    </w:p>
    <w:p>
      <w:pPr>
        <w:spacing w:after="0" w:line="266" w:lineRule="exact"/>
        <w:rPr>
          <w:sz w:val="20"/>
          <w:szCs w:val="20"/>
          <w:color w:val="auto"/>
        </w:rPr>
      </w:pPr>
    </w:p>
    <w:p>
      <w:pPr>
        <w:ind w:left="780" w:hanging="31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vest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calendar year following the calendar year in which such vesting occurs), the Company shall issue to the Participant with respect to each such Vested Unit one (1) share of Stock. Shares of Stock issued in settlement of Units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274" w:right="319" w:bottom="1440" w:gutter="0" w:footer="0" w:header="0"/>
        </w:sectPr>
      </w:pPr>
    </w:p>
    <w:bookmarkStart w:id="55" w:name="page56"/>
    <w:bookmarkEnd w:id="55"/>
    <w:p>
      <w:pPr>
        <w:ind w:right="5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12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Restrictions on Grant of the Award and Issuance of Shares.</w:t>
      </w:r>
      <w:r>
        <w:rPr>
          <w:rFonts w:ascii="Arial" w:cs="Arial" w:eastAsia="Arial" w:hAnsi="Arial"/>
          <w:sz w:val="17"/>
          <w:szCs w:val="17"/>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4"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Company shall not be required to issue fractional shares upon the settlement of the Award.</w:t>
      </w:r>
    </w:p>
    <w:p>
      <w:pPr>
        <w:spacing w:after="0" w:line="333" w:lineRule="exact"/>
        <w:rPr>
          <w:sz w:val="20"/>
          <w:szCs w:val="20"/>
          <w:color w:val="auto"/>
        </w:rPr>
      </w:pPr>
    </w:p>
    <w:p>
      <w:pPr>
        <w:ind w:left="780" w:hanging="31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Regardless of any action the Company or the Participant’s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 all income tax, social insurance, payroll tax, payment on account or other tax-related withholding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the Participant acknowledges and agrees that the ultimate liability for all Tax-Related Items legally due by the Participant is and remains the Participant’s responsibility and that the Company and 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 to tax in more than one jurisdiction,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6" w:name="page57"/>
    <w:bookmarkEnd w:id="56"/>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8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w:t>
      </w:r>
    </w:p>
    <w:p>
      <w:pPr>
        <w:spacing w:after="0" w:line="2" w:lineRule="exact"/>
        <w:rPr>
          <w:sz w:val="20"/>
          <w:szCs w:val="20"/>
          <w:color w:val="auto"/>
        </w:rPr>
      </w:pPr>
    </w:p>
    <w:p>
      <w:pPr>
        <w:ind w:right="20" w:firstLine="8"/>
        <w:spacing w:after="0" w:line="288" w:lineRule="auto"/>
        <w:tabs>
          <w:tab w:leader="none" w:pos="255" w:val="left"/>
        </w:tabs>
        <w:numPr>
          <w:ilvl w:val="0"/>
          <w:numId w:val="82"/>
        </w:numPr>
        <w:rPr>
          <w:rFonts w:ascii="Arial" w:cs="Arial" w:eastAsia="Arial" w:hAnsi="Arial"/>
          <w:sz w:val="16"/>
          <w:szCs w:val="16"/>
          <w:color w:val="auto"/>
        </w:rPr>
      </w:pPr>
      <w:r>
        <w:rPr>
          <w:rFonts w:ascii="Arial" w:cs="Arial" w:eastAsia="Arial" w:hAnsi="Arial"/>
          <w:sz w:val="16"/>
          <w:szCs w:val="16"/>
          <w:color w:val="auto"/>
        </w:rPr>
        <w:t>withholding from the Participant’s wages or other cash compensation paid by the Company and/or Employer; and/or (3) withholding from proceeds of the sale of shares acquired upon settlement of the Units, either through a voluntary sale or through a sale arranged by the Company (on the Participant’s behalf pursuant to this authorization), to the extent permitted by the Administrator. The “</w:t>
      </w:r>
      <w:r>
        <w:rPr>
          <w:rFonts w:ascii="Arial" w:cs="Arial" w:eastAsia="Arial" w:hAnsi="Arial"/>
          <w:sz w:val="16"/>
          <w:szCs w:val="16"/>
          <w:b w:val="1"/>
          <w:bCs w:val="1"/>
          <w:i w:val="1"/>
          <w:iCs w:val="1"/>
          <w:color w:val="auto"/>
        </w:rPr>
        <w:t>Retained Share Amount</w:t>
      </w:r>
      <w:r>
        <w:rPr>
          <w:rFonts w:ascii="Arial" w:cs="Arial" w:eastAsia="Arial" w:hAnsi="Arial"/>
          <w:sz w:val="16"/>
          <w:szCs w:val="16"/>
          <w:color w:val="auto"/>
        </w:rPr>
        <w: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6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275" w:lineRule="exact"/>
        <w:rPr>
          <w:sz w:val="20"/>
          <w:szCs w:val="20"/>
          <w:color w:val="auto"/>
        </w:rPr>
      </w:pPr>
    </w:p>
    <w:p>
      <w:pPr>
        <w:ind w:left="780" w:hanging="31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event of a Change in Control during the Performance Period, subject to the Participant’s continued Service on the date that such Change in Control is consummated, the Target Award (and any Dividend Equivalent Units associated therewith) will vest and the date that the Change in Control is consummated will be treated as the Settlement Date for purposes of Section 7 hereof. No Restricted Stock Units in excess of the Target Award shall vest pursuant to this Agreement and all Restricted Stock Units in excess of the Target Award shall immediately be forfeited and cancelled, and the Participant shall not be entitled to any compensation or other amount with respect thereto.</w:t>
      </w:r>
    </w:p>
    <w:p>
      <w:pPr>
        <w:spacing w:after="0" w:line="292" w:lineRule="exact"/>
        <w:rPr>
          <w:sz w:val="20"/>
          <w:szCs w:val="20"/>
          <w:color w:val="auto"/>
        </w:rPr>
      </w:pPr>
    </w:p>
    <w:p>
      <w:pPr>
        <w:ind w:left="860" w:hanging="396"/>
        <w:spacing w:after="0"/>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57" w:name="page58"/>
    <w:bookmarkEnd w:id="5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282" w:lineRule="exact"/>
        <w:rPr>
          <w:sz w:val="20"/>
          <w:szCs w:val="20"/>
          <w:color w:val="auto"/>
        </w:rPr>
      </w:pPr>
    </w:p>
    <w:p>
      <w:pPr>
        <w:ind w:left="860" w:hanging="396"/>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271" w:lineRule="exact"/>
        <w:rPr>
          <w:sz w:val="20"/>
          <w:szCs w:val="20"/>
          <w:color w:val="auto"/>
        </w:rPr>
      </w:pPr>
    </w:p>
    <w:p>
      <w:pPr>
        <w:ind w:left="860" w:hanging="396"/>
        <w:spacing w:after="0"/>
        <w:tabs>
          <w:tab w:leader="none" w:pos="86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291" w:lineRule="exact"/>
        <w:rPr>
          <w:sz w:val="20"/>
          <w:szCs w:val="20"/>
          <w:color w:val="auto"/>
        </w:rPr>
      </w:pPr>
    </w:p>
    <w:p>
      <w:pPr>
        <w:ind w:left="860" w:hanging="396"/>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Termination or Amendment.</w:t>
      </w:r>
      <w:r>
        <w:rPr>
          <w:rFonts w:ascii="Arial" w:cs="Arial" w:eastAsia="Arial" w:hAnsi="Arial"/>
          <w:sz w:val="18"/>
          <w:szCs w:val="18"/>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8" w:name="page59"/>
    <w:bookmarkEnd w:id="58"/>
    <w:p>
      <w:pPr>
        <w:ind w:right="120" w:firstLine="913"/>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13.2 </w:t>
      </w:r>
      <w:r>
        <w:rPr>
          <w:rFonts w:ascii="Arial" w:cs="Arial" w:eastAsia="Arial" w:hAnsi="Arial"/>
          <w:sz w:val="16"/>
          <w:szCs w:val="16"/>
          <w:b w:val="1"/>
          <w:bCs w:val="1"/>
          <w:color w:val="auto"/>
        </w:rPr>
        <w:t>Nontransferability of the Award.</w:t>
      </w:r>
      <w:r>
        <w:rPr>
          <w:rFonts w:ascii="Arial" w:cs="Arial" w:eastAsia="Arial" w:hAnsi="Arial"/>
          <w:sz w:val="16"/>
          <w:szCs w:val="16"/>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51"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40" w:firstLine="913"/>
        <w:spacing w:after="0" w:line="313"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color w:val="auto"/>
        </w:rPr>
        <w:t>Binding Effect.</w:t>
      </w:r>
      <w:r>
        <w:rPr>
          <w:rFonts w:ascii="Arial" w:cs="Arial" w:eastAsia="Arial" w:hAnsi="Arial"/>
          <w:sz w:val="17"/>
          <w:szCs w:val="17"/>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3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Delivery of Documents and Notices.</w:t>
      </w:r>
      <w:r>
        <w:rPr>
          <w:rFonts w:ascii="Arial" w:cs="Arial" w:eastAsia="Arial" w:hAnsi="Arial"/>
          <w:sz w:val="18"/>
          <w:szCs w:val="18"/>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92" w:lineRule="exact"/>
        <w:rPr>
          <w:sz w:val="20"/>
          <w:szCs w:val="20"/>
          <w:color w:val="auto"/>
        </w:rPr>
      </w:pPr>
    </w:p>
    <w:p>
      <w:pPr>
        <w:ind w:right="260" w:firstLine="1492"/>
        <w:spacing w:after="0" w:line="273" w:lineRule="auto"/>
        <w:tabs>
          <w:tab w:leader="none" w:pos="1863"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8" w:lineRule="exact"/>
        <w:rPr>
          <w:rFonts w:ascii="Arial" w:cs="Arial" w:eastAsia="Arial" w:hAnsi="Arial"/>
          <w:sz w:val="17"/>
          <w:szCs w:val="17"/>
          <w:color w:val="auto"/>
        </w:rPr>
      </w:pPr>
    </w:p>
    <w:p>
      <w:pPr>
        <w:ind w:right="60" w:firstLine="1492"/>
        <w:spacing w:after="0" w:line="257" w:lineRule="auto"/>
        <w:tabs>
          <w:tab w:leader="none" w:pos="1873"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Consent to Electronic Delivery. </w:t>
      </w:r>
      <w:r>
        <w:rPr>
          <w:rFonts w:ascii="Arial" w:cs="Arial" w:eastAsia="Arial" w:hAnsi="Arial"/>
          <w:sz w:val="18"/>
          <w:szCs w:val="18"/>
          <w:color w:val="auto"/>
        </w:rPr>
        <w:t>The Participant acknowledges that the Participant has read Section 13.5(a) of this Agreement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0" w:right="279" w:bottom="1440" w:gutter="0" w:footer="0" w:header="0"/>
        </w:sectPr>
      </w:pPr>
    </w:p>
    <w:bookmarkStart w:id="59" w:name="page60"/>
    <w:bookmarkEnd w:id="5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89"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b w:val="1"/>
          <w:bCs w:val="1"/>
          <w:color w:val="auto"/>
        </w:rPr>
        <w:t>Country-Specific Terms and Conditions.</w:t>
      </w:r>
      <w:r>
        <w:rPr>
          <w:rFonts w:ascii="Arial" w:cs="Arial" w:eastAsia="Arial" w:hAnsi="Arial"/>
          <w:sz w:val="16"/>
          <w:szCs w:val="16"/>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54" w:lineRule="exact"/>
        <w:rPr>
          <w:sz w:val="20"/>
          <w:szCs w:val="20"/>
          <w:color w:val="auto"/>
        </w:rPr>
      </w:pPr>
    </w:p>
    <w:p>
      <w:pPr>
        <w:ind w:firstLine="913"/>
        <w:spacing w:after="0" w:line="277"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68"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274" w:right="29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0"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131"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13.10:</w:t>
      </w:r>
    </w:p>
    <w:p>
      <w:pPr>
        <w:spacing w:after="0" w:line="113" w:lineRule="exact"/>
        <w:rPr>
          <w:rFonts w:ascii="Arial" w:cs="Arial" w:eastAsia="Arial" w:hAnsi="Arial"/>
          <w:sz w:val="18"/>
          <w:szCs w:val="18"/>
          <w:color w:val="auto"/>
        </w:rPr>
      </w:pPr>
    </w:p>
    <w:p>
      <w:pPr>
        <w:ind w:left="460"/>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0" w:right="25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TIME-BASED NOTICE OF GRANT AND RESTRICTED STOCK UNIT AWARD AGREEMENT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9019"/>
          </w:cols>
          <w:pgMar w:left="1440" w:top="270" w:right="1440"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GRANT OF RESTRICTED STOCK UNITS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Participant has been granted an award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w:t>
      </w:r>
      <w:r>
        <w:rPr>
          <w:rFonts w:ascii="Arial" w:cs="Arial" w:eastAsia="Arial" w:hAnsi="Arial"/>
          <w:sz w:val="18"/>
          <w:szCs w:val="18"/>
          <w:color w:val="auto"/>
        </w:rPr>
        <w:t xml:space="preserve">) of certain Restricted Stock Units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i w:val="1"/>
          <w:iCs w:val="1"/>
          <w:color w:val="auto"/>
        </w:rPr>
        <w:t>”</w:t>
      </w:r>
      <w:r>
        <w:rPr>
          <w:rFonts w:ascii="Arial" w:cs="Arial" w:eastAsia="Arial" w:hAnsi="Arial"/>
          <w:sz w:val="18"/>
          <w:szCs w:val="18"/>
          <w:color w:val="auto"/>
        </w:rPr>
        <w:t xml:space="preserve">) of MagnaChip Semiconductor Corporation pursuant to the MagnaChip Semiconductor Corporation 2011 Equity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MagnaChip Semiconductor Corporation Restricted Stock Units Agreement (the </w:t>
      </w: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3880" w:type="dxa"/>
            <w:vAlign w:val="bottom"/>
            <w:gridSpan w:val="2"/>
          </w:tcPr>
          <w:p>
            <w:pPr>
              <w:spacing w:after="0"/>
              <w:rPr>
                <w:sz w:val="20"/>
                <w:szCs w:val="20"/>
                <w:color w:val="auto"/>
              </w:rPr>
            </w:pPr>
            <w:r>
              <w:rPr>
                <w:rFonts w:ascii="Arial" w:cs="Arial" w:eastAsia="Arial" w:hAnsi="Arial"/>
                <w:sz w:val="18"/>
                <w:szCs w:val="18"/>
                <w:color w:val="auto"/>
              </w:rPr>
              <w:t>Young Joon Kim</w:t>
            </w:r>
          </w:p>
        </w:tc>
        <w:tc>
          <w:tcPr>
            <w:tcW w:w="13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3880" w:type="dxa"/>
            <w:vAlign w:val="bottom"/>
            <w:gridSpan w:val="2"/>
          </w:tcPr>
          <w:p>
            <w:pPr>
              <w:spacing w:after="0"/>
              <w:rPr>
                <w:sz w:val="20"/>
                <w:szCs w:val="20"/>
                <w:color w:val="auto"/>
              </w:rPr>
            </w:pPr>
            <w:r>
              <w:rPr>
                <w:rFonts w:ascii="Arial" w:cs="Arial" w:eastAsia="Arial" w:hAnsi="Arial"/>
                <w:sz w:val="18"/>
                <w:szCs w:val="18"/>
                <w:color w:val="auto"/>
              </w:rPr>
              <w:t>April 30, 2018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color w:val="auto"/>
              </w:rPr>
              <w:t>Total Number of Restricted Stock Units:</w:t>
            </w:r>
          </w:p>
        </w:tc>
        <w:tc>
          <w:tcPr>
            <w:tcW w:w="7480" w:type="dxa"/>
            <w:vAlign w:val="bottom"/>
            <w:gridSpan w:val="4"/>
          </w:tcPr>
          <w:p>
            <w:pPr>
              <w:spacing w:after="0"/>
              <w:rPr>
                <w:sz w:val="20"/>
                <w:szCs w:val="20"/>
                <w:color w:val="auto"/>
              </w:rPr>
            </w:pPr>
            <w:r>
              <w:rPr>
                <w:rFonts w:ascii="Arial" w:cs="Arial" w:eastAsia="Arial" w:hAnsi="Arial"/>
                <w:sz w:val="18"/>
                <w:szCs w:val="18"/>
                <w:color w:val="auto"/>
              </w:rPr>
              <w:t>112,118, subject to adjustment as provided by the Restricted Stock Units Agreement.</w:t>
            </w:r>
          </w:p>
        </w:tc>
      </w:tr>
      <w:tr>
        <w:trPr>
          <w:trHeight w:val="418"/>
        </w:trPr>
        <w:tc>
          <w:tcPr>
            <w:tcW w:w="3900" w:type="dxa"/>
            <w:vAlign w:val="bottom"/>
          </w:tcPr>
          <w:p>
            <w:pPr>
              <w:spacing w:after="0"/>
              <w:rPr>
                <w:sz w:val="20"/>
                <w:szCs w:val="20"/>
                <w:color w:val="auto"/>
              </w:rPr>
            </w:pPr>
            <w:r>
              <w:rPr>
                <w:rFonts w:ascii="Arial" w:cs="Arial" w:eastAsia="Arial" w:hAnsi="Arial"/>
                <w:sz w:val="18"/>
                <w:szCs w:val="18"/>
                <w:b w:val="1"/>
                <w:bCs w:val="1"/>
                <w:color w:val="auto"/>
              </w:rPr>
              <w:t>Initial Vesting Date and Vesting Conditions:</w:t>
            </w:r>
          </w:p>
        </w:tc>
        <w:tc>
          <w:tcPr>
            <w:tcW w:w="7480" w:type="dxa"/>
            <w:vAlign w:val="bottom"/>
            <w:gridSpan w:val="4"/>
          </w:tcPr>
          <w:p>
            <w:pPr>
              <w:spacing w:after="0"/>
              <w:rPr>
                <w:sz w:val="20"/>
                <w:szCs w:val="20"/>
                <w:color w:val="auto"/>
              </w:rPr>
            </w:pPr>
            <w:r>
              <w:rPr>
                <w:rFonts w:ascii="Arial" w:cs="Arial" w:eastAsia="Arial" w:hAnsi="Arial"/>
                <w:sz w:val="18"/>
                <w:szCs w:val="18"/>
                <w:color w:val="auto"/>
                <w:w w:val="90"/>
              </w:rPr>
              <w:t>Subject to the terms of the Restricted Stock Units Agreement and the Participant’s continued Service on</w:t>
            </w:r>
          </w:p>
        </w:tc>
      </w:tr>
      <w:tr>
        <w:trPr>
          <w:trHeight w:val="216"/>
        </w:trPr>
        <w:tc>
          <w:tcPr>
            <w:tcW w:w="3900" w:type="dxa"/>
            <w:vAlign w:val="bottom"/>
          </w:tcPr>
          <w:p>
            <w:pPr>
              <w:spacing w:after="0"/>
              <w:rPr>
                <w:sz w:val="18"/>
                <w:szCs w:val="18"/>
                <w:color w:val="auto"/>
              </w:rPr>
            </w:pPr>
          </w:p>
        </w:tc>
        <w:tc>
          <w:tcPr>
            <w:tcW w:w="7480" w:type="dxa"/>
            <w:vAlign w:val="bottom"/>
            <w:gridSpan w:val="4"/>
          </w:tcPr>
          <w:p>
            <w:pPr>
              <w:spacing w:after="0"/>
              <w:rPr>
                <w:sz w:val="20"/>
                <w:szCs w:val="20"/>
                <w:color w:val="auto"/>
              </w:rPr>
            </w:pPr>
            <w:r>
              <w:rPr>
                <w:rFonts w:ascii="Arial" w:cs="Arial" w:eastAsia="Arial" w:hAnsi="Arial"/>
                <w:sz w:val="18"/>
                <w:szCs w:val="18"/>
                <w:color w:val="auto"/>
                <w:w w:val="90"/>
              </w:rPr>
              <w:t>the applicable vesting date, except as provided by Section 2.2 of the Restricted Stock Units Agreement,</w:t>
            </w:r>
          </w:p>
        </w:tc>
      </w:tr>
      <w:tr>
        <w:trPr>
          <w:trHeight w:val="230"/>
        </w:trPr>
        <w:tc>
          <w:tcPr>
            <w:tcW w:w="3900" w:type="dxa"/>
            <w:vAlign w:val="bottom"/>
          </w:tcPr>
          <w:p>
            <w:pPr>
              <w:spacing w:after="0"/>
              <w:rPr>
                <w:sz w:val="20"/>
                <w:szCs w:val="20"/>
                <w:color w:val="auto"/>
              </w:rPr>
            </w:pPr>
          </w:p>
        </w:tc>
        <w:tc>
          <w:tcPr>
            <w:tcW w:w="7480" w:type="dxa"/>
            <w:vAlign w:val="bottom"/>
            <w:gridSpan w:val="4"/>
          </w:tcPr>
          <w:p>
            <w:pPr>
              <w:spacing w:after="0"/>
              <w:rPr>
                <w:sz w:val="20"/>
                <w:szCs w:val="20"/>
                <w:color w:val="auto"/>
              </w:rPr>
            </w:pPr>
            <w:r>
              <w:rPr>
                <w:rFonts w:ascii="Arial" w:cs="Arial" w:eastAsia="Arial" w:hAnsi="Arial"/>
                <w:sz w:val="18"/>
                <w:szCs w:val="18"/>
                <w:color w:val="auto"/>
              </w:rPr>
              <w:t>the Restricted Stock Units will vest (becoming “</w:t>
            </w:r>
            <w:r>
              <w:rPr>
                <w:rFonts w:ascii="Arial" w:cs="Arial" w:eastAsia="Arial" w:hAnsi="Arial"/>
                <w:sz w:val="18"/>
                <w:szCs w:val="18"/>
                <w:b w:val="1"/>
                <w:bCs w:val="1"/>
                <w:i w:val="1"/>
                <w:iCs w:val="1"/>
                <w:color w:val="auto"/>
              </w:rPr>
              <w:t>Vested Units</w:t>
            </w:r>
            <w:r>
              <w:rPr>
                <w:rFonts w:ascii="Arial" w:cs="Arial" w:eastAsia="Arial" w:hAnsi="Arial"/>
                <w:sz w:val="18"/>
                <w:szCs w:val="18"/>
                <w:color w:val="auto"/>
              </w:rPr>
              <w:t>”) as follows:</w:t>
            </w:r>
          </w:p>
        </w:tc>
      </w:tr>
      <w:tr>
        <w:trPr>
          <w:trHeight w:val="365"/>
        </w:trPr>
        <w:tc>
          <w:tcPr>
            <w:tcW w:w="390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4"/>
                <w:szCs w:val="14"/>
                <w:color w:val="auto"/>
              </w:rPr>
              <w:t>Vesting Date</w:t>
            </w:r>
          </w:p>
        </w:tc>
        <w:tc>
          <w:tcPr>
            <w:tcW w:w="3600" w:type="dxa"/>
            <w:vAlign w:val="bottom"/>
            <w:gridSpan w:val="2"/>
          </w:tcPr>
          <w:p>
            <w:pPr>
              <w:spacing w:after="0"/>
              <w:rPr>
                <w:sz w:val="20"/>
                <w:szCs w:val="20"/>
                <w:color w:val="auto"/>
              </w:rPr>
            </w:pPr>
            <w:r>
              <w:rPr>
                <w:rFonts w:ascii="Arial" w:cs="Arial" w:eastAsia="Arial" w:hAnsi="Arial"/>
                <w:sz w:val="14"/>
                <w:szCs w:val="14"/>
                <w:color w:val="auto"/>
              </w:rPr>
              <w:t>Restricted Stock Units</w:t>
            </w:r>
          </w:p>
        </w:tc>
      </w:tr>
      <w:tr>
        <w:trPr>
          <w:trHeight w:val="182"/>
        </w:trPr>
        <w:tc>
          <w:tcPr>
            <w:tcW w:w="3900" w:type="dxa"/>
            <w:vAlign w:val="bottom"/>
          </w:tcPr>
          <w:p>
            <w:pPr>
              <w:spacing w:after="0"/>
              <w:rPr>
                <w:sz w:val="15"/>
                <w:szCs w:val="15"/>
                <w:color w:val="auto"/>
              </w:rPr>
            </w:pPr>
          </w:p>
        </w:tc>
        <w:tc>
          <w:tcPr>
            <w:tcW w:w="7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6/30/18</w:t>
            </w:r>
          </w:p>
        </w:tc>
        <w:tc>
          <w:tcPr>
            <w:tcW w:w="3140" w:type="dxa"/>
            <w:vAlign w:val="bottom"/>
          </w:tcPr>
          <w:p>
            <w:pPr>
              <w:spacing w:after="0"/>
              <w:rPr>
                <w:sz w:val="15"/>
                <w:szCs w:val="15"/>
                <w:color w:val="auto"/>
              </w:rPr>
            </w:pPr>
          </w:p>
        </w:tc>
        <w:tc>
          <w:tcPr>
            <w:tcW w:w="13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52,518</w:t>
            </w:r>
          </w:p>
        </w:tc>
        <w:tc>
          <w:tcPr>
            <w:tcW w:w="2300" w:type="dxa"/>
            <w:vAlign w:val="bottom"/>
          </w:tcPr>
          <w:p>
            <w:pPr>
              <w:spacing w:after="0"/>
              <w:rPr>
                <w:sz w:val="15"/>
                <w:szCs w:val="15"/>
                <w:color w:val="auto"/>
              </w:rPr>
            </w:pPr>
          </w:p>
        </w:tc>
      </w:tr>
      <w:tr>
        <w:trPr>
          <w:trHeight w:val="216"/>
        </w:trPr>
        <w:tc>
          <w:tcPr>
            <w:tcW w:w="39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12/31/18</w:t>
            </w:r>
          </w:p>
        </w:tc>
        <w:tc>
          <w:tcPr>
            <w:tcW w:w="31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15,500</w:t>
            </w:r>
          </w:p>
        </w:tc>
        <w:tc>
          <w:tcPr>
            <w:tcW w:w="23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12/31/19</w:t>
            </w:r>
          </w:p>
        </w:tc>
        <w:tc>
          <w:tcPr>
            <w:tcW w:w="31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19,900</w:t>
            </w:r>
          </w:p>
        </w:tc>
        <w:tc>
          <w:tcPr>
            <w:tcW w:w="230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12/31/20</w:t>
            </w:r>
          </w:p>
        </w:tc>
        <w:tc>
          <w:tcPr>
            <w:tcW w:w="31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24,200</w:t>
            </w:r>
          </w:p>
        </w:tc>
        <w:tc>
          <w:tcPr>
            <w:tcW w:w="2300" w:type="dxa"/>
            <w:vAlign w:val="bottom"/>
          </w:tcPr>
          <w:p>
            <w:pPr>
              <w:spacing w:after="0"/>
              <w:rPr>
                <w:sz w:val="20"/>
                <w:szCs w:val="20"/>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b w:val="1"/>
                <w:bCs w:val="1"/>
                <w:color w:val="auto"/>
              </w:rPr>
              <w:t>Local Law:</w:t>
            </w:r>
          </w:p>
        </w:tc>
        <w:tc>
          <w:tcPr>
            <w:tcW w:w="7480" w:type="dxa"/>
            <w:vAlign w:val="bottom"/>
            <w:gridSpan w:val="4"/>
          </w:tcPr>
          <w:p>
            <w:pPr>
              <w:spacing w:after="0"/>
              <w:rPr>
                <w:sz w:val="20"/>
                <w:szCs w:val="20"/>
                <w:color w:val="auto"/>
              </w:rPr>
            </w:pPr>
            <w:r>
              <w:rPr>
                <w:rFonts w:ascii="Arial" w:cs="Arial" w:eastAsia="Arial" w:hAnsi="Arial"/>
                <w:sz w:val="18"/>
                <w:szCs w:val="18"/>
                <w:color w:val="auto"/>
                <w:w w:val="95"/>
              </w:rPr>
              <w:t>The laws, rules and regulations of South Korea and the United States, of which the Participant is a</w:t>
            </w:r>
          </w:p>
        </w:tc>
      </w:tr>
      <w:tr>
        <w:trPr>
          <w:trHeight w:val="230"/>
        </w:trPr>
        <w:tc>
          <w:tcPr>
            <w:tcW w:w="390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resident or taxpayer.</w:t>
            </w:r>
          </w:p>
        </w:tc>
        <w:tc>
          <w:tcPr>
            <w:tcW w:w="13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65"/>
        </w:trPr>
        <w:tc>
          <w:tcPr>
            <w:tcW w:w="3900" w:type="dxa"/>
            <w:vAlign w:val="bottom"/>
          </w:tcPr>
          <w:p>
            <w:pPr>
              <w:spacing w:after="0"/>
              <w:rPr>
                <w:sz w:val="24"/>
                <w:szCs w:val="24"/>
                <w:color w:val="auto"/>
              </w:rPr>
            </w:pPr>
          </w:p>
        </w:tc>
        <w:tc>
          <w:tcPr>
            <w:tcW w:w="3880" w:type="dxa"/>
            <w:vAlign w:val="bottom"/>
            <w:gridSpan w:val="2"/>
          </w:tcPr>
          <w:p>
            <w:pPr>
              <w:ind w:left="1720"/>
              <w:spacing w:after="0"/>
              <w:rPr>
                <w:sz w:val="20"/>
                <w:szCs w:val="20"/>
                <w:color w:val="auto"/>
              </w:rPr>
            </w:pPr>
            <w:r>
              <w:rPr>
                <w:rFonts w:ascii="Arial" w:cs="Arial" w:eastAsia="Arial" w:hAnsi="Arial"/>
                <w:sz w:val="18"/>
                <w:szCs w:val="18"/>
                <w:color w:val="auto"/>
              </w:rPr>
              <w:t>59</w:t>
            </w:r>
          </w:p>
        </w:tc>
        <w:tc>
          <w:tcPr>
            <w:tcW w:w="130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64" w:name="page65"/>
    <w:bookmarkEnd w:id="6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their signatures below, the Company and the Participant agree that the Award is governed by this Grant Notice and by the provisions of the Plan and the Restricted Stock Units Agreement, each of which are attached to and made a part of this document. The Participant acknowledges receipt of copies of the Plan and the Restricted Stock Units Agreement, represents that the Participant has read and is familiar with their provisions, and hereby accepts the Award subject to all of their terms and conditions.</w:t>
      </w:r>
    </w:p>
    <w:p>
      <w:pPr>
        <w:spacing w:after="0" w:line="214"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MAGNACHIP SEMICONDUCTOR CORPORATION</w:t>
      </w:r>
      <w:r>
        <w:rPr>
          <w:sz w:val="20"/>
          <w:szCs w:val="20"/>
          <w:color w:val="auto"/>
        </w:rPr>
        <w:tab/>
      </w:r>
      <w:r>
        <w:rPr>
          <w:rFonts w:ascii="Arial" w:cs="Arial" w:eastAsia="Arial" w:hAnsi="Arial"/>
          <w:sz w:val="16"/>
          <w:szCs w:val="16"/>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28213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-10160</wp:posOffset>
            </wp:positionV>
            <wp:extent cx="20859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5715</wp:posOffset>
            </wp:positionV>
            <wp:extent cx="28213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-19050</wp:posOffset>
            </wp:positionV>
            <wp:extent cx="20859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5715</wp:posOffset>
            </wp:positionV>
            <wp:extent cx="28213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152400</wp:posOffset>
            </wp:positionV>
            <wp:extent cx="28213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ATTACHMENTS:</w:t>
      </w:r>
      <w:r>
        <w:rPr>
          <w:sz w:val="20"/>
          <w:szCs w:val="20"/>
          <w:color w:val="auto"/>
        </w:rPr>
        <w:tab/>
      </w:r>
      <w:r>
        <w:rPr>
          <w:rFonts w:ascii="Arial" w:cs="Arial" w:eastAsia="Arial" w:hAnsi="Arial"/>
          <w:sz w:val="18"/>
          <w:szCs w:val="18"/>
          <w:color w:val="auto"/>
        </w:rPr>
        <w:t>2011 Equity Incentive Plan, as amended to the Date of Grant, and Restricted Stock Units Agreement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274" w:right="4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UNITS AGREEMENT</w:t>
      </w:r>
    </w:p>
    <w:p>
      <w:pPr>
        <w:spacing w:after="0" w:line="21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The Award has been granted pursuant to and shall in all respects be subject to the terms conditions of the MagnaChip Semiconductor Corporation 2011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6"/>
          <w:szCs w:val="16"/>
          <w:b w:val="1"/>
          <w:bCs w:val="1"/>
          <w:i w:val="1"/>
          <w:iCs w:val="1"/>
          <w:color w:val="auto"/>
        </w:rPr>
        <w:t>“Plan Prospectus”</w:t>
      </w:r>
      <w:r>
        <w:rPr>
          <w:rFonts w:ascii="Arial" w:cs="Arial" w:eastAsia="Arial" w:hAnsi="Arial"/>
          <w:sz w:val="16"/>
          <w:szCs w:val="16"/>
          <w:color w:val="auto"/>
        </w:rPr>
        <w:t>), (b) accepts the Award subject to all of the terms and conditions of the Grant Notice, this Agreement and the Plan and</w:t>
      </w:r>
    </w:p>
    <w:p>
      <w:pPr>
        <w:spacing w:after="0" w:line="2" w:lineRule="exact"/>
        <w:rPr>
          <w:sz w:val="20"/>
          <w:szCs w:val="20"/>
          <w:color w:val="auto"/>
        </w:rPr>
      </w:pPr>
    </w:p>
    <w:p>
      <w:pPr>
        <w:ind w:right="120" w:firstLine="8"/>
        <w:spacing w:after="0" w:line="261" w:lineRule="auto"/>
        <w:tabs>
          <w:tab w:leader="none" w:pos="24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agrees to accept as binding, conclusive and final all decisions or interpretations of the Committee upon any questions arising under the Grant Notice, this Agreement or the Plan.</w:t>
      </w:r>
    </w:p>
    <w:p>
      <w:pPr>
        <w:spacing w:after="0" w:line="288" w:lineRule="exact"/>
        <w:rPr>
          <w:sz w:val="20"/>
          <w:szCs w:val="20"/>
          <w:color w:val="auto"/>
        </w:rPr>
      </w:pPr>
    </w:p>
    <w:p>
      <w:pPr>
        <w:ind w:left="780" w:hanging="31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 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880" w:hanging="388"/>
        <w:spacing w:after="0"/>
        <w:tabs>
          <w:tab w:leader="none" w:pos="188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225" w:lineRule="exact"/>
        <w:rPr>
          <w:rFonts w:ascii="Arial" w:cs="Arial" w:eastAsia="Arial" w:hAnsi="Arial"/>
          <w:sz w:val="18"/>
          <w:szCs w:val="18"/>
          <w:color w:val="auto"/>
        </w:rPr>
      </w:pPr>
    </w:p>
    <w:p>
      <w:pPr>
        <w:ind w:right="440" w:firstLine="1492"/>
        <w:spacing w:after="0" w:line="277" w:lineRule="auto"/>
        <w:tabs>
          <w:tab w:leader="none" w:pos="1873"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166" w:lineRule="exact"/>
        <w:rPr>
          <w:sz w:val="20"/>
          <w:szCs w:val="20"/>
          <w:color w:val="auto"/>
        </w:rPr>
      </w:pPr>
    </w:p>
    <w:p>
      <w:pPr>
        <w:ind w:right="280" w:firstLine="913"/>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284" w:lineRule="exact"/>
        <w:rPr>
          <w:sz w:val="20"/>
          <w:szCs w:val="20"/>
          <w:color w:val="auto"/>
        </w:rPr>
      </w:pPr>
    </w:p>
    <w:p>
      <w:pPr>
        <w:ind w:left="780" w:hanging="31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0" w:right="259" w:bottom="1440" w:gutter="0" w:footer="0" w:header="0"/>
        </w:sectPr>
      </w:pPr>
    </w:p>
    <w:bookmarkStart w:id="66" w:name="page67"/>
    <w:bookmarkEnd w:id="66"/>
    <w:p>
      <w:pPr>
        <w:ind w:left="920"/>
        <w:spacing w:after="0"/>
        <w:tabs>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 xml:space="preserve">Employment Conditions. </w:t>
      </w:r>
      <w:r>
        <w:rPr>
          <w:rFonts w:ascii="Arial" w:cs="Arial" w:eastAsia="Arial" w:hAnsi="Arial"/>
          <w:sz w:val="16"/>
          <w:szCs w:val="16"/>
          <w:color w:val="auto"/>
        </w:rPr>
        <w:t>By accepting the Award, the Participant acknowledges and agrees that:</w:t>
      </w:r>
    </w:p>
    <w:p>
      <w:pPr>
        <w:spacing w:after="0" w:line="229" w:lineRule="exact"/>
        <w:rPr>
          <w:sz w:val="20"/>
          <w:szCs w:val="20"/>
          <w:color w:val="auto"/>
        </w:rPr>
      </w:pPr>
    </w:p>
    <w:p>
      <w:pPr>
        <w:ind w:firstLine="1492"/>
        <w:spacing w:after="0" w:line="302" w:lineRule="auto"/>
        <w:tabs>
          <w:tab w:leader="none" w:pos="1853"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54" w:lineRule="exact"/>
        <w:rPr>
          <w:rFonts w:ascii="Arial" w:cs="Arial" w:eastAsia="Arial" w:hAnsi="Arial"/>
          <w:sz w:val="16"/>
          <w:szCs w:val="16"/>
          <w:color w:val="auto"/>
        </w:rPr>
      </w:pPr>
    </w:p>
    <w:p>
      <w:pPr>
        <w:ind w:right="140" w:firstLine="1492"/>
        <w:spacing w:after="0" w:line="273" w:lineRule="auto"/>
        <w:tabs>
          <w:tab w:leader="none" w:pos="1873"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 dated April 26, 2018) and prior to the settlement of the Award, the Participant will vest in a pro rata portion of the next tranche of Restricted Stock Units scheduled to vest hereunder, determined by multiplying the number of unvested Restricted Stock Units in such tranche by a fraction, the numerator of which is the number of full months from the last vesting date (or, if none, the Grant Date) to the date of such termination and the denominator of which is the number of full months from the last vesting date (or, if none, the Grant Date) to the next vesting date.</w:t>
      </w:r>
    </w:p>
    <w:p>
      <w:pPr>
        <w:spacing w:after="0" w:line="178" w:lineRule="exact"/>
        <w:rPr>
          <w:rFonts w:ascii="Arial" w:cs="Arial" w:eastAsia="Arial" w:hAnsi="Arial"/>
          <w:sz w:val="17"/>
          <w:szCs w:val="17"/>
          <w:color w:val="auto"/>
        </w:rPr>
      </w:pPr>
    </w:p>
    <w:p>
      <w:pPr>
        <w:ind w:left="1880" w:hanging="388"/>
        <w:spacing w:after="0"/>
        <w:tabs>
          <w:tab w:leader="none" w:pos="1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the Participant incurs a CIC Qualified Termination, all unvested Restricted Stock Units will fully vest on the date of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termination.</w:t>
      </w:r>
    </w:p>
    <w:p>
      <w:pPr>
        <w:spacing w:after="0" w:line="210" w:lineRule="exact"/>
        <w:rPr>
          <w:rFonts w:ascii="Arial" w:cs="Arial" w:eastAsia="Arial" w:hAnsi="Arial"/>
          <w:sz w:val="17"/>
          <w:szCs w:val="17"/>
          <w:color w:val="auto"/>
        </w:rPr>
      </w:pPr>
    </w:p>
    <w:p>
      <w:pPr>
        <w:ind w:right="40" w:firstLine="1492"/>
        <w:spacing w:after="0" w:line="264" w:lineRule="auto"/>
        <w:tabs>
          <w:tab w:leader="none" w:pos="18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2.2(b) or (c). Further, all unvested Units will be forfeited and cancelled and the Participant will not be entitled to any compensation or other amount with respect thereto.</w:t>
      </w:r>
    </w:p>
    <w:p>
      <w:pPr>
        <w:spacing w:after="0" w:line="181" w:lineRule="exact"/>
        <w:rPr>
          <w:rFonts w:ascii="Arial" w:cs="Arial" w:eastAsia="Arial" w:hAnsi="Arial"/>
          <w:sz w:val="18"/>
          <w:szCs w:val="18"/>
          <w:color w:val="auto"/>
        </w:rPr>
      </w:pPr>
    </w:p>
    <w:p>
      <w:pPr>
        <w:ind w:right="320" w:firstLine="1492"/>
        <w:spacing w:after="0" w:line="277" w:lineRule="auto"/>
        <w:tabs>
          <w:tab w:leader="none" w:pos="1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right="420" w:firstLine="1492"/>
        <w:spacing w:after="0" w:line="277" w:lineRule="auto"/>
        <w:tabs>
          <w:tab w:leader="none" w:pos="18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880" w:hanging="388"/>
        <w:spacing w:after="0"/>
        <w:tabs>
          <w:tab w:leader="none" w:pos="1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jc w:val="both"/>
        <w:ind w:right="260" w:firstLine="1492"/>
        <w:spacing w:after="0" w:line="264" w:lineRule="auto"/>
        <w:tabs>
          <w:tab w:leader="none" w:pos="18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1" w:lineRule="exact"/>
        <w:rPr>
          <w:rFonts w:ascii="Arial" w:cs="Arial" w:eastAsia="Arial" w:hAnsi="Arial"/>
          <w:sz w:val="18"/>
          <w:szCs w:val="18"/>
          <w:color w:val="auto"/>
        </w:rPr>
      </w:pPr>
    </w:p>
    <w:p>
      <w:pPr>
        <w:ind w:left="1840" w:hanging="348"/>
        <w:spacing w:after="0"/>
        <w:tabs>
          <w:tab w:leader="none" w:pos="18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0" w:right="239" w:bottom="1440" w:gutter="0" w:footer="0" w:header="0"/>
        </w:sectPr>
      </w:pPr>
    </w:p>
    <w:bookmarkStart w:id="67" w:name="page68"/>
    <w:bookmarkEnd w:id="67"/>
    <w:p>
      <w:pPr>
        <w:ind w:left="-20" w:right="260" w:firstLine="1492"/>
        <w:spacing w:after="0" w:line="308" w:lineRule="auto"/>
        <w:tabs>
          <w:tab w:leader="none" w:pos="1810" w:val="left"/>
        </w:tabs>
        <w:numPr>
          <w:ilvl w:val="0"/>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146" w:lineRule="exact"/>
        <w:rPr>
          <w:rFonts w:ascii="Arial" w:cs="Arial" w:eastAsia="Arial" w:hAnsi="Arial"/>
          <w:sz w:val="17"/>
          <w:szCs w:val="17"/>
          <w:color w:val="auto"/>
        </w:rPr>
      </w:pPr>
    </w:p>
    <w:p>
      <w:pPr>
        <w:jc w:val="both"/>
        <w:ind w:left="-20" w:right="140" w:firstLine="1492"/>
        <w:spacing w:after="0" w:line="342" w:lineRule="auto"/>
        <w:tabs>
          <w:tab w:leader="none" w:pos="185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23" w:lineRule="exact"/>
        <w:rPr>
          <w:rFonts w:ascii="Arial" w:cs="Arial" w:eastAsia="Arial" w:hAnsi="Arial"/>
          <w:sz w:val="16"/>
          <w:szCs w:val="16"/>
          <w:color w:val="auto"/>
        </w:rPr>
      </w:pPr>
    </w:p>
    <w:p>
      <w:pPr>
        <w:ind w:left="-20" w:right="100" w:firstLine="1492"/>
        <w:spacing w:after="0" w:line="264" w:lineRule="auto"/>
        <w:tabs>
          <w:tab w:leader="none" w:pos="1813"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1" w:lineRule="exact"/>
        <w:rPr>
          <w:rFonts w:ascii="Arial" w:cs="Arial" w:eastAsia="Arial" w:hAnsi="Arial"/>
          <w:sz w:val="18"/>
          <w:szCs w:val="18"/>
          <w:color w:val="auto"/>
        </w:rPr>
      </w:pPr>
    </w:p>
    <w:p>
      <w:pPr>
        <w:ind w:left="-20" w:right="100" w:firstLine="1492"/>
        <w:spacing w:after="0" w:line="277" w:lineRule="auto"/>
        <w:tabs>
          <w:tab w:leader="none" w:pos="1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ind w:left="-20" w:firstLine="1492"/>
        <w:spacing w:after="0" w:line="276" w:lineRule="auto"/>
        <w:tabs>
          <w:tab w:leader="none" w:pos="1853"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69"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Data Privacy Consent</w:t>
      </w:r>
      <w:r>
        <w:rPr>
          <w:rFonts w:ascii="Arial" w:cs="Arial" w:eastAsia="Arial" w:hAnsi="Arial"/>
          <w:sz w:val="16"/>
          <w:szCs w:val="16"/>
          <w:color w:val="auto"/>
        </w:rPr>
        <w:t>.</w:t>
      </w:r>
    </w:p>
    <w:p>
      <w:pPr>
        <w:spacing w:after="0" w:line="117" w:lineRule="exact"/>
        <w:rPr>
          <w:sz w:val="20"/>
          <w:szCs w:val="20"/>
          <w:color w:val="auto"/>
        </w:rPr>
      </w:pPr>
    </w:p>
    <w:p>
      <w:pPr>
        <w:ind w:left="-20" w:right="80" w:firstLine="1492"/>
        <w:spacing w:after="0" w:line="261" w:lineRule="auto"/>
        <w:tabs>
          <w:tab w:leader="none" w:pos="1843"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ADMINISTERING AND MANAGING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80" w:lineRule="exact"/>
        <w:rPr>
          <w:rFonts w:ascii="Arial" w:cs="Arial" w:eastAsia="Arial" w:hAnsi="Arial"/>
          <w:sz w:val="18"/>
          <w:szCs w:val="18"/>
          <w:color w:val="auto"/>
        </w:rPr>
      </w:pPr>
    </w:p>
    <w:p>
      <w:pPr>
        <w:ind w:left="-20" w:right="120" w:firstLine="1492"/>
        <w:spacing w:after="0" w:line="255" w:lineRule="auto"/>
        <w:tabs>
          <w:tab w:leader="none" w:pos="1853"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 INFORMATION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 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60" w:top="274" w:right="239" w:bottom="1440" w:gutter="0" w:footer="0" w:header="0"/>
        </w:sectPr>
      </w:pPr>
    </w:p>
    <w:bookmarkStart w:id="68" w:name="page69"/>
    <w:bookmarkEnd w:id="68"/>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WHICH MAY INCLUDE AREAS OUTSIDE THE </w:t>
      </w:r>
      <w:r>
        <w:rPr>
          <w:rFonts w:ascii="Arial" w:cs="Arial" w:eastAsia="Arial" w:hAnsi="Arial"/>
          <w:sz w:val="18"/>
          <w:szCs w:val="18"/>
          <w:b w:val="1"/>
          <w:bCs w:val="1"/>
          <w:color w:val="auto"/>
        </w:rPr>
        <w:t>E</w:t>
      </w:r>
      <w:r>
        <w:rPr>
          <w:rFonts w:ascii="Arial" w:cs="Arial" w:eastAsia="Arial" w:hAnsi="Arial"/>
          <w:sz w:val="15"/>
          <w:szCs w:val="15"/>
          <w:b w:val="1"/>
          <w:bCs w:val="1"/>
          <w:color w:val="auto"/>
        </w:rPr>
        <w:t>UROPEAN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CONOMIC AREA AND THAT THE 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MAY HAVE DIFFERENT DATA PRIVACY LAWS AND PROTECTIONS THAN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 REQUEST A LIST WITH THE NAMES AND ADDRESSES OF ANY POTENTIAL</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RECIPIENTS OF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AUTHORIZES THE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RECIPIENTS TO RECEIVE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POSSESS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USE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RETAIN AND TRANSFER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PURPOSES OF</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 REQUISITE TRANSFER OF</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MAY ELECT TO DEPOSIT ANY SHARES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ACQUIRED UPON SETTLEMENT OF THE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WILL BE HELD ONLY AS LONG AS IS NECESSARY TO</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AT ANY TIME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VIEW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REQUEST ADDITIONAL INFORMATION ABOUT THE STORAGE AND 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HOWEVER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THAT REFUSING OR WITHDRAWING</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ABILITY TO 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F</w:t>
      </w:r>
      <w:r>
        <w:rPr>
          <w:rFonts w:ascii="Arial" w:cs="Arial" w:eastAsia="Arial" w:hAnsi="Arial"/>
          <w:sz w:val="15"/>
          <w:szCs w:val="15"/>
          <w:b w:val="1"/>
          <w:bCs w:val="1"/>
          <w:color w:val="auto"/>
        </w:rPr>
        <w:t>OR MORE INFORMATION ON THE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CONSEQUENCES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 WITHDRAWAL OF CONSENT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MAY CONTACT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p>
    <w:p>
      <w:pPr>
        <w:spacing w:after="0" w:line="307" w:lineRule="exact"/>
        <w:rPr>
          <w:sz w:val="20"/>
          <w:szCs w:val="20"/>
          <w:color w:val="auto"/>
        </w:rPr>
      </w:pPr>
    </w:p>
    <w:p>
      <w:pPr>
        <w:ind w:left="780" w:hanging="316"/>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296" w:lineRule="exact"/>
        <w:rPr>
          <w:sz w:val="20"/>
          <w:szCs w:val="20"/>
          <w:color w:val="auto"/>
        </w:rPr>
      </w:pPr>
    </w:p>
    <w:p>
      <w:pPr>
        <w:ind w:left="780" w:hanging="316"/>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0" w:right="239" w:bottom="1440" w:gutter="0" w:footer="0" w:header="0"/>
        </w:sectPr>
      </w:pPr>
    </w:p>
    <w:bookmarkStart w:id="69" w:name="page70"/>
    <w:bookmarkEnd w:id="69"/>
    <w:p>
      <w:pPr>
        <w:ind w:right="60" w:firstLine="913"/>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84"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w:t>
      </w:r>
    </w:p>
    <w:p>
      <w:pPr>
        <w:spacing w:after="0" w:line="3" w:lineRule="exact"/>
        <w:rPr>
          <w:sz w:val="20"/>
          <w:szCs w:val="20"/>
          <w:color w:val="auto"/>
        </w:rPr>
      </w:pPr>
    </w:p>
    <w:p>
      <w:pPr>
        <w:jc w:val="both"/>
        <w:ind w:right="140" w:firstLine="8"/>
        <w:spacing w:after="0" w:line="277" w:lineRule="auto"/>
        <w:tabs>
          <w:tab w:leader="none" w:pos="255"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277" w:lineRule="exact"/>
        <w:rPr>
          <w:sz w:val="20"/>
          <w:szCs w:val="20"/>
          <w:color w:val="auto"/>
        </w:rPr>
      </w:pPr>
    </w:p>
    <w:p>
      <w:pPr>
        <w:ind w:left="780" w:hanging="316"/>
        <w:spacing w:after="0"/>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251" w:lineRule="exact"/>
        <w:rPr>
          <w:sz w:val="20"/>
          <w:szCs w:val="20"/>
          <w:color w:val="auto"/>
        </w:rPr>
      </w:pPr>
    </w:p>
    <w:p>
      <w:pPr>
        <w:ind w:left="780" w:hanging="316"/>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-7620</wp:posOffset>
            </wp:positionV>
            <wp:extent cx="388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8620" cy="8890"/>
                    </a:xfrm>
                    <a:prstGeom prst="rect">
                      <a:avLst/>
                    </a:prstGeom>
                    <a:noFill/>
                  </pic:spPr>
                </pic:pic>
              </a:graphicData>
            </a:graphic>
          </wp:anchor>
        </w:drawing>
      </w:r>
    </w:p>
    <w:p>
      <w:pPr>
        <w:spacing w:after="0" w:line="97" w:lineRule="exact"/>
        <w:rPr>
          <w:sz w:val="20"/>
          <w:szCs w:val="20"/>
          <w:color w:val="auto"/>
        </w:rPr>
      </w:pPr>
    </w:p>
    <w:p>
      <w:pPr>
        <w:ind w:right="60" w:firstLine="913"/>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Grant of Company Reacquisition Right.</w:t>
      </w:r>
      <w:r>
        <w:rPr>
          <w:rFonts w:ascii="Arial" w:cs="Arial" w:eastAsia="Arial" w:hAnsi="Arial"/>
          <w:sz w:val="17"/>
          <w:szCs w:val="17"/>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7"/>
          <w:szCs w:val="17"/>
          <w:b w:val="1"/>
          <w:bCs w:val="1"/>
          <w:i w:val="1"/>
          <w:iCs w:val="1"/>
          <w:color w:val="auto"/>
        </w:rPr>
        <w:t>“Company Reacquisition Right”</w:t>
      </w:r>
      <w:r>
        <w:rPr>
          <w:rFonts w:ascii="Arial" w:cs="Arial" w:eastAsia="Arial" w:hAnsi="Arial"/>
          <w:sz w:val="17"/>
          <w:szCs w:val="17"/>
          <w:color w:val="auto"/>
        </w:rPr>
        <w:t>).</w:t>
      </w:r>
    </w:p>
    <w:p>
      <w:pPr>
        <w:spacing w:after="0" w:line="266" w:lineRule="exact"/>
        <w:rPr>
          <w:sz w:val="20"/>
          <w:szCs w:val="20"/>
          <w:color w:val="auto"/>
        </w:rPr>
      </w:pPr>
    </w:p>
    <w:p>
      <w:pPr>
        <w:ind w:left="780" w:hanging="316"/>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the Award.</w:t>
      </w:r>
    </w:p>
    <w:p>
      <w:pPr>
        <w:spacing w:after="0" w:line="117"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Issuance of Shares of Stock.</w:t>
      </w:r>
      <w:r>
        <w:rPr>
          <w:rFonts w:ascii="Arial" w:cs="Arial" w:eastAsia="Arial" w:hAnsi="Arial"/>
          <w:sz w:val="16"/>
          <w:szCs w:val="16"/>
          <w:color w:val="auto"/>
        </w:rPr>
        <w:t xml:space="preserve"> Subject to the provisions of Section 7.3 below, as soon as reasonably practicable following the date upon which Units vest (such date, the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(but in no event later than March 15th of the calendar year of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270" w:right="319" w:bottom="1440" w:gutter="0" w:footer="0" w:header="0"/>
        </w:sectPr>
      </w:pPr>
    </w:p>
    <w:bookmarkStart w:id="70" w:name="page71"/>
    <w:bookmarkEnd w:id="70"/>
    <w:p>
      <w:pPr>
        <w:ind w:right="260" w:firstLine="913"/>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Restrictions on Grant of the Award and Issuance of Shares.</w:t>
      </w:r>
      <w:r>
        <w:rPr>
          <w:rFonts w:ascii="Arial" w:cs="Arial" w:eastAsia="Arial" w:hAnsi="Arial"/>
          <w:sz w:val="17"/>
          <w:szCs w:val="17"/>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4"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Company shall not be required to issue fractional shares upon the settlement of the Award.</w:t>
      </w:r>
    </w:p>
    <w:p>
      <w:pPr>
        <w:spacing w:after="0" w:line="333" w:lineRule="exact"/>
        <w:rPr>
          <w:sz w:val="20"/>
          <w:szCs w:val="20"/>
          <w:color w:val="auto"/>
        </w:rPr>
      </w:pPr>
    </w:p>
    <w:p>
      <w:pPr>
        <w:ind w:left="780" w:hanging="316"/>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Regardless of any action the Company or the Participant’s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 all income tax, social insurance, payroll tax, payment on account or other tax-related withholding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the Participant acknowledges and agrees that the ultimate liability for all Tax-Related Items legally due by the Participant is and remains the Participant’s responsibility and that the Company and 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0" w:right="239" w:bottom="1440" w:gutter="0" w:footer="0" w:header="0"/>
        </w:sectPr>
      </w:pPr>
    </w:p>
    <w:bookmarkStart w:id="71" w:name="page72"/>
    <w:bookmarkEnd w:id="71"/>
    <w:p>
      <w:pPr>
        <w:ind w:right="10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w:t>
      </w:r>
    </w:p>
    <w:p>
      <w:pPr>
        <w:spacing w:after="0" w:line="2" w:lineRule="exact"/>
        <w:rPr>
          <w:sz w:val="20"/>
          <w:szCs w:val="20"/>
          <w:color w:val="auto"/>
        </w:rPr>
      </w:pPr>
    </w:p>
    <w:p>
      <w:pPr>
        <w:ind w:right="40" w:firstLine="8"/>
        <w:spacing w:after="0" w:line="288" w:lineRule="auto"/>
        <w:tabs>
          <w:tab w:leader="none" w:pos="25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withholding from the Participant’s wages or other cash compensation paid by the Company and/or Employer; and/or (3) withholding from proceeds of the sale of shares acquired upon settlement of the Units, either through a voluntary sale or through a sale arranged by the Company (on the Participant’s behalf pursuant to this authorization), to the extent permitted by the Administrator. The “</w:t>
      </w:r>
      <w:r>
        <w:rPr>
          <w:rFonts w:ascii="Arial" w:cs="Arial" w:eastAsia="Arial" w:hAnsi="Arial"/>
          <w:sz w:val="16"/>
          <w:szCs w:val="16"/>
          <w:b w:val="1"/>
          <w:bCs w:val="1"/>
          <w:i w:val="1"/>
          <w:iCs w:val="1"/>
          <w:color w:val="auto"/>
        </w:rPr>
        <w:t>Retained Share Amount</w:t>
      </w:r>
      <w:r>
        <w:rPr>
          <w:rFonts w:ascii="Arial" w:cs="Arial" w:eastAsia="Arial" w:hAnsi="Arial"/>
          <w:sz w:val="16"/>
          <w:szCs w:val="16"/>
          <w:color w:val="auto"/>
        </w:rPr>
        <w: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6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275" w:lineRule="exact"/>
        <w:rPr>
          <w:sz w:val="20"/>
          <w:szCs w:val="20"/>
          <w:color w:val="auto"/>
        </w:rPr>
      </w:pPr>
    </w:p>
    <w:p>
      <w:pPr>
        <w:ind w:left="780" w:hanging="316"/>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Award shall be subject to the terms of Sections 13(b) and 13(c) of the Plan in the event of a Change in Control.</w:t>
      </w:r>
    </w:p>
    <w:p>
      <w:pPr>
        <w:spacing w:after="0" w:line="329" w:lineRule="exact"/>
        <w:rPr>
          <w:sz w:val="20"/>
          <w:szCs w:val="20"/>
          <w:color w:val="auto"/>
        </w:rPr>
      </w:pPr>
    </w:p>
    <w:p>
      <w:pPr>
        <w:ind w:left="860" w:hanging="396"/>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72" w:name="page73"/>
    <w:bookmarkEnd w:id="7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285" w:lineRule="exact"/>
        <w:rPr>
          <w:sz w:val="20"/>
          <w:szCs w:val="20"/>
          <w:color w:val="auto"/>
        </w:rPr>
      </w:pPr>
    </w:p>
    <w:p>
      <w:pPr>
        <w:ind w:left="860" w:hanging="396"/>
        <w:spacing w:after="0"/>
        <w:tabs>
          <w:tab w:leader="none" w:pos="86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271" w:lineRule="exact"/>
        <w:rPr>
          <w:sz w:val="20"/>
          <w:szCs w:val="20"/>
          <w:color w:val="auto"/>
        </w:rPr>
      </w:pPr>
    </w:p>
    <w:p>
      <w:pPr>
        <w:ind w:left="860" w:hanging="396"/>
        <w:spacing w:after="0"/>
        <w:tabs>
          <w:tab w:leader="none" w:pos="860"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291" w:lineRule="exact"/>
        <w:rPr>
          <w:sz w:val="20"/>
          <w:szCs w:val="20"/>
          <w:color w:val="auto"/>
        </w:rPr>
      </w:pPr>
    </w:p>
    <w:p>
      <w:pPr>
        <w:ind w:left="860" w:hanging="396"/>
        <w:spacing w:after="0"/>
        <w:tabs>
          <w:tab w:leader="none" w:pos="860"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Termination or Amendment.</w:t>
      </w:r>
      <w:r>
        <w:rPr>
          <w:rFonts w:ascii="Arial" w:cs="Arial" w:eastAsia="Arial" w:hAnsi="Arial"/>
          <w:sz w:val="18"/>
          <w:szCs w:val="18"/>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80" w:lineRule="exact"/>
        <w:rPr>
          <w:sz w:val="20"/>
          <w:szCs w:val="20"/>
          <w:color w:val="auto"/>
        </w:rPr>
      </w:pPr>
    </w:p>
    <w:p>
      <w:pPr>
        <w:ind w:right="140" w:firstLine="913"/>
        <w:spacing w:after="0" w:line="303"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color w:val="auto"/>
        </w:rPr>
        <w:t>Nontransferability of the Award.</w:t>
      </w:r>
      <w:r>
        <w:rPr>
          <w:rFonts w:ascii="Arial" w:cs="Arial" w:eastAsia="Arial" w:hAnsi="Arial"/>
          <w:sz w:val="16"/>
          <w:szCs w:val="16"/>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73" w:name="page74"/>
    <w:bookmarkEnd w:id="73"/>
    <w:p>
      <w:pPr>
        <w:ind w:right="160"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40" w:firstLine="913"/>
        <w:spacing w:after="0" w:line="313"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color w:val="auto"/>
        </w:rPr>
        <w:t>Binding Effect.</w:t>
      </w:r>
      <w:r>
        <w:rPr>
          <w:rFonts w:ascii="Arial" w:cs="Arial" w:eastAsia="Arial" w:hAnsi="Arial"/>
          <w:sz w:val="17"/>
          <w:szCs w:val="17"/>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3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Delivery of Documents and Notices.</w:t>
      </w:r>
      <w:r>
        <w:rPr>
          <w:rFonts w:ascii="Arial" w:cs="Arial" w:eastAsia="Arial" w:hAnsi="Arial"/>
          <w:sz w:val="18"/>
          <w:szCs w:val="18"/>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92" w:lineRule="exact"/>
        <w:rPr>
          <w:sz w:val="20"/>
          <w:szCs w:val="20"/>
          <w:color w:val="auto"/>
        </w:rPr>
      </w:pPr>
    </w:p>
    <w:p>
      <w:pPr>
        <w:ind w:right="260" w:firstLine="1492"/>
        <w:spacing w:after="0" w:line="273" w:lineRule="auto"/>
        <w:tabs>
          <w:tab w:leader="none" w:pos="1863"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8" w:lineRule="exact"/>
        <w:rPr>
          <w:rFonts w:ascii="Arial" w:cs="Arial" w:eastAsia="Arial" w:hAnsi="Arial"/>
          <w:sz w:val="17"/>
          <w:szCs w:val="17"/>
          <w:color w:val="auto"/>
        </w:rPr>
      </w:pPr>
    </w:p>
    <w:p>
      <w:pPr>
        <w:ind w:right="60" w:firstLine="1492"/>
        <w:spacing w:after="0" w:line="288" w:lineRule="auto"/>
        <w:tabs>
          <w:tab w:leader="none" w:pos="1873"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0" w:right="279" w:bottom="1440" w:gutter="0" w:footer="0" w:header="0"/>
        </w:sectPr>
      </w:pPr>
    </w:p>
    <w:bookmarkStart w:id="74" w:name="page75"/>
    <w:bookmarkEnd w:id="74"/>
    <w:p>
      <w:pPr>
        <w:ind w:right="60" w:firstLine="913"/>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b w:val="1"/>
          <w:bCs w:val="1"/>
          <w:color w:val="auto"/>
        </w:rPr>
        <w:t>Country-Specific Terms and Conditions.</w:t>
      </w:r>
      <w:r>
        <w:rPr>
          <w:rFonts w:ascii="Arial" w:cs="Arial" w:eastAsia="Arial" w:hAnsi="Arial"/>
          <w:sz w:val="16"/>
          <w:szCs w:val="16"/>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54" w:lineRule="exact"/>
        <w:rPr>
          <w:sz w:val="20"/>
          <w:szCs w:val="20"/>
          <w:color w:val="auto"/>
        </w:rPr>
      </w:pPr>
    </w:p>
    <w:p>
      <w:pPr>
        <w:ind w:firstLine="913"/>
        <w:spacing w:after="0" w:line="277"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68"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270" w:right="29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70" w:right="2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131"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13.10:</w:t>
      </w:r>
    </w:p>
    <w:p>
      <w:pPr>
        <w:spacing w:after="0" w:line="113" w:lineRule="exact"/>
        <w:rPr>
          <w:rFonts w:ascii="Arial" w:cs="Arial" w:eastAsia="Arial" w:hAnsi="Arial"/>
          <w:sz w:val="18"/>
          <w:szCs w:val="18"/>
          <w:color w:val="auto"/>
        </w:rPr>
      </w:pPr>
    </w:p>
    <w:p>
      <w:pPr>
        <w:ind w:left="460"/>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0" w:right="2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OF 2019 AND 2020 PERFORMANCE GRANTS</w:t>
      </w:r>
    </w:p>
    <w:p>
      <w:pPr>
        <w:spacing w:after="0" w:line="21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Subject to the Executive’s continued employment, within sixty (60) days following each of January 1, 2019 and January 1, 2020 (each, a “</w:t>
      </w:r>
      <w:r>
        <w:rPr>
          <w:rFonts w:ascii="Arial" w:cs="Arial" w:eastAsia="Arial" w:hAnsi="Arial"/>
          <w:sz w:val="17"/>
          <w:szCs w:val="17"/>
          <w:u w:val="single" w:color="auto"/>
          <w:color w:val="auto"/>
        </w:rPr>
        <w:t>60-day Period</w:t>
      </w:r>
      <w:r>
        <w:rPr>
          <w:rFonts w:ascii="Arial" w:cs="Arial" w:eastAsia="Arial" w:hAnsi="Arial"/>
          <w:sz w:val="17"/>
          <w:szCs w:val="17"/>
          <w:color w:val="auto"/>
        </w:rPr>
        <w:t xml:space="preserve">”), the Board will establish performance goals for the 2019 Grants and the 2020 Grants, respectively, and make such grants (consistent with the below allocations). The 2019 Grants and the 2020 Grants will have terms and conditions consistent with those set forth in the Award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Change in Control occurs (i) during the 60-day Period for a given year and before the grant is made, then the Executive will receive the target amount of shares with respect to such award, or (ii) prior to the year that the grant will be made, then the Board will determine the number of performance stock units that the Executive will receive in respect of such grant (if any) in its discretion.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and 2020 TSR PSU Grant and Payout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Payout at Threshold</w:t>
            </w: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Payout at Target</w:t>
            </w: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Payout at Maximum</w:t>
            </w:r>
          </w:p>
        </w:tc>
        <w:tc>
          <w:tcPr>
            <w:tcW w:w="14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Payout at Super</w:t>
            </w:r>
          </w:p>
        </w:tc>
        <w:tc>
          <w:tcPr>
            <w:tcW w:w="0" w:type="dxa"/>
            <w:vAlign w:val="bottom"/>
          </w:tcPr>
          <w:p>
            <w:pPr>
              <w:spacing w:after="0"/>
              <w:rPr>
                <w:sz w:val="1"/>
                <w:szCs w:val="1"/>
                <w:color w:val="auto"/>
              </w:rPr>
            </w:pPr>
          </w:p>
        </w:tc>
      </w:tr>
      <w:tr>
        <w:trPr>
          <w:trHeight w:val="149"/>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w:t>
            </w:r>
          </w:p>
        </w:tc>
        <w:tc>
          <w:tcPr>
            <w:tcW w:w="15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Performance Period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(35% percentile</w:t>
            </w:r>
          </w:p>
        </w:tc>
        <w:tc>
          <w:tcPr>
            <w:tcW w:w="21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(60 percentile relative to</w:t>
            </w:r>
          </w:p>
        </w:tc>
        <w:tc>
          <w:tcPr>
            <w:tcW w:w="120" w:type="dxa"/>
            <w:vAlign w:val="bottom"/>
          </w:tcPr>
          <w:p>
            <w:pPr>
              <w:spacing w:after="0"/>
              <w:rPr>
                <w:sz w:val="12"/>
                <w:szCs w:val="12"/>
                <w:color w:val="auto"/>
              </w:rPr>
            </w:pPr>
          </w:p>
        </w:tc>
        <w:tc>
          <w:tcPr>
            <w:tcW w:w="14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(75% percentile</w:t>
            </w:r>
          </w:p>
        </w:tc>
        <w:tc>
          <w:tcPr>
            <w:tcW w:w="14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Maximum (1st relative</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relative to Index)</w:t>
            </w:r>
          </w:p>
        </w:tc>
        <w:tc>
          <w:tcPr>
            <w:tcW w:w="420" w:type="dxa"/>
            <w:vAlign w:val="bottom"/>
          </w:tcPr>
          <w:p>
            <w:pPr>
              <w:spacing w:after="0"/>
              <w:rPr>
                <w:sz w:val="14"/>
                <w:szCs w:val="14"/>
                <w:color w:val="auto"/>
              </w:rPr>
            </w:pPr>
          </w:p>
        </w:tc>
        <w:tc>
          <w:tcPr>
            <w:tcW w:w="17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6"/>
              </w:rPr>
              <w:t>Index)</w:t>
            </w: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relative to index)</w:t>
            </w:r>
          </w:p>
        </w:tc>
        <w:tc>
          <w:tcPr>
            <w:tcW w:w="14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 Index)</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2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1/1/2019-12/31/2021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3"/>
              </w:rPr>
              <w:t>11,940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w w:val="89"/>
              </w:rPr>
              <w:t>23,880 (February 2022)</w:t>
            </w: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35,820</w:t>
            </w:r>
          </w:p>
        </w:tc>
        <w:tc>
          <w:tcPr>
            <w:tcW w:w="3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2020 Grant</w:t>
            </w:r>
          </w:p>
        </w:tc>
        <w:tc>
          <w:tcPr>
            <w:tcW w:w="1580" w:type="dxa"/>
            <w:vAlign w:val="bottom"/>
          </w:tcPr>
          <w:p>
            <w:pPr>
              <w:jc w:val="right"/>
              <w:spacing w:after="0"/>
              <w:rPr>
                <w:sz w:val="20"/>
                <w:szCs w:val="20"/>
                <w:color w:val="auto"/>
              </w:rPr>
            </w:pPr>
            <w:r>
              <w:rPr>
                <w:rFonts w:ascii="Arial" w:cs="Arial" w:eastAsia="Arial" w:hAnsi="Arial"/>
                <w:sz w:val="18"/>
                <w:szCs w:val="18"/>
                <w:color w:val="auto"/>
                <w:w w:val="93"/>
              </w:rPr>
              <w:t>1/1/2020-12/31/2022</w:t>
            </w:r>
          </w:p>
        </w:tc>
        <w:tc>
          <w:tcPr>
            <w:tcW w:w="1760" w:type="dxa"/>
            <w:vAlign w:val="bottom"/>
            <w:gridSpan w:val="4"/>
          </w:tcPr>
          <w:p>
            <w:pPr>
              <w:ind w:left="1100"/>
              <w:spacing w:after="0"/>
              <w:rPr>
                <w:sz w:val="20"/>
                <w:szCs w:val="20"/>
                <w:color w:val="auto"/>
              </w:rPr>
            </w:pPr>
            <w:r>
              <w:rPr>
                <w:rFonts w:ascii="Arial" w:cs="Arial" w:eastAsia="Arial" w:hAnsi="Arial"/>
                <w:sz w:val="18"/>
                <w:szCs w:val="18"/>
                <w:color w:val="auto"/>
              </w:rPr>
              <w:t>14,520</w:t>
            </w:r>
          </w:p>
        </w:tc>
        <w:tc>
          <w:tcPr>
            <w:tcW w:w="160" w:type="dxa"/>
            <w:vAlign w:val="bottom"/>
          </w:tcPr>
          <w:p>
            <w:pPr>
              <w:spacing w:after="0"/>
              <w:rPr>
                <w:sz w:val="20"/>
                <w:szCs w:val="20"/>
                <w:color w:val="auto"/>
              </w:rPr>
            </w:pPr>
          </w:p>
        </w:tc>
        <w:tc>
          <w:tcPr>
            <w:tcW w:w="2120" w:type="dxa"/>
            <w:vAlign w:val="bottom"/>
            <w:gridSpan w:val="4"/>
          </w:tcPr>
          <w:p>
            <w:pPr>
              <w:ind w:left="60"/>
              <w:spacing w:after="0"/>
              <w:rPr>
                <w:sz w:val="20"/>
                <w:szCs w:val="20"/>
                <w:color w:val="auto"/>
              </w:rPr>
            </w:pPr>
            <w:r>
              <w:rPr>
                <w:rFonts w:ascii="Arial" w:cs="Arial" w:eastAsia="Arial" w:hAnsi="Arial"/>
                <w:sz w:val="18"/>
                <w:szCs w:val="18"/>
                <w:color w:val="auto"/>
              </w:rPr>
              <w:t>29,040 (February 2023)</w:t>
            </w: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43,560</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58,080</w:t>
            </w:r>
          </w:p>
        </w:tc>
        <w:tc>
          <w:tcPr>
            <w:tcW w:w="0" w:type="dxa"/>
            <w:vAlign w:val="bottom"/>
          </w:tcPr>
          <w:p>
            <w:pPr>
              <w:spacing w:after="0"/>
              <w:rPr>
                <w:sz w:val="1"/>
                <w:szCs w:val="1"/>
                <w:color w:val="auto"/>
              </w:rPr>
            </w:pPr>
          </w:p>
        </w:tc>
      </w:tr>
      <w:tr>
        <w:trPr>
          <w:trHeight w:val="526"/>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w w:val="95"/>
              </w:rPr>
              <w:t>2019 and 2020 AOP PSU Grant and Payout Amounts: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Grant</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Performance Period</w:t>
            </w:r>
          </w:p>
        </w:tc>
        <w:tc>
          <w:tcPr>
            <w:tcW w:w="420" w:type="dxa"/>
            <w:vAlign w:val="bottom"/>
          </w:tcPr>
          <w:p>
            <w:pPr>
              <w:spacing w:after="0"/>
              <w:rPr>
                <w:sz w:val="24"/>
                <w:szCs w:val="2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Payout at Threshold</w:t>
            </w:r>
          </w:p>
        </w:tc>
        <w:tc>
          <w:tcPr>
            <w:tcW w:w="120" w:type="dxa"/>
            <w:vAlign w:val="bottom"/>
          </w:tcPr>
          <w:p>
            <w:pPr>
              <w:spacing w:after="0"/>
              <w:rPr>
                <w:sz w:val="24"/>
                <w:szCs w:val="24"/>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Payout at Target</w:t>
            </w:r>
          </w:p>
        </w:tc>
        <w:tc>
          <w:tcPr>
            <w:tcW w:w="140" w:type="dxa"/>
            <w:vAlign w:val="bottom"/>
          </w:tcPr>
          <w:p>
            <w:pPr>
              <w:spacing w:after="0"/>
              <w:rPr>
                <w:sz w:val="24"/>
                <w:szCs w:val="2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Payout at Maximum</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2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w:t>
            </w: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1/1/2019-12/31/2019</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3"/>
              </w:rPr>
              <w:t>27,860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2020 Grant</w:t>
            </w:r>
          </w:p>
        </w:tc>
        <w:tc>
          <w:tcPr>
            <w:tcW w:w="1580" w:type="dxa"/>
            <w:vAlign w:val="bottom"/>
          </w:tcPr>
          <w:p>
            <w:pPr>
              <w:spacing w:after="0"/>
              <w:rPr>
                <w:sz w:val="20"/>
                <w:szCs w:val="20"/>
                <w:color w:val="auto"/>
              </w:rPr>
            </w:pPr>
          </w:p>
        </w:tc>
        <w:tc>
          <w:tcPr>
            <w:tcW w:w="1920" w:type="dxa"/>
            <w:vAlign w:val="bottom"/>
            <w:gridSpan w:val="5"/>
          </w:tcPr>
          <w:p>
            <w:pPr>
              <w:jc w:val="right"/>
              <w:ind w:right="160"/>
              <w:spacing w:after="0"/>
              <w:rPr>
                <w:sz w:val="20"/>
                <w:szCs w:val="20"/>
                <w:color w:val="auto"/>
              </w:rPr>
            </w:pPr>
            <w:r>
              <w:rPr>
                <w:rFonts w:ascii="Arial" w:cs="Arial" w:eastAsia="Arial" w:hAnsi="Arial"/>
                <w:sz w:val="18"/>
                <w:szCs w:val="18"/>
                <w:color w:val="auto"/>
              </w:rPr>
              <w:t>1/1/2020-12/31/2020</w:t>
            </w:r>
          </w:p>
        </w:tc>
        <w:tc>
          <w:tcPr>
            <w:tcW w:w="1780" w:type="dxa"/>
            <w:vAlign w:val="bottom"/>
            <w:gridSpan w:val="3"/>
          </w:tcPr>
          <w:p>
            <w:pPr>
              <w:ind w:left="1180"/>
              <w:spacing w:after="0"/>
              <w:rPr>
                <w:sz w:val="20"/>
                <w:szCs w:val="20"/>
                <w:color w:val="auto"/>
              </w:rPr>
            </w:pPr>
            <w:r>
              <w:rPr>
                <w:rFonts w:ascii="Arial" w:cs="Arial" w:eastAsia="Arial" w:hAnsi="Arial"/>
                <w:sz w:val="18"/>
                <w:szCs w:val="18"/>
                <w:color w:val="auto"/>
              </w:rPr>
              <w:t>33,880</w:t>
            </w:r>
          </w:p>
        </w:tc>
        <w:tc>
          <w:tcPr>
            <w:tcW w:w="34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67,760</w:t>
            </w:r>
          </w:p>
        </w:tc>
        <w:tc>
          <w:tcPr>
            <w:tcW w:w="340" w:type="dxa"/>
            <w:vAlign w:val="bottom"/>
          </w:tcPr>
          <w:p>
            <w:pPr>
              <w:spacing w:after="0"/>
              <w:rPr>
                <w:sz w:val="20"/>
                <w:szCs w:val="20"/>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101,640</w:t>
            </w:r>
          </w:p>
        </w:tc>
        <w:tc>
          <w:tcPr>
            <w:tcW w:w="0" w:type="dxa"/>
            <w:vAlign w:val="bottom"/>
          </w:tcPr>
          <w:p>
            <w:pPr>
              <w:spacing w:after="0"/>
              <w:rPr>
                <w:sz w:val="1"/>
                <w:szCs w:val="1"/>
                <w:color w:val="auto"/>
              </w:rPr>
            </w:pPr>
          </w:p>
        </w:tc>
      </w:tr>
      <w:tr>
        <w:trPr>
          <w:trHeight w:val="350"/>
        </w:trPr>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gridSpan w:val="3"/>
          </w:tcPr>
          <w:p>
            <w:pPr>
              <w:jc w:val="right"/>
              <w:ind w:right="24"/>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RELEASE</w:t>
      </w:r>
    </w:p>
    <w:p>
      <w:pPr>
        <w:spacing w:after="0" w:line="22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As used in this Release of Claims (this “</w:t>
      </w:r>
      <w:r>
        <w:rPr>
          <w:rFonts w:ascii="Arial" w:cs="Arial" w:eastAsia="Arial" w:hAnsi="Arial"/>
          <w:sz w:val="16"/>
          <w:szCs w:val="16"/>
          <w:u w:val="single" w:color="auto"/>
          <w:color w:val="auto"/>
        </w:rPr>
        <w:t>Release</w:t>
      </w:r>
      <w:r>
        <w:rPr>
          <w:rFonts w:ascii="Arial" w:cs="Arial" w:eastAsia="Arial" w:hAnsi="Arial"/>
          <w:sz w:val="16"/>
          <w:szCs w:val="16"/>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Employment Agreement dated April</w:t>
      </w:r>
    </w:p>
    <w:p>
      <w:pPr>
        <w:ind w:right="440" w:firstLine="8"/>
        <w:spacing w:after="0" w:line="261" w:lineRule="auto"/>
        <w:tabs>
          <w:tab w:leader="none" w:pos="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2018, between MagnaChip Semiconductor, Ltd. (the ”</w:t>
      </w:r>
      <w:r>
        <w:rPr>
          <w:rFonts w:ascii="Arial" w:cs="Arial" w:eastAsia="Arial" w:hAnsi="Arial"/>
          <w:sz w:val="18"/>
          <w:szCs w:val="18"/>
          <w:u w:val="single" w:color="auto"/>
          <w:color w:val="auto"/>
        </w:rPr>
        <w:t>Company</w:t>
      </w:r>
      <w:r>
        <w:rPr>
          <w:rFonts w:ascii="Arial" w:cs="Arial" w:eastAsia="Arial" w:hAnsi="Arial"/>
          <w:sz w:val="18"/>
          <w:szCs w:val="18"/>
          <w:color w:val="auto"/>
        </w:rPr>
        <w:t>), MagnaChip Semiconductor Corporation,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Young Joon Kim (my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-173990</wp:posOffset>
            </wp:positionV>
            <wp:extent cx="1143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6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and in consideration of the payments and benefits under Section 5(b) of the Employment Agreement, and other good and valuable consideration, I, for and on behalf of myself and my executors, heirs, administrators, representatives, and assigns, hereby agree to release and forever discharge the Company, Parent and all of their respective predecessors, successors, and past, current, and future parent entities, affiliates, subsidiary entities, investors, directors, shareholders, members, officers, general or limited partners, employees, attorneys, agents, and representatives, and the employee benefit plans in which I am or have been a participant by virtue of my employment with or service to the Company (collectively,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employment by or service to the Company or the termination thereof, including without limitation any and all claims arising under national, federal, provincial, state, or local laws relating to employment, including without limitation claims of wrongful discharge, breach of express or implied contract, fraud, misrepresentation, defamation, intentional infliction of emotional distress, or liability in tort, and claims of any kind that may be brought in any court or administrative agency, and any related claims for attorneys’ fees and costs,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 Section 621, et seq. (the “</w:t>
      </w:r>
      <w:r>
        <w:rPr>
          <w:rFonts w:ascii="Arial" w:cs="Arial" w:eastAsia="Arial" w:hAnsi="Arial"/>
          <w:sz w:val="16"/>
          <w:szCs w:val="16"/>
          <w:u w:val="single" w:color="auto"/>
          <w:color w:val="auto"/>
        </w:rPr>
        <w:t>ADEA</w:t>
      </w:r>
      <w:r>
        <w:rPr>
          <w:rFonts w:ascii="Arial" w:cs="Arial" w:eastAsia="Arial" w:hAnsi="Arial"/>
          <w:sz w:val="16"/>
          <w:szCs w:val="16"/>
          <w:color w:val="auto"/>
        </w:rPr>
        <w:t>”);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any similar national, provincial, state, or local laws of the United States, the Republic of Korea or any other jurisdiction. I agree further that this Release may be pleaded as a full defense to any action, suit, arbitration, or other proceeding covered by the terms hereof that is or may be initiated, prosecuted, or maintained by me or my descendants, dependents, heirs, executors, administrators, or assigns. By signing this Release, I acknowledge that I intend to waive and release all rights known or unknown that I may have against the Company Releasees under these and any other laws.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0" w:right="259" w:bottom="1440" w:gutter="0" w:footer="0" w:header="0"/>
        </w:sectPr>
      </w:pPr>
    </w:p>
    <w:bookmarkStart w:id="79" w:name="page80"/>
    <w:bookmarkEnd w:id="79"/>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acknowledge and agree that as of the date I execute this Release, I have no knowledge of any facts or circumstances that give rise or could give rise to any claims under any of the laws listed in the preceding paragraph and that I have not filed any claim against any of the Releasees before any local, state, federal, or foreign agency, court, arbitrator, mediator, arbitration or mediation panel, or other body (each individually a ”</w:t>
      </w:r>
      <w:r>
        <w:rPr>
          <w:rFonts w:ascii="Arial" w:cs="Arial" w:eastAsia="Arial" w:hAnsi="Arial"/>
          <w:sz w:val="16"/>
          <w:szCs w:val="16"/>
          <w:u w:val="single" w:color="auto"/>
          <w:color w:val="auto"/>
        </w:rPr>
        <w:t>Proceeding</w:t>
      </w:r>
      <w:r>
        <w:rPr>
          <w:rFonts w:ascii="Arial" w:cs="Arial" w:eastAsia="Arial" w:hAnsi="Arial"/>
          <w:sz w:val="16"/>
          <w:szCs w:val="16"/>
          <w:color w:val="auto"/>
        </w:rPr>
        <w:t>”). I (i) acknowledge that I will not initiate or cause to be initiated on my behalf any Proceeding and will not participate in any Proceeding, in each case, except as required by law; and</w:t>
      </w:r>
    </w:p>
    <w:p>
      <w:pPr>
        <w:spacing w:after="0" w:line="2" w:lineRule="exact"/>
        <w:rPr>
          <w:sz w:val="20"/>
          <w:szCs w:val="20"/>
          <w:color w:val="auto"/>
        </w:rPr>
      </w:pPr>
    </w:p>
    <w:p>
      <w:pPr>
        <w:ind w:right="40" w:firstLine="8"/>
        <w:spacing w:after="0" w:line="302" w:lineRule="auto"/>
        <w:tabs>
          <w:tab w:leader="none" w:pos="26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waive any right that I may have to benefit in any manner from any relief (whether monetary or otherwise) arising out of any Proceeding, including any Proceeding conducted by the Equal Employment Opportunity Commission (“</w:t>
      </w:r>
      <w:r>
        <w:rPr>
          <w:rFonts w:ascii="Arial" w:cs="Arial" w:eastAsia="Arial" w:hAnsi="Arial"/>
          <w:sz w:val="16"/>
          <w:szCs w:val="16"/>
          <w:u w:val="single" w:color="auto"/>
          <w:color w:val="auto"/>
        </w:rPr>
        <w:t>EEOC</w:t>
      </w:r>
      <w:r>
        <w:rPr>
          <w:rFonts w:ascii="Arial" w:cs="Arial" w:eastAsia="Arial" w:hAnsi="Arial"/>
          <w:sz w:val="16"/>
          <w:szCs w:val="16"/>
          <w:color w:val="auto"/>
        </w:rPr>
        <w:t>”). Further, I understand that, by executing this Release, I will be limiting the availability of certain remedies that I may have against the Company and limiting also my ability to pursue certain claims against the Company Releasees.</w:t>
      </w:r>
    </w:p>
    <w:p>
      <w:pPr>
        <w:spacing w:after="0" w:line="15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By executing this Release, I specifically release all claims relating to my employment and its termination under ADEA, a federal statute that, among other things, prohibits discrimination on the basis of age in employment and employee benefit plans.</w:t>
      </w:r>
    </w:p>
    <w:p>
      <w:pPr>
        <w:spacing w:after="0" w:line="17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Notwithstanding the generality of the foregoing, I do not release (i) claims to receive payments and benefits under Section 5(b) of the Employment Agreement in accordance with the terms of the Employment Agreement, (ii) claims for indemnification arising under any applicable indemnification obligation of the Company, (iii) any vested rights I may have under any qualified employee benefit plans, programs or policies of the Company and any of its Affiliates, or (iv) claims that cannot be waived by law. Further, nothing in this Release shall prevent me from (a) initiating or causing to be initiated on my behalf any claim against the Company before any local, state, or federal agency, court, or other body challenging the validity of the waiver of my claims under the ADEA (but no other portion of such waiver); or (b) initiating or participating in an investigation or proceeding conducted by the EEOC.</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 understand that nothing in this Agreement will preclude, prohibit or restrict me from (i) communicating with, any federal, state or local administrative or regulatory agency or authority, including but not limited to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(ii) participating or cooperating in any investigation conducted by any governmental agency or authority; or (iii) filing a charge of discrimination with the EEOC or any other federal state or local administrative agency or regulatory authority.</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Nothing in this Agreement, or any other agreement with the Company, prohibits or is intended in any manner to prohibit, me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my right to receive an award (including, without limitation, a monetary reward) for information provided to the SEC. I do not need the prior authorization of anyone at the Company to make any such reports or disclosures, and I am not required to notify the Company that I have made such reports or disclosures.</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Nothing in this Agreement or any other agreement or policy of the Company is intended to interfere with or restrain the immunity provided under 18 U.S.C. §1833(b). I cannot be held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80" w:name="page81"/>
    <w:bookmarkEnd w:id="80"/>
    <w:p>
      <w:pPr>
        <w:jc w:val="both"/>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acknowledge that I have been given at least [21]/[45]</w:t>
      </w:r>
      <w:r>
        <w:rPr>
          <w:rFonts w:ascii="Arial" w:cs="Arial" w:eastAsia="Arial" w:hAnsi="Arial"/>
          <w:sz w:val="15"/>
          <w:szCs w:val="15"/>
          <w:color w:val="auto"/>
        </w:rPr>
        <w:t>1</w:t>
      </w:r>
      <w:r>
        <w:rPr>
          <w:rFonts w:ascii="Arial" w:cs="Arial" w:eastAsia="Arial" w:hAnsi="Arial"/>
          <w:sz w:val="18"/>
          <w:szCs w:val="18"/>
          <w:color w:val="auto"/>
        </w:rPr>
        <w:t xml:space="preserve">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[21]/[45] days have elapsed, I do so knowingly, voluntarily, and upon the advice and with the approval of my legal counsel (if any), and that I voluntarily waive any remaining consideration period.</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This Release will become effective, irrevocable, and binding on the eighth day after its execution, so long as I have not timely revoked it as set forth above. I understand and acknowledge that I will not be entitled to payments or benefits under Section 5(b) of the Employment Agreement unless this Release is effective on or before the date that is 60 days following the Date of Termination (as defined in the Employment Agreement).</w:t>
      </w:r>
    </w:p>
    <w:p>
      <w:pPr>
        <w:spacing w:after="0" w:line="16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 hereby agree to waive any and all claims to re-employment with the Company or any of its affiliates and affirmatively agree not to seek further employment with the Company or any of its affiliates.</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right="300" w:hanging="212"/>
        <w:spacing w:after="0" w:line="277" w:lineRule="auto"/>
        <w:tabs>
          <w:tab w:leader="none" w:pos="220" w:val="left"/>
        </w:tabs>
        <w:numPr>
          <w:ilvl w:val="0"/>
          <w:numId w:val="114"/>
        </w:numPr>
        <w:rPr>
          <w:rFonts w:ascii="Arial" w:cs="Arial" w:eastAsia="Arial" w:hAnsi="Arial"/>
          <w:sz w:val="15"/>
          <w:szCs w:val="15"/>
          <w:color w:val="auto"/>
        </w:rPr>
      </w:pPr>
      <w:r>
        <w:rPr>
          <w:rFonts w:ascii="Arial" w:cs="Arial" w:eastAsia="Arial" w:hAnsi="Arial"/>
          <w:sz w:val="18"/>
          <w:szCs w:val="18"/>
          <w:color w:val="auto"/>
        </w:rPr>
        <w:t>NTD: To be selected based on whether applicable termination was “in connection with an exit incentive or other employment termination program” (as such phrase is defined in the Age Discrimination in Employment Act of 1967).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Release, I am waiving any right to trial by jury in connection with any suit, action, or proceeding under or in connection with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321310</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Young 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280"/>
          </w:cols>
          <w:pgMar w:left="240" w:top="274" w:right="137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1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The Award has been granted pursuant to and shall in all respects be subject to the terms conditions of the MagnaChip Semiconductor Corporation 2011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6"/>
          <w:szCs w:val="16"/>
          <w:b w:val="1"/>
          <w:bCs w:val="1"/>
          <w:i w:val="1"/>
          <w:iCs w:val="1"/>
          <w:color w:val="auto"/>
        </w:rPr>
        <w:t>“Plan Prospectus”</w:t>
      </w:r>
      <w:r>
        <w:rPr>
          <w:rFonts w:ascii="Arial" w:cs="Arial" w:eastAsia="Arial" w:hAnsi="Arial"/>
          <w:sz w:val="16"/>
          <w:szCs w:val="16"/>
          <w:color w:val="auto"/>
        </w:rPr>
        <w:t>), (b) accepts the Award subject to all of the terms and conditions of the Grant Notice, this Agreement and the Plan and</w:t>
      </w:r>
    </w:p>
    <w:p>
      <w:pPr>
        <w:spacing w:after="0" w:line="2" w:lineRule="exact"/>
        <w:rPr>
          <w:sz w:val="20"/>
          <w:szCs w:val="20"/>
          <w:color w:val="auto"/>
        </w:rPr>
      </w:pPr>
    </w:p>
    <w:p>
      <w:pPr>
        <w:ind w:right="140" w:firstLine="8"/>
        <w:spacing w:after="0" w:line="261" w:lineRule="auto"/>
        <w:tabs>
          <w:tab w:leader="none" w:pos="24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agrees to accept as binding, conclusive and final all decisions or interpretations of the Committee upon any questions arising under the Grant Notice, this Agreement or the Plan.</w:t>
      </w:r>
    </w:p>
    <w:p>
      <w:pPr>
        <w:spacing w:after="0" w:line="288" w:lineRule="exact"/>
        <w:rPr>
          <w:sz w:val="20"/>
          <w:szCs w:val="20"/>
          <w:color w:val="auto"/>
        </w:rPr>
      </w:pPr>
    </w:p>
    <w:p>
      <w:pPr>
        <w:ind w:left="820" w:hanging="356"/>
        <w:spacing w:after="0"/>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 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880" w:hanging="388"/>
        <w:spacing w:after="0"/>
        <w:tabs>
          <w:tab w:leader="none" w:pos="188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225" w:lineRule="exact"/>
        <w:rPr>
          <w:rFonts w:ascii="Arial" w:cs="Arial" w:eastAsia="Arial" w:hAnsi="Arial"/>
          <w:sz w:val="18"/>
          <w:szCs w:val="18"/>
          <w:color w:val="auto"/>
        </w:rPr>
      </w:pPr>
    </w:p>
    <w:p>
      <w:pPr>
        <w:ind w:right="460" w:firstLine="1492"/>
        <w:spacing w:after="0" w:line="277" w:lineRule="auto"/>
        <w:tabs>
          <w:tab w:leader="none" w:pos="1873"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166" w:lineRule="exact"/>
        <w:rPr>
          <w:sz w:val="20"/>
          <w:szCs w:val="20"/>
          <w:color w:val="auto"/>
        </w:rPr>
      </w:pPr>
    </w:p>
    <w:p>
      <w:pPr>
        <w:ind w:right="300" w:firstLine="913"/>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83" w:name="page84"/>
    <w:bookmarkEnd w:id="83"/>
    <w:p>
      <w:pPr>
        <w:ind w:left="820" w:hanging="356"/>
        <w:spacing w:after="0"/>
        <w:tabs>
          <w:tab w:leader="none" w:pos="820"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162"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 xml:space="preserve">Employment Conditions. </w:t>
      </w:r>
      <w:r>
        <w:rPr>
          <w:rFonts w:ascii="Arial" w:cs="Arial" w:eastAsia="Arial" w:hAnsi="Arial"/>
          <w:sz w:val="16"/>
          <w:szCs w:val="16"/>
          <w:color w:val="auto"/>
        </w:rPr>
        <w:t>By accepting the Award, the Participant acknowledges and agrees that:</w:t>
      </w:r>
    </w:p>
    <w:p>
      <w:pPr>
        <w:spacing w:after="0" w:line="229" w:lineRule="exact"/>
        <w:rPr>
          <w:sz w:val="20"/>
          <w:szCs w:val="20"/>
          <w:color w:val="auto"/>
        </w:rPr>
      </w:pPr>
    </w:p>
    <w:p>
      <w:pPr>
        <w:ind w:firstLine="1492"/>
        <w:spacing w:after="0" w:line="302" w:lineRule="auto"/>
        <w:tabs>
          <w:tab w:leader="none" w:pos="185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54" w:lineRule="exact"/>
        <w:rPr>
          <w:rFonts w:ascii="Arial" w:cs="Arial" w:eastAsia="Arial" w:hAnsi="Arial"/>
          <w:sz w:val="16"/>
          <w:szCs w:val="16"/>
          <w:color w:val="auto"/>
        </w:rPr>
      </w:pPr>
    </w:p>
    <w:p>
      <w:pPr>
        <w:ind w:right="340" w:firstLine="1492"/>
        <w:spacing w:after="0" w:line="291" w:lineRule="auto"/>
        <w:tabs>
          <w:tab w:leader="none" w:pos="187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w:t>
      </w:r>
    </w:p>
    <w:p>
      <w:pPr>
        <w:ind w:right="140"/>
        <w:spacing w:after="0" w:line="254" w:lineRule="auto"/>
        <w:rPr>
          <w:sz w:val="20"/>
          <w:szCs w:val="20"/>
          <w:color w:val="auto"/>
        </w:rPr>
      </w:pPr>
      <w:r>
        <w:rPr>
          <w:rFonts w:ascii="Arial" w:cs="Arial" w:eastAsia="Arial" w:hAnsi="Arial"/>
          <w:sz w:val="18"/>
          <w:szCs w:val="18"/>
          <w:color w:val="auto"/>
        </w:rPr>
        <w:t>dated [ ], 201[ ]) and prior to the settlement of the Award, the Participant will vest in a pro rata portion of the next tranche of Restricted Stock Units scheduled to vest hereunder, determined by multiplying the number of unvested Restricted Stock Units in such tranche by a fraction, the numerator of which is the number of full months from the last vesting date (or, if none, the Grant Date) to the date of such termination and the denominator of which is the number of full months from the last vesting date (or, if none, the Grant Date) to the next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-444500</wp:posOffset>
            </wp:positionV>
            <wp:extent cx="2286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-444500</wp:posOffset>
            </wp:positionV>
            <wp:extent cx="1143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0" w:lineRule="exact"/>
        <w:rPr>
          <w:sz w:val="20"/>
          <w:szCs w:val="20"/>
          <w:color w:val="auto"/>
        </w:rPr>
      </w:pPr>
    </w:p>
    <w:p>
      <w:pPr>
        <w:ind w:left="1500"/>
        <w:spacing w:after="0"/>
        <w:tabs>
          <w:tab w:leader="none" w:pos="18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If the Participant incurs a CIC Qualified Termination, all unvested Restricted Stock Units will fully vest on the date of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termination.</w:t>
      </w:r>
    </w:p>
    <w:p>
      <w:pPr>
        <w:spacing w:after="0" w:line="211" w:lineRule="exact"/>
        <w:rPr>
          <w:sz w:val="20"/>
          <w:szCs w:val="20"/>
          <w:color w:val="auto"/>
        </w:rPr>
      </w:pPr>
    </w:p>
    <w:p>
      <w:pPr>
        <w:ind w:right="40" w:firstLine="1492"/>
        <w:spacing w:after="0" w:line="264" w:lineRule="auto"/>
        <w:tabs>
          <w:tab w:leader="none" w:pos="187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2.2(b) or (c). Further, all unvested Units will be forfeited and cancelled and the Participant will not be entitled to any compensation or other amount with respect thereto.</w:t>
      </w:r>
    </w:p>
    <w:p>
      <w:pPr>
        <w:spacing w:after="0" w:line="181" w:lineRule="exact"/>
        <w:rPr>
          <w:rFonts w:ascii="Arial" w:cs="Arial" w:eastAsia="Arial" w:hAnsi="Arial"/>
          <w:sz w:val="18"/>
          <w:szCs w:val="18"/>
          <w:color w:val="auto"/>
        </w:rPr>
      </w:pPr>
    </w:p>
    <w:p>
      <w:pPr>
        <w:ind w:right="320" w:firstLine="1492"/>
        <w:spacing w:after="0" w:line="277" w:lineRule="auto"/>
        <w:tabs>
          <w:tab w:leader="none" w:pos="18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right="420" w:firstLine="1492"/>
        <w:spacing w:after="0" w:line="277" w:lineRule="auto"/>
        <w:tabs>
          <w:tab w:leader="none" w:pos="18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880" w:hanging="388"/>
        <w:spacing w:after="0"/>
        <w:tabs>
          <w:tab w:leader="none" w:pos="1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84" w:name="page85"/>
    <w:bookmarkEnd w:id="84"/>
    <w:p>
      <w:pPr>
        <w:jc w:val="both"/>
        <w:ind w:left="-20" w:right="260" w:firstLine="1492"/>
        <w:spacing w:after="0" w:line="264" w:lineRule="auto"/>
        <w:tabs>
          <w:tab w:leader="none" w:pos="1850"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1" w:lineRule="exact"/>
        <w:rPr>
          <w:rFonts w:ascii="Arial" w:cs="Arial" w:eastAsia="Arial" w:hAnsi="Arial"/>
          <w:sz w:val="18"/>
          <w:szCs w:val="18"/>
          <w:color w:val="auto"/>
        </w:rPr>
      </w:pPr>
    </w:p>
    <w:p>
      <w:pPr>
        <w:ind w:left="1820" w:hanging="348"/>
        <w:spacing w:after="0"/>
        <w:tabs>
          <w:tab w:leader="none" w:pos="18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ind w:left="-20" w:right="260" w:firstLine="1492"/>
        <w:spacing w:after="0" w:line="308" w:lineRule="auto"/>
        <w:tabs>
          <w:tab w:leader="none" w:pos="181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146" w:lineRule="exact"/>
        <w:rPr>
          <w:rFonts w:ascii="Arial" w:cs="Arial" w:eastAsia="Arial" w:hAnsi="Arial"/>
          <w:sz w:val="17"/>
          <w:szCs w:val="17"/>
          <w:color w:val="auto"/>
        </w:rPr>
      </w:pPr>
    </w:p>
    <w:p>
      <w:pPr>
        <w:jc w:val="both"/>
        <w:ind w:left="-20" w:right="140" w:firstLine="1492"/>
        <w:spacing w:after="0" w:line="342" w:lineRule="auto"/>
        <w:tabs>
          <w:tab w:leader="none" w:pos="185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23" w:lineRule="exact"/>
        <w:rPr>
          <w:rFonts w:ascii="Arial" w:cs="Arial" w:eastAsia="Arial" w:hAnsi="Arial"/>
          <w:sz w:val="16"/>
          <w:szCs w:val="16"/>
          <w:color w:val="auto"/>
        </w:rPr>
      </w:pPr>
    </w:p>
    <w:p>
      <w:pPr>
        <w:ind w:left="-20" w:right="100" w:firstLine="1492"/>
        <w:spacing w:after="0" w:line="264" w:lineRule="auto"/>
        <w:tabs>
          <w:tab w:leader="none" w:pos="181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1" w:lineRule="exact"/>
        <w:rPr>
          <w:rFonts w:ascii="Arial" w:cs="Arial" w:eastAsia="Arial" w:hAnsi="Arial"/>
          <w:sz w:val="18"/>
          <w:szCs w:val="18"/>
          <w:color w:val="auto"/>
        </w:rPr>
      </w:pPr>
    </w:p>
    <w:p>
      <w:pPr>
        <w:ind w:left="-20" w:right="100" w:firstLine="1492"/>
        <w:spacing w:after="0" w:line="277" w:lineRule="auto"/>
        <w:tabs>
          <w:tab w:leader="none" w:pos="1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ind w:left="-20" w:firstLine="1492"/>
        <w:spacing w:after="0" w:line="276" w:lineRule="auto"/>
        <w:tabs>
          <w:tab w:leader="none" w:pos="185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277"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Data Privacy Consent.</w:t>
      </w:r>
    </w:p>
    <w:p>
      <w:pPr>
        <w:spacing w:after="0" w:line="117" w:lineRule="exact"/>
        <w:rPr>
          <w:sz w:val="20"/>
          <w:szCs w:val="20"/>
          <w:color w:val="auto"/>
        </w:rPr>
      </w:pPr>
    </w:p>
    <w:p>
      <w:pPr>
        <w:ind w:left="-20" w:right="80" w:firstLine="1492"/>
        <w:spacing w:after="0" w:line="261" w:lineRule="auto"/>
        <w:tabs>
          <w:tab w:leader="none" w:pos="1708"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ADMINISTERING AND MANAGING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80" w:lineRule="exact"/>
        <w:rPr>
          <w:rFonts w:ascii="Arial" w:cs="Arial" w:eastAsia="Arial" w:hAnsi="Arial"/>
          <w:sz w:val="18"/>
          <w:szCs w:val="18"/>
          <w:color w:val="auto"/>
        </w:rPr>
      </w:pPr>
    </w:p>
    <w:p>
      <w:pPr>
        <w:ind w:left="-20" w:right="260" w:firstLine="1492"/>
        <w:spacing w:after="0" w:line="261" w:lineRule="auto"/>
        <w:tabs>
          <w:tab w:leader="none" w:pos="1718"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 INFORMATION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85" w:name="page86"/>
    <w:bookmarkEnd w:id="85"/>
    <w:p>
      <w:pPr>
        <w:spacing w:after="0" w:line="252"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FOR THE PURPOSE OF IMPLEMENTING</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ADMINISTERING AND MANAGING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WHICH MAY INCLUDE AREAS OUTSIDE THE </w:t>
      </w:r>
      <w:r>
        <w:rPr>
          <w:rFonts w:ascii="Arial" w:cs="Arial" w:eastAsia="Arial" w:hAnsi="Arial"/>
          <w:sz w:val="18"/>
          <w:szCs w:val="18"/>
          <w:b w:val="1"/>
          <w:bCs w:val="1"/>
          <w:color w:val="auto"/>
        </w:rPr>
        <w:t>E</w:t>
      </w:r>
      <w:r>
        <w:rPr>
          <w:rFonts w:ascii="Arial" w:cs="Arial" w:eastAsia="Arial" w:hAnsi="Arial"/>
          <w:sz w:val="15"/>
          <w:szCs w:val="15"/>
          <w:b w:val="1"/>
          <w:bCs w:val="1"/>
          <w:color w:val="auto"/>
        </w:rPr>
        <w:t xml:space="preserve">UROPEAN </w:t>
      </w:r>
      <w:r>
        <w:rPr>
          <w:rFonts w:ascii="Arial" w:cs="Arial" w:eastAsia="Arial" w:hAnsi="Arial"/>
          <w:sz w:val="18"/>
          <w:szCs w:val="18"/>
          <w:b w:val="1"/>
          <w:bCs w:val="1"/>
          <w:color w:val="auto"/>
        </w:rPr>
        <w:t>E</w:t>
      </w:r>
      <w:r>
        <w:rPr>
          <w:rFonts w:ascii="Arial" w:cs="Arial" w:eastAsia="Arial" w:hAnsi="Arial"/>
          <w:sz w:val="15"/>
          <w:szCs w:val="15"/>
          <w:b w:val="1"/>
          <w:bCs w:val="1"/>
          <w:color w:val="auto"/>
        </w:rPr>
        <w:t>CONOMIC AREA AND THAT THE 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COUNTRY MAY HAVE DIFFERENT DATA PRIVACY LAWS AND PROTECTIONS THAN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REQUEST A LIST WITH THE NAMES AND ADDRESSES OF ANY POTENTIAL RECIPIENTS OF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AUTHORIZES THE RECIPIENTS TO RECEIVE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POSSESS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RETAIN AND TRANSFER THE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 ELECTRONIC OR OTHER FORM</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FOR THE PURPOSES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 REQUISITE TRANSFER OF 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MAY ELECT TO DEPOSIT ANY SHARES ACQUIRED UPON SETTLEMENT OF THE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WILL BE HELD ONLY AS LONG AS IS NECESSARY TO 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AT ANY TIME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VIEW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REQUEST ADDITIONAL INFORMATION ABOUT THE STORAGE AND 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HOWEVER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REFUSING OR WITHDRAWING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ABILITY TO 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F</w:t>
      </w:r>
      <w:r>
        <w:rPr>
          <w:rFonts w:ascii="Arial" w:cs="Arial" w:eastAsia="Arial" w:hAnsi="Arial"/>
          <w:sz w:val="15"/>
          <w:szCs w:val="15"/>
          <w:b w:val="1"/>
          <w:bCs w:val="1"/>
          <w:color w:val="auto"/>
        </w:rPr>
        <w:t xml:space="preserve">OR MORE INFORMATION ON THE CONSEQUENCES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 WITHDRAWAL OF CONSENT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CONTACT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p>
    <w:p>
      <w:pPr>
        <w:spacing w:after="0" w:line="302" w:lineRule="exact"/>
        <w:rPr>
          <w:sz w:val="20"/>
          <w:szCs w:val="20"/>
          <w:color w:val="auto"/>
        </w:rPr>
      </w:pPr>
    </w:p>
    <w:p>
      <w:pPr>
        <w:ind w:left="820" w:hanging="356"/>
        <w:spacing w:after="0"/>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86" w:name="page87"/>
    <w:bookmarkEnd w:id="86"/>
    <w:p>
      <w:pPr>
        <w:ind w:left="820" w:hanging="356"/>
        <w:spacing w:after="0"/>
        <w:tabs>
          <w:tab w:leader="none" w:pos="820"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84" w:lineRule="exact"/>
        <w:rPr>
          <w:sz w:val="20"/>
          <w:szCs w:val="20"/>
          <w:color w:val="auto"/>
        </w:rPr>
      </w:pPr>
    </w:p>
    <w:p>
      <w:pPr>
        <w:ind w:right="120" w:firstLine="913"/>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w:t>
      </w:r>
    </w:p>
    <w:p>
      <w:pPr>
        <w:spacing w:after="0" w:line="3" w:lineRule="exact"/>
        <w:rPr>
          <w:sz w:val="20"/>
          <w:szCs w:val="20"/>
          <w:color w:val="auto"/>
        </w:rPr>
      </w:pPr>
    </w:p>
    <w:p>
      <w:pPr>
        <w:jc w:val="both"/>
        <w:ind w:right="180" w:firstLine="8"/>
        <w:spacing w:after="0" w:line="277" w:lineRule="auto"/>
        <w:tabs>
          <w:tab w:leader="none" w:pos="25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277" w:lineRule="exact"/>
        <w:rPr>
          <w:sz w:val="20"/>
          <w:szCs w:val="20"/>
          <w:color w:val="auto"/>
        </w:rPr>
      </w:pPr>
    </w:p>
    <w:p>
      <w:pPr>
        <w:ind w:left="820" w:hanging="356"/>
        <w:spacing w:after="0"/>
        <w:tabs>
          <w:tab w:leader="none" w:pos="820"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251" w:lineRule="exact"/>
        <w:rPr>
          <w:sz w:val="20"/>
          <w:szCs w:val="20"/>
          <w:color w:val="auto"/>
        </w:rPr>
      </w:pPr>
    </w:p>
    <w:p>
      <w:pPr>
        <w:ind w:left="820" w:hanging="356"/>
        <w:spacing w:after="0"/>
        <w:tabs>
          <w:tab w:leader="none" w:pos="820"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00" w:firstLine="913"/>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Grant of Company Reacquisition Right.</w:t>
      </w:r>
      <w:r>
        <w:rPr>
          <w:rFonts w:ascii="Arial" w:cs="Arial" w:eastAsia="Arial" w:hAnsi="Arial"/>
          <w:sz w:val="17"/>
          <w:szCs w:val="17"/>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7"/>
          <w:szCs w:val="17"/>
          <w:b w:val="1"/>
          <w:bCs w:val="1"/>
          <w:i w:val="1"/>
          <w:iCs w:val="1"/>
          <w:color w:val="auto"/>
        </w:rPr>
        <w:t>“Company Reacquisition Right”</w:t>
      </w:r>
      <w:r>
        <w:rPr>
          <w:rFonts w:ascii="Arial" w:cs="Arial" w:eastAsia="Arial" w:hAnsi="Arial"/>
          <w:sz w:val="17"/>
          <w:szCs w:val="17"/>
          <w:color w:val="auto"/>
        </w:rPr>
        <w:t>).</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87" w:name="page88"/>
    <w:bookmarkEnd w:id="87"/>
    <w:p>
      <w:pPr>
        <w:ind w:left="820" w:hanging="356"/>
        <w:spacing w:after="0"/>
        <w:tabs>
          <w:tab w:leader="none" w:pos="820"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Issuance of Shares of Stock.</w:t>
      </w:r>
      <w:r>
        <w:rPr>
          <w:rFonts w:ascii="Arial" w:cs="Arial" w:eastAsia="Arial" w:hAnsi="Arial"/>
          <w:sz w:val="16"/>
          <w:szCs w:val="16"/>
          <w:color w:val="auto"/>
        </w:rPr>
        <w:t xml:space="preserve"> Subject to the provisions of Section 7.3 below, as soon as reasonably practicable following the date upon which Units vest (such date, the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(but in no event later than March 15th of the calendar year of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154" w:lineRule="exact"/>
        <w:rPr>
          <w:sz w:val="20"/>
          <w:szCs w:val="20"/>
          <w:color w:val="auto"/>
        </w:rPr>
      </w:pPr>
    </w:p>
    <w:p>
      <w:pPr>
        <w:ind w:right="260" w:firstLine="913"/>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Restrictions on Grant of the Award and Issuance of Shares.</w:t>
      </w:r>
      <w:r>
        <w:rPr>
          <w:rFonts w:ascii="Arial" w:cs="Arial" w:eastAsia="Arial" w:hAnsi="Arial"/>
          <w:sz w:val="17"/>
          <w:szCs w:val="17"/>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333" w:lineRule="exact"/>
        <w:rPr>
          <w:sz w:val="20"/>
          <w:szCs w:val="20"/>
          <w:color w:val="auto"/>
        </w:rPr>
      </w:pPr>
    </w:p>
    <w:p>
      <w:pPr>
        <w:ind w:left="820" w:hanging="356"/>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Regardless of any action the Company or the Participant’s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takes with respect to any or all income tax, social insurance, payroll tax, payment on account or other tax-related withholding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the Participant acknowledges and agrees that the ultimate liability for all Tax-Related Items legally due by the Participant is and remains the Participant’s responsibility and that the Company and or the Employer (i) make no representations nor undertakings regarding the treatment of any Tax-Related Items in connection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88" w:name="page89"/>
    <w:bookmarkEnd w:id="8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 (2) withholding from the Participant’s wages or other cash compensation paid by the Company and/or Employer; and/or (3) withholding from proceeds of the sale of shares acquired upon settlement of the Units, either through a voluntary sale or through a sale arranged by the Company (on the Participant’s behalf pursuant to this authorization), to the extent permitted by the Administrator. The “</w:t>
      </w:r>
      <w:r>
        <w:rPr>
          <w:rFonts w:ascii="Arial" w:cs="Arial" w:eastAsia="Arial" w:hAnsi="Arial"/>
          <w:sz w:val="16"/>
          <w:szCs w:val="16"/>
          <w:b w:val="1"/>
          <w:bCs w:val="1"/>
          <w:i w:val="1"/>
          <w:iCs w:val="1"/>
          <w:color w:val="auto"/>
        </w:rPr>
        <w:t>Retained Share Amount</w:t>
      </w:r>
      <w:r>
        <w:rPr>
          <w:rFonts w:ascii="Arial" w:cs="Arial" w:eastAsia="Arial" w:hAnsi="Arial"/>
          <w:sz w:val="16"/>
          <w:szCs w:val="16"/>
          <w:color w:val="auto"/>
        </w:rPr>
        <w: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275" w:lineRule="exact"/>
        <w:rPr>
          <w:sz w:val="20"/>
          <w:szCs w:val="20"/>
          <w:color w:val="auto"/>
        </w:rPr>
      </w:pPr>
    </w:p>
    <w:p>
      <w:pPr>
        <w:ind w:left="820" w:hanging="356"/>
        <w:spacing w:after="0"/>
        <w:tabs>
          <w:tab w:leader="none" w:pos="820"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ONTROL</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Award shall be subject to the terms of Sections 13(b) and 13(c) of the Plan in the event of a Change in Control.</w:t>
      </w:r>
    </w:p>
    <w:p>
      <w:pPr>
        <w:spacing w:after="0" w:line="329" w:lineRule="exact"/>
        <w:rPr>
          <w:sz w:val="20"/>
          <w:szCs w:val="20"/>
          <w:color w:val="auto"/>
        </w:rPr>
      </w:pPr>
    </w:p>
    <w:p>
      <w:pPr>
        <w:ind w:left="860" w:hanging="396"/>
        <w:spacing w:after="0"/>
        <w:tabs>
          <w:tab w:leader="none" w:pos="860"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Subject to any required action by the stockholders of the Company, in the event of any change in the Stock effected without receipt of consideration by the Company, whether through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89" w:name="page90"/>
    <w:bookmarkEnd w:id="8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284" w:lineRule="exact"/>
        <w:rPr>
          <w:sz w:val="20"/>
          <w:szCs w:val="20"/>
          <w:color w:val="auto"/>
        </w:rPr>
      </w:pPr>
    </w:p>
    <w:p>
      <w:pPr>
        <w:ind w:left="860" w:hanging="396"/>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271" w:lineRule="exact"/>
        <w:rPr>
          <w:sz w:val="20"/>
          <w:szCs w:val="20"/>
          <w:color w:val="auto"/>
        </w:rPr>
      </w:pPr>
    </w:p>
    <w:p>
      <w:pPr>
        <w:ind w:left="860" w:hanging="396"/>
        <w:spacing w:after="0"/>
        <w:tabs>
          <w:tab w:leader="none" w:pos="860"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90" w:name="page91"/>
    <w:bookmarkEnd w:id="90"/>
    <w:p>
      <w:pPr>
        <w:ind w:left="860" w:hanging="396"/>
        <w:spacing w:after="0"/>
        <w:tabs>
          <w:tab w:leader="none" w:pos="860"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Termination or Amendment.</w:t>
      </w:r>
      <w:r>
        <w:rPr>
          <w:rFonts w:ascii="Arial" w:cs="Arial" w:eastAsia="Arial" w:hAnsi="Arial"/>
          <w:sz w:val="18"/>
          <w:szCs w:val="18"/>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80" w:lineRule="exact"/>
        <w:rPr>
          <w:sz w:val="20"/>
          <w:szCs w:val="20"/>
          <w:color w:val="auto"/>
        </w:rPr>
      </w:pPr>
    </w:p>
    <w:p>
      <w:pPr>
        <w:ind w:right="220" w:firstLine="913"/>
        <w:spacing w:after="0" w:line="303"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color w:val="auto"/>
        </w:rPr>
        <w:t>Nontransferability of the Award.</w:t>
      </w:r>
      <w:r>
        <w:rPr>
          <w:rFonts w:ascii="Arial" w:cs="Arial" w:eastAsia="Arial" w:hAnsi="Arial"/>
          <w:sz w:val="16"/>
          <w:szCs w:val="16"/>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51"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220" w:firstLine="913"/>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Delivery of Documents and Notices.</w:t>
      </w:r>
      <w:r>
        <w:rPr>
          <w:rFonts w:ascii="Arial" w:cs="Arial" w:eastAsia="Arial" w:hAnsi="Arial"/>
          <w:sz w:val="18"/>
          <w:szCs w:val="18"/>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92" w:lineRule="exact"/>
        <w:rPr>
          <w:sz w:val="20"/>
          <w:szCs w:val="20"/>
          <w:color w:val="auto"/>
        </w:rPr>
      </w:pPr>
    </w:p>
    <w:p>
      <w:pPr>
        <w:ind w:right="300" w:firstLine="1492"/>
        <w:spacing w:after="0" w:line="273" w:lineRule="auto"/>
        <w:tabs>
          <w:tab w:leader="none" w:pos="1863" w:val="left"/>
        </w:tabs>
        <w:numPr>
          <w:ilvl w:val="0"/>
          <w:numId w:val="1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91" w:name="page92"/>
    <w:bookmarkEnd w:id="91"/>
    <w:p>
      <w:pPr>
        <w:ind w:right="40" w:firstLine="1492"/>
        <w:spacing w:after="0" w:line="288" w:lineRule="auto"/>
        <w:tabs>
          <w:tab w:leader="none" w:pos="1873" w:val="left"/>
        </w:tabs>
        <w:numPr>
          <w:ilvl w:val="0"/>
          <w:numId w:val="136"/>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Consent to Electronic Delivery. </w:t>
      </w:r>
      <w:r>
        <w:rPr>
          <w:rFonts w:ascii="Arial" w:cs="Arial" w:eastAsia="Arial" w:hAnsi="Arial"/>
          <w:sz w:val="16"/>
          <w:szCs w:val="16"/>
          <w:color w:val="auto"/>
        </w:rPr>
        <w:t>The Participant acknowledges that the Participant has read Section 13.5(a) of this Agreement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5"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b w:val="1"/>
          <w:bCs w:val="1"/>
          <w:color w:val="auto"/>
        </w:rPr>
        <w:t>Country-Specific Terms and Conditions.</w:t>
      </w:r>
      <w:r>
        <w:rPr>
          <w:rFonts w:ascii="Arial" w:cs="Arial" w:eastAsia="Arial" w:hAnsi="Arial"/>
          <w:sz w:val="16"/>
          <w:szCs w:val="16"/>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54" w:lineRule="exact"/>
        <w:rPr>
          <w:sz w:val="20"/>
          <w:szCs w:val="20"/>
          <w:color w:val="auto"/>
        </w:rPr>
      </w:pPr>
    </w:p>
    <w:p>
      <w:pPr>
        <w:ind w:right="120" w:firstLine="913"/>
        <w:spacing w:after="0" w:line="277"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92" w:name="page93"/>
    <w:bookmarkEnd w:id="92"/>
    <w:p>
      <w:pPr>
        <w:ind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93" w:name="page94"/>
    <w:bookmarkEnd w:id="9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131"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13.10:</w:t>
      </w:r>
    </w:p>
    <w:p>
      <w:pPr>
        <w:spacing w:after="0" w:line="113" w:lineRule="exact"/>
        <w:rPr>
          <w:rFonts w:ascii="Arial" w:cs="Arial" w:eastAsia="Arial" w:hAnsi="Arial"/>
          <w:sz w:val="18"/>
          <w:szCs w:val="18"/>
          <w:color w:val="auto"/>
        </w:rPr>
      </w:pPr>
    </w:p>
    <w:p>
      <w:pPr>
        <w:ind w:left="460"/>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xml:space="preserve">.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“Code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(TSR PERFORMANCE)</w:t>
      </w:r>
    </w:p>
    <w:p>
      <w:pPr>
        <w:spacing w:after="0" w:line="21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TSR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The Award has been granted pursuant to and shall in all respects be subject to the terms conditions of the MagnaChip Semiconductor Corporation 2011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6"/>
          <w:szCs w:val="16"/>
          <w:b w:val="1"/>
          <w:bCs w:val="1"/>
          <w:i w:val="1"/>
          <w:iCs w:val="1"/>
          <w:color w:val="auto"/>
        </w:rPr>
        <w:t>“Plan Prospectus”</w:t>
      </w:r>
      <w:r>
        <w:rPr>
          <w:rFonts w:ascii="Arial" w:cs="Arial" w:eastAsia="Arial" w:hAnsi="Arial"/>
          <w:sz w:val="16"/>
          <w:szCs w:val="16"/>
          <w:color w:val="auto"/>
        </w:rPr>
        <w:t>), (b) accepts the Award subject to all of the terms and conditions of the Grant Notice, this Agreement and the Plan and</w:t>
      </w:r>
    </w:p>
    <w:p>
      <w:pPr>
        <w:spacing w:after="0" w:line="2" w:lineRule="exact"/>
        <w:rPr>
          <w:sz w:val="20"/>
          <w:szCs w:val="20"/>
          <w:color w:val="auto"/>
        </w:rPr>
      </w:pPr>
    </w:p>
    <w:p>
      <w:pPr>
        <w:ind w:right="140" w:firstLine="8"/>
        <w:spacing w:after="0" w:line="261" w:lineRule="auto"/>
        <w:tabs>
          <w:tab w:leader="none" w:pos="24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agrees to accept as binding, conclusive and final all decisions or interpretations of the Committee upon any questions arising under the Grant Notice, this Agreement or the Plan.</w:t>
      </w:r>
    </w:p>
    <w:p>
      <w:pPr>
        <w:spacing w:after="0" w:line="288" w:lineRule="exact"/>
        <w:rPr>
          <w:sz w:val="20"/>
          <w:szCs w:val="20"/>
          <w:color w:val="auto"/>
        </w:rPr>
      </w:pPr>
    </w:p>
    <w:p>
      <w:pPr>
        <w:ind w:left="820" w:hanging="356"/>
        <w:spacing w:after="0"/>
        <w:tabs>
          <w:tab w:leader="none" w:pos="820" w:val="left"/>
        </w:tabs>
        <w:numPr>
          <w:ilvl w:val="0"/>
          <w:numId w:val="139"/>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 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880" w:hanging="388"/>
        <w:spacing w:after="0"/>
        <w:tabs>
          <w:tab w:leader="none" w:pos="1880" w:val="left"/>
        </w:tabs>
        <w:numPr>
          <w:ilvl w:val="0"/>
          <w:numId w:val="1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225" w:lineRule="exact"/>
        <w:rPr>
          <w:rFonts w:ascii="Arial" w:cs="Arial" w:eastAsia="Arial" w:hAnsi="Arial"/>
          <w:sz w:val="18"/>
          <w:szCs w:val="18"/>
          <w:color w:val="auto"/>
        </w:rPr>
      </w:pPr>
    </w:p>
    <w:p>
      <w:pPr>
        <w:ind w:right="460" w:firstLine="1492"/>
        <w:spacing w:after="0" w:line="277" w:lineRule="auto"/>
        <w:tabs>
          <w:tab w:leader="none" w:pos="1873" w:val="left"/>
        </w:tabs>
        <w:numPr>
          <w:ilvl w:val="0"/>
          <w:numId w:val="1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166" w:lineRule="exact"/>
        <w:rPr>
          <w:sz w:val="20"/>
          <w:szCs w:val="20"/>
          <w:color w:val="auto"/>
        </w:rPr>
      </w:pPr>
    </w:p>
    <w:p>
      <w:pPr>
        <w:ind w:right="300" w:firstLine="913"/>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96" w:name="page97"/>
    <w:bookmarkEnd w:id="96"/>
    <w:p>
      <w:pPr>
        <w:ind w:left="820" w:hanging="356"/>
        <w:spacing w:after="0"/>
        <w:tabs>
          <w:tab w:leader="none" w:pos="820"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162"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 xml:space="preserve">Employment Conditions. </w:t>
      </w:r>
      <w:r>
        <w:rPr>
          <w:rFonts w:ascii="Arial" w:cs="Arial" w:eastAsia="Arial" w:hAnsi="Arial"/>
          <w:sz w:val="16"/>
          <w:szCs w:val="16"/>
          <w:color w:val="auto"/>
        </w:rPr>
        <w:t>By accepting the Award, the Participant acknowledges and agrees that:</w:t>
      </w:r>
    </w:p>
    <w:p>
      <w:pPr>
        <w:spacing w:after="0" w:line="229" w:lineRule="exact"/>
        <w:rPr>
          <w:sz w:val="20"/>
          <w:szCs w:val="20"/>
          <w:color w:val="auto"/>
        </w:rPr>
      </w:pPr>
    </w:p>
    <w:p>
      <w:pPr>
        <w:ind w:firstLine="1492"/>
        <w:spacing w:after="0" w:line="302" w:lineRule="auto"/>
        <w:tabs>
          <w:tab w:leader="none" w:pos="185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54" w:lineRule="exact"/>
        <w:rPr>
          <w:rFonts w:ascii="Arial" w:cs="Arial" w:eastAsia="Arial" w:hAnsi="Arial"/>
          <w:sz w:val="16"/>
          <w:szCs w:val="16"/>
          <w:color w:val="auto"/>
        </w:rPr>
      </w:pPr>
    </w:p>
    <w:p>
      <w:pPr>
        <w:ind w:left="1880" w:hanging="388"/>
        <w:spacing w:after="0"/>
        <w:tabs>
          <w:tab w:leader="none" w:pos="18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Notwithstanding anything to the contrary in the Grant Notice, if the Participant is terminated without Cause or resigns for Good</w:t>
      </w:r>
    </w:p>
    <w:p>
      <w:pPr>
        <w:spacing w:after="0" w:line="3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Reason (each as defined in the Participant’s employment agreement with the Company dated [ ], 201[ ]) prior to the settlement of the Award, the Participant will remain eligible to vest (determined in accordance with the terms set forth in the Grant Notice) in a pro rata portion of the Restricted Stock Units on the Certification Date,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Restricted Stock Units remaining outstanding and unvested immediately prior to the Change in Control (after application of the foregoing provisions of this Section 2.2(b)) shall vest and become non-forfeitable at the target level of achievement (determined in accordance with the Grant Notice) immediately upon the occurrence of the Change in Control and the date that the Change in Control is consummated shall be the Settlement Date for purposes of Section 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-1407160</wp:posOffset>
            </wp:positionV>
            <wp:extent cx="2286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-1407160</wp:posOffset>
            </wp:positionV>
            <wp:extent cx="1143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67" w:lineRule="exact"/>
        <w:rPr>
          <w:sz w:val="20"/>
          <w:szCs w:val="20"/>
          <w:color w:val="auto"/>
        </w:rPr>
      </w:pPr>
    </w:p>
    <w:p>
      <w:pPr>
        <w:jc w:val="both"/>
        <w:ind w:right="520" w:firstLine="1492"/>
        <w:spacing w:after="0" w:line="264" w:lineRule="auto"/>
        <w:tabs>
          <w:tab w:leader="none" w:pos="190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Further, all unvested Units will be forfeited and cancelled and the Participant will not be entitled to any compensation or other amount with respect thereto.</w:t>
      </w:r>
    </w:p>
    <w:p>
      <w:pPr>
        <w:spacing w:after="0" w:line="181" w:lineRule="exact"/>
        <w:rPr>
          <w:rFonts w:ascii="Arial" w:cs="Arial" w:eastAsia="Arial" w:hAnsi="Arial"/>
          <w:sz w:val="18"/>
          <w:szCs w:val="18"/>
          <w:color w:val="auto"/>
        </w:rPr>
      </w:pPr>
    </w:p>
    <w:p>
      <w:pPr>
        <w:ind w:right="260" w:firstLine="1492"/>
        <w:spacing w:after="0" w:line="277" w:lineRule="auto"/>
        <w:tabs>
          <w:tab w:leader="none" w:pos="19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97" w:name="page98"/>
    <w:bookmarkEnd w:id="97"/>
    <w:p>
      <w:pPr>
        <w:ind w:left="-80" w:right="340" w:firstLine="1492"/>
        <w:spacing w:after="0" w:line="277" w:lineRule="auto"/>
        <w:tabs>
          <w:tab w:leader="none" w:pos="17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760" w:hanging="348"/>
        <w:spacing w:after="0"/>
        <w:tabs>
          <w:tab w:leader="none" w:pos="1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jc w:val="both"/>
        <w:ind w:left="-80" w:right="200" w:firstLine="1492"/>
        <w:spacing w:after="0" w:line="264" w:lineRule="auto"/>
        <w:tabs>
          <w:tab w:leader="none" w:pos="179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1" w:lineRule="exact"/>
        <w:rPr>
          <w:rFonts w:ascii="Arial" w:cs="Arial" w:eastAsia="Arial" w:hAnsi="Arial"/>
          <w:sz w:val="18"/>
          <w:szCs w:val="18"/>
          <w:color w:val="auto"/>
        </w:rPr>
      </w:pPr>
    </w:p>
    <w:p>
      <w:pPr>
        <w:ind w:left="1800" w:hanging="388"/>
        <w:spacing w:after="0"/>
        <w:tabs>
          <w:tab w:leader="none" w:pos="1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ind w:left="-80" w:right="200" w:firstLine="1492"/>
        <w:spacing w:after="0" w:line="308" w:lineRule="auto"/>
        <w:tabs>
          <w:tab w:leader="none" w:pos="175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146" w:lineRule="exact"/>
        <w:rPr>
          <w:rFonts w:ascii="Arial" w:cs="Arial" w:eastAsia="Arial" w:hAnsi="Arial"/>
          <w:sz w:val="17"/>
          <w:szCs w:val="17"/>
          <w:color w:val="auto"/>
        </w:rPr>
      </w:pPr>
    </w:p>
    <w:p>
      <w:pPr>
        <w:ind w:left="-80" w:right="80" w:firstLine="1492"/>
        <w:spacing w:after="0" w:line="342" w:lineRule="auto"/>
        <w:tabs>
          <w:tab w:leader="none" w:pos="175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23" w:lineRule="exact"/>
        <w:rPr>
          <w:rFonts w:ascii="Arial" w:cs="Arial" w:eastAsia="Arial" w:hAnsi="Arial"/>
          <w:sz w:val="16"/>
          <w:szCs w:val="16"/>
          <w:color w:val="auto"/>
        </w:rPr>
      </w:pPr>
    </w:p>
    <w:p>
      <w:pPr>
        <w:ind w:left="-80" w:firstLine="1492"/>
        <w:spacing w:after="0" w:line="264" w:lineRule="auto"/>
        <w:tabs>
          <w:tab w:leader="none" w:pos="179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1" w:lineRule="exact"/>
        <w:rPr>
          <w:rFonts w:ascii="Arial" w:cs="Arial" w:eastAsia="Arial" w:hAnsi="Arial"/>
          <w:sz w:val="18"/>
          <w:szCs w:val="18"/>
          <w:color w:val="auto"/>
        </w:rPr>
      </w:pPr>
    </w:p>
    <w:p>
      <w:pPr>
        <w:ind w:left="-80" w:right="120" w:firstLine="1492"/>
        <w:spacing w:after="0" w:line="277" w:lineRule="auto"/>
        <w:tabs>
          <w:tab w:leader="none" w:pos="175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ind w:left="-80" w:right="180" w:firstLine="1492"/>
        <w:spacing w:after="0" w:line="276" w:lineRule="auto"/>
        <w:tabs>
          <w:tab w:leader="none" w:pos="184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277" w:lineRule="exact"/>
        <w:rPr>
          <w:sz w:val="20"/>
          <w:szCs w:val="20"/>
          <w:color w:val="auto"/>
        </w:rPr>
      </w:pPr>
    </w:p>
    <w:p>
      <w:pPr>
        <w:ind w:left="840"/>
        <w:spacing w:after="0"/>
        <w:tabs>
          <w:tab w:leader="none" w:pos="12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Data Privacy Consent.</w:t>
      </w:r>
    </w:p>
    <w:p>
      <w:pPr>
        <w:spacing w:after="0" w:line="117" w:lineRule="exact"/>
        <w:rPr>
          <w:sz w:val="20"/>
          <w:szCs w:val="20"/>
          <w:color w:val="auto"/>
        </w:rPr>
      </w:pPr>
    </w:p>
    <w:p>
      <w:pPr>
        <w:ind w:left="-80" w:right="20" w:firstLine="1492"/>
        <w:spacing w:after="0" w:line="261" w:lineRule="auto"/>
        <w:tabs>
          <w:tab w:leader="none" w:pos="1648"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ADMINISTERING AND MANAGING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320" w:top="274" w:right="299" w:bottom="1440" w:gutter="0" w:footer="0" w:header="0"/>
        </w:sectPr>
      </w:pPr>
    </w:p>
    <w:bookmarkStart w:id="98" w:name="page99"/>
    <w:bookmarkEnd w:id="98"/>
    <w:p>
      <w:pPr>
        <w:ind w:firstLine="1492"/>
        <w:spacing w:after="0" w:line="252" w:lineRule="auto"/>
        <w:tabs>
          <w:tab w:leader="none" w:pos="1738" w:val="left"/>
        </w:tabs>
        <w:numPr>
          <w:ilvl w:val="1"/>
          <w:numId w:val="14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 INFORMATION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 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WHICH MAY INCLUDE AREAS OUTSIDE THE </w:t>
      </w:r>
      <w:r>
        <w:rPr>
          <w:rFonts w:ascii="Arial" w:cs="Arial" w:eastAsia="Arial" w:hAnsi="Arial"/>
          <w:sz w:val="18"/>
          <w:szCs w:val="18"/>
          <w:b w:val="1"/>
          <w:bCs w:val="1"/>
          <w:color w:val="auto"/>
        </w:rPr>
        <w:t>E</w:t>
      </w:r>
      <w:r>
        <w:rPr>
          <w:rFonts w:ascii="Arial" w:cs="Arial" w:eastAsia="Arial" w:hAnsi="Arial"/>
          <w:sz w:val="15"/>
          <w:szCs w:val="15"/>
          <w:b w:val="1"/>
          <w:bCs w:val="1"/>
          <w:color w:val="auto"/>
        </w:rPr>
        <w:t xml:space="preserve">UROPEAN </w:t>
      </w:r>
      <w:r>
        <w:rPr>
          <w:rFonts w:ascii="Arial" w:cs="Arial" w:eastAsia="Arial" w:hAnsi="Arial"/>
          <w:sz w:val="18"/>
          <w:szCs w:val="18"/>
          <w:b w:val="1"/>
          <w:bCs w:val="1"/>
          <w:color w:val="auto"/>
        </w:rPr>
        <w:t>E</w:t>
      </w:r>
      <w:r>
        <w:rPr>
          <w:rFonts w:ascii="Arial" w:cs="Arial" w:eastAsia="Arial" w:hAnsi="Arial"/>
          <w:sz w:val="15"/>
          <w:szCs w:val="15"/>
          <w:b w:val="1"/>
          <w:bCs w:val="1"/>
          <w:color w:val="auto"/>
        </w:rPr>
        <w:t>CONOMIC AREA AND THAT THE 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COUNTRY MAY HAVE DIFFERENT DATA PRIVACY LAWS AND PROTECTIONS THAN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REQUEST A LIST WITH THE NAMES AND ADDRESSES OF ANY POTENTIAL RECIPIENTS OF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AUTHORIZES THE RECIPIENTS TO RECEIVE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POSSESS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USE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RETAIN AND TRANSFER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FOR THE PURPOSES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 REQUISITE TRANSFER OF 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MAY ELECT TO DEPOSIT ANY SHARES ACQUIRED UPON SETTLEMENT OF THE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WILL BE HELD ONLY AS LONG AS IS NECESSARY TO 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AT ANY TIME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VIEW</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REQUEST ADDITIONAL INFORMATION ABOUT THE STORAGE AND</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HOWEVER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REFUSING OR WITHDRAWING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ABILITY TO 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F</w:t>
      </w:r>
      <w:r>
        <w:rPr>
          <w:rFonts w:ascii="Arial" w:cs="Arial" w:eastAsia="Arial" w:hAnsi="Arial"/>
          <w:sz w:val="15"/>
          <w:szCs w:val="15"/>
          <w:b w:val="1"/>
          <w:bCs w:val="1"/>
          <w:color w:val="auto"/>
        </w:rPr>
        <w:t xml:space="preserve">OR MORE INFORMATION ON THE CONSEQUENCES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 WITHDRAWAL OF CONSENT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CONTACT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p>
    <w:p>
      <w:pPr>
        <w:spacing w:after="0" w:line="297" w:lineRule="exact"/>
        <w:rPr>
          <w:rFonts w:ascii="Arial" w:cs="Arial" w:eastAsia="Arial" w:hAnsi="Arial"/>
          <w:sz w:val="18"/>
          <w:szCs w:val="18"/>
          <w:color w:val="auto"/>
        </w:rPr>
      </w:pPr>
    </w:p>
    <w:p>
      <w:pPr>
        <w:ind w:left="820" w:hanging="356"/>
        <w:spacing w:after="0"/>
        <w:tabs>
          <w:tab w:leader="none" w:pos="820"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99" w:name="page100"/>
    <w:bookmarkEnd w:id="99"/>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285" w:lineRule="exact"/>
        <w:rPr>
          <w:sz w:val="20"/>
          <w:szCs w:val="20"/>
          <w:color w:val="auto"/>
        </w:rPr>
      </w:pPr>
    </w:p>
    <w:p>
      <w:pPr>
        <w:ind w:left="820" w:hanging="356"/>
        <w:spacing w:after="0"/>
        <w:tabs>
          <w:tab w:leader="none" w:pos="82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84" w:lineRule="exact"/>
        <w:rPr>
          <w:sz w:val="20"/>
          <w:szCs w:val="20"/>
          <w:color w:val="auto"/>
        </w:rPr>
      </w:pPr>
    </w:p>
    <w:p>
      <w:pPr>
        <w:ind w:right="120" w:firstLine="913"/>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w:t>
      </w:r>
    </w:p>
    <w:p>
      <w:pPr>
        <w:spacing w:after="0" w:line="3" w:lineRule="exact"/>
        <w:rPr>
          <w:sz w:val="20"/>
          <w:szCs w:val="20"/>
          <w:color w:val="auto"/>
        </w:rPr>
      </w:pPr>
    </w:p>
    <w:p>
      <w:pPr>
        <w:jc w:val="both"/>
        <w:ind w:right="180" w:firstLine="8"/>
        <w:spacing w:after="0" w:line="277" w:lineRule="auto"/>
        <w:tabs>
          <w:tab w:leader="none" w:pos="2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277" w:lineRule="exact"/>
        <w:rPr>
          <w:sz w:val="20"/>
          <w:szCs w:val="20"/>
          <w:color w:val="auto"/>
        </w:rPr>
      </w:pPr>
    </w:p>
    <w:p>
      <w:pPr>
        <w:ind w:left="820" w:hanging="356"/>
        <w:spacing w:after="0"/>
        <w:tabs>
          <w:tab w:leader="none" w:pos="820"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251" w:lineRule="exact"/>
        <w:rPr>
          <w:sz w:val="20"/>
          <w:szCs w:val="20"/>
          <w:color w:val="auto"/>
        </w:rPr>
      </w:pPr>
    </w:p>
    <w:p>
      <w:pPr>
        <w:ind w:left="820" w:hanging="356"/>
        <w:spacing w:after="0"/>
        <w:tabs>
          <w:tab w:leader="none" w:pos="82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-7620</wp:posOffset>
            </wp:positionV>
            <wp:extent cx="388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8620" cy="8890"/>
                    </a:xfrm>
                    <a:prstGeom prst="rect">
                      <a:avLst/>
                    </a:prstGeom>
                    <a:noFill/>
                  </pic:spPr>
                </pic:pic>
              </a:graphicData>
            </a:graphic>
          </wp:anchor>
        </w:drawing>
      </w:r>
    </w:p>
    <w:p>
      <w:pPr>
        <w:spacing w:after="0" w:line="97" w:lineRule="exact"/>
        <w:rPr>
          <w:sz w:val="20"/>
          <w:szCs w:val="20"/>
          <w:color w:val="auto"/>
        </w:rPr>
      </w:pPr>
    </w:p>
    <w:p>
      <w:pPr>
        <w:ind w:right="100" w:firstLine="913"/>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Grant of Company Reacquisition Right.</w:t>
      </w:r>
      <w:r>
        <w:rPr>
          <w:rFonts w:ascii="Arial" w:cs="Arial" w:eastAsia="Arial" w:hAnsi="Arial"/>
          <w:sz w:val="17"/>
          <w:szCs w:val="17"/>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7"/>
          <w:szCs w:val="17"/>
          <w:b w:val="1"/>
          <w:bCs w:val="1"/>
          <w:i w:val="1"/>
          <w:iCs w:val="1"/>
          <w:color w:val="auto"/>
        </w:rPr>
        <w:t>“Company Reacquisition Right”</w:t>
      </w:r>
      <w:r>
        <w:rPr>
          <w:rFonts w:ascii="Arial" w:cs="Arial" w:eastAsia="Arial" w:hAnsi="Arial"/>
          <w:sz w:val="17"/>
          <w:szCs w:val="17"/>
          <w:color w:val="auto"/>
        </w:rPr>
        <w:t>).</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00" w:name="page101"/>
    <w:bookmarkEnd w:id="100"/>
    <w:p>
      <w:pPr>
        <w:ind w:left="820" w:hanging="356"/>
        <w:spacing w:after="0"/>
        <w:tabs>
          <w:tab w:leader="none" w:pos="820"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Issuance of Shares of Stock.</w:t>
      </w:r>
      <w:r>
        <w:rPr>
          <w:rFonts w:ascii="Arial" w:cs="Arial" w:eastAsia="Arial" w:hAnsi="Arial"/>
          <w:sz w:val="16"/>
          <w:szCs w:val="16"/>
          <w:color w:val="auto"/>
        </w:rPr>
        <w:t xml:space="preserve"> Subject to the provisions of Section 7.3 below, as soon as reasonably practicable following the date upon which Units vest (such date, the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(but in no event later than March 15</w:t>
      </w:r>
      <w:r>
        <w:rPr>
          <w:rFonts w:ascii="Arial" w:cs="Arial" w:eastAsia="Arial" w:hAnsi="Arial"/>
          <w:sz w:val="13"/>
          <w:szCs w:val="13"/>
          <w:color w:val="auto"/>
        </w:rPr>
        <w:t>th</w:t>
      </w:r>
      <w:r>
        <w:rPr>
          <w:rFonts w:ascii="Arial" w:cs="Arial" w:eastAsia="Arial" w:hAnsi="Arial"/>
          <w:sz w:val="16"/>
          <w:szCs w:val="16"/>
          <w:color w:val="auto"/>
        </w:rPr>
        <w:t xml:space="preserve"> of the calendar year following the calendar year in which such vesting occurs),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154" w:lineRule="exact"/>
        <w:rPr>
          <w:sz w:val="20"/>
          <w:szCs w:val="20"/>
          <w:color w:val="auto"/>
        </w:rPr>
      </w:pPr>
    </w:p>
    <w:p>
      <w:pPr>
        <w:ind w:right="180" w:firstLine="913"/>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Restrictions on Grant of the Award and Issuance of Shares.</w:t>
      </w:r>
      <w:r>
        <w:rPr>
          <w:rFonts w:ascii="Arial" w:cs="Arial" w:eastAsia="Arial" w:hAnsi="Arial"/>
          <w:sz w:val="17"/>
          <w:szCs w:val="17"/>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4"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Company shall not be required to issue fractional shares upon the settlement of the Award.</w:t>
      </w:r>
    </w:p>
    <w:p>
      <w:pPr>
        <w:spacing w:after="0" w:line="333" w:lineRule="exact"/>
        <w:rPr>
          <w:sz w:val="20"/>
          <w:szCs w:val="20"/>
          <w:color w:val="auto"/>
        </w:rPr>
      </w:pPr>
    </w:p>
    <w:p>
      <w:pPr>
        <w:ind w:left="820" w:hanging="356"/>
        <w:spacing w:after="0"/>
        <w:tabs>
          <w:tab w:leader="none" w:pos="820"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Regardless of any action the Company or the Participant’s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takes with respect to any or all income tax, social insurance, payroll tax, payment on account 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0" w:right="319" w:bottom="1440" w:gutter="0" w:footer="0" w:header="0"/>
        </w:sectPr>
      </w:pPr>
    </w:p>
    <w:bookmarkStart w:id="101" w:name="page102"/>
    <w:bookmarkEnd w:id="10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tax-related withholding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the Participant acknowledges and agrees that the ultimate liability for all Tax-Related Items legally due by the Participant is and remains the Participant’s responsibility and that the Company and 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6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 (2) withholding from the Participant’s wages or other cash compensation paid by the Company and/or Employer; and/or (3) withholding from proceeds of the sale of shares acquired upon settlement of the Units, either through a voluntary sale or through a sale arranged by the Company (on the Participant’s behalf pursuant to this authorization), to the extent permitted by the Administrator. The “</w:t>
      </w:r>
      <w:r>
        <w:rPr>
          <w:rFonts w:ascii="Arial" w:cs="Arial" w:eastAsia="Arial" w:hAnsi="Arial"/>
          <w:sz w:val="16"/>
          <w:szCs w:val="16"/>
          <w:b w:val="1"/>
          <w:bCs w:val="1"/>
          <w:i w:val="1"/>
          <w:iCs w:val="1"/>
          <w:color w:val="auto"/>
        </w:rPr>
        <w:t>Retained Share Amount</w:t>
      </w:r>
      <w:r>
        <w:rPr>
          <w:rFonts w:ascii="Arial" w:cs="Arial" w:eastAsia="Arial" w:hAnsi="Arial"/>
          <w:sz w:val="16"/>
          <w:szCs w:val="16"/>
          <w:color w:val="auto"/>
        </w:rPr>
        <w: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6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275" w:lineRule="exact"/>
        <w:rPr>
          <w:sz w:val="20"/>
          <w:szCs w:val="20"/>
          <w:color w:val="auto"/>
        </w:rPr>
      </w:pPr>
    </w:p>
    <w:p>
      <w:pPr>
        <w:ind w:left="820" w:hanging="356"/>
        <w:spacing w:after="0"/>
        <w:tabs>
          <w:tab w:leader="none" w:pos="820"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In the event of a Change in Control during the Performance Period, subject to the Participant’s continued Service on the date that such Change in Control is consummated, the Target Award (and any Dividend Equivalent Units associated therewith) will vest and the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2" w:name="page103"/>
    <w:bookmarkEnd w:id="102"/>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Change in Control is consummated will be treated as the Settlement Date for purposes of Section 7 hereof. No Restricted Stock Units in excess of the Target Award shall vest pursuant to this Agreement and all Restricted Stock Units in excess of the Target Award shall immediately be forfeited and cancelled, and the Participant shall not be entitled to any compensation or other amount with respect thereto.</w:t>
      </w:r>
    </w:p>
    <w:p>
      <w:pPr>
        <w:spacing w:after="0" w:line="285" w:lineRule="exact"/>
        <w:rPr>
          <w:sz w:val="20"/>
          <w:szCs w:val="20"/>
          <w:color w:val="auto"/>
        </w:rPr>
      </w:pPr>
    </w:p>
    <w:p>
      <w:pPr>
        <w:ind w:left="860" w:hanging="396"/>
        <w:spacing w:after="0"/>
        <w:tabs>
          <w:tab w:leader="none" w:pos="860"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292" w:lineRule="exact"/>
        <w:rPr>
          <w:sz w:val="20"/>
          <w:szCs w:val="20"/>
          <w:color w:val="auto"/>
        </w:rPr>
      </w:pPr>
    </w:p>
    <w:p>
      <w:pPr>
        <w:ind w:left="860" w:hanging="396"/>
        <w:spacing w:after="0"/>
        <w:tabs>
          <w:tab w:leader="none" w:pos="860"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3" w:name="page104"/>
    <w:bookmarkEnd w:id="103"/>
    <w:p>
      <w:pPr>
        <w:ind w:left="860" w:hanging="396"/>
        <w:spacing w:after="0"/>
        <w:tabs>
          <w:tab w:leader="none" w:pos="860"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291" w:lineRule="exact"/>
        <w:rPr>
          <w:sz w:val="20"/>
          <w:szCs w:val="20"/>
          <w:color w:val="auto"/>
        </w:rPr>
      </w:pPr>
    </w:p>
    <w:p>
      <w:pPr>
        <w:ind w:left="860" w:hanging="396"/>
        <w:spacing w:after="0"/>
        <w:tabs>
          <w:tab w:leader="none" w:pos="860" w:val="left"/>
        </w:tabs>
        <w:numPr>
          <w:ilvl w:val="0"/>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Termination or Amendment.</w:t>
      </w:r>
      <w:r>
        <w:rPr>
          <w:rFonts w:ascii="Arial" w:cs="Arial" w:eastAsia="Arial" w:hAnsi="Arial"/>
          <w:sz w:val="18"/>
          <w:szCs w:val="18"/>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80" w:lineRule="exact"/>
        <w:rPr>
          <w:sz w:val="20"/>
          <w:szCs w:val="20"/>
          <w:color w:val="auto"/>
        </w:rPr>
      </w:pPr>
    </w:p>
    <w:p>
      <w:pPr>
        <w:ind w:right="220" w:firstLine="913"/>
        <w:spacing w:after="0" w:line="303"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color w:val="auto"/>
        </w:rPr>
        <w:t>Nontransferability of the Award.</w:t>
      </w:r>
      <w:r>
        <w:rPr>
          <w:rFonts w:ascii="Arial" w:cs="Arial" w:eastAsia="Arial" w:hAnsi="Arial"/>
          <w:sz w:val="16"/>
          <w:szCs w:val="16"/>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51"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220" w:firstLine="913"/>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Delivery of Documents and Notices.</w:t>
      </w:r>
      <w:r>
        <w:rPr>
          <w:rFonts w:ascii="Arial" w:cs="Arial" w:eastAsia="Arial" w:hAnsi="Arial"/>
          <w:sz w:val="18"/>
          <w:szCs w:val="18"/>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92" w:lineRule="exact"/>
        <w:rPr>
          <w:sz w:val="20"/>
          <w:szCs w:val="20"/>
          <w:color w:val="auto"/>
        </w:rPr>
      </w:pPr>
    </w:p>
    <w:p>
      <w:pPr>
        <w:ind w:right="360" w:firstLine="1492"/>
        <w:spacing w:after="0" w:line="308" w:lineRule="auto"/>
        <w:tabs>
          <w:tab w:leader="none" w:pos="1863" w:val="left"/>
        </w:tabs>
        <w:numPr>
          <w:ilvl w:val="0"/>
          <w:numId w:val="1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04" w:name="page105"/>
    <w:bookmarkEnd w:id="104"/>
    <w:p>
      <w:pPr>
        <w:jc w:val="both"/>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1" w:lineRule="exact"/>
        <w:rPr>
          <w:sz w:val="20"/>
          <w:szCs w:val="20"/>
          <w:color w:val="auto"/>
        </w:rPr>
      </w:pPr>
    </w:p>
    <w:p>
      <w:pPr>
        <w:ind w:right="40" w:firstLine="1492"/>
        <w:spacing w:after="0" w:line="288" w:lineRule="auto"/>
        <w:tabs>
          <w:tab w:leader="none" w:pos="1873" w:val="left"/>
        </w:tabs>
        <w:numPr>
          <w:ilvl w:val="0"/>
          <w:numId w:val="1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5"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b w:val="1"/>
          <w:bCs w:val="1"/>
          <w:color w:val="auto"/>
        </w:rPr>
        <w:t>Country-Specific Terms and Conditions.</w:t>
      </w:r>
      <w:r>
        <w:rPr>
          <w:rFonts w:ascii="Arial" w:cs="Arial" w:eastAsia="Arial" w:hAnsi="Arial"/>
          <w:sz w:val="16"/>
          <w:szCs w:val="16"/>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54" w:lineRule="exact"/>
        <w:rPr>
          <w:sz w:val="20"/>
          <w:szCs w:val="20"/>
          <w:color w:val="auto"/>
        </w:rPr>
      </w:pPr>
    </w:p>
    <w:p>
      <w:pPr>
        <w:ind w:right="120" w:firstLine="913"/>
        <w:spacing w:after="0" w:line="313"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05" w:name="page106"/>
    <w:bookmarkEnd w:id="105"/>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62"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131"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13.10:</w:t>
      </w:r>
    </w:p>
    <w:p>
      <w:pPr>
        <w:spacing w:after="0" w:line="113" w:lineRule="exact"/>
        <w:rPr>
          <w:rFonts w:ascii="Arial" w:cs="Arial" w:eastAsia="Arial" w:hAnsi="Arial"/>
          <w:sz w:val="18"/>
          <w:szCs w:val="18"/>
          <w:color w:val="auto"/>
        </w:rPr>
      </w:pPr>
    </w:p>
    <w:p>
      <w:pPr>
        <w:ind w:left="460"/>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(AOP PERFORMANCE)</w:t>
      </w:r>
    </w:p>
    <w:p>
      <w:pPr>
        <w:spacing w:after="0" w:line="21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AOP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The Award has been granted pursuant to and shall in all respects be subject to the terms conditions of the MagnaChip Semiconductor Corporation 2011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6"/>
          <w:szCs w:val="16"/>
          <w:b w:val="1"/>
          <w:bCs w:val="1"/>
          <w:i w:val="1"/>
          <w:iCs w:val="1"/>
          <w:color w:val="auto"/>
        </w:rPr>
        <w:t>“Plan Prospectus”</w:t>
      </w:r>
      <w:r>
        <w:rPr>
          <w:rFonts w:ascii="Arial" w:cs="Arial" w:eastAsia="Arial" w:hAnsi="Arial"/>
          <w:sz w:val="16"/>
          <w:szCs w:val="16"/>
          <w:color w:val="auto"/>
        </w:rPr>
        <w:t>), (b) accepts the Award subject to all of the terms and conditions of the Grant Notice, this Agreement and the Plan and</w:t>
      </w:r>
    </w:p>
    <w:p>
      <w:pPr>
        <w:spacing w:after="0" w:line="2" w:lineRule="exact"/>
        <w:rPr>
          <w:sz w:val="20"/>
          <w:szCs w:val="20"/>
          <w:color w:val="auto"/>
        </w:rPr>
      </w:pPr>
    </w:p>
    <w:p>
      <w:pPr>
        <w:ind w:right="140" w:firstLine="8"/>
        <w:spacing w:after="0" w:line="261" w:lineRule="auto"/>
        <w:tabs>
          <w:tab w:leader="none" w:pos="2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agrees to accept as binding, conclusive and final all decisions or interpretations of the Committee upon any questions arising under the Grant Notice, this Agreement or the Plan.</w:t>
      </w:r>
    </w:p>
    <w:p>
      <w:pPr>
        <w:spacing w:after="0" w:line="288" w:lineRule="exact"/>
        <w:rPr>
          <w:sz w:val="20"/>
          <w:szCs w:val="20"/>
          <w:color w:val="auto"/>
        </w:rPr>
      </w:pPr>
    </w:p>
    <w:p>
      <w:pPr>
        <w:ind w:left="820" w:hanging="356"/>
        <w:spacing w:after="0"/>
        <w:tabs>
          <w:tab w:leader="none" w:pos="820"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 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1880" w:hanging="388"/>
        <w:spacing w:after="0"/>
        <w:tabs>
          <w:tab w:leader="none" w:pos="1880"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225" w:lineRule="exact"/>
        <w:rPr>
          <w:rFonts w:ascii="Arial" w:cs="Arial" w:eastAsia="Arial" w:hAnsi="Arial"/>
          <w:sz w:val="18"/>
          <w:szCs w:val="18"/>
          <w:color w:val="auto"/>
        </w:rPr>
      </w:pPr>
    </w:p>
    <w:p>
      <w:pPr>
        <w:ind w:right="460" w:firstLine="1492"/>
        <w:spacing w:after="0" w:line="277" w:lineRule="auto"/>
        <w:tabs>
          <w:tab w:leader="none" w:pos="1873"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166" w:lineRule="exact"/>
        <w:rPr>
          <w:sz w:val="20"/>
          <w:szCs w:val="20"/>
          <w:color w:val="auto"/>
        </w:rPr>
      </w:pPr>
    </w:p>
    <w:p>
      <w:pPr>
        <w:ind w:right="300" w:firstLine="913"/>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284" w:lineRule="exact"/>
        <w:rPr>
          <w:sz w:val="20"/>
          <w:szCs w:val="20"/>
          <w:color w:val="auto"/>
        </w:rPr>
      </w:pPr>
    </w:p>
    <w:p>
      <w:pPr>
        <w:ind w:left="820" w:hanging="356"/>
        <w:spacing w:after="0"/>
        <w:tabs>
          <w:tab w:leader="none" w:pos="820"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09" w:name="page110"/>
    <w:bookmarkEnd w:id="109"/>
    <w:p>
      <w:pPr>
        <w:ind w:left="920"/>
        <w:spacing w:after="0"/>
        <w:tabs>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 xml:space="preserve">Employment Conditions. </w:t>
      </w:r>
      <w:r>
        <w:rPr>
          <w:rFonts w:ascii="Arial" w:cs="Arial" w:eastAsia="Arial" w:hAnsi="Arial"/>
          <w:sz w:val="16"/>
          <w:szCs w:val="16"/>
          <w:color w:val="auto"/>
        </w:rPr>
        <w:t>By accepting the Award, the Participant acknowledges and agrees that:</w:t>
      </w:r>
    </w:p>
    <w:p>
      <w:pPr>
        <w:spacing w:after="0" w:line="121" w:lineRule="exact"/>
        <w:rPr>
          <w:sz w:val="20"/>
          <w:szCs w:val="20"/>
          <w:color w:val="auto"/>
        </w:rPr>
      </w:pPr>
    </w:p>
    <w:p>
      <w:pPr>
        <w:ind w:firstLine="1492"/>
        <w:spacing w:after="0" w:line="302" w:lineRule="auto"/>
        <w:tabs>
          <w:tab w:leader="none" w:pos="185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54" w:lineRule="exact"/>
        <w:rPr>
          <w:rFonts w:ascii="Arial" w:cs="Arial" w:eastAsia="Arial" w:hAnsi="Arial"/>
          <w:sz w:val="16"/>
          <w:szCs w:val="16"/>
          <w:color w:val="auto"/>
        </w:rPr>
      </w:pPr>
    </w:p>
    <w:p>
      <w:pPr>
        <w:ind w:left="1880" w:hanging="388"/>
        <w:spacing w:after="0"/>
        <w:tabs>
          <w:tab w:leader="none" w:pos="18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Notwithstanding anything to the contrary in the Grant Notice, if the Participant is terminated without Cause or resigns for Good</w:t>
      </w:r>
    </w:p>
    <w:p>
      <w:pPr>
        <w:spacing w:after="0" w:line="3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Reason (each as defined in the Participant’s employment agreement with the Company dated [ ], 201[ ]) prior to the settlement of the Award, the Participant will remain eligible to vest (determined in accordance with the terms set forth in the Grant Notice) in a pro rata portion of the Restricted Stock Units on the Certification Date,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Restricted Stock Units remaining outstanding and unvested immediately prior to the Change in Control (after application of the foregoing provisions of this Section 2.2(b)) shall vest and become non-forfeitable at the target level of achievement (determined in accordance with the Grant Notice) immediately upon the occurrence of the Change in Control and the date that the Change in Control is consummated shall be the Settlement Date for purposes of Section 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-1407160</wp:posOffset>
            </wp:positionV>
            <wp:extent cx="2286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-1407160</wp:posOffset>
            </wp:positionV>
            <wp:extent cx="1143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67" w:lineRule="exact"/>
        <w:rPr>
          <w:sz w:val="20"/>
          <w:szCs w:val="20"/>
          <w:color w:val="auto"/>
        </w:rPr>
      </w:pPr>
    </w:p>
    <w:p>
      <w:pPr>
        <w:ind w:right="40" w:firstLine="1492"/>
        <w:spacing w:after="0" w:line="264" w:lineRule="auto"/>
        <w:tabs>
          <w:tab w:leader="none" w:pos="18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Further, all unvested Units will be forfeited and cancelled and the Participant will not be entitled to any compensation or other amount with respect thereto.</w:t>
      </w:r>
    </w:p>
    <w:p>
      <w:pPr>
        <w:spacing w:after="0" w:line="181" w:lineRule="exact"/>
        <w:rPr>
          <w:rFonts w:ascii="Arial" w:cs="Arial" w:eastAsia="Arial" w:hAnsi="Arial"/>
          <w:sz w:val="18"/>
          <w:szCs w:val="18"/>
          <w:color w:val="auto"/>
        </w:rPr>
      </w:pPr>
    </w:p>
    <w:p>
      <w:pPr>
        <w:ind w:right="320" w:firstLine="1492"/>
        <w:spacing w:after="0" w:line="277" w:lineRule="auto"/>
        <w:tabs>
          <w:tab w:leader="none" w:pos="187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right="400" w:firstLine="1492"/>
        <w:spacing w:after="0" w:line="277" w:lineRule="auto"/>
        <w:tabs>
          <w:tab w:leader="none" w:pos="18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840" w:hanging="348"/>
        <w:spacing w:after="0"/>
        <w:tabs>
          <w:tab w:leader="none" w:pos="18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10" w:name="page111"/>
    <w:bookmarkEnd w:id="110"/>
    <w:p>
      <w:pPr>
        <w:jc w:val="both"/>
        <w:ind w:left="-80" w:right="200" w:firstLine="1492"/>
        <w:spacing w:after="0" w:line="264" w:lineRule="auto"/>
        <w:tabs>
          <w:tab w:leader="none" w:pos="1790"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1" w:lineRule="exact"/>
        <w:rPr>
          <w:rFonts w:ascii="Arial" w:cs="Arial" w:eastAsia="Arial" w:hAnsi="Arial"/>
          <w:sz w:val="18"/>
          <w:szCs w:val="18"/>
          <w:color w:val="auto"/>
        </w:rPr>
      </w:pPr>
    </w:p>
    <w:p>
      <w:pPr>
        <w:ind w:left="1800" w:hanging="388"/>
        <w:spacing w:after="0"/>
        <w:tabs>
          <w:tab w:leader="none" w:pos="18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ind w:left="-80" w:right="200" w:firstLine="1492"/>
        <w:spacing w:after="0" w:line="308" w:lineRule="auto"/>
        <w:tabs>
          <w:tab w:leader="none" w:pos="175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146" w:lineRule="exact"/>
        <w:rPr>
          <w:rFonts w:ascii="Arial" w:cs="Arial" w:eastAsia="Arial" w:hAnsi="Arial"/>
          <w:sz w:val="17"/>
          <w:szCs w:val="17"/>
          <w:color w:val="auto"/>
        </w:rPr>
      </w:pPr>
    </w:p>
    <w:p>
      <w:pPr>
        <w:ind w:left="-80" w:right="80" w:firstLine="1492"/>
        <w:spacing w:after="0" w:line="342" w:lineRule="auto"/>
        <w:tabs>
          <w:tab w:leader="none" w:pos="175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23" w:lineRule="exact"/>
        <w:rPr>
          <w:rFonts w:ascii="Arial" w:cs="Arial" w:eastAsia="Arial" w:hAnsi="Arial"/>
          <w:sz w:val="16"/>
          <w:szCs w:val="16"/>
          <w:color w:val="auto"/>
        </w:rPr>
      </w:pPr>
    </w:p>
    <w:p>
      <w:pPr>
        <w:ind w:left="-80" w:firstLine="1492"/>
        <w:spacing w:after="0" w:line="264" w:lineRule="auto"/>
        <w:tabs>
          <w:tab w:leader="none" w:pos="179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1" w:lineRule="exact"/>
        <w:rPr>
          <w:rFonts w:ascii="Arial" w:cs="Arial" w:eastAsia="Arial" w:hAnsi="Arial"/>
          <w:sz w:val="18"/>
          <w:szCs w:val="18"/>
          <w:color w:val="auto"/>
        </w:rPr>
      </w:pPr>
    </w:p>
    <w:p>
      <w:pPr>
        <w:ind w:left="-80" w:right="120" w:firstLine="1492"/>
        <w:spacing w:after="0" w:line="277" w:lineRule="auto"/>
        <w:tabs>
          <w:tab w:leader="none" w:pos="175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ind w:left="-80" w:right="180" w:firstLine="1492"/>
        <w:spacing w:after="0" w:line="276" w:lineRule="auto"/>
        <w:tabs>
          <w:tab w:leader="none" w:pos="184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277" w:lineRule="exact"/>
        <w:rPr>
          <w:sz w:val="20"/>
          <w:szCs w:val="20"/>
          <w:color w:val="auto"/>
        </w:rPr>
      </w:pPr>
    </w:p>
    <w:p>
      <w:pPr>
        <w:ind w:left="840"/>
        <w:spacing w:after="0"/>
        <w:tabs>
          <w:tab w:leader="none" w:pos="12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Data Privacy Consent.</w:t>
      </w:r>
    </w:p>
    <w:p>
      <w:pPr>
        <w:spacing w:after="0" w:line="117" w:lineRule="exact"/>
        <w:rPr>
          <w:sz w:val="20"/>
          <w:szCs w:val="20"/>
          <w:color w:val="auto"/>
        </w:rPr>
      </w:pPr>
    </w:p>
    <w:p>
      <w:pPr>
        <w:ind w:left="-80" w:right="20" w:firstLine="1492"/>
        <w:spacing w:after="0" w:line="261" w:lineRule="auto"/>
        <w:tabs>
          <w:tab w:leader="none" w:pos="1648"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ELECTRONIC OR OTHER FORM</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PERSONAL DATA AS DESCRIBED IN THIS DOCUMENT BY AND AMONG THE MEMBERS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FOR THE EXCLUSIVE PURPOSE OF IMPLEMENTING</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ADMINISTERING AND MANAGING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80" w:lineRule="exact"/>
        <w:rPr>
          <w:rFonts w:ascii="Arial" w:cs="Arial" w:eastAsia="Arial" w:hAnsi="Arial"/>
          <w:sz w:val="18"/>
          <w:szCs w:val="18"/>
          <w:color w:val="auto"/>
        </w:rPr>
      </w:pPr>
    </w:p>
    <w:p>
      <w:pPr>
        <w:ind w:left="-80" w:right="200" w:firstLine="1492"/>
        <w:spacing w:after="0" w:line="261" w:lineRule="auto"/>
        <w:tabs>
          <w:tab w:leader="none" w:pos="1658"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HOLDS CERTAIN PERSONAL INFORMATION</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ABOUT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NAME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HOME ADDRESS AND TELEPHONE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ANY SHARES OR DIRECTORSHIPS HELD IN THE </w:t>
      </w:r>
      <w:r>
        <w:rPr>
          <w:rFonts w:ascii="Arial" w:cs="Arial" w:eastAsia="Arial" w:hAnsi="Arial"/>
          <w:sz w:val="18"/>
          <w:szCs w:val="18"/>
          <w:b w:val="1"/>
          <w:bCs w:val="1"/>
          <w:color w:val="auto"/>
        </w:rPr>
        <w:t>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DETAILS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320" w:top="274" w:right="299" w:bottom="1440" w:gutter="0" w:footer="0" w:header="0"/>
        </w:sectPr>
      </w:pPr>
    </w:p>
    <w:bookmarkStart w:id="111" w:name="page112"/>
    <w:bookmarkEnd w:id="111"/>
    <w:p>
      <w:pPr>
        <w:spacing w:after="0" w:line="252"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ALL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EXERCISED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FAVOR</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FOR THE PURPOSE OF IMPLEMENTING</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ADMINISTERING AND MANAGING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w:t>
      </w:r>
      <w:r>
        <w:rPr>
          <w:rFonts w:ascii="Arial" w:cs="Arial" w:eastAsia="Arial" w:hAnsi="Arial"/>
          <w:sz w:val="18"/>
          <w:szCs w:val="18"/>
          <w:b w:val="1"/>
          <w:bCs w:val="1"/>
          <w:color w:val="auto"/>
        </w:rPr>
        <w:t>”).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 xml:space="preserve">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MAY BE TRANSFERRED TO ANY THIRD PARTIES ASSISTING IN THE IMPLEMENTATION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ADMINISTRATION AND MANAGEMENT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THESE RECIPIENTS MAY BE LOCATED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 OR ELSEWHERE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WHICH MAY INCLUDE AREAS OUTSIDE THE </w:t>
      </w:r>
      <w:r>
        <w:rPr>
          <w:rFonts w:ascii="Arial" w:cs="Arial" w:eastAsia="Arial" w:hAnsi="Arial"/>
          <w:sz w:val="18"/>
          <w:szCs w:val="18"/>
          <w:b w:val="1"/>
          <w:bCs w:val="1"/>
          <w:color w:val="auto"/>
        </w:rPr>
        <w:t>E</w:t>
      </w:r>
      <w:r>
        <w:rPr>
          <w:rFonts w:ascii="Arial" w:cs="Arial" w:eastAsia="Arial" w:hAnsi="Arial"/>
          <w:sz w:val="15"/>
          <w:szCs w:val="15"/>
          <w:b w:val="1"/>
          <w:bCs w:val="1"/>
          <w:color w:val="auto"/>
        </w:rPr>
        <w:t xml:space="preserve">UROPEAN </w:t>
      </w:r>
      <w:r>
        <w:rPr>
          <w:rFonts w:ascii="Arial" w:cs="Arial" w:eastAsia="Arial" w:hAnsi="Arial"/>
          <w:sz w:val="18"/>
          <w:szCs w:val="18"/>
          <w:b w:val="1"/>
          <w:bCs w:val="1"/>
          <w:color w:val="auto"/>
        </w:rPr>
        <w:t>E</w:t>
      </w:r>
      <w:r>
        <w:rPr>
          <w:rFonts w:ascii="Arial" w:cs="Arial" w:eastAsia="Arial" w:hAnsi="Arial"/>
          <w:sz w:val="15"/>
          <w:szCs w:val="15"/>
          <w:b w:val="1"/>
          <w:bCs w:val="1"/>
          <w:color w:val="auto"/>
        </w:rPr>
        <w:t>CONOMIC AREA AND THAT THE RECIPIENT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COUNTRY MAY HAVE DIFFERENT DATA PRIVACY LAWS AND PROTECTIONS THAN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COUNTRY</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REQUEST A LIST WITH THE NAMES AND ADDRESSES OF ANY POTENTIAL RECIPIENTS OF THE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ARTICIPANT AUTHORIZES THE RECIPIENTS TO RECEIVE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POSSESS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USE</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RETAIN AND TRANSFER THE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ATA</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IN ELECTRONIC OR OTHER FORM</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FOR THE PURPOSES OF IMPLEMENTING</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INCLUDING ANY REQUISITE TRANSFER OF SUCH </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MAY ELECT TO DEPOSIT ANY SHARES ACQUIRED UPON SETTLEMENT OF THE </w:t>
      </w:r>
      <w:r>
        <w:rPr>
          <w:rFonts w:ascii="Arial" w:cs="Arial" w:eastAsia="Arial" w:hAnsi="Arial"/>
          <w:sz w:val="18"/>
          <w:szCs w:val="18"/>
          <w:b w:val="1"/>
          <w:bCs w:val="1"/>
          <w:color w:val="auto"/>
        </w:rPr>
        <w:t>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WILL BE HELD ONLY AS LONG AS IS NECESSARY TO IMPLEMENT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AT ANY TIME</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VIEW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REQUEST ADDITIONAL INFORMATION ABOUT THE STORAGE AND PROCESSING OF </w:t>
      </w:r>
      <w:r>
        <w:rPr>
          <w:rFonts w:ascii="Arial" w:cs="Arial" w:eastAsia="Arial" w:hAnsi="Arial"/>
          <w:sz w:val="18"/>
          <w:szCs w:val="18"/>
          <w:b w:val="1"/>
          <w:bCs w:val="1"/>
          <w:color w:val="auto"/>
        </w:rPr>
        <w:t>D</w:t>
      </w:r>
      <w:r>
        <w:rPr>
          <w:rFonts w:ascii="Arial" w:cs="Arial" w:eastAsia="Arial" w:hAnsi="Arial"/>
          <w:sz w:val="15"/>
          <w:szCs w:val="15"/>
          <w:b w:val="1"/>
          <w:bCs w:val="1"/>
          <w:color w:val="auto"/>
        </w:rPr>
        <w:t>ATA</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8"/>
          <w:szCs w:val="18"/>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 UNDERSTANDS</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HOWEVER</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THAT REFUSING OR WITHDRAWING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S ABILITY TO PARTICIPATE IN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F</w:t>
      </w:r>
      <w:r>
        <w:rPr>
          <w:rFonts w:ascii="Arial" w:cs="Arial" w:eastAsia="Arial" w:hAnsi="Arial"/>
          <w:sz w:val="15"/>
          <w:szCs w:val="15"/>
          <w:b w:val="1"/>
          <w:bCs w:val="1"/>
          <w:color w:val="auto"/>
        </w:rPr>
        <w:t xml:space="preserve">OR MORE INFORMATION ON THE CONSEQUENCES OF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REFUSAL TO CONSENT OR WITHDRAWAL OF CONSENT</w:t>
      </w:r>
      <w:r>
        <w:rPr>
          <w:rFonts w:ascii="Arial" w:cs="Arial" w:eastAsia="Arial" w:hAnsi="Arial"/>
          <w:sz w:val="18"/>
          <w:szCs w:val="18"/>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 xml:space="preserve">ARTICIPANT UNDERSTANDS THAT HE OR SHE MAY CONTACT THE </w:t>
      </w:r>
      <w:r>
        <w:rPr>
          <w:rFonts w:ascii="Arial" w:cs="Arial" w:eastAsia="Arial" w:hAnsi="Arial"/>
          <w:sz w:val="18"/>
          <w:szCs w:val="18"/>
          <w:b w:val="1"/>
          <w:bCs w:val="1"/>
          <w:color w:val="auto"/>
        </w:rPr>
        <w:t>P</w:t>
      </w:r>
      <w:r>
        <w:rPr>
          <w:rFonts w:ascii="Arial" w:cs="Arial" w:eastAsia="Arial" w:hAnsi="Arial"/>
          <w:sz w:val="15"/>
          <w:szCs w:val="15"/>
          <w:b w:val="1"/>
          <w:bCs w:val="1"/>
          <w:color w:val="auto"/>
        </w:rPr>
        <w:t>ARTICIPANT</w:t>
      </w:r>
      <w:r>
        <w:rPr>
          <w:rFonts w:ascii="Arial" w:cs="Arial" w:eastAsia="Arial" w:hAnsi="Arial"/>
          <w:sz w:val="18"/>
          <w:szCs w:val="18"/>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8"/>
          <w:szCs w:val="18"/>
          <w:b w:val="1"/>
          <w:bCs w:val="1"/>
          <w:color w:val="auto"/>
        </w:rPr>
        <w:t>.</w:t>
      </w:r>
    </w:p>
    <w:p>
      <w:pPr>
        <w:spacing w:after="0" w:line="302" w:lineRule="exact"/>
        <w:rPr>
          <w:sz w:val="20"/>
          <w:szCs w:val="20"/>
          <w:color w:val="auto"/>
        </w:rPr>
      </w:pPr>
    </w:p>
    <w:p>
      <w:pPr>
        <w:ind w:left="820" w:hanging="356"/>
        <w:spacing w:after="0"/>
        <w:tabs>
          <w:tab w:leader="none" w:pos="820" w:val="left"/>
        </w:tabs>
        <w:numPr>
          <w:ilvl w:val="0"/>
          <w:numId w:val="170"/>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112" w:name="page113"/>
    <w:bookmarkEnd w:id="112"/>
    <w:p>
      <w:pPr>
        <w:ind w:left="820" w:hanging="356"/>
        <w:spacing w:after="0"/>
        <w:tabs>
          <w:tab w:leader="none" w:pos="820" w:val="left"/>
        </w:tabs>
        <w:numPr>
          <w:ilvl w:val="0"/>
          <w:numId w:val="17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84" w:lineRule="exact"/>
        <w:rPr>
          <w:sz w:val="20"/>
          <w:szCs w:val="20"/>
          <w:color w:val="auto"/>
        </w:rPr>
      </w:pPr>
    </w:p>
    <w:p>
      <w:pPr>
        <w:ind w:right="120" w:firstLine="913"/>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Dividend Equivalent Units.</w:t>
      </w:r>
      <w:r>
        <w:rPr>
          <w:rFonts w:ascii="Arial" w:cs="Arial" w:eastAsia="Arial" w:hAnsi="Arial"/>
          <w:sz w:val="16"/>
          <w:szCs w:val="16"/>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w:t>
      </w:r>
    </w:p>
    <w:p>
      <w:pPr>
        <w:spacing w:after="0" w:line="3" w:lineRule="exact"/>
        <w:rPr>
          <w:sz w:val="20"/>
          <w:szCs w:val="20"/>
          <w:color w:val="auto"/>
        </w:rPr>
      </w:pPr>
    </w:p>
    <w:p>
      <w:pPr>
        <w:jc w:val="both"/>
        <w:ind w:right="180" w:firstLine="8"/>
        <w:spacing w:after="0" w:line="277" w:lineRule="auto"/>
        <w:tabs>
          <w:tab w:leader="none" w:pos="25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277" w:lineRule="exact"/>
        <w:rPr>
          <w:sz w:val="20"/>
          <w:szCs w:val="20"/>
          <w:color w:val="auto"/>
        </w:rPr>
      </w:pPr>
    </w:p>
    <w:p>
      <w:pPr>
        <w:ind w:left="820" w:hanging="356"/>
        <w:spacing w:after="0"/>
        <w:tabs>
          <w:tab w:leader="none" w:pos="820" w:val="left"/>
        </w:tabs>
        <w:numPr>
          <w:ilvl w:val="0"/>
          <w:numId w:val="173"/>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NITS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251" w:lineRule="exact"/>
        <w:rPr>
          <w:sz w:val="20"/>
          <w:szCs w:val="20"/>
          <w:color w:val="auto"/>
        </w:rPr>
      </w:pPr>
    </w:p>
    <w:p>
      <w:pPr>
        <w:ind w:left="820" w:hanging="356"/>
        <w:spacing w:after="0"/>
        <w:tabs>
          <w:tab w:leader="none" w:pos="820" w:val="left"/>
        </w:tabs>
        <w:numPr>
          <w:ilvl w:val="0"/>
          <w:numId w:val="17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00" w:firstLine="913"/>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Grant of Company Reacquisition Right.</w:t>
      </w:r>
      <w:r>
        <w:rPr>
          <w:rFonts w:ascii="Arial" w:cs="Arial" w:eastAsia="Arial" w:hAnsi="Arial"/>
          <w:sz w:val="17"/>
          <w:szCs w:val="17"/>
          <w:color w:val="auto"/>
        </w:rPr>
        <w:t xml:space="preserve"> 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 (the </w:t>
      </w:r>
      <w:r>
        <w:rPr>
          <w:rFonts w:ascii="Arial" w:cs="Arial" w:eastAsia="Arial" w:hAnsi="Arial"/>
          <w:sz w:val="17"/>
          <w:szCs w:val="17"/>
          <w:b w:val="1"/>
          <w:bCs w:val="1"/>
          <w:i w:val="1"/>
          <w:iCs w:val="1"/>
          <w:color w:val="auto"/>
        </w:rPr>
        <w:t>“Company Reacquisition Right”</w:t>
      </w:r>
      <w:r>
        <w:rPr>
          <w:rFonts w:ascii="Arial" w:cs="Arial" w:eastAsia="Arial" w:hAnsi="Arial"/>
          <w:sz w:val="17"/>
          <w:szCs w:val="17"/>
          <w:color w:val="auto"/>
        </w:rPr>
        <w:t>).</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113" w:name="page114"/>
    <w:bookmarkEnd w:id="113"/>
    <w:p>
      <w:pPr>
        <w:ind w:left="820" w:hanging="356"/>
        <w:spacing w:after="0"/>
        <w:tabs>
          <w:tab w:leader="none" w:pos="820" w:val="left"/>
        </w:tabs>
        <w:numPr>
          <w:ilvl w:val="0"/>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Issuance of Shares of Stock.</w:t>
      </w:r>
      <w:r>
        <w:rPr>
          <w:rFonts w:ascii="Arial" w:cs="Arial" w:eastAsia="Arial" w:hAnsi="Arial"/>
          <w:sz w:val="16"/>
          <w:szCs w:val="16"/>
          <w:color w:val="auto"/>
        </w:rPr>
        <w:t xml:space="preserve"> Subject to the provisions of Section 7.3 below, as soon as reasonably practicable following the date upon which Units vest (such date, the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(but in no event later than March 15</w:t>
      </w:r>
      <w:r>
        <w:rPr>
          <w:rFonts w:ascii="Arial" w:cs="Arial" w:eastAsia="Arial" w:hAnsi="Arial"/>
          <w:sz w:val="13"/>
          <w:szCs w:val="13"/>
          <w:color w:val="auto"/>
        </w:rPr>
        <w:t>th</w:t>
      </w:r>
      <w:r>
        <w:rPr>
          <w:rFonts w:ascii="Arial" w:cs="Arial" w:eastAsia="Arial" w:hAnsi="Arial"/>
          <w:sz w:val="16"/>
          <w:szCs w:val="16"/>
          <w:color w:val="auto"/>
        </w:rPr>
        <w:t xml:space="preserve"> of the calendar year following the calendar year in which such vesting occurs),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Trading Compliance Policy or any stock ownership guidelines or holding period guidelines established by the Board from time to time.</w:t>
      </w:r>
    </w:p>
    <w:p>
      <w:pPr>
        <w:spacing w:after="0" w:line="154" w:lineRule="exact"/>
        <w:rPr>
          <w:sz w:val="20"/>
          <w:szCs w:val="20"/>
          <w:color w:val="auto"/>
        </w:rPr>
      </w:pPr>
    </w:p>
    <w:p>
      <w:pPr>
        <w:ind w:right="260" w:firstLine="913"/>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Restrictions on Grant of the Award and Issuance of Shares.</w:t>
      </w:r>
      <w:r>
        <w:rPr>
          <w:rFonts w:ascii="Arial" w:cs="Arial" w:eastAsia="Arial" w:hAnsi="Arial"/>
          <w:sz w:val="17"/>
          <w:szCs w:val="17"/>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74"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Company shall not be required to issue fractional shares upon the settlement of the Award.</w:t>
      </w:r>
    </w:p>
    <w:p>
      <w:pPr>
        <w:spacing w:after="0" w:line="333" w:lineRule="exact"/>
        <w:rPr>
          <w:sz w:val="20"/>
          <w:szCs w:val="20"/>
          <w:color w:val="auto"/>
        </w:rPr>
      </w:pPr>
    </w:p>
    <w:p>
      <w:pPr>
        <w:ind w:left="820" w:hanging="356"/>
        <w:spacing w:after="0"/>
        <w:tabs>
          <w:tab w:leader="none" w:pos="820"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Regardless of any action the Company or the Participant’s employer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takes with respect to any or all income tax, social insurance, payroll tax, payment on account or other tax-related withholding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the Participant acknowledges and agrees that the ultimate liability for all Tax-Related Items legally due by the Participant is and remains the Participant’s responsibility and that the Company and or the Employer (i) make no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14" w:name="page115"/>
    <w:bookmarkEnd w:id="114"/>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 The Participant shall pay the Company or the Employer any amount of Tax-Related Items that the Company or the Employer may be required to withhold as a result of the Participant’s participation in the Plan or the Participant’s receipt of Units that cannot be satisfied by the means described below.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6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Prior to the taxable or tax withholding event, as applicable, the Participant shall pay, or make adequate arrangements satisfactory to the Company or to the Employer (in their sole discretion) to satisfy all Tax-Related Items; provided that the arrangement in clause (1) of the following sentence shall be deemed to be satisfactory to the extent that it alone, or combined with any other arrangement satisfactory to the Board, satisfies the Participant’s obligations in connection with the Tax-Related Items. In this regard, the Participant authorizes the Company or Employer to withhold all applicable Tax-Related Items legally payable by the Participant by (1) withholding a number of Shares otherwise deliverable equal to the Retained Share Amount (as defined below), (2) withholding from the Participant’s wages or other cash compensation paid by the Company and/or Employer; and/or (3) withholding from proceeds of the sale of shares acquired upon settlement of the Units, either through a voluntary sale or through a sale arranged by the Company (on the Participant’s behalf pursuant to this authorization), to the extent permitted by the Administrator. The “Retained Share Amount” shall mean a number of shares equal to the quotient of the statutory tax withholding obligation of the Company triggered by the Units on the relevant date, divided by the Fair Market Value of one share on the relevant date or as otherwise provided in the Plan.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w:t>
      </w:r>
    </w:p>
    <w:p>
      <w:pPr>
        <w:spacing w:after="0" w:line="16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275" w:lineRule="exact"/>
        <w:rPr>
          <w:sz w:val="20"/>
          <w:szCs w:val="20"/>
          <w:color w:val="auto"/>
        </w:rPr>
      </w:pPr>
    </w:p>
    <w:p>
      <w:pPr>
        <w:ind w:left="820" w:hanging="356"/>
        <w:spacing w:after="0"/>
        <w:tabs>
          <w:tab w:leader="none" w:pos="820" w:val="left"/>
        </w:tabs>
        <w:numPr>
          <w:ilvl w:val="0"/>
          <w:numId w:val="177"/>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event of a Change in Control during the Performance Period, subject to the Participant’s continued Service on the date that such Change in Control is consummated, the Target Award (and any Dividend Equivalent Units associated therewith) will vest and the date that the Change in Control is consummated will be treated as the Settlement Date for purposes of Section 7 hereof. No Restricted Stock Units in excess of the Target Award shall vest pursuant to this Agreement and all Restricted Stock Units in excess of the Target Award shall immediately be forfeited and cancelled, and the Participant shall not be entitled to any compensation or other amount with respect thereto.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5" w:name="page116"/>
    <w:bookmarkEnd w:id="115"/>
    <w:p>
      <w:pPr>
        <w:ind w:left="860" w:hanging="396"/>
        <w:spacing w:after="0"/>
        <w:tabs>
          <w:tab w:leader="none" w:pos="860"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292" w:lineRule="exact"/>
        <w:rPr>
          <w:sz w:val="20"/>
          <w:szCs w:val="20"/>
          <w:color w:val="auto"/>
        </w:rPr>
      </w:pPr>
    </w:p>
    <w:p>
      <w:pPr>
        <w:ind w:left="860" w:hanging="396"/>
        <w:spacing w:after="0"/>
        <w:tabs>
          <w:tab w:leader="none" w:pos="860" w:val="left"/>
        </w:tabs>
        <w:numPr>
          <w:ilvl w:val="0"/>
          <w:numId w:val="179"/>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271" w:lineRule="exact"/>
        <w:rPr>
          <w:sz w:val="20"/>
          <w:szCs w:val="20"/>
          <w:color w:val="auto"/>
        </w:rPr>
      </w:pPr>
    </w:p>
    <w:p>
      <w:pPr>
        <w:ind w:left="860" w:hanging="396"/>
        <w:spacing w:after="0"/>
        <w:tabs>
          <w:tab w:leader="none" w:pos="860"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16" w:name="page117"/>
    <w:bookmarkEnd w:id="116"/>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of the Company, promptly present to the Company any and all certificates representing shares acquired pursuant to this Award in the possession of the Participant in order to carry out the provisions of this Section.</w:t>
      </w:r>
    </w:p>
    <w:p>
      <w:pPr>
        <w:spacing w:after="0" w:line="275" w:lineRule="exact"/>
        <w:rPr>
          <w:sz w:val="20"/>
          <w:szCs w:val="20"/>
          <w:color w:val="auto"/>
        </w:rPr>
      </w:pPr>
    </w:p>
    <w:p>
      <w:pPr>
        <w:ind w:left="860" w:hanging="396"/>
        <w:spacing w:after="0"/>
        <w:tabs>
          <w:tab w:leader="none" w:pos="860"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Termination or Amendment.</w:t>
      </w:r>
      <w:r>
        <w:rPr>
          <w:rFonts w:ascii="Arial" w:cs="Arial" w:eastAsia="Arial" w:hAnsi="Arial"/>
          <w:sz w:val="18"/>
          <w:szCs w:val="18"/>
          <w:color w:val="auto"/>
        </w:rPr>
        <w:t xml:space="preserve"> The Committee may terminate or amend the Plan or this Agreement at any time; provided, however, that except as provided in Section 9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80" w:lineRule="exact"/>
        <w:rPr>
          <w:sz w:val="20"/>
          <w:szCs w:val="20"/>
          <w:color w:val="auto"/>
        </w:rPr>
      </w:pPr>
    </w:p>
    <w:p>
      <w:pPr>
        <w:ind w:right="220" w:firstLine="913"/>
        <w:spacing w:after="0" w:line="303"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color w:val="auto"/>
        </w:rPr>
        <w:t>Nontransferability of the Award.</w:t>
      </w:r>
      <w:r>
        <w:rPr>
          <w:rFonts w:ascii="Arial" w:cs="Arial" w:eastAsia="Arial" w:hAnsi="Arial"/>
          <w:sz w:val="16"/>
          <w:szCs w:val="16"/>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51"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220" w:firstLine="913"/>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Delivery of Documents and Notices.</w:t>
      </w:r>
      <w:r>
        <w:rPr>
          <w:rFonts w:ascii="Arial" w:cs="Arial" w:eastAsia="Arial" w:hAnsi="Arial"/>
          <w:sz w:val="18"/>
          <w:szCs w:val="18"/>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92" w:lineRule="exact"/>
        <w:rPr>
          <w:sz w:val="20"/>
          <w:szCs w:val="20"/>
          <w:color w:val="auto"/>
        </w:rPr>
      </w:pPr>
    </w:p>
    <w:p>
      <w:pPr>
        <w:jc w:val="both"/>
        <w:ind w:right="300" w:firstLine="1492"/>
        <w:spacing w:after="0" w:line="257" w:lineRule="auto"/>
        <w:tabs>
          <w:tab w:leader="none" w:pos="1863" w:val="left"/>
        </w:tabs>
        <w:numPr>
          <w:ilvl w:val="0"/>
          <w:numId w:val="1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Description of Electronic Delivery. </w:t>
      </w:r>
      <w:r>
        <w:rPr>
          <w:rFonts w:ascii="Arial" w:cs="Arial" w:eastAsia="Arial" w:hAnsi="Arial"/>
          <w:sz w:val="18"/>
          <w:szCs w:val="18"/>
          <w:color w:val="auto"/>
        </w:rPr>
        <w:t>The Plan documents, which may include but do not necessarily include: the Plan, the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7" w:name="page118"/>
    <w:bookmarkEnd w:id="117"/>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Company intranet or the Internet site of a third party involved in administering the Plan, the delivery of the document via e-mail or such other means of electronic delivery specified by the Company.</w:t>
      </w:r>
    </w:p>
    <w:p>
      <w:pPr>
        <w:spacing w:after="0" w:line="170" w:lineRule="exact"/>
        <w:rPr>
          <w:sz w:val="20"/>
          <w:szCs w:val="20"/>
          <w:color w:val="auto"/>
        </w:rPr>
      </w:pPr>
    </w:p>
    <w:p>
      <w:pPr>
        <w:ind w:right="40" w:firstLine="1492"/>
        <w:spacing w:after="0" w:line="288" w:lineRule="auto"/>
        <w:tabs>
          <w:tab w:leader="none" w:pos="1873" w:val="left"/>
        </w:tabs>
        <w:numPr>
          <w:ilvl w:val="0"/>
          <w:numId w:val="1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5"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4"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b w:val="1"/>
          <w:bCs w:val="1"/>
          <w:color w:val="auto"/>
        </w:rPr>
        <w:t>Country-Specific Terms and Conditions.</w:t>
      </w:r>
      <w:r>
        <w:rPr>
          <w:rFonts w:ascii="Arial" w:cs="Arial" w:eastAsia="Arial" w:hAnsi="Arial"/>
          <w:sz w:val="16"/>
          <w:szCs w:val="16"/>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54" w:lineRule="exact"/>
        <w:rPr>
          <w:sz w:val="20"/>
          <w:szCs w:val="20"/>
          <w:color w:val="auto"/>
        </w:rPr>
      </w:pPr>
    </w:p>
    <w:p>
      <w:pPr>
        <w:ind w:right="120" w:firstLine="913"/>
        <w:spacing w:after="0" w:line="277"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This Agreement shall be governed by the laws of the State of California as such laws are applied to agreements between California residents entered into and to be performed entirely within the State of California.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18" w:name="page119"/>
    <w:bookmarkEnd w:id="118"/>
    <w:p>
      <w:pPr>
        <w:ind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any clawback or recoupment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19" w:name="page120"/>
    <w:bookmarkEnd w:id="11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February 2016.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131"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13.10:</w:t>
      </w:r>
    </w:p>
    <w:p>
      <w:pPr>
        <w:spacing w:after="0" w:line="113" w:lineRule="exact"/>
        <w:rPr>
          <w:rFonts w:ascii="Arial" w:cs="Arial" w:eastAsia="Arial" w:hAnsi="Arial"/>
          <w:sz w:val="18"/>
          <w:szCs w:val="18"/>
          <w:color w:val="auto"/>
        </w:rPr>
      </w:pPr>
    </w:p>
    <w:p>
      <w:pPr>
        <w:ind w:left="460"/>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Code Section 409A, so that the income inclusion provisions of Code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Code 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1)"/>
      <w:numFmt w:val="lowerRoman"/>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1."/>
      <w:numFmt w:val="upperLetter"/>
      <w:start w:val="1"/>
    </w:lvl>
  </w:abstractNum>
  <w:abstractNum w:abstractNumId="4">
    <w:nsid w:val="26F324BA"/>
    <w:multiLevelType w:val="hybridMultilevel"/>
    <w:lvl w:ilvl="0">
      <w:lvlJc w:val="left"/>
      <w:lvlText w:val="%1."/>
      <w:numFmt w:val="decimal"/>
      <w:start w:val="1"/>
    </w:lvl>
    <w:lvl w:ilvl="1">
      <w:lvlJc w:val="left"/>
      <w:lvlText w:val="(%2)"/>
      <w:numFmt w:val="lowerLetter"/>
      <w:start w:val="1"/>
    </w:lvl>
  </w:abstractNum>
  <w:abstractNum w:abstractNumId="5">
    <w:nsid w:val="7F01579B"/>
    <w:multiLevelType w:val="hybridMultilevel"/>
    <w:lvl w:ilvl="0">
      <w:lvlJc w:val="left"/>
      <w:lvlText w:val="(%1)"/>
      <w:numFmt w:val="lowerRoman"/>
      <w:start w:val="8"/>
    </w:lvl>
    <w:lvl w:ilvl="1">
      <w:lvlJc w:val="left"/>
      <w:lvlText w:val="(%2)"/>
      <w:numFmt w:val="lowerLetter"/>
      <w:start w:val="7"/>
    </w:lvl>
  </w:abstractNum>
  <w:abstractNum w:abstractNumId="6">
    <w:nsid w:val="49DA307D"/>
    <w:multiLevelType w:val="hybridMultilevel"/>
    <w:lvl w:ilvl="0">
      <w:lvlJc w:val="left"/>
      <w:lvlText w:val="(%1)"/>
      <w:numFmt w:val="lowerLetter"/>
      <w:start w:val="13"/>
    </w:lvl>
  </w:abstractNum>
  <w:abstractNum w:abstractNumId="7">
    <w:nsid w:val="7055A5F5"/>
    <w:multiLevelType w:val="hybridMultilevel"/>
    <w:lvl w:ilvl="0">
      <w:lvlJc w:val="left"/>
      <w:lvlText w:val="%1"/>
      <w:numFmt w:val="decimal"/>
      <w:start w:val="1"/>
    </w:lvl>
    <w:lvl w:ilvl="1">
      <w:lvlJc w:val="left"/>
      <w:lvlText w:val="(%2)"/>
      <w:numFmt w:val="lowerLetter"/>
      <w:start w:val="16"/>
    </w:lvl>
  </w:abstractNum>
  <w:abstractNum w:abstractNumId="8">
    <w:nsid w:val="5FB8370B"/>
    <w:multiLevelType w:val="hybridMultilevel"/>
    <w:lvl w:ilvl="0">
      <w:lvlJc w:val="left"/>
      <w:lvlText w:val="%1."/>
      <w:numFmt w:val="decimal"/>
      <w:start w:val="2"/>
    </w:lvl>
    <w:lvl w:ilvl="1">
      <w:lvlJc w:val="left"/>
      <w:lvlText w:val="(%2)"/>
      <w:numFmt w:val="lowerLetter"/>
      <w:start w:val="1"/>
    </w:lvl>
  </w:abstractNum>
  <w:abstractNum w:abstractNumId="9">
    <w:nsid w:val="50801EE1"/>
    <w:multiLevelType w:val="hybridMultilevel"/>
    <w:lvl w:ilvl="0">
      <w:lvlJc w:val="left"/>
      <w:lvlText w:val="(%1)"/>
      <w:numFmt w:val="lowerLetter"/>
      <w:start w:val="2"/>
    </w:lvl>
    <w:lvl w:ilvl="1">
      <w:lvlJc w:val="left"/>
      <w:lvlText w:val="(%2)"/>
      <w:numFmt w:val="lowerLetter"/>
      <w:start w:val="9"/>
    </w:lvl>
  </w:abstractNum>
  <w:abstractNum w:abstractNumId="10">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
    <w:nsid w:val="5FB8011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
    <w:nsid w:val="6AA78F7F"/>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3">
    <w:nsid w:val="7672BD2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5">
    <w:nsid w:val="6A5F7029"/>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1"/>
    </w:lvl>
  </w:abstractNum>
  <w:abstractNum w:abstractNumId="16">
    <w:nsid w:val="7D5E18F8"/>
    <w:multiLevelType w:val="hybridMultilevel"/>
    <w:lvl w:ilvl="0">
      <w:lvlJc w:val="left"/>
      <w:lvlText w:val="%1."/>
      <w:numFmt w:val="decimal"/>
      <w:start w:val="5"/>
    </w:lvl>
    <w:lvl w:ilvl="1">
      <w:lvlJc w:val="left"/>
      <w:lvlText w:val="(%2)"/>
      <w:numFmt w:val="lowerLetter"/>
      <w:start w:val="1"/>
    </w:lvl>
  </w:abstractNum>
  <w:abstractNum w:abstractNumId="17">
    <w:nsid w:val="5F3534A4"/>
    <w:multiLevelType w:val="hybridMultilevel"/>
    <w:lvl w:ilvl="0">
      <w:lvlJc w:val="left"/>
      <w:lvlText w:val="(%1)"/>
      <w:numFmt w:val="lowerLetter"/>
      <w:start w:val="2"/>
    </w:lvl>
    <w:lvl w:ilvl="1">
      <w:lvlJc w:val="left"/>
      <w:lvlText w:val="(%2)"/>
      <w:numFmt w:val="lowerRoman"/>
      <w:start w:val="1"/>
    </w:lvl>
  </w:abstractNum>
  <w:abstractNum w:abstractNumId="18">
    <w:nsid w:val="73A1821B"/>
    <w:multiLevelType w:val="hybridMultilevel"/>
    <w:lvl w:ilvl="0">
      <w:lvlJc w:val="left"/>
      <w:lvlText w:val="(%1)"/>
      <w:numFmt w:val="lowerRoman"/>
      <w:start w:val="3"/>
    </w:lvl>
  </w:abstractNum>
  <w:abstractNum w:abstractNumId="19">
    <w:nsid w:val="7DE67713"/>
    <w:multiLevelType w:val="hybridMultilevel"/>
    <w:lvl w:ilvl="0">
      <w:lvlJc w:val="left"/>
      <w:lvlText w:val="(%1)"/>
      <w:numFmt w:val="lowerLetter"/>
      <w:start w:val="3"/>
    </w:lvl>
  </w:abstractNum>
  <w:abstractNum w:abstractNumId="20">
    <w:nsid w:val="555C55B5"/>
    <w:multiLevelType w:val="hybridMultilevel"/>
    <w:lvl w:ilvl="0">
      <w:lvlJc w:val="left"/>
      <w:lvlText w:val="%1"/>
      <w:numFmt w:val="decimal"/>
      <w:start w:val="1"/>
    </w:lvl>
    <w:lvl w:ilvl="1">
      <w:lvlJc w:val="left"/>
      <w:lvlText w:val="(%2)"/>
      <w:numFmt w:val="lowerLetter"/>
      <w:start w:val="4"/>
    </w:lvl>
  </w:abstractNum>
  <w:abstractNum w:abstractNumId="21">
    <w:nsid w:val="3FA62ACA"/>
    <w:multiLevelType w:val="hybridMultilevel"/>
    <w:lvl w:ilvl="0">
      <w:lvlJc w:val="left"/>
      <w:lvlText w:val="%1."/>
      <w:numFmt w:val="decimal"/>
      <w:start w:val="6"/>
    </w:lvl>
    <w:lvl w:ilvl="1">
      <w:lvlJc w:val="left"/>
      <w:lvlText w:val="(%2)"/>
      <w:numFmt w:val="lowerLetter"/>
      <w:start w:val="1"/>
    </w:lvl>
  </w:abstractNum>
  <w:abstractNum w:abstractNumId="22">
    <w:nsid w:val="14FCE74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3">
    <w:nsid w:val="6A3DD3E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4">
    <w:nsid w:val="71C91298"/>
    <w:multiLevelType w:val="hybridMultilevel"/>
    <w:lvl w:ilvl="0">
      <w:lvlJc w:val="left"/>
      <w:lvlText w:val="%1"/>
      <w:numFmt w:val="lowerLetter"/>
      <w:start w:val="1"/>
    </w:lvl>
    <w:lvl w:ilvl="1">
      <w:lvlJc w:val="left"/>
      <w:lvlText w:val="(%2)"/>
      <w:numFmt w:val="lowerLetter"/>
      <w:start w:val="35"/>
    </w:lvl>
  </w:abstractNum>
  <w:abstractNum w:abstractNumId="25">
    <w:nsid w:val="9DAF632"/>
    <w:multiLevelType w:val="hybridMultilevel"/>
    <w:lvl w:ilvl="0">
      <w:lvlJc w:val="left"/>
      <w:lvlText w:val="(%1)"/>
      <w:numFmt w:val="lowerLetter"/>
      <w:start w:val="4"/>
    </w:lvl>
    <w:lvl w:ilvl="1">
      <w:lvlJc w:val="left"/>
      <w:lvlText w:val="%2"/>
      <w:numFmt w:val="lowerLetter"/>
      <w:start w:val="1"/>
    </w:lvl>
  </w:abstractNum>
  <w:abstractNum w:abstractNumId="26">
    <w:nsid w:val="53299938"/>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27">
    <w:nsid w:val="1FBFE8E0"/>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28">
    <w:nsid w:val="5092CA79"/>
    <w:multiLevelType w:val="hybridMultilevel"/>
    <w:lvl w:ilvl="0">
      <w:lvlJc w:val="left"/>
      <w:lvlText w:val="%1."/>
      <w:numFmt w:val="decimal"/>
      <w:start w:val="8"/>
    </w:lvl>
  </w:abstractNum>
  <w:abstractNum w:abstractNumId="29">
    <w:nsid w:val="1D545C4D"/>
    <w:multiLevelType w:val="hybridMultilevel"/>
    <w:lvl w:ilvl="0">
      <w:lvlJc w:val="left"/>
      <w:lvlText w:val="%1."/>
      <w:numFmt w:val="decimal"/>
      <w:start w:val="10"/>
    </w:lvl>
    <w:lvl w:ilvl="1">
      <w:lvlJc w:val="left"/>
      <w:lvlText w:val="(%2)"/>
      <w:numFmt w:val="lowerLetter"/>
      <w:start w:val="1"/>
    </w:lvl>
  </w:abstractNum>
  <w:abstractNum w:abstractNumId="30">
    <w:nsid w:val="59ADEA3D"/>
    <w:multiLevelType w:val="hybridMultilevel"/>
    <w:lvl w:ilvl="0">
      <w:lvlJc w:val="left"/>
      <w:lvlText w:val="%1"/>
      <w:numFmt w:val="decimal"/>
      <w:start w:val="1"/>
    </w:lvl>
    <w:lvl w:ilvl="1">
      <w:lvlJc w:val="left"/>
      <w:lvlText w:val="(%2)"/>
      <w:numFmt w:val="lowerLetter"/>
      <w:start w:val="2"/>
    </w:lvl>
  </w:abstractNum>
  <w:abstractNum w:abstractNumId="31">
    <w:nsid w:val="288F1A34"/>
    <w:multiLevelType w:val="hybridMultilevel"/>
    <w:lvl w:ilvl="0">
      <w:lvlJc w:val="left"/>
      <w:lvlText w:val="%1."/>
      <w:numFmt w:val="decimal"/>
      <w:start w:val="12"/>
    </w:lvl>
    <w:lvl w:ilvl="1">
      <w:lvlJc w:val="left"/>
      <w:lvlText w:val="(%2)"/>
      <w:numFmt w:val="lowerLetter"/>
      <w:start w:val="1"/>
    </w:lvl>
  </w:abstractNum>
  <w:abstractNum w:abstractNumId="32">
    <w:nsid w:val="2A155DBC"/>
    <w:multiLevelType w:val="hybridMultilevel"/>
    <w:lvl w:ilvl="0">
      <w:lvlJc w:val="left"/>
      <w:lvlText w:val="%1"/>
      <w:numFmt w:val="decimal"/>
      <w:start w:val="1"/>
    </w:lvl>
    <w:lvl w:ilvl="1">
      <w:lvlJc w:val="left"/>
      <w:lvlText w:val="(%2)"/>
      <w:numFmt w:val="lowerLetter"/>
      <w:start w:val="2"/>
    </w:lvl>
  </w:abstractNum>
  <w:abstractNum w:abstractNumId="33">
    <w:nsid w:val="1D9F6E5F"/>
    <w:multiLevelType w:val="hybridMultilevel"/>
    <w:lvl w:ilvl="0">
      <w:lvlJc w:val="left"/>
      <w:lvlText w:val="%1."/>
      <w:numFmt w:val="decimal"/>
      <w:start w:val="13"/>
    </w:lvl>
    <w:lvl w:ilvl="1">
      <w:lvlJc w:val="left"/>
      <w:lvlText w:val="%2"/>
      <w:numFmt w:val="lowerLetter"/>
      <w:start w:val="1"/>
    </w:lvl>
  </w:abstractNum>
  <w:abstractNum w:abstractNumId="34">
    <w:nsid w:val="97E1B4E"/>
    <w:multiLevelType w:val="hybridMultilevel"/>
    <w:lvl w:ilvl="0">
      <w:lvlJc w:val="left"/>
      <w:lvlText w:val="%1."/>
      <w:numFmt w:val="decimal"/>
      <w:start w:val="15"/>
    </w:lvl>
  </w:abstractNum>
  <w:abstractNum w:abstractNumId="35">
    <w:nsid w:val="51088277"/>
    <w:multiLevelType w:val="hybridMultilevel"/>
    <w:lvl w:ilvl="0">
      <w:lvlJc w:val="left"/>
      <w:lvlText w:val="(%1)"/>
      <w:numFmt w:val="lowerLetter"/>
      <w:start w:val="1"/>
    </w:lvl>
  </w:abstractNum>
  <w:abstractNum w:abstractNumId="36">
    <w:nsid w:val="1CA0C5FA"/>
    <w:multiLevelType w:val="hybridMultilevel"/>
    <w:lvl w:ilvl="0">
      <w:lvlJc w:val="left"/>
      <w:lvlText w:val="%1"/>
      <w:numFmt w:val="decimal"/>
      <w:start w:val="1"/>
    </w:lvl>
    <w:lvl w:ilvl="1">
      <w:lvlJc w:val="left"/>
      <w:lvlText w:val="(%2)"/>
      <w:numFmt w:val="lowerLetter"/>
      <w:start w:val="2"/>
    </w:lvl>
  </w:abstractNum>
  <w:abstractNum w:abstractNumId="37">
    <w:nsid w:val="53584BCB"/>
    <w:multiLevelType w:val="hybridMultilevel"/>
    <w:lvl w:ilvl="0">
      <w:lvlJc w:val="left"/>
      <w:lvlText w:val="%1."/>
      <w:numFmt w:val="decimal"/>
      <w:start w:val="17"/>
    </w:lvl>
    <w:lvl w:ilvl="1">
      <w:lvlJc w:val="left"/>
      <w:lvlText w:val="%2"/>
      <w:numFmt w:val="lowerLetter"/>
      <w:start w:val="1"/>
    </w:lvl>
  </w:abstractNum>
  <w:abstractNum w:abstractNumId="38">
    <w:nsid w:val="415E286C"/>
    <w:multiLevelType w:val="hybridMultilevel"/>
    <w:lvl w:ilvl="0">
      <w:lvlJc w:val="left"/>
      <w:lvlText w:val="%1."/>
      <w:numFmt w:val="decimal"/>
      <w:start w:val="19"/>
    </w:lvl>
  </w:abstractNum>
  <w:abstractNum w:abstractNumId="39">
    <w:nsid w:val="7C58FD05"/>
    <w:multiLevelType w:val="hybridMultilevel"/>
    <w:lvl w:ilvl="0">
      <w:lvlJc w:val="left"/>
      <w:lvlText w:val="%1."/>
      <w:numFmt w:val="decimal"/>
      <w:start w:val="24"/>
    </w:lvl>
  </w:abstractNum>
  <w:abstractNum w:abstractNumId="40">
    <w:nsid w:val="23D86AAC"/>
    <w:multiLevelType w:val="hybridMultilevel"/>
    <w:lvl w:ilvl="0">
      <w:lvlJc w:val="left"/>
      <w:lvlText w:val="(%1)"/>
      <w:numFmt w:val="lowerRoman"/>
      <w:start w:val="4"/>
    </w:lvl>
  </w:abstractNum>
  <w:abstractNum w:abstractNumId="41">
    <w:nsid w:val="45E6D486"/>
    <w:multiLevelType w:val="hybridMultilevel"/>
    <w:lvl w:ilvl="0">
      <w:lvlJc w:val="left"/>
      <w:lvlText w:val="(%1)"/>
      <w:numFmt w:val="lowerLetter"/>
      <w:start w:val="3"/>
    </w:lvl>
  </w:abstractNum>
  <w:abstractNum w:abstractNumId="42">
    <w:nsid w:val="5C10FE21"/>
    <w:multiLevelType w:val="hybridMultilevel"/>
    <w:lvl w:ilvl="0">
      <w:lvlJc w:val="left"/>
      <w:lvlText w:val="%1."/>
      <w:numFmt w:val="decimal"/>
      <w:start w:val="1"/>
    </w:lvl>
  </w:abstractNum>
  <w:abstractNum w:abstractNumId="43">
    <w:nsid w:val="E7FFA2B"/>
    <w:multiLevelType w:val="hybridMultilevel"/>
    <w:lvl w:ilvl="0">
      <w:lvlJc w:val="left"/>
      <w:lvlText w:val="(%1)"/>
      <w:numFmt w:val="lowerLetter"/>
      <w:start w:val="1"/>
    </w:lvl>
  </w:abstractNum>
  <w:abstractNum w:abstractNumId="44">
    <w:nsid w:val="3C5991AA"/>
    <w:multiLevelType w:val="hybridMultilevel"/>
    <w:lvl w:ilvl="0">
      <w:lvlJc w:val="left"/>
      <w:lvlText w:val="%1."/>
      <w:numFmt w:val="decimal"/>
      <w:start w:val="2"/>
    </w:lvl>
  </w:abstractNum>
  <w:abstractNum w:abstractNumId="45">
    <w:nsid w:val="4BD8591A"/>
    <w:multiLevelType w:val="hybridMultilevel"/>
    <w:lvl w:ilvl="0">
      <w:lvlJc w:val="left"/>
      <w:lvlText w:val="(%1)"/>
      <w:numFmt w:val="lowerLetter"/>
      <w:start w:val="1"/>
    </w:lvl>
  </w:abstractNum>
  <w:abstractNum w:abstractNumId="46">
    <w:nsid w:val="78DF6A55"/>
    <w:multiLevelType w:val="hybridMultilevel"/>
    <w:lvl w:ilvl="0">
      <w:lvlJc w:val="left"/>
      <w:lvlText w:val="(%1)"/>
      <w:numFmt w:val="lowerLetter"/>
      <w:start w:val="8"/>
    </w:lvl>
  </w:abstractNum>
  <w:abstractNum w:abstractNumId="47">
    <w:nsid w:val="39B7AAA2"/>
    <w:multiLevelType w:val="hybridMultilevel"/>
    <w:lvl w:ilvl="0">
      <w:lvlJc w:val="left"/>
      <w:lvlText w:val="(%1)"/>
      <w:numFmt w:val="lowerLetter"/>
      <w:start w:val="1"/>
    </w:lvl>
  </w:abstractNum>
  <w:abstractNum w:abstractNumId="48">
    <w:nsid w:val="2B0D8DBE"/>
    <w:multiLevelType w:val="hybridMultilevel"/>
    <w:lvl w:ilvl="0">
      <w:lvlJc w:val="left"/>
      <w:lvlText w:val="%1."/>
      <w:numFmt w:val="decimal"/>
      <w:start w:val="3"/>
    </w:lvl>
  </w:abstractNum>
  <w:abstractNum w:abstractNumId="49">
    <w:nsid w:val="6C80EC70"/>
    <w:multiLevelType w:val="hybridMultilevel"/>
    <w:lvl w:ilvl="0">
      <w:lvlJc w:val="left"/>
      <w:lvlText w:val="%1."/>
      <w:numFmt w:val="decimal"/>
      <w:start w:val="4"/>
    </w:lvl>
  </w:abstractNum>
  <w:abstractNum w:abstractNumId="50">
    <w:nsid w:val="379E21B5"/>
    <w:multiLevelType w:val="hybridMultilevel"/>
    <w:lvl w:ilvl="0">
      <w:lvlJc w:val="left"/>
      <w:lvlText w:val="(%1)"/>
      <w:numFmt w:val="lowerLetter"/>
      <w:start w:val="2"/>
    </w:lvl>
  </w:abstractNum>
  <w:abstractNum w:abstractNumId="51">
    <w:nsid w:val="69E373"/>
    <w:multiLevelType w:val="hybridMultilevel"/>
    <w:lvl w:ilvl="0">
      <w:lvlJc w:val="left"/>
      <w:lvlText w:val="%1."/>
      <w:numFmt w:val="decimal"/>
      <w:start w:val="5"/>
    </w:lvl>
  </w:abstractNum>
  <w:abstractNum w:abstractNumId="52">
    <w:nsid w:val="2C27173B"/>
    <w:multiLevelType w:val="hybridMultilevel"/>
    <w:lvl w:ilvl="0">
      <w:lvlJc w:val="left"/>
      <w:lvlText w:val="%1."/>
      <w:numFmt w:val="decimal"/>
      <w:start w:val="6"/>
    </w:lvl>
  </w:abstractNum>
  <w:abstractNum w:abstractNumId="53">
    <w:nsid w:val="4C9B0904"/>
    <w:multiLevelType w:val="hybridMultilevel"/>
    <w:lvl w:ilvl="0">
      <w:lvlJc w:val="left"/>
      <w:lvlText w:val="%1."/>
      <w:numFmt w:val="decimal"/>
      <w:start w:val="7"/>
    </w:lvl>
  </w:abstractNum>
  <w:abstractNum w:abstractNumId="54">
    <w:nsid w:val="6AA7B75C"/>
    <w:multiLevelType w:val="hybridMultilevel"/>
    <w:lvl w:ilvl="0">
      <w:lvlJc w:val="left"/>
      <w:lvlText w:val="%1."/>
      <w:numFmt w:val="decimal"/>
      <w:start w:val="8"/>
    </w:lvl>
  </w:abstractNum>
  <w:abstractNum w:abstractNumId="55">
    <w:nsid w:val="1DF029D3"/>
    <w:multiLevelType w:val="hybridMultilevel"/>
    <w:lvl w:ilvl="0">
      <w:lvlJc w:val="left"/>
      <w:lvlText w:val="(%1)"/>
      <w:numFmt w:val="decimal"/>
      <w:start w:val="2"/>
    </w:lvl>
  </w:abstractNum>
  <w:abstractNum w:abstractNumId="56">
    <w:nsid w:val="5675FF36"/>
    <w:multiLevelType w:val="hybridMultilevel"/>
    <w:lvl w:ilvl="0">
      <w:lvlJc w:val="left"/>
      <w:lvlText w:val="%1."/>
      <w:numFmt w:val="decimal"/>
      <w:start w:val="9"/>
    </w:lvl>
  </w:abstractNum>
  <w:abstractNum w:abstractNumId="57">
    <w:nsid w:val="3DD15094"/>
    <w:multiLevelType w:val="hybridMultilevel"/>
    <w:lvl w:ilvl="0">
      <w:lvlJc w:val="left"/>
      <w:lvlText w:val="%1."/>
      <w:numFmt w:val="decimal"/>
      <w:start w:val="10"/>
    </w:lvl>
  </w:abstractNum>
  <w:abstractNum w:abstractNumId="58">
    <w:nsid w:val="3DB012B3"/>
    <w:multiLevelType w:val="hybridMultilevel"/>
    <w:lvl w:ilvl="0">
      <w:lvlJc w:val="left"/>
      <w:lvlText w:val="%1."/>
      <w:numFmt w:val="decimal"/>
      <w:start w:val="11"/>
    </w:lvl>
  </w:abstractNum>
  <w:abstractNum w:abstractNumId="59">
    <w:nsid w:val="2708C9AF"/>
    <w:multiLevelType w:val="hybridMultilevel"/>
    <w:lvl w:ilvl="0">
      <w:lvlJc w:val="left"/>
      <w:lvlText w:val="%1."/>
      <w:numFmt w:val="decimal"/>
      <w:start w:val="12"/>
    </w:lvl>
  </w:abstractNum>
  <w:abstractNum w:abstractNumId="60">
    <w:nsid w:val="5B25ACE2"/>
    <w:multiLevelType w:val="hybridMultilevel"/>
    <w:lvl w:ilvl="0">
      <w:lvlJc w:val="left"/>
      <w:lvlText w:val="%1."/>
      <w:numFmt w:val="decimal"/>
      <w:start w:val="13"/>
    </w:lvl>
  </w:abstractNum>
  <w:abstractNum w:abstractNumId="61">
    <w:nsid w:val="175DFCF0"/>
    <w:multiLevelType w:val="hybridMultilevel"/>
    <w:lvl w:ilvl="0">
      <w:lvlJc w:val="left"/>
      <w:lvlText w:val="(%1)"/>
      <w:numFmt w:val="lowerLetter"/>
      <w:start w:val="1"/>
    </w:lvl>
  </w:abstractNum>
  <w:abstractNum w:abstractNumId="62">
    <w:nsid w:val="4F97E3E4"/>
    <w:multiLevelType w:val="hybridMultilevel"/>
    <w:lvl w:ilvl="0">
      <w:lvlJc w:val="left"/>
      <w:lvlText w:val="%1."/>
      <w:numFmt w:val="decimal"/>
      <w:start w:val="1"/>
    </w:lvl>
  </w:abstractNum>
  <w:abstractNum w:abstractNumId="63">
    <w:nsid w:val="53B0A9E"/>
    <w:multiLevelType w:val="hybridMultilevel"/>
    <w:lvl w:ilvl="0">
      <w:lvlJc w:val="left"/>
      <w:lvlText w:val="(%1)"/>
      <w:numFmt w:val="lowerLetter"/>
      <w:start w:val="1"/>
    </w:lvl>
  </w:abstractNum>
  <w:abstractNum w:abstractNumId="64">
    <w:nsid w:val="34FD6B4F"/>
    <w:multiLevelType w:val="hybridMultilevel"/>
    <w:lvl w:ilvl="0">
      <w:lvlJc w:val="left"/>
      <w:lvlText w:val="(%1)"/>
      <w:numFmt w:val="lowerRoman"/>
      <w:start w:val="1"/>
    </w:lvl>
  </w:abstractNum>
  <w:abstractNum w:abstractNumId="65">
    <w:nsid w:val="5915FF32"/>
    <w:multiLevelType w:val="hybridMultilevel"/>
    <w:lvl w:ilvl="0">
      <w:lvlJc w:val="left"/>
      <w:lvlText w:val="(%1)"/>
      <w:numFmt w:val="upperLetter"/>
      <w:start w:val="2"/>
    </w:lvl>
  </w:abstractNum>
  <w:abstractNum w:abstractNumId="66">
    <w:nsid w:val="56438D15"/>
    <w:multiLevelType w:val="hybridMultilevel"/>
    <w:lvl w:ilvl="0">
      <w:lvlJc w:val="left"/>
      <w:lvlText w:val="•"/>
      <w:numFmt w:val="bullet"/>
      <w:start w:val="1"/>
    </w:lvl>
  </w:abstractNum>
  <w:abstractNum w:abstractNumId="67">
    <w:nsid w:val="519E3149"/>
    <w:multiLevelType w:val="hybridMultilevel"/>
    <w:lvl w:ilvl="0">
      <w:lvlJc w:val="left"/>
      <w:lvlText w:val="(%1)"/>
      <w:numFmt w:val="lowerLetter"/>
      <w:start w:val="3"/>
    </w:lvl>
  </w:abstractNum>
  <w:abstractNum w:abstractNumId="68">
    <w:nsid w:val="2C6E4AFD"/>
    <w:multiLevelType w:val="hybridMultilevel"/>
    <w:lvl w:ilvl="0">
      <w:lvlJc w:val="left"/>
      <w:lvlText w:val="%1."/>
      <w:numFmt w:val="decimal"/>
      <w:start w:val="1"/>
    </w:lvl>
  </w:abstractNum>
  <w:abstractNum w:abstractNumId="69">
    <w:nsid w:val="17A1B582"/>
    <w:multiLevelType w:val="hybridMultilevel"/>
    <w:lvl w:ilvl="0">
      <w:lvlJc w:val="left"/>
      <w:lvlText w:val="(%1)"/>
      <w:numFmt w:val="lowerLetter"/>
      <w:start w:val="1"/>
    </w:lvl>
  </w:abstractNum>
  <w:abstractNum w:abstractNumId="70">
    <w:nsid w:val="4DF72E4E"/>
    <w:multiLevelType w:val="hybridMultilevel"/>
    <w:lvl w:ilvl="0">
      <w:lvlJc w:val="left"/>
      <w:lvlText w:val="%1."/>
      <w:numFmt w:val="decimal"/>
      <w:start w:val="2"/>
    </w:lvl>
  </w:abstractNum>
  <w:abstractNum w:abstractNumId="71">
    <w:nsid w:val="5046B5A9"/>
    <w:multiLevelType w:val="hybridMultilevel"/>
    <w:lvl w:ilvl="0">
      <w:lvlJc w:val="left"/>
      <w:lvlText w:val="(%1)"/>
      <w:numFmt w:val="lowerLetter"/>
      <w:start w:val="1"/>
    </w:lvl>
  </w:abstractNum>
  <w:abstractNum w:abstractNumId="72">
    <w:nsid w:val="5D888A08"/>
    <w:multiLevelType w:val="hybridMultilevel"/>
    <w:lvl w:ilvl="0">
      <w:lvlJc w:val="left"/>
      <w:lvlText w:val="(%1)"/>
      <w:numFmt w:val="lowerLetter"/>
      <w:start w:val="8"/>
    </w:lvl>
  </w:abstractNum>
  <w:abstractNum w:abstractNumId="73">
    <w:nsid w:val="2A082C70"/>
    <w:multiLevelType w:val="hybridMultilevel"/>
    <w:lvl w:ilvl="0">
      <w:lvlJc w:val="left"/>
      <w:lvlText w:val="(%1)"/>
      <w:numFmt w:val="lowerLetter"/>
      <w:start w:val="1"/>
    </w:lvl>
  </w:abstractNum>
  <w:abstractNum w:abstractNumId="74">
    <w:nsid w:val="5EC6AFD4"/>
    <w:multiLevelType w:val="hybridMultilevel"/>
    <w:lvl w:ilvl="0">
      <w:lvlJc w:val="left"/>
      <w:lvlText w:val="%1."/>
      <w:numFmt w:val="decimal"/>
      <w:start w:val="3"/>
    </w:lvl>
  </w:abstractNum>
  <w:abstractNum w:abstractNumId="75">
    <w:nsid w:val="19E21BB2"/>
    <w:multiLevelType w:val="hybridMultilevel"/>
    <w:lvl w:ilvl="0">
      <w:lvlJc w:val="left"/>
      <w:lvlText w:val="%1."/>
      <w:numFmt w:val="decimal"/>
      <w:start w:val="4"/>
    </w:lvl>
  </w:abstractNum>
  <w:abstractNum w:abstractNumId="76">
    <w:nsid w:val="75E0858A"/>
    <w:multiLevelType w:val="hybridMultilevel"/>
    <w:lvl w:ilvl="0">
      <w:lvlJc w:val="left"/>
      <w:lvlText w:val="(%1)"/>
      <w:numFmt w:val="lowerLetter"/>
      <w:start w:val="2"/>
    </w:lvl>
  </w:abstractNum>
  <w:abstractNum w:abstractNumId="77">
    <w:nsid w:val="57A61A29"/>
    <w:multiLevelType w:val="hybridMultilevel"/>
    <w:lvl w:ilvl="0">
      <w:lvlJc w:val="left"/>
      <w:lvlText w:val="%1."/>
      <w:numFmt w:val="decimal"/>
      <w:start w:val="5"/>
    </w:lvl>
  </w:abstractNum>
  <w:abstractNum w:abstractNumId="78">
    <w:nsid w:val="5399C654"/>
    <w:multiLevelType w:val="hybridMultilevel"/>
    <w:lvl w:ilvl="0">
      <w:lvlJc w:val="left"/>
      <w:lvlText w:val="%1."/>
      <w:numFmt w:val="decimal"/>
      <w:start w:val="6"/>
    </w:lvl>
  </w:abstractNum>
  <w:abstractNum w:abstractNumId="79">
    <w:nsid w:val="20EE1348"/>
    <w:multiLevelType w:val="hybridMultilevel"/>
    <w:lvl w:ilvl="0">
      <w:lvlJc w:val="left"/>
      <w:lvlText w:val="%1."/>
      <w:numFmt w:val="decimal"/>
      <w:start w:val="7"/>
    </w:lvl>
  </w:abstractNum>
  <w:abstractNum w:abstractNumId="80">
    <w:nsid w:val="4427069A"/>
    <w:multiLevelType w:val="hybridMultilevel"/>
    <w:lvl w:ilvl="0">
      <w:lvlJc w:val="left"/>
      <w:lvlText w:val="%1."/>
      <w:numFmt w:val="decimal"/>
      <w:start w:val="8"/>
    </w:lvl>
  </w:abstractNum>
  <w:abstractNum w:abstractNumId="81">
    <w:nsid w:val="B37E80A"/>
    <w:multiLevelType w:val="hybridMultilevel"/>
    <w:lvl w:ilvl="0">
      <w:lvlJc w:val="left"/>
      <w:lvlText w:val="(%1)"/>
      <w:numFmt w:val="decimal"/>
      <w:start w:val="2"/>
    </w:lvl>
  </w:abstractNum>
  <w:abstractNum w:abstractNumId="82">
    <w:nsid w:val="2157F6BC"/>
    <w:multiLevelType w:val="hybridMultilevel"/>
    <w:lvl w:ilvl="0">
      <w:lvlJc w:val="left"/>
      <w:lvlText w:val="%1."/>
      <w:numFmt w:val="decimal"/>
      <w:start w:val="9"/>
    </w:lvl>
  </w:abstractNum>
  <w:abstractNum w:abstractNumId="83">
    <w:nsid w:val="704E1DD5"/>
    <w:multiLevelType w:val="hybridMultilevel"/>
    <w:lvl w:ilvl="0">
      <w:lvlJc w:val="left"/>
      <w:lvlText w:val="%1."/>
      <w:numFmt w:val="decimal"/>
      <w:start w:val="10"/>
    </w:lvl>
  </w:abstractNum>
  <w:abstractNum w:abstractNumId="84">
    <w:nsid w:val="57D2F10E"/>
    <w:multiLevelType w:val="hybridMultilevel"/>
    <w:lvl w:ilvl="0">
      <w:lvlJc w:val="left"/>
      <w:lvlText w:val="%1."/>
      <w:numFmt w:val="decimal"/>
      <w:start w:val="11"/>
    </w:lvl>
  </w:abstractNum>
  <w:abstractNum w:abstractNumId="85">
    <w:nsid w:val="BFFAE18"/>
    <w:multiLevelType w:val="hybridMultilevel"/>
    <w:lvl w:ilvl="0">
      <w:lvlJc w:val="left"/>
      <w:lvlText w:val="%1."/>
      <w:numFmt w:val="decimal"/>
      <w:start w:val="12"/>
    </w:lvl>
  </w:abstractNum>
  <w:abstractNum w:abstractNumId="86">
    <w:nsid w:val="E3E47A8"/>
    <w:multiLevelType w:val="hybridMultilevel"/>
    <w:lvl w:ilvl="0">
      <w:lvlJc w:val="left"/>
      <w:lvlText w:val="%1."/>
      <w:numFmt w:val="decimal"/>
      <w:start w:val="13"/>
    </w:lvl>
  </w:abstractNum>
  <w:abstractNum w:abstractNumId="87">
    <w:nsid w:val="2E48F044"/>
    <w:multiLevelType w:val="hybridMultilevel"/>
    <w:lvl w:ilvl="0">
      <w:lvlJc w:val="left"/>
      <w:lvlText w:val="(%1)"/>
      <w:numFmt w:val="lowerLetter"/>
      <w:start w:val="1"/>
    </w:lvl>
  </w:abstractNum>
  <w:abstractNum w:abstractNumId="88">
    <w:nsid w:val="49D0FEAC"/>
    <w:multiLevelType w:val="hybridMultilevel"/>
    <w:lvl w:ilvl="0">
      <w:lvlJc w:val="left"/>
      <w:lvlText w:val="%1."/>
      <w:numFmt w:val="decimal"/>
      <w:start w:val="1"/>
    </w:lvl>
  </w:abstractNum>
  <w:abstractNum w:abstractNumId="89">
    <w:nsid w:val="4BEE5A5B"/>
    <w:multiLevelType w:val="hybridMultilevel"/>
    <w:lvl w:ilvl="0">
      <w:lvlJc w:val="left"/>
      <w:lvlText w:val="(%1)"/>
      <w:numFmt w:val="lowerLetter"/>
      <w:start w:val="3"/>
    </w:lvl>
  </w:abstractNum>
  <w:abstractNum w:abstractNumId="90">
    <w:nsid w:val="5551B9F3"/>
    <w:multiLevelType w:val="hybridMultilevel"/>
    <w:lvl w:ilvl="0">
      <w:lvlJc w:val="left"/>
      <w:lvlText w:val="%1."/>
      <w:numFmt w:val="decimal"/>
      <w:start w:val="1"/>
    </w:lvl>
  </w:abstractNum>
  <w:abstractNum w:abstractNumId="91">
    <w:nsid w:val="24F6AB8E"/>
    <w:multiLevelType w:val="hybridMultilevel"/>
    <w:lvl w:ilvl="0">
      <w:lvlJc w:val="left"/>
      <w:lvlText w:val="(%1)"/>
      <w:numFmt w:val="lowerLetter"/>
      <w:start w:val="1"/>
    </w:lvl>
  </w:abstractNum>
  <w:abstractNum w:abstractNumId="92">
    <w:nsid w:val="634C574C"/>
    <w:multiLevelType w:val="hybridMultilevel"/>
    <w:lvl w:ilvl="0">
      <w:lvlJc w:val="left"/>
      <w:lvlText w:val="%1."/>
      <w:numFmt w:val="decimal"/>
      <w:start w:val="2"/>
    </w:lvl>
  </w:abstractNum>
  <w:abstractNum w:abstractNumId="93">
    <w:nsid w:val="24E99DD7"/>
    <w:multiLevelType w:val="hybridMultilevel"/>
    <w:lvl w:ilvl="0">
      <w:lvlJc w:val="left"/>
      <w:lvlText w:val="(%1)"/>
      <w:numFmt w:val="lowerLetter"/>
      <w:start w:val="1"/>
    </w:lvl>
  </w:abstractNum>
  <w:abstractNum w:abstractNumId="94">
    <w:nsid w:val="2A31B62D"/>
    <w:multiLevelType w:val="hybridMultilevel"/>
    <w:lvl w:ilvl="0">
      <w:lvlJc w:val="left"/>
      <w:lvlText w:val="(%1)"/>
      <w:numFmt w:val="lowerLetter"/>
      <w:start w:val="10"/>
    </w:lvl>
  </w:abstractNum>
  <w:abstractNum w:abstractNumId="95">
    <w:nsid w:val="1849C29B"/>
    <w:multiLevelType w:val="hybridMultilevel"/>
    <w:lvl w:ilvl="0">
      <w:lvlJc w:val="left"/>
      <w:lvlText w:val="(%1)"/>
      <w:numFmt w:val="lowerLetter"/>
      <w:start w:val="1"/>
    </w:lvl>
  </w:abstractNum>
  <w:abstractNum w:abstractNumId="96">
    <w:nsid w:val="7DFF9D09"/>
    <w:multiLevelType w:val="hybridMultilevel"/>
    <w:lvl w:ilvl="0">
      <w:lvlJc w:val="left"/>
      <w:lvlText w:val="%1."/>
      <w:numFmt w:val="decimal"/>
      <w:start w:val="3"/>
    </w:lvl>
  </w:abstractNum>
  <w:abstractNum w:abstractNumId="97">
    <w:nsid w:val="754342"/>
    <w:multiLevelType w:val="hybridMultilevel"/>
    <w:lvl w:ilvl="0">
      <w:lvlJc w:val="left"/>
      <w:lvlText w:val="%1."/>
      <w:numFmt w:val="decimal"/>
      <w:start w:val="4"/>
    </w:lvl>
  </w:abstractNum>
  <w:abstractNum w:abstractNumId="98">
    <w:nsid w:val="69E7F3E5"/>
    <w:multiLevelType w:val="hybridMultilevel"/>
    <w:lvl w:ilvl="0">
      <w:lvlJc w:val="left"/>
      <w:lvlText w:val="(%1)"/>
      <w:numFmt w:val="lowerLetter"/>
      <w:start w:val="2"/>
    </w:lvl>
  </w:abstractNum>
  <w:abstractNum w:abstractNumId="99">
    <w:nsid w:val="2A6DE806"/>
    <w:multiLevelType w:val="hybridMultilevel"/>
    <w:lvl w:ilvl="0">
      <w:lvlJc w:val="left"/>
      <w:lvlText w:val="%1."/>
      <w:numFmt w:val="decimal"/>
      <w:start w:val="5"/>
    </w:lvl>
  </w:abstractNum>
  <w:abstractNum w:abstractNumId="100">
    <w:nsid w:val="1816F8C4"/>
    <w:multiLevelType w:val="hybridMultilevel"/>
    <w:lvl w:ilvl="0">
      <w:lvlJc w:val="left"/>
      <w:lvlText w:val="%1."/>
      <w:numFmt w:val="decimal"/>
      <w:start w:val="6"/>
    </w:lvl>
  </w:abstractNum>
  <w:abstractNum w:abstractNumId="101">
    <w:nsid w:val="37DF2233"/>
    <w:multiLevelType w:val="hybridMultilevel"/>
    <w:lvl w:ilvl="0">
      <w:lvlJc w:val="left"/>
      <w:lvlText w:val="%1."/>
      <w:numFmt w:val="decimal"/>
      <w:start w:val="7"/>
    </w:lvl>
  </w:abstractNum>
  <w:abstractNum w:abstractNumId="102">
    <w:nsid w:val="7AB49DAF"/>
    <w:multiLevelType w:val="hybridMultilevel"/>
    <w:lvl w:ilvl="0">
      <w:lvlJc w:val="left"/>
      <w:lvlText w:val="%1."/>
      <w:numFmt w:val="decimal"/>
      <w:start w:val="8"/>
    </w:lvl>
  </w:abstractNum>
  <w:abstractNum w:abstractNumId="103">
    <w:nsid w:val="759F82CD"/>
    <w:multiLevelType w:val="hybridMultilevel"/>
    <w:lvl w:ilvl="0">
      <w:lvlJc w:val="left"/>
      <w:lvlText w:val="(%1)"/>
      <w:numFmt w:val="decimal"/>
      <w:start w:val="2"/>
    </w:lvl>
  </w:abstractNum>
  <w:abstractNum w:abstractNumId="104">
    <w:nsid w:val="61E74EA3"/>
    <w:multiLevelType w:val="hybridMultilevel"/>
    <w:lvl w:ilvl="0">
      <w:lvlJc w:val="left"/>
      <w:lvlText w:val="%1."/>
      <w:numFmt w:val="decimal"/>
      <w:start w:val="9"/>
    </w:lvl>
  </w:abstractNum>
  <w:abstractNum w:abstractNumId="105">
    <w:nsid w:val="597B4D84"/>
    <w:multiLevelType w:val="hybridMultilevel"/>
    <w:lvl w:ilvl="0">
      <w:lvlJc w:val="left"/>
      <w:lvlText w:val="%1."/>
      <w:numFmt w:val="decimal"/>
      <w:start w:val="10"/>
    </w:lvl>
  </w:abstractNum>
  <w:abstractNum w:abstractNumId="106">
    <w:nsid w:val="F819E7F"/>
    <w:multiLevelType w:val="hybridMultilevel"/>
    <w:lvl w:ilvl="0">
      <w:lvlJc w:val="left"/>
      <w:lvlText w:val="%1."/>
      <w:numFmt w:val="decimal"/>
      <w:start w:val="11"/>
    </w:lvl>
  </w:abstractNum>
  <w:abstractNum w:abstractNumId="107">
    <w:nsid w:val="57C7D42D"/>
    <w:multiLevelType w:val="hybridMultilevel"/>
    <w:lvl w:ilvl="0">
      <w:lvlJc w:val="left"/>
      <w:lvlText w:val="%1."/>
      <w:numFmt w:val="decimal"/>
      <w:start w:val="12"/>
    </w:lvl>
  </w:abstractNum>
  <w:abstractNum w:abstractNumId="108">
    <w:nsid w:val="312167AD"/>
    <w:multiLevelType w:val="hybridMultilevel"/>
    <w:lvl w:ilvl="0">
      <w:lvlJc w:val="left"/>
      <w:lvlText w:val="%1."/>
      <w:numFmt w:val="decimal"/>
      <w:start w:val="13"/>
    </w:lvl>
  </w:abstractNum>
  <w:abstractNum w:abstractNumId="109">
    <w:nsid w:val="631B64D4"/>
    <w:multiLevelType w:val="hybridMultilevel"/>
    <w:lvl w:ilvl="0">
      <w:lvlJc w:val="left"/>
      <w:lvlText w:val="(%1)"/>
      <w:numFmt w:val="lowerLetter"/>
      <w:start w:val="1"/>
    </w:lvl>
  </w:abstractNum>
  <w:abstractNum w:abstractNumId="110">
    <w:nsid w:val="78B5E776"/>
    <w:multiLevelType w:val="hybridMultilevel"/>
    <w:lvl w:ilvl="0">
      <w:lvlJc w:val="left"/>
      <w:lvlText w:val="%1."/>
      <w:numFmt w:val="decimal"/>
      <w:start w:val="1"/>
    </w:lvl>
  </w:abstractNum>
  <w:abstractNum w:abstractNumId="111">
    <w:nsid w:val="75486E47"/>
    <w:multiLevelType w:val="hybridMultilevel"/>
    <w:lvl w:ilvl="0">
      <w:lvlJc w:val="left"/>
      <w:lvlText w:val="["/>
      <w:numFmt w:val="bullet"/>
      <w:start w:val="1"/>
    </w:lvl>
  </w:abstractNum>
  <w:abstractNum w:abstractNumId="112">
    <w:nsid w:val="6E534CDE"/>
    <w:multiLevelType w:val="hybridMultilevel"/>
    <w:lvl w:ilvl="0">
      <w:lvlJc w:val="left"/>
      <w:lvlText w:val="(%1)"/>
      <w:numFmt w:val="lowerRoman"/>
      <w:start w:val="2"/>
    </w:lvl>
  </w:abstractNum>
  <w:abstractNum w:abstractNumId="113">
    <w:nsid w:val="1A0DDE32"/>
    <w:multiLevelType w:val="hybridMultilevel"/>
    <w:lvl w:ilvl="0">
      <w:lvlJc w:val="left"/>
      <w:lvlText w:val="1"/>
      <w:numFmt w:val="bullet"/>
      <w:start w:val="1"/>
    </w:lvl>
  </w:abstractNum>
  <w:abstractNum w:abstractNumId="114">
    <w:nsid w:val="65968C1C"/>
    <w:multiLevelType w:val="hybridMultilevel"/>
    <w:lvl w:ilvl="0">
      <w:lvlJc w:val="left"/>
      <w:lvlText w:val="(%1)"/>
      <w:numFmt w:val="lowerLetter"/>
      <w:start w:val="3"/>
    </w:lvl>
  </w:abstractNum>
  <w:abstractNum w:abstractNumId="115">
    <w:nsid w:val="46263DEC"/>
    <w:multiLevelType w:val="hybridMultilevel"/>
    <w:lvl w:ilvl="0">
      <w:lvlJc w:val="left"/>
      <w:lvlText w:val="%1."/>
      <w:numFmt w:val="decimal"/>
      <w:start w:val="1"/>
    </w:lvl>
  </w:abstractNum>
  <w:abstractNum w:abstractNumId="116">
    <w:nsid w:val="260D8C4A"/>
    <w:multiLevelType w:val="hybridMultilevel"/>
    <w:lvl w:ilvl="0">
      <w:lvlJc w:val="left"/>
      <w:lvlText w:val="(%1)"/>
      <w:numFmt w:val="lowerLetter"/>
      <w:start w:val="1"/>
    </w:lvl>
  </w:abstractNum>
  <w:abstractNum w:abstractNumId="117">
    <w:nsid w:val="73D4D3C4"/>
    <w:multiLevelType w:val="hybridMultilevel"/>
    <w:lvl w:ilvl="0">
      <w:lvlJc w:val="left"/>
      <w:lvlText w:val="%1."/>
      <w:numFmt w:val="decimal"/>
      <w:start w:val="2"/>
    </w:lvl>
  </w:abstractNum>
  <w:abstractNum w:abstractNumId="118">
    <w:nsid w:val="746F2E30"/>
    <w:multiLevelType w:val="hybridMultilevel"/>
    <w:lvl w:ilvl="0">
      <w:lvlJc w:val="left"/>
      <w:lvlText w:val="(%1)"/>
      <w:numFmt w:val="lowerLetter"/>
      <w:start w:val="1"/>
    </w:lvl>
  </w:abstractNum>
  <w:abstractNum w:abstractNumId="119">
    <w:nsid w:val="6FDE8AF6"/>
    <w:multiLevelType w:val="hybridMultilevel"/>
    <w:lvl w:ilvl="0">
      <w:lvlJc w:val="left"/>
      <w:lvlText w:val="(%1)"/>
      <w:numFmt w:val="lowerLetter"/>
      <w:start w:val="4"/>
    </w:lvl>
  </w:abstractNum>
  <w:abstractNum w:abstractNumId="120">
    <w:nsid w:val="3FC32E20"/>
    <w:multiLevelType w:val="hybridMultilevel"/>
    <w:lvl w:ilvl="0">
      <w:lvlJc w:val="left"/>
      <w:lvlText w:val="(%1)"/>
      <w:numFmt w:val="lowerLetter"/>
      <w:start w:val="8"/>
    </w:lvl>
  </w:abstractNum>
  <w:abstractNum w:abstractNumId="121">
    <w:nsid w:val="49C0E823"/>
    <w:multiLevelType w:val="hybridMultilevel"/>
    <w:lvl w:ilvl="0">
      <w:lvlJc w:val="left"/>
      <w:lvlText w:val="(%1)"/>
      <w:numFmt w:val="lowerLetter"/>
      <w:start w:val="1"/>
    </w:lvl>
  </w:abstractNum>
  <w:abstractNum w:abstractNumId="122">
    <w:nsid w:val="14D53685"/>
    <w:multiLevelType w:val="hybridMultilevel"/>
    <w:lvl w:ilvl="0">
      <w:lvlJc w:val="left"/>
      <w:lvlText w:val="%1."/>
      <w:numFmt w:val="decimal"/>
      <w:start w:val="3"/>
    </w:lvl>
  </w:abstractNum>
  <w:abstractNum w:abstractNumId="123">
    <w:nsid w:val="230F856C"/>
    <w:multiLevelType w:val="hybridMultilevel"/>
    <w:lvl w:ilvl="0">
      <w:lvlJc w:val="left"/>
      <w:lvlText w:val="%1."/>
      <w:numFmt w:val="decimal"/>
      <w:start w:val="4"/>
    </w:lvl>
  </w:abstractNum>
  <w:abstractNum w:abstractNumId="124">
    <w:nsid w:val="6EAA85FB"/>
    <w:multiLevelType w:val="hybridMultilevel"/>
    <w:lvl w:ilvl="0">
      <w:lvlJc w:val="left"/>
      <w:lvlText w:val="(%1)"/>
      <w:numFmt w:val="lowerLetter"/>
      <w:start w:val="2"/>
    </w:lvl>
  </w:abstractNum>
  <w:abstractNum w:abstractNumId="125">
    <w:nsid w:val="3F06ECB2"/>
    <w:multiLevelType w:val="hybridMultilevel"/>
    <w:lvl w:ilvl="0">
      <w:lvlJc w:val="left"/>
      <w:lvlText w:val="%1."/>
      <w:numFmt w:val="decimal"/>
      <w:start w:val="5"/>
    </w:lvl>
  </w:abstractNum>
  <w:abstractNum w:abstractNumId="126">
    <w:nsid w:val="3B594807"/>
    <w:multiLevelType w:val="hybridMultilevel"/>
    <w:lvl w:ilvl="0">
      <w:lvlJc w:val="left"/>
      <w:lvlText w:val="%1."/>
      <w:numFmt w:val="decimal"/>
      <w:start w:val="6"/>
    </w:lvl>
  </w:abstractNum>
  <w:abstractNum w:abstractNumId="127">
    <w:nsid w:val="6CAA2304"/>
    <w:multiLevelType w:val="hybridMultilevel"/>
    <w:lvl w:ilvl="0">
      <w:lvlJc w:val="left"/>
      <w:lvlText w:val="%1."/>
      <w:numFmt w:val="decimal"/>
      <w:start w:val="7"/>
    </w:lvl>
  </w:abstractNum>
  <w:abstractNum w:abstractNumId="128">
    <w:nsid w:val="3F7C2FF4"/>
    <w:multiLevelType w:val="hybridMultilevel"/>
    <w:lvl w:ilvl="0">
      <w:lvlJc w:val="left"/>
      <w:lvlText w:val="%1."/>
      <w:numFmt w:val="decimal"/>
      <w:start w:val="8"/>
    </w:lvl>
  </w:abstractNum>
  <w:abstractNum w:abstractNumId="129">
    <w:nsid w:val="25413BEC"/>
    <w:multiLevelType w:val="hybridMultilevel"/>
    <w:lvl w:ilvl="0">
      <w:lvlJc w:val="left"/>
      <w:lvlText w:val="%1."/>
      <w:numFmt w:val="decimal"/>
      <w:start w:val="9"/>
    </w:lvl>
  </w:abstractNum>
  <w:abstractNum w:abstractNumId="130">
    <w:nsid w:val="17180B0B"/>
    <w:multiLevelType w:val="hybridMultilevel"/>
    <w:lvl w:ilvl="0">
      <w:lvlJc w:val="left"/>
      <w:lvlText w:val="%1."/>
      <w:numFmt w:val="decimal"/>
      <w:start w:val="10"/>
    </w:lvl>
  </w:abstractNum>
  <w:abstractNum w:abstractNumId="131">
    <w:nsid w:val="579328B9"/>
    <w:multiLevelType w:val="hybridMultilevel"/>
    <w:lvl w:ilvl="0">
      <w:lvlJc w:val="left"/>
      <w:lvlText w:val="%1."/>
      <w:numFmt w:val="decimal"/>
      <w:start w:val="11"/>
    </w:lvl>
  </w:abstractNum>
  <w:abstractNum w:abstractNumId="132">
    <w:nsid w:val="5D205E20"/>
    <w:multiLevelType w:val="hybridMultilevel"/>
    <w:lvl w:ilvl="0">
      <w:lvlJc w:val="left"/>
      <w:lvlText w:val="%1."/>
      <w:numFmt w:val="decimal"/>
      <w:start w:val="12"/>
    </w:lvl>
  </w:abstractNum>
  <w:abstractNum w:abstractNumId="133">
    <w:nsid w:val="11CCA8BA"/>
    <w:multiLevelType w:val="hybridMultilevel"/>
    <w:lvl w:ilvl="0">
      <w:lvlJc w:val="left"/>
      <w:lvlText w:val="%1."/>
      <w:numFmt w:val="decimal"/>
      <w:start w:val="13"/>
    </w:lvl>
  </w:abstractNum>
  <w:abstractNum w:abstractNumId="134">
    <w:nsid w:val="4D32AB86"/>
    <w:multiLevelType w:val="hybridMultilevel"/>
    <w:lvl w:ilvl="0">
      <w:lvlJc w:val="left"/>
      <w:lvlText w:val="(%1)"/>
      <w:numFmt w:val="lowerLetter"/>
      <w:start w:val="1"/>
    </w:lvl>
  </w:abstractNum>
  <w:abstractNum w:abstractNumId="135">
    <w:nsid w:val="3F07ACC3"/>
    <w:multiLevelType w:val="hybridMultilevel"/>
    <w:lvl w:ilvl="0">
      <w:lvlJc w:val="left"/>
      <w:lvlText w:val="(%1)"/>
      <w:numFmt w:val="lowerLetter"/>
      <w:start w:val="2"/>
    </w:lvl>
  </w:abstractNum>
  <w:abstractNum w:abstractNumId="136">
    <w:nsid w:val="6B47F63E"/>
    <w:multiLevelType w:val="hybridMultilevel"/>
    <w:lvl w:ilvl="0">
      <w:lvlJc w:val="left"/>
      <w:lvlText w:val="%1."/>
      <w:numFmt w:val="decimal"/>
      <w:start w:val="1"/>
    </w:lvl>
  </w:abstractNum>
  <w:abstractNum w:abstractNumId="137">
    <w:nsid w:val="5CB44A05"/>
    <w:multiLevelType w:val="hybridMultilevel"/>
    <w:lvl w:ilvl="0">
      <w:lvlJc w:val="left"/>
      <w:lvlText w:val="(%1)"/>
      <w:numFmt w:val="lowerLetter"/>
      <w:start w:val="3"/>
    </w:lvl>
  </w:abstractNum>
  <w:abstractNum w:abstractNumId="138">
    <w:nsid w:val="16CF80F1"/>
    <w:multiLevelType w:val="hybridMultilevel"/>
    <w:lvl w:ilvl="0">
      <w:lvlJc w:val="left"/>
      <w:lvlText w:val="%1."/>
      <w:numFmt w:val="decimal"/>
      <w:start w:val="1"/>
    </w:lvl>
  </w:abstractNum>
  <w:abstractNum w:abstractNumId="139">
    <w:nsid w:val="1C695DEC"/>
    <w:multiLevelType w:val="hybridMultilevel"/>
    <w:lvl w:ilvl="0">
      <w:lvlJc w:val="left"/>
      <w:lvlText w:val="(%1)"/>
      <w:numFmt w:val="lowerLetter"/>
      <w:start w:val="1"/>
    </w:lvl>
  </w:abstractNum>
  <w:abstractNum w:abstractNumId="140">
    <w:nsid w:val="3FCFAED9"/>
    <w:multiLevelType w:val="hybridMultilevel"/>
    <w:lvl w:ilvl="0">
      <w:lvlJc w:val="left"/>
      <w:lvlText w:val="%1."/>
      <w:numFmt w:val="decimal"/>
      <w:start w:val="2"/>
    </w:lvl>
  </w:abstractNum>
  <w:abstractNum w:abstractNumId="141">
    <w:nsid w:val="F856867"/>
    <w:multiLevelType w:val="hybridMultilevel"/>
    <w:lvl w:ilvl="0">
      <w:lvlJc w:val="left"/>
      <w:lvlText w:val="(%1)"/>
      <w:numFmt w:val="lowerLetter"/>
      <w:start w:val="1"/>
    </w:lvl>
  </w:abstractNum>
  <w:abstractNum w:abstractNumId="142">
    <w:nsid w:val="11B1CC33"/>
    <w:multiLevelType w:val="hybridMultilevel"/>
    <w:lvl w:ilvl="0">
      <w:lvlJc w:val="left"/>
      <w:lvlText w:val="(%1)"/>
      <w:numFmt w:val="lowerLetter"/>
      <w:start w:val="3"/>
    </w:lvl>
  </w:abstractNum>
  <w:abstractNum w:abstractNumId="143">
    <w:nsid w:val="2E22FBB7"/>
    <w:multiLevelType w:val="hybridMultilevel"/>
    <w:lvl w:ilvl="0">
      <w:lvlJc w:val="left"/>
      <w:lvlText w:val="(%1)"/>
      <w:numFmt w:val="lowerLetter"/>
      <w:start w:val="5"/>
    </w:lvl>
  </w:abstractNum>
  <w:abstractNum w:abstractNumId="144">
    <w:nsid w:val="29934699"/>
    <w:multiLevelType w:val="hybridMultilevel"/>
    <w:lvl w:ilvl="0">
      <w:lvlJc w:val="left"/>
      <w:lvlText w:val="(%1)"/>
      <w:numFmt w:val="lowerLetter"/>
      <w:start w:val="1"/>
    </w:lvl>
  </w:abstractNum>
  <w:abstractNum w:abstractNumId="145">
    <w:nsid w:val="77485850"/>
    <w:multiLevelType w:val="hybridMultilevel"/>
    <w:lvl w:ilvl="0">
      <w:lvlJc w:val="left"/>
      <w:lvlText w:val="%1"/>
      <w:numFmt w:val="decimal"/>
      <w:start w:val="1"/>
    </w:lvl>
    <w:lvl w:ilvl="1">
      <w:lvlJc w:val="left"/>
      <w:lvlText w:val="(%2)"/>
      <w:numFmt w:val="lowerLetter"/>
      <w:start w:val="2"/>
    </w:lvl>
  </w:abstractNum>
  <w:abstractNum w:abstractNumId="146">
    <w:nsid w:val="744939A3"/>
    <w:multiLevelType w:val="hybridMultilevel"/>
    <w:lvl w:ilvl="0">
      <w:lvlJc w:val="left"/>
      <w:lvlText w:val="%1."/>
      <w:numFmt w:val="decimal"/>
      <w:start w:val="3"/>
    </w:lvl>
    <w:lvl w:ilvl="1">
      <w:lvlJc w:val="left"/>
      <w:lvlText w:val="%2"/>
      <w:numFmt w:val="lowerLetter"/>
      <w:start w:val="1"/>
    </w:lvl>
  </w:abstractNum>
  <w:abstractNum w:abstractNumId="147">
    <w:nsid w:val="4FA0D2E3"/>
    <w:multiLevelType w:val="hybridMultilevel"/>
    <w:lvl w:ilvl="0">
      <w:lvlJc w:val="left"/>
      <w:lvlText w:val="%1."/>
      <w:numFmt w:val="decimal"/>
      <w:start w:val="4"/>
    </w:lvl>
  </w:abstractNum>
  <w:abstractNum w:abstractNumId="148">
    <w:nsid w:val="6B1D2C14"/>
    <w:multiLevelType w:val="hybridMultilevel"/>
    <w:lvl w:ilvl="0">
      <w:lvlJc w:val="left"/>
      <w:lvlText w:val="(%1)"/>
      <w:numFmt w:val="lowerLetter"/>
      <w:start w:val="2"/>
    </w:lvl>
  </w:abstractNum>
  <w:abstractNum w:abstractNumId="149">
    <w:nsid w:val="68B867D3"/>
    <w:multiLevelType w:val="hybridMultilevel"/>
    <w:lvl w:ilvl="0">
      <w:lvlJc w:val="left"/>
      <w:lvlText w:val="%1."/>
      <w:numFmt w:val="decimal"/>
      <w:start w:val="5"/>
    </w:lvl>
  </w:abstractNum>
  <w:abstractNum w:abstractNumId="150">
    <w:nsid w:val="3F7F5DD9"/>
    <w:multiLevelType w:val="hybridMultilevel"/>
    <w:lvl w:ilvl="0">
      <w:lvlJc w:val="left"/>
      <w:lvlText w:val="%1."/>
      <w:numFmt w:val="decimal"/>
      <w:start w:val="6"/>
    </w:lvl>
  </w:abstractNum>
  <w:abstractNum w:abstractNumId="151">
    <w:nsid w:val="2AE05A34"/>
    <w:multiLevelType w:val="hybridMultilevel"/>
    <w:lvl w:ilvl="0">
      <w:lvlJc w:val="left"/>
      <w:lvlText w:val="%1."/>
      <w:numFmt w:val="decimal"/>
      <w:start w:val="7"/>
    </w:lvl>
  </w:abstractNum>
  <w:abstractNum w:abstractNumId="152">
    <w:nsid w:val="32794FF7"/>
    <w:multiLevelType w:val="hybridMultilevel"/>
    <w:lvl w:ilvl="0">
      <w:lvlJc w:val="left"/>
      <w:lvlText w:val="%1."/>
      <w:numFmt w:val="decimal"/>
      <w:start w:val="8"/>
    </w:lvl>
  </w:abstractNum>
  <w:abstractNum w:abstractNumId="153">
    <w:nsid w:val="5454945E"/>
    <w:multiLevelType w:val="hybridMultilevel"/>
    <w:lvl w:ilvl="0">
      <w:lvlJc w:val="left"/>
      <w:lvlText w:val="%1."/>
      <w:numFmt w:val="decimal"/>
      <w:start w:val="9"/>
    </w:lvl>
  </w:abstractNum>
  <w:abstractNum w:abstractNumId="154">
    <w:nsid w:val="4DEFDFA0"/>
    <w:multiLevelType w:val="hybridMultilevel"/>
    <w:lvl w:ilvl="0">
      <w:lvlJc w:val="left"/>
      <w:lvlText w:val="%1."/>
      <w:numFmt w:val="decimal"/>
      <w:start w:val="10"/>
    </w:lvl>
  </w:abstractNum>
  <w:abstractNum w:abstractNumId="155">
    <w:nsid w:val="2123D5F2"/>
    <w:multiLevelType w:val="hybridMultilevel"/>
    <w:lvl w:ilvl="0">
      <w:lvlJc w:val="left"/>
      <w:lvlText w:val="%1."/>
      <w:numFmt w:val="decimal"/>
      <w:start w:val="11"/>
    </w:lvl>
  </w:abstractNum>
  <w:abstractNum w:abstractNumId="156">
    <w:nsid w:val="135B8110"/>
    <w:multiLevelType w:val="hybridMultilevel"/>
    <w:lvl w:ilvl="0">
      <w:lvlJc w:val="left"/>
      <w:lvlText w:val="%1."/>
      <w:numFmt w:val="decimal"/>
      <w:start w:val="12"/>
    </w:lvl>
  </w:abstractNum>
  <w:abstractNum w:abstractNumId="157">
    <w:nsid w:val="94927A8"/>
    <w:multiLevelType w:val="hybridMultilevel"/>
    <w:lvl w:ilvl="0">
      <w:lvlJc w:val="left"/>
      <w:lvlText w:val="%1."/>
      <w:numFmt w:val="decimal"/>
      <w:start w:val="13"/>
    </w:lvl>
  </w:abstractNum>
  <w:abstractNum w:abstractNumId="158">
    <w:nsid w:val="DCDF8F6"/>
    <w:multiLevelType w:val="hybridMultilevel"/>
    <w:lvl w:ilvl="0">
      <w:lvlJc w:val="left"/>
      <w:lvlText w:val="(%1)"/>
      <w:numFmt w:val="lowerLetter"/>
      <w:start w:val="1"/>
    </w:lvl>
  </w:abstractNum>
  <w:abstractNum w:abstractNumId="159">
    <w:nsid w:val="52D7B105"/>
    <w:multiLevelType w:val="hybridMultilevel"/>
    <w:lvl w:ilvl="0">
      <w:lvlJc w:val="left"/>
      <w:lvlText w:val="(%1)"/>
      <w:numFmt w:val="lowerLetter"/>
      <w:start w:val="2"/>
    </w:lvl>
  </w:abstractNum>
  <w:abstractNum w:abstractNumId="160">
    <w:nsid w:val="2E8A6394"/>
    <w:multiLevelType w:val="hybridMultilevel"/>
    <w:lvl w:ilvl="0">
      <w:lvlJc w:val="left"/>
      <w:lvlText w:val="%1."/>
      <w:numFmt w:val="decimal"/>
      <w:start w:val="1"/>
    </w:lvl>
  </w:abstractNum>
  <w:abstractNum w:abstractNumId="161">
    <w:nsid w:val="24E60401"/>
    <w:multiLevelType w:val="hybridMultilevel"/>
    <w:lvl w:ilvl="0">
      <w:lvlJc w:val="left"/>
      <w:lvlText w:val="(%1)"/>
      <w:numFmt w:val="lowerLetter"/>
      <w:start w:val="3"/>
    </w:lvl>
  </w:abstractNum>
  <w:abstractNum w:abstractNumId="162">
    <w:nsid w:val="2A6AD9BE"/>
    <w:multiLevelType w:val="hybridMultilevel"/>
    <w:lvl w:ilvl="0">
      <w:lvlJc w:val="left"/>
      <w:lvlText w:val="%1."/>
      <w:numFmt w:val="decimal"/>
      <w:start w:val="1"/>
    </w:lvl>
  </w:abstractNum>
  <w:abstractNum w:abstractNumId="163">
    <w:nsid w:val="BAAC1B4"/>
    <w:multiLevelType w:val="hybridMultilevel"/>
    <w:lvl w:ilvl="0">
      <w:lvlJc w:val="left"/>
      <w:lvlText w:val="(%1)"/>
      <w:numFmt w:val="lowerLetter"/>
      <w:start w:val="1"/>
    </w:lvl>
  </w:abstractNum>
  <w:abstractNum w:abstractNumId="164">
    <w:nsid w:val="36B2ACBC"/>
    <w:multiLevelType w:val="hybridMultilevel"/>
    <w:lvl w:ilvl="0">
      <w:lvlJc w:val="left"/>
      <w:lvlText w:val="%1."/>
      <w:numFmt w:val="decimal"/>
      <w:start w:val="2"/>
    </w:lvl>
  </w:abstractNum>
  <w:abstractNum w:abstractNumId="165">
    <w:nsid w:val="779D8544"/>
    <w:multiLevelType w:val="hybridMultilevel"/>
    <w:lvl w:ilvl="0">
      <w:lvlJc w:val="left"/>
      <w:lvlText w:val="(%1)"/>
      <w:numFmt w:val="lowerLetter"/>
      <w:start w:val="1"/>
    </w:lvl>
  </w:abstractNum>
  <w:abstractNum w:abstractNumId="166">
    <w:nsid w:val="4AB26E78"/>
    <w:multiLevelType w:val="hybridMultilevel"/>
    <w:lvl w:ilvl="0">
      <w:lvlJc w:val="left"/>
      <w:lvlText w:val="(%1)"/>
      <w:numFmt w:val="lowerLetter"/>
      <w:start w:val="3"/>
    </w:lvl>
  </w:abstractNum>
  <w:abstractNum w:abstractNumId="167">
    <w:nsid w:val="21FAA2FA"/>
    <w:multiLevelType w:val="hybridMultilevel"/>
    <w:lvl w:ilvl="0">
      <w:lvlJc w:val="left"/>
      <w:lvlText w:val="(%1)"/>
      <w:numFmt w:val="lowerLetter"/>
      <w:start w:val="7"/>
    </w:lvl>
  </w:abstractNum>
  <w:abstractNum w:abstractNumId="168">
    <w:nsid w:val="5451CF49"/>
    <w:multiLevelType w:val="hybridMultilevel"/>
    <w:lvl w:ilvl="0">
      <w:lvlJc w:val="left"/>
      <w:lvlText w:val="(%1)"/>
      <w:numFmt w:val="lowerLetter"/>
      <w:start w:val="1"/>
    </w:lvl>
  </w:abstractNum>
  <w:abstractNum w:abstractNumId="169">
    <w:nsid w:val="6181EF69"/>
    <w:multiLevelType w:val="hybridMultilevel"/>
    <w:lvl w:ilvl="0">
      <w:lvlJc w:val="left"/>
      <w:lvlText w:val="%1."/>
      <w:numFmt w:val="decimal"/>
      <w:start w:val="3"/>
    </w:lvl>
  </w:abstractNum>
  <w:abstractNum w:abstractNumId="170">
    <w:nsid w:val="3E6400E6"/>
    <w:multiLevelType w:val="hybridMultilevel"/>
    <w:lvl w:ilvl="0">
      <w:lvlJc w:val="left"/>
      <w:lvlText w:val="%1."/>
      <w:numFmt w:val="decimal"/>
      <w:start w:val="4"/>
    </w:lvl>
  </w:abstractNum>
  <w:abstractNum w:abstractNumId="171">
    <w:nsid w:val="14217E23"/>
    <w:multiLevelType w:val="hybridMultilevel"/>
    <w:lvl w:ilvl="0">
      <w:lvlJc w:val="left"/>
      <w:lvlText w:val="(%1)"/>
      <w:numFmt w:val="lowerLetter"/>
      <w:start w:val="2"/>
    </w:lvl>
  </w:abstractNum>
  <w:abstractNum w:abstractNumId="172">
    <w:nsid w:val="710757D0"/>
    <w:multiLevelType w:val="hybridMultilevel"/>
    <w:lvl w:ilvl="0">
      <w:lvlJc w:val="left"/>
      <w:lvlText w:val="%1."/>
      <w:numFmt w:val="decimal"/>
      <w:start w:val="5"/>
    </w:lvl>
  </w:abstractNum>
  <w:abstractNum w:abstractNumId="173">
    <w:nsid w:val="5015CD1A"/>
    <w:multiLevelType w:val="hybridMultilevel"/>
    <w:lvl w:ilvl="0">
      <w:lvlJc w:val="left"/>
      <w:lvlText w:val="%1."/>
      <w:numFmt w:val="decimal"/>
      <w:start w:val="6"/>
    </w:lvl>
  </w:abstractNum>
  <w:abstractNum w:abstractNumId="174">
    <w:nsid w:val="424479DA"/>
    <w:multiLevelType w:val="hybridMultilevel"/>
    <w:lvl w:ilvl="0">
      <w:lvlJc w:val="left"/>
      <w:lvlText w:val="%1."/>
      <w:numFmt w:val="decimal"/>
      <w:start w:val="7"/>
    </w:lvl>
  </w:abstractNum>
  <w:abstractNum w:abstractNumId="175">
    <w:nsid w:val="1A9A9E69"/>
    <w:multiLevelType w:val="hybridMultilevel"/>
    <w:lvl w:ilvl="0">
      <w:lvlJc w:val="left"/>
      <w:lvlText w:val="%1."/>
      <w:numFmt w:val="decimal"/>
      <w:start w:val="8"/>
    </w:lvl>
  </w:abstractNum>
  <w:abstractNum w:abstractNumId="176">
    <w:nsid w:val="475E256A"/>
    <w:multiLevelType w:val="hybridMultilevel"/>
    <w:lvl w:ilvl="0">
      <w:lvlJc w:val="left"/>
      <w:lvlText w:val="%1."/>
      <w:numFmt w:val="decimal"/>
      <w:start w:val="9"/>
    </w:lvl>
  </w:abstractNum>
  <w:abstractNum w:abstractNumId="177">
    <w:nsid w:val="368DB37E"/>
    <w:multiLevelType w:val="hybridMultilevel"/>
    <w:lvl w:ilvl="0">
      <w:lvlJc w:val="left"/>
      <w:lvlText w:val="%1."/>
      <w:numFmt w:val="decimal"/>
      <w:start w:val="10"/>
    </w:lvl>
  </w:abstractNum>
  <w:abstractNum w:abstractNumId="178">
    <w:nsid w:val="6A3B714C"/>
    <w:multiLevelType w:val="hybridMultilevel"/>
    <w:lvl w:ilvl="0">
      <w:lvlJc w:val="left"/>
      <w:lvlText w:val="%1."/>
      <w:numFmt w:val="decimal"/>
      <w:start w:val="11"/>
    </w:lvl>
  </w:abstractNum>
  <w:abstractNum w:abstractNumId="179">
    <w:nsid w:val="327B517E"/>
    <w:multiLevelType w:val="hybridMultilevel"/>
    <w:lvl w:ilvl="0">
      <w:lvlJc w:val="left"/>
      <w:lvlText w:val="%1."/>
      <w:numFmt w:val="decimal"/>
      <w:start w:val="12"/>
    </w:lvl>
  </w:abstractNum>
  <w:abstractNum w:abstractNumId="180">
    <w:nsid w:val="1F461B51"/>
    <w:multiLevelType w:val="hybridMultilevel"/>
    <w:lvl w:ilvl="0">
      <w:lvlJc w:val="left"/>
      <w:lvlText w:val="%1."/>
      <w:numFmt w:val="decimal"/>
      <w:start w:val="13"/>
    </w:lvl>
  </w:abstractNum>
  <w:abstractNum w:abstractNumId="181">
    <w:nsid w:val="29BACF25"/>
    <w:multiLevelType w:val="hybridMultilevel"/>
    <w:lvl w:ilvl="0">
      <w:lvlJc w:val="left"/>
      <w:lvlText w:val="(%1)"/>
      <w:numFmt w:val="lowerLetter"/>
      <w:start w:val="1"/>
    </w:lvl>
  </w:abstractNum>
  <w:abstractNum w:abstractNumId="182">
    <w:nsid w:val="5D5BABB3"/>
    <w:multiLevelType w:val="hybridMultilevel"/>
    <w:lvl w:ilvl="0">
      <w:lvlJc w:val="left"/>
      <w:lvlText w:val="(%1)"/>
      <w:numFmt w:val="lowerLetter"/>
      <w:start w:val="2"/>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2019-12-28T22:52:34Z</dcterms:created>
  <dcterms:modified xsi:type="dcterms:W3CDTF">2019-12-28T22:52:34Z</dcterms:modified>
</cp:coreProperties>
</file>