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424(b)(7) under the</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Securities Act of 1933 in connection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Registration No. 333-217576</w:t>
      </w:r>
    </w:p>
    <w:p>
      <w:pPr>
        <w:spacing w:after="0" w:line="351" w:lineRule="exact"/>
        <w:rPr>
          <w:sz w:val="24"/>
          <w:szCs w:val="24"/>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relating to an effective registration statement under the Securities Act of 1933 is not complete and may be changed. This preliminary prospectus supplement and the accompanying prospectus are not an offer to sell these securities and are not a solicitation of an offer to buy these securities in any jurisdiction where the offer or sale is not permitted.</w:t>
      </w:r>
    </w:p>
    <w:p>
      <w:pPr>
        <w:spacing w:after="0" w:line="10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9, 2017</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11, 2017)</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4,088,978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165100</wp:posOffset>
            </wp:positionV>
            <wp:extent cx="247840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840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8"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selling stockholders named in this prospectus supplement, which are affiliated with a director of our company, are selling 4,088,978 shares of our common stock, $0.01 par value per share. We are not selling any shares of our common stock in this offering. We will not receive any proceeds from the sale of our common stock by the selling stockholders. See “Selling Stockholders.”</w:t>
      </w:r>
    </w:p>
    <w:p>
      <w:pPr>
        <w:spacing w:after="0" w:line="82"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common stock is traded on New York Stock Exchange, or NYSE, under the symbol “MX.” On August 8, 2017, the last reported sale price of our common stock on the NYSE was $12.05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4" w:lineRule="exact"/>
        <w:rPr>
          <w:sz w:val="24"/>
          <w:szCs w:val="24"/>
          <w:color w:val="auto"/>
        </w:rPr>
      </w:pPr>
    </w:p>
    <w:p>
      <w:pPr>
        <w:ind w:right="22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S-3 of this prospectus supplement and on page 2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passed upon the accuracy or adequacy of this prospectus supplement or the accompanying prospectus. Any representation to the contrary is a criminal offense.</w:t>
      </w:r>
    </w:p>
    <w:p>
      <w:pPr>
        <w:spacing w:after="0" w:line="75"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Per</w:t>
            </w:r>
          </w:p>
        </w:tc>
        <w:tc>
          <w:tcPr>
            <w:tcW w:w="560" w:type="dxa"/>
            <w:vAlign w:val="bottom"/>
          </w:tcPr>
          <w:p>
            <w:pPr>
              <w:spacing w:after="0"/>
              <w:rPr>
                <w:sz w:val="13"/>
                <w:szCs w:val="13"/>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21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21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compensation payable to the underwriter in connection with this offering.</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 expects to deliver the shares of our common stock to purchasers on or about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Barclays</w:t>
      </w:r>
    </w:p>
    <w:p>
      <w:pPr>
        <w:spacing w:after="0" w:line="143" w:lineRule="exact"/>
        <w:rPr>
          <w:sz w:val="24"/>
          <w:szCs w:val="24"/>
          <w:color w:val="auto"/>
        </w:rPr>
      </w:pPr>
    </w:p>
    <w:tbl>
      <w:tblPr>
        <w:tblLayout w:type="fixed"/>
        <w:tblInd w:w="39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 dated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2017.</w:t>
            </w: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40" w:type="dxa"/>
            <w:vAlign w:val="bottom"/>
            <w:gridSpan w:val="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gridSpan w:val="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60" w:type="dxa"/>
            <w:vAlign w:val="bottom"/>
            <w:gridSpan w:val="1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ABOUT THIS PROSPECTUS SUPPLEMENT</w:t>
              </w:r>
            </w:hyperlink>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60" w:type="dxa"/>
            <w:vAlign w:val="bottom"/>
            <w:gridSpan w:val="18"/>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S-iii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SUMMARY</w:t>
              </w:r>
            </w:hyperlink>
          </w:p>
        </w:tc>
        <w:tc>
          <w:tcPr>
            <w:tcW w:w="75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970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FORWARD-LOOKING STATEMENTS</w:t>
              </w:r>
            </w:hyperlink>
          </w:p>
        </w:tc>
        <w:tc>
          <w:tcPr>
            <w:tcW w:w="802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USE OF PROCEEDS</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SELLING STOCKHOLDERS</w:t>
              </w:r>
            </w:hyperlink>
          </w:p>
        </w:tc>
        <w:tc>
          <w:tcPr>
            <w:tcW w:w="87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MATERIAL U.S. FEDERAL INCOME TAX CONSEQUENCES FOR NON-U.S. HOLDERS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UNDERWRITING</w:t>
              </w:r>
            </w:hyperlink>
          </w:p>
        </w:tc>
        <w:tc>
          <w:tcPr>
            <w:tcW w:w="5440" w:type="dxa"/>
            <w:vAlign w:val="bottom"/>
            <w:tcBorders>
              <w:top w:val="single" w:sz="8" w:color="0000EE"/>
            </w:tcBorders>
            <w:gridSpan w:val="12"/>
          </w:tcPr>
          <w:p>
            <w:pPr>
              <w:spacing w:after="0"/>
              <w:rPr>
                <w:sz w:val="17"/>
                <w:szCs w:val="17"/>
                <w:color w:val="auto"/>
              </w:rPr>
            </w:pPr>
          </w:p>
        </w:tc>
        <w:tc>
          <w:tcPr>
            <w:tcW w:w="41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MATTERS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17"/>
                <w:szCs w:val="17"/>
                <w:color w:val="auto"/>
              </w:rPr>
            </w:pPr>
          </w:p>
        </w:tc>
        <w:tc>
          <w:tcPr>
            <w:tcW w:w="95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INCORPORATION OF CERTAIN INFORMATION BY REFERENCE</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669"/>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780" w:type="dxa"/>
            <w:vAlign w:val="bottom"/>
            <w:gridSpan w:val="3"/>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gridSpan w:val="10"/>
            <w:vMerge w:val="restart"/>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ABOUT THIS PROSPECTUS</w:t>
              </w:r>
            </w:hyperlink>
          </w:p>
        </w:tc>
        <w:tc>
          <w:tcPr>
            <w:tcW w:w="8720" w:type="dxa"/>
            <w:vAlign w:val="bottom"/>
            <w:gridSpan w:val="8"/>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0"/>
            <w:vMerge w:val="continue"/>
          </w:tcPr>
          <w:p>
            <w:pPr>
              <w:spacing w:after="0"/>
              <w:rPr>
                <w:sz w:val="14"/>
                <w:szCs w:val="14"/>
                <w:color w:val="auto"/>
              </w:rPr>
            </w:pPr>
          </w:p>
        </w:tc>
        <w:tc>
          <w:tcPr>
            <w:tcW w:w="87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OUR COMPANY</w:t>
              </w:r>
            </w:hyperlink>
          </w:p>
        </w:tc>
        <w:tc>
          <w:tcPr>
            <w:tcW w:w="96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RISK FACTORS</w:t>
              </w:r>
            </w:hyperlink>
          </w:p>
        </w:tc>
        <w:tc>
          <w:tcPr>
            <w:tcW w:w="97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SPECIAL NOTE REGARDING FORWARD-LOOKING STATEMENTS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562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SELLING STOCKHOLDERS</w:t>
              </w:r>
            </w:hyperlink>
          </w:p>
        </w:tc>
        <w:tc>
          <w:tcPr>
            <w:tcW w:w="87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DESCRIPTION OF COMMON STOCK</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PLAN OF DISTRIBUTION</w:t>
              </w:r>
            </w:hyperlink>
          </w:p>
        </w:tc>
        <w:tc>
          <w:tcPr>
            <w:tcW w:w="900" w:type="dxa"/>
            <w:vAlign w:val="bottom"/>
            <w:tcBorders>
              <w:top w:val="single" w:sz="8" w:color="0000EE"/>
            </w:tcBorders>
            <w:gridSpan w:val="4"/>
          </w:tcPr>
          <w:p>
            <w:pPr>
              <w:spacing w:after="0"/>
              <w:rPr>
                <w:sz w:val="17"/>
                <w:szCs w:val="17"/>
                <w:color w:val="auto"/>
              </w:rPr>
            </w:pPr>
          </w:p>
        </w:tc>
        <w:tc>
          <w:tcPr>
            <w:tcW w:w="80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820" w:type="dxa"/>
            <w:vAlign w:val="bottom"/>
            <w:gridSpan w:val="14"/>
            <w:shd w:val="clear" w:color="auto" w:fill="0000EE"/>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8"/>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INCORPORATION OF CERTAIN INFORMATION BY REFERENCE</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LEGAL MATTERS</w:t>
              </w:r>
            </w:hyperlink>
          </w:p>
        </w:tc>
        <w:tc>
          <w:tcPr>
            <w:tcW w:w="57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17"/>
                <w:szCs w:val="17"/>
                <w:color w:val="auto"/>
              </w:rPr>
            </w:pPr>
          </w:p>
        </w:tc>
        <w:tc>
          <w:tcPr>
            <w:tcW w:w="95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and any free writing prospectus that we have authorized for use in connection with this offering. We and the selling stockholders have not, and the underwriter has not, authorized any other person to provide you with different or additional information. We, the selling stockholders and the underwriter take no responsibility for, and can provide no assurance as to the reliability of, any other information that others may give you. You should assume that the information appearing in this prospectus supplement and the accompanying prospectus, including the documents incorporated by reference herein and therein, and any free writing prospectus that we have authorized for use in connection with this offering, is accurate only as of their respective dates, regardless of the time of delivery of this prospectus or any sale of our common stock. Our business, financial condition, operating results and prospects may have changed since those dates. We and the selling stockholders are not, and the underwriter is not, making an offer to sell these securities in any jurisdiction where the offer or sale is not permitted.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Neither we, the selling stockholders nor the underwriter are making any representation to you regarding the legality of an investment in the common stock by you under applicable investment or similar laws.</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“MagnaChip” is a registered trademark of ours and our subsidiaries and “MagnaChip Everywhere” is our registered trademark and service mark. All other product, service and company names mentioned in this prospectus are the service marks or trademarks of their respective owners.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this prospectus supplement, and the second part, the accompanying prospectus, are each part of a registration statement on Form S-3 that we filed with the Securities and Exchange Commission, or the “SEC,” using a “shelf” registration process. Under this shelf registration process, the selling stockholders may sell shares of our common stock in one or more offerings. In this prospectus supplement, we provide you with specific information about the terms of this offering and updates with respect to information contained in the accompanying prospectus and the documents incorporated by reference into this prospectus supplement and the accompanying prospectus. The accompanying prospectus, including the documents incorporated by reference,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permitted by the rules and regulations of the SEC, the registration statement, of which this prospectus supplement and the accompanying prospectus form a part, includes additional information not contained in this prospectus supplement or the accompanying prospectus. You should read this prospectus supplement, the registration statement and the accompanying prospectus together with the documents incorporated by reference into this prospectus supplement before buying any shares of our common stock in this offering. See “Where You Can Find More Information” on page S-21 of this prospectus supplement.</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the terms “we,” “us,” “our” and “MagnaChip” refer to MagnaChip Semiconductor Corporation and its consolidated subsidiaries. The term “Korea” refers to the Republic of Korea or South Korea.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10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4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or incorporated by reference in this prospectus supplement and the accompanying prospectus. This summary does not contain all of the information that you should consider before deciding to invest in our common stock. This summary is qualified in its entirety by the more detailed information appearing elsewhere in or incorporated by reference into this prospectus supplement and the accompanying prospectus. You should read this entire prospectus supplement and the accompanying prospectus carefully, including the information incorporated by reference into this prospectus supplement, especially the risks of investing in our common stock discussed under “Risk Factors” beginning on page S-3.</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communications, Internet of Things (“IoT”), consumer, industrial and automotive applications. We provide technology platforms for analog, mixed-signal, power, high voltage, non-volatile memory, and Radio Frequency applications. We have a proven record with over 30 years of operating history, a portfolio of approximately 3,300 registered patents and pending applications, and extensive engineering and manufacturing process expertise.</w:t>
      </w:r>
    </w:p>
    <w:p>
      <w:pPr>
        <w:spacing w:after="0" w:line="18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Foundry Services Group provides specialty analog and mixed-signal foundry services mainly for fabless and Integrated Device Manufacturer semiconductor companies that primarily serve communications, IoT, consumer, industrial and automotive applications. Our Standard Products Group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21" w:lineRule="exact"/>
        <w:rPr>
          <w:sz w:val="20"/>
          <w:szCs w:val="20"/>
          <w:color w:val="auto"/>
        </w:rPr>
      </w:pPr>
    </w:p>
    <w:p>
      <w:pPr>
        <w:jc w:val="both"/>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c/o MagnaChip Semiconductor S.A., 1, Allée Scheffer, L-2520 Luxembourg, Grand Duchy of Luxembourg, and our telephone number is (352) 45-62-62. Our website address is www.magnachip.com. You should not consider the information contained on our website to be part of this prospectus supplement or in deciding whether to purchase shares of our common stock.</w:t>
      </w:r>
    </w:p>
    <w:p>
      <w:pPr>
        <w:spacing w:after="0" w:line="176"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As of July 31, 2017, the selling stockholders in this offering, funds affiliated with Avenue Capital Management II, L.P., collectively referred to herein as Avenue, beneficially owned 4,088,978 shares, or approximately 12.0%, of our outstanding common stock. After giving effect to this offering, Avenue will not hold any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00"/>
          </w:cols>
          <w:pgMar w:left="24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029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220"/>
          </w:cols>
          <w:pgMar w:left="240" w:top="455" w:right="43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Common Stock Offered by the Selling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4,088,978 shares of common stock.</w:t>
      </w:r>
    </w:p>
    <w:p>
      <w:pPr>
        <w:spacing w:after="0" w:line="218" w:lineRule="exact"/>
        <w:rPr>
          <w:sz w:val="20"/>
          <w:szCs w:val="20"/>
          <w:color w:val="auto"/>
        </w:rPr>
      </w:pPr>
    </w:p>
    <w:p>
      <w:pPr>
        <w:sectPr>
          <w:pgSz w:w="11900" w:h="16838" w:orient="portrait"/>
          <w:cols w:equalWidth="0" w:num="2">
            <w:col w:w="2960" w:space="660"/>
            <w:col w:w="7600"/>
          </w:cols>
          <w:pgMar w:left="240" w:top="455" w:right="43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Selling Stockholders</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The selling stockholders in this offering are funds affiliated with Avenue Capital Management II, L.P., which collectively beneficially owned approximately 12.0% of our outstanding common stock as of July 31, 2017, and are affiliated with a director of our company. See “Selling Stockholders.”</w:t>
      </w:r>
    </w:p>
    <w:p>
      <w:pPr>
        <w:spacing w:after="0" w:line="176"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jc w:val="right"/>
        <w:ind w:left="200" w:right="220"/>
        <w:spacing w:after="0" w:line="313"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34,036,978 shares of common stock</w:t>
      </w:r>
    </w:p>
    <w:p>
      <w:pPr>
        <w:spacing w:after="0" w:line="236"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by the selling stockholders but we will be required to pay certain expenses related to this offering. The proceeds will go to the selling stockholders. See “Use of Proceeds” and “Selling Stockholders.”</w:t>
      </w:r>
    </w:p>
    <w:p>
      <w:pPr>
        <w:spacing w:after="0" w:line="176"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do not intend to pay dividends on our common stock in the foreseeable future.</w:t>
      </w:r>
    </w:p>
    <w:p>
      <w:pPr>
        <w:spacing w:after="0" w:line="211"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read and consider the information set forth under “Risk Factors” beginning on page S-3 of this prospectus supplement, together with all of the other information set forth in and incorporated by reference into this prospectus supplement and the accompanying prospectus, before deciding to invest in shares of our common stock.</w:t>
      </w:r>
    </w:p>
    <w:p>
      <w:pPr>
        <w:spacing w:after="0" w:line="180"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MX</w:t>
      </w:r>
    </w:p>
    <w:p>
      <w:pPr>
        <w:spacing w:after="0" w:line="200"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indicated, all common stock information in this prospectus supplement excludes:</w:t>
      </w:r>
    </w:p>
    <w:p>
      <w:pPr>
        <w:spacing w:after="0" w:line="131" w:lineRule="exact"/>
        <w:rPr>
          <w:sz w:val="20"/>
          <w:szCs w:val="20"/>
          <w:color w:val="auto"/>
        </w:rPr>
      </w:pPr>
    </w:p>
    <w:p>
      <w:pPr>
        <w:ind w:left="1060" w:right="220" w:hanging="323"/>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3,217,675 shares of our common stock issuable upon exercise of outstanding options or settlement of outstanding restricted stock units, or RSUs, as of July 31, 2017;</w:t>
      </w:r>
    </w:p>
    <w:p>
      <w:pPr>
        <w:spacing w:after="0" w:line="67" w:lineRule="exact"/>
        <w:rPr>
          <w:rFonts w:ascii="Times New Roman" w:cs="Times New Roman" w:eastAsia="Times New Roman" w:hAnsi="Times New Roman"/>
          <w:sz w:val="18"/>
          <w:szCs w:val="18"/>
          <w:color w:val="auto"/>
        </w:rPr>
      </w:pPr>
    </w:p>
    <w:p>
      <w:pPr>
        <w:ind w:left="1060" w:right="180" w:hanging="323"/>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1,233,522 shares of our common stock reserved for future issuance pursuant to future grants under our 2011 Equity Incentive Plan and our 2011 Employee Stock Purchase Plan as of July 31, 2017; and</w:t>
      </w:r>
    </w:p>
    <w:p>
      <w:pPr>
        <w:spacing w:after="0" w:line="67" w:lineRule="exact"/>
        <w:rPr>
          <w:rFonts w:ascii="Times New Roman" w:cs="Times New Roman" w:eastAsia="Times New Roman" w:hAnsi="Times New Roman"/>
          <w:sz w:val="18"/>
          <w:szCs w:val="18"/>
          <w:color w:val="auto"/>
        </w:rPr>
      </w:pPr>
    </w:p>
    <w:p>
      <w:pPr>
        <w:ind w:left="1060" w:right="700" w:hanging="323"/>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10,448,213 shares of our common stock issuable upon exchange of the 5.0% Exchangeable Senior Notes due March 1, 2021, or the Exchangeable Notes, of our wholly-owned subsidiary, MagnaChip Semiconductor S.A., as of July 31, 2017.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20"/>
          </w:cols>
          <w:pgMar w:left="240" w:top="455" w:right="4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as well as the risk factors described in “Item 1A. Risk Factors” of our Annual Report on Form 10-K for the fiscal year ended December 31, 2016 that was filed with the SEC and incorporated herein by reference in their entirety, as well as the other information incorporated by reference into this prospectus supplement and the accompanying prospectus. Each of the risks described in these sections and documents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you may lose all or a part of your investment.</w:t>
      </w:r>
    </w:p>
    <w:p>
      <w:pPr>
        <w:spacing w:after="0" w:line="22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might be subject to wide fluctuations. Factors, some of which are beyond our control, that could affect the trading price of our common stock may include:</w:t>
      </w:r>
    </w:p>
    <w:p>
      <w:pPr>
        <w:spacing w:after="0" w:line="67"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 from quarter to quarter or year to year;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agreements, technological innovations or strategic alliances;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or estimates by any securities analysts who follow our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performance or market valuations of competing companies in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end markets and the economy as a whole;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sales of stock and other financings;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legislation, regulation or technological developments that adversely affect our business.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future, we may offer additional shares of our common stock or other securities convertible into or exchangeable for our common stock in order to raise additional capital. We cannot assure you that we will be able to sell shares or other securities in any other offering at a price per share that is equal to or greater than the price per share paid by investors in this offering. Investors purchasing shares or other securities in the future could have rights, preferences or privileges senior to those of existing stockholders and you may experience dilution. Holders of our common stock are not entitled to preemptive rights or other protections against dilution. As of July 31, 2017,</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1,233,522 shares of our common stock were reserved for future issuance under our 2011 Equity Incentive Plan and our 2011 Employee Stock Purchase Plan. As of July 31, 2017, there were also 13,665,888 shares of our common stock issuable pursuant to outstanding options, RSUs and Exchangeable Notes. You may incur additional dilution upon the grant of any shares under our equity incentive plans, upon exercise of any outstanding stock options, upon settlement of outstanding RSUs or upon conversion of the Exchangeable Notes.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159"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67" w:lineRule="exact"/>
        <w:rPr>
          <w:sz w:val="20"/>
          <w:szCs w:val="20"/>
          <w:color w:val="auto"/>
        </w:rPr>
      </w:pPr>
    </w:p>
    <w:p>
      <w:pPr>
        <w:ind w:left="900" w:right="8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the Board of Directors may determine;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130" w:lineRule="exact"/>
        <w:rPr>
          <w:rFonts w:ascii="Times New Roman" w:cs="Times New Roman" w:eastAsia="Times New Roman" w:hAnsi="Times New Roman"/>
          <w:sz w:val="18"/>
          <w:szCs w:val="18"/>
          <w:color w:val="auto"/>
        </w:rPr>
      </w:pPr>
    </w:p>
    <w:p>
      <w:pPr>
        <w:jc w:val="both"/>
        <w:ind w:left="900" w:right="12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or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9"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therefore, investors should rely on sales of their common stock as the only way to realize any future gains on their investments.</w:t>
      </w:r>
    </w:p>
    <w:p>
      <w:pPr>
        <w:spacing w:after="0" w:line="15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We do not intend to pay any cash dividends in the foreseeable future. The payment of cash dividends on common stock is restricted under the terms of the indentures for the outstanding 5.00% Exchangeable Senior Notes due 2021 issued by MagnaChip Semiconductors S.A., our Luxembourg subsidiary, and the outstanding 6.625% Senior Notes due July 15, 2021 issued by us.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industry, our stock price and trading volume could decline.</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or industry.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cease coverage of us or fail to publish reports on us regularly, we could lose visibility in the market, which in turn could cause our stock price or trading volume to decline.</w:t>
      </w:r>
    </w:p>
    <w:p>
      <w:pPr>
        <w:spacing w:after="0" w:line="1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total outstanding shares are held by a small number of investors who may, individually or collectively, exert significant control over us.</w:t>
      </w:r>
    </w:p>
    <w:p>
      <w:pPr>
        <w:spacing w:after="0" w:line="15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To the best of our knowledge, as of July 31, 2017, approximately 38.9% of our outstanding common stock is owned by fewer than five holders, after giving pro forma effect to the sale of all of the 4,088,978 shares of common stock by the selling stockholders named in this prospectus supplement. As long as such major stockholders (whether or not acting in a coordinated manner) and any other substantial stockholder own, directly or indirectly, a substantial portion of our outstanding shares, they will be able to exert significant influence over matters requiring stockholder approval, including the composition of our board of directors. Further, to the extent that our major stockholders were to act in concert, they could potentially control any action taken by our stockholders. The concentration of ownership of our outstanding equity in such major stockholders may make some transactions more difficult or impossible without the support of such stockholders or more likely with the support of such stockholders. The interests of any of such stockholders, any other substantial stockholder or any of their respective affiliates could conflict with or differ from the interests of our other stockholders.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 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we had approximately $133 million of U.S. net operating loss carryforwards available to offset future U.S. taxable income, which expire in part at various dates through 2036 if unused, and U.S. tax credit carryforwards of approximately $0.4 million. We have recorded valuation allowances to some extent on these deferred tax assets, as well as our substantial non-U.S. deferred tax assets, for financial reporting purposes.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sale of common stock pursuant to this offering and/or past or future issuances or sales of our stock (including certain transactions involving our stock that are outside of our control) could result in an ownership change under Section 382 of the Internal Revenue Code of 1986, as amended.</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Section 382 imposes restrictions on the use of a U.S. corporation’s net operating losses, as well as certain recognized built-in losses and other carryforwards, after an “ownership change” occurs. A Section 382 “ownership change” occurs if one or more stockholders or groups of stockholders who own at least 5% of our stock increase their ownership by more than 50 percentage points over their lowest ownership percentage within a rolling three-year period that begins on the later of three years prior to the testing date and the date of the last ownership change. If an “ownership change” occurs, Section 382 would impose an annual limit on the amount of pre-change net operating losses and other tax attributes we could use to reduce our taxable income generally equal to the product of the total value of our outstanding equity immediately prior to the “ownership change” (subject to certain adjustments) and the applicable federal long-term tax-exempt interest rate for the month of the “ownership change.” The applicable rate for ownership changes occurring in the month of August 2017 is 1.99%.</w:t>
      </w:r>
    </w:p>
    <w:p>
      <w:pPr>
        <w:spacing w:after="0" w:line="18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Because U.S. federal net operating losses generally may be carried forward for up to 20 years, the annual limitation may effectively provide a cap on the cumulative amount of pre-ownership change losses, including certain recognized built-in losses that may be utilized.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00"/>
          </w:cols>
          <w:pgMar w:left="240" w:top="455"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within the meaning of Section 21E of the Securities Exchange Act of 1934, as amended, or the Exchange Act, and Section 27A of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supplement and the accompanying prospectus that address activities, events or developments that we expect, believe or anticipate will or may occur in the future are forward-looking statements.</w:t>
      </w:r>
    </w:p>
    <w:p>
      <w:pPr>
        <w:spacing w:after="0" w:line="185"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supplement and the accompanying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that we discuss under the heading “Risk Factors” and elsewhere in this prospectus supplement and factors listed in “Business” and “Risk Factors” in our most recent Annual Report on Form 10-K and any subsequently filed Quarterly Reports on Form 10-Q, which are incorporated by reference into this prospectus supplement, as the same may be updated from time to time by our future filings under the Exchange Act.</w:t>
      </w:r>
    </w:p>
    <w:p>
      <w:pPr>
        <w:spacing w:after="0" w:line="17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You should read these risk factors and the other cautionary statements made in this prospectus supplement, the accompanying prospectus and the documents incorporated by reference herein as being applicable to all related forward-looking statements wherever they appear in this prospectus supplement, the accompanying prospectus and the documents incorporated by reference herein. We cannot assure you that the forward-looking statements in this prospectus supplement and the accompanying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if at all.</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supplement, the accompanying prospectus and the documents incorporated by reference herein relate only to events as of the date on which the statements are made. We undertake no obligation to update any forward-looking statement to reflect events or circumstances after the date on which the statement is made or to reflect the occurrence of unanticipated events, except to the extent required by applicable securities law. These cautionary statements qualify all forward-looking statements attributable to us or persons acting on our behalf.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by the selling stockholders. All of the proceeds will go to the selling stockholders. We have agreed to pay certain expenses related to this offering, which we estimate to be approximately $200,000.</w:t>
      </w:r>
    </w:p>
    <w:p>
      <w:pPr>
        <w:spacing w:after="0" w:line="162" w:lineRule="exact"/>
        <w:rPr>
          <w:sz w:val="20"/>
          <w:szCs w:val="20"/>
          <w:color w:val="auto"/>
        </w:rPr>
      </w:pPr>
    </w:p>
    <w:p>
      <w:pPr>
        <w:jc w:val="center"/>
        <w:ind w:right="320"/>
        <w:spacing w:after="0" w:line="313" w:lineRule="auto"/>
        <w:rPr>
          <w:sz w:val="20"/>
          <w:szCs w:val="20"/>
          <w:color w:val="auto"/>
        </w:rPr>
      </w:pPr>
      <w:r>
        <w:rPr>
          <w:rFonts w:ascii="Times New Roman" w:cs="Times New Roman" w:eastAsia="Times New Roman" w:hAnsi="Times New Roman"/>
          <w:sz w:val="17"/>
          <w:szCs w:val="17"/>
          <w:color w:val="auto"/>
        </w:rPr>
        <w:t>The selling stockholders in this offering are funds affiliated with Avenue Capital Management II, L.P., which collectively beneficially owned approximately 12.0% of our outstanding common stock as of July 31, 2017, and are affiliated with a director of our company. See “Selling Stockholders.”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held as of July 31, 2017 by the selling stockholders and the shares the underwriter has agreed to purchase from the selling stockholders. 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percentages in the following table reflect the common stock beneficially owned by the selling stockholders as a percentage of the total number of shares of our common stock held and, to the extent applicable, issuable to the selling stockholders upon the exercise or conversion of any of our securities that are exercisable or convertible within 60 days of July 31, 2017. As of July 31, 2017, we had 34,036,978 shares of common stock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in the table below is based on information provided by or on behalf of the selling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4"/>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26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9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52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 to</w:t>
            </w:r>
          </w:p>
        </w:tc>
        <w:tc>
          <w:tcPr>
            <w:tcW w:w="140" w:type="dxa"/>
            <w:vAlign w:val="bottom"/>
          </w:tcPr>
          <w:p>
            <w:pPr>
              <w:spacing w:after="0"/>
              <w:rPr>
                <w:sz w:val="12"/>
                <w:szCs w:val="12"/>
                <w:color w:val="auto"/>
              </w:rPr>
            </w:pPr>
          </w:p>
        </w:tc>
        <w:tc>
          <w:tcPr>
            <w:tcW w:w="112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9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 the</w:t>
            </w:r>
          </w:p>
        </w:tc>
        <w:tc>
          <w:tcPr>
            <w:tcW w:w="0" w:type="dxa"/>
            <w:vAlign w:val="bottom"/>
          </w:tcPr>
          <w:p>
            <w:pPr>
              <w:spacing w:after="0"/>
              <w:rPr>
                <w:sz w:val="1"/>
                <w:szCs w:val="1"/>
                <w:color w:val="auto"/>
              </w:rPr>
            </w:pPr>
          </w:p>
        </w:tc>
      </w:tr>
      <w:tr>
        <w:trPr>
          <w:trHeight w:val="173"/>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40" w:type="dxa"/>
            <w:vAlign w:val="bottom"/>
          </w:tcPr>
          <w:p>
            <w:pPr>
              <w:spacing w:after="0"/>
              <w:rPr>
                <w:sz w:val="15"/>
                <w:szCs w:val="15"/>
                <w:color w:val="auto"/>
              </w:rPr>
            </w:pP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500" w:type="dxa"/>
            <w:vAlign w:val="bottom"/>
          </w:tcPr>
          <w:p>
            <w:pPr>
              <w:spacing w:after="0"/>
              <w:rPr>
                <w:sz w:val="15"/>
                <w:szCs w:val="15"/>
                <w:color w:val="auto"/>
              </w:rPr>
            </w:pPr>
          </w:p>
        </w:tc>
        <w:tc>
          <w:tcPr>
            <w:tcW w:w="148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Offering(1)</w:t>
            </w:r>
          </w:p>
        </w:tc>
        <w:tc>
          <w:tcPr>
            <w:tcW w:w="0" w:type="dxa"/>
            <w:vAlign w:val="bottom"/>
          </w:tcPr>
          <w:p>
            <w:pPr>
              <w:spacing w:after="0"/>
              <w:rPr>
                <w:sz w:val="1"/>
                <w:szCs w:val="1"/>
                <w:color w:val="auto"/>
              </w:rPr>
            </w:pPr>
          </w:p>
        </w:tc>
      </w:tr>
      <w:tr>
        <w:trPr>
          <w:trHeight w:val="156"/>
        </w:trPr>
        <w:tc>
          <w:tcPr>
            <w:tcW w:w="380" w:type="dxa"/>
            <w:vAlign w:val="bottom"/>
            <w:vMerge w:val="continue"/>
          </w:tcPr>
          <w:p>
            <w:pPr>
              <w:spacing w:after="0"/>
              <w:rPr>
                <w:sz w:val="13"/>
                <w:szCs w:val="13"/>
                <w:color w:val="auto"/>
              </w:rPr>
            </w:pPr>
          </w:p>
        </w:tc>
        <w:tc>
          <w:tcPr>
            <w:tcW w:w="528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20" w:type="dxa"/>
            <w:vAlign w:val="bottom"/>
            <w:tcBorders>
              <w:top w:val="single" w:sz="8" w:color="auto"/>
            </w:tcBorders>
            <w:gridSpan w:val="3"/>
          </w:tcPr>
          <w:p>
            <w:pPr>
              <w:ind w:left="6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Avenue Special Situations Fund V, L.P (2)</w:t>
            </w:r>
          </w:p>
        </w:tc>
        <w:tc>
          <w:tcPr>
            <w:tcW w:w="1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619,115</w:t>
            </w:r>
          </w:p>
        </w:tc>
        <w:tc>
          <w:tcPr>
            <w:tcW w:w="1260" w:type="dxa"/>
            <w:vAlign w:val="bottom"/>
            <w:gridSpan w:val="2"/>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1"/>
              </w:rPr>
              <w:t>619,115</w:t>
            </w:r>
          </w:p>
        </w:tc>
        <w:tc>
          <w:tcPr>
            <w:tcW w:w="1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Avenue Special Situations Fund IV, L.P. (2)</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496,023</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496,023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Avenue International Master, L.P. (2)</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1,234,715</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Avenue-CDP Global Opportunities Fund, L.P. (2)</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84,924</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84,924</w:t>
            </w: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Avenue Investments, L.P. (2)</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722,264</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Avenue PPF Opportunities Fund, L.P. (2)</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812,190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812,190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Avenue Entrust Customized Portfolio SPC on behalf of and for the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of Avenue US Europe Distressed Segregated Portfolio(2)</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119,747</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119,747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stockholders dispose of all the Common Shares covered by this prospectus supplement and do not acquire beneficial ownership of any additional shares of common stock. The registration of these Common Shares does not necessarily mean that the selling stockholders will sell all or any portion of the Common Shares covered by this prospectus supplement.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Avenue Capital Management II, L.P. (“Avenue Capital Management”), Avenue Capital Management II GenPar, LLC (“Avenue Capital Management GenPar”) and Marc Lasry beneficially own 4,088,978 shares of common stock through the Funds (as defined below). The Funds ownership is as follows: Avenue Investments, L.P. (“Avenue Investments”) owns 722,264 shares of common stock, Avenue International Master, L.P. (“Avenue International Master”) owns 1,234,715 shares of common stock, Avenue-CDP Global Opportunities Fund, L.P. (“Avenue-CDP”) owns 84,924 shares of common stock, Avenue Special Situations Fund IV, L.P. (“Avenue Fund IV”) owns 496,023 shares of common stock, Avenue Special Situations Fund V, L.P. (“Avenue Fund V”) owns 619,115 shares of common stock, Avenue Entrust Customized Portfolio SPC on behalf of and for the account of Avenue US Europe Distressed Segregated Portfolio (“Avenue Entrust”) owns 119,747 shares of common stock and Avenue PPF Opportunities Fund, L.P. (“Avenue PPF”) owns 812,190 shares of common stock. Avenue Partners, LLC (“Avenue Partners”) beneficially owns 1,956,979 shares of common stock through Avenue Investments and Avenue International Master.</w:t>
      </w:r>
    </w:p>
    <w:p>
      <w:pPr>
        <w:spacing w:after="0" w:line="94" w:lineRule="exact"/>
        <w:rPr>
          <w:rFonts w:ascii="Times New Roman" w:cs="Times New Roman" w:eastAsia="Times New Roman" w:hAnsi="Times New Roman"/>
          <w:sz w:val="18"/>
          <w:szCs w:val="18"/>
          <w:color w:val="auto"/>
        </w:rPr>
      </w:pPr>
    </w:p>
    <w:p>
      <w:pPr>
        <w:ind w:lef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Avenue Partners is the general partner of Avenue Investments and the sole shareholder of Avenue International Master GenPar, Ltd. (“Avenue International GenPar”), the general partner of Avenue International Master, with respect to the common stock held by Avenue International Master. Avenue Capital Management is the investment manager to Avenue Investments, Avenue International Master, Avenue-CDP, Avenue PPF, Avenue Fund IV, Avenue Fund V and Avenue Entrust Customized Portfolio SPC on behalf of and for the account of Avenue Entrust (collectively, the “Funds”). Avenue Capital Management GenPar is the general partner of Avenue Capital Management. Mr. Lasry is the managing member of Avenue Partners and Avenue Capital Management GenPar.</w:t>
      </w:r>
    </w:p>
    <w:p>
      <w:pPr>
        <w:spacing w:after="0" w:line="93" w:lineRule="exact"/>
        <w:rPr>
          <w:rFonts w:ascii="Times New Roman" w:cs="Times New Roman" w:eastAsia="Times New Roman" w:hAnsi="Times New Roman"/>
          <w:sz w:val="18"/>
          <w:szCs w:val="18"/>
          <w:color w:val="auto"/>
        </w:rPr>
      </w:pPr>
    </w:p>
    <w:p>
      <w:pPr>
        <w:ind w:left="46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Avenue International GenPar, Avenue Partners, Avenue Capital Management, Avenue Capital Management GenPar and Mr. Lasry have the shared power to vote and dispose of the shares of common stock held by the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Avenue Beneficial Ownership and Directors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As of July 31, 2017, Avenue beneficially owned 4,088,978 shares of common stock, or approximately 12.0% of our outstanding common stock. In addition, one member of our Board of Directors, Mr. Randal Klein, is an employee of an affiliate of Avenue.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November 9, 2009, we entered into a registration rights agreement, which we refer to in this prospectus supplement as the “Registration Rights Agreement,” with the holders of MagnaChip Semiconductor LLC’s common units issued in our reorganization proceedings, including Avenue, pursuant to which we granted them registration rights with respect to our common stock.</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shares of our common stock by a non-U.S. holder that purchases our common stock in this offering. For purposes of this discussion, a “non-U.S. holder” is any beneficial owner of our common stock that for U.S. federal income tax purposes is neither a U.S. person nor a partnership or other pass-through entity, as discussed below. The term “U.S. person” means:</w:t>
      </w:r>
    </w:p>
    <w:p>
      <w:pPr>
        <w:spacing w:after="0" w:line="86"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or other pass-through entity, holds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such partnerships or other entities to consult their tax advisors regarding the U.S. federal income tax considerations applicable to the partnership’s acquisition, ownership and disposition of shares of our common stock.</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discussion assumes that non-U.S. holders will hold shares of our common stock as a capital asset (generally, property held for investment). This discussion does not address all aspects of U.S. federal income taxation that may be relevant in light of a non-U.S. holder’s particular circumstances. Insurance companies, regulated investment companies, real estate investment trusts, broker-dealers, grantor trusts, personal holding companies, taxpayers who have elected mark-to-market accounting, entities or arrangements classified as partnerships for U.S. federal income tax purposes or other pass-through entities or an investor in such entities or arrangements, U.S. expatriates, tax-exempt entities, dealers in securities or currency, banks or other financial institutions, pension funds, “controlled foreign corporations” within the meaning of the Internal Revenue Code of 1986, as amended, or the Code, “passive foreign investment companies” within the meaning of the Code, corporations that accumulate earnings to avoid U.S. federal income tax, and investors that hold shares of common stock as part of a hedge, straddle, constructive sale, or conversion or other integrated transaction are among those categories of potential investors that are subject to special rules not covered in this discussion. This discussion does not address any non-income tax consequences (such as estate and gift tax) or any income tax consequences arising under the laws of any state, local or non-U.S. taxing jurisdiction. Furthermore, the following discussion is based on current provisions of the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its tax advisor regarding the U.S. federal, state, local and non-U.S. income and other tax consequences of acquiring, owning and disposing of shares of our common stock.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As discussed under “Dividend Policy,” we do not intend to pay dividends on our common stock in the foreseeable future. If, however, we do make distributions of cash or property on our common stock, those distributions will constitute dividends for U.S. federal income tax purposes to the extent paid from our current or accumulated earnings and profits, as determined under U.S. federal income tax principles. To the extent those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exceed our current and accumulated earnings and profits, the distributions will first constitute a return of capital and will reduce a holder’s basis, but not below zero, and then will be treated as gain from the sale or exchange of shares of our common stock and may be subject to U.S. federal income tax as described below.</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Any distribution that is a dividend, as described above, paid to a non-U.S. holder of common stock generally will be subject to U.S. withholding tax either at a rate of 30% of the gross amount of the dividend or such lower rate as may be specified by an applicable tax treaty. In order to receive a reduced treaty rate, a non-U.S. holder must timely provide us with an IRS Form W-8BEN or IRS Form W-8BEN-E (or appropriate successor form), as applicable, certifying qualification for the reduced rate. If a non-U.S. holder holds shares of our common stock through a financial institution or other intermediary, such non-U.S. holder generally will be required to provide the appropriate documentation to the financial institution or other intermediary.</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attributable to a non-U.S. holder’s permanent establishment or fixed base in the United States if required by an applicable tax treaty) generally are exempt from this withholding tax. In order to obtain this exemption, a non-U.S. holder must provide us (or the applicable intermediary) with an IRS Form W-8ECI (or appropriate successor form) properly certifying this exemption. Dividends that are so effectively connected (and, if required by an applicable tax treaty, attributable to a permanent establishment or fixed base), although not subject to withholding tax, are taxed at the same graduated rates applicable to U.S. persons, net of specified deductions and credits. In addition, such dividends received by a corporate non-U.S. holder may also be subject to an additional branch profits tax at a rate of 30% (or such lower rate as may be specified in an applicable income tax treaty).</w:t>
      </w:r>
    </w:p>
    <w:p>
      <w:pPr>
        <w:spacing w:after="0" w:line="18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 non-U.S. holder of shares of our common stock that is eligible for a reduced rate of withholding tax pursuant to a tax treaty may obtain a refund of any excess amounts withheld if an appropriate claim for refund is filed with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Shares of Common Stock</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on gain realized upon the sale or other disposition of shares of our common stock unless:</w:t>
      </w:r>
    </w:p>
    <w:p>
      <w:pPr>
        <w:spacing w:after="0" w:line="67" w:lineRule="exact"/>
        <w:rPr>
          <w:sz w:val="20"/>
          <w:szCs w:val="20"/>
          <w:color w:val="auto"/>
        </w:rPr>
      </w:pPr>
    </w:p>
    <w:p>
      <w:pPr>
        <w:ind w:left="900" w:right="8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attributable to a permanent establishment or fixed base in the United States if required by an applicable tax treaty);</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are not currently, and we believe that we will not become, a “United States real property holding corporation” for U.S. federal income tax purposes. If we are or become a “United States real property holding corporation,” so long as our common stock is regularly traded on an established securities market, only a non-U.S. holder who, actually or constructively, holds or held (at any time during the shorter of the five-year period preceding the date of disposition or the holder’s holding period) more than 5% of shares of our common stock will be subject to U.S. federal income tax on the disposition of shares of our common stock by reason of such status.</w:t>
      </w:r>
    </w:p>
    <w:p>
      <w:pPr>
        <w:spacing w:after="0" w:line="18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If the recipient is a non-U.S. holder described in the first bullet or third bullet above, the recipient will be required to pay tax on the net gain derived from the sale under regular graduated U.S. federal income tax rates, and corporate non-U.S. holders described in the first bullet above may be subject to the additional branch profits tax at a 30% rate or such lower rate as may be specified by an applicable income tax treaty. Non-U.S. holders should consult their tax advisors regarding any applicable income tax treaties that may provide for different rules.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If the recipient is an individual non-U.S. holder described in the second bullet above, the recipient will be required to pay a flat 30% tax (or such lower rate specified by an applicable income tax treaty) on the gain derived from the sale, which tax may be offset by certain U.S. source capital losses, provided that the non-U.S. holder has timely filed U.S. federal income tax returns with respect to such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176" w:lineRule="exact"/>
        <w:rPr>
          <w:sz w:val="20"/>
          <w:szCs w:val="20"/>
          <w:color w:val="auto"/>
        </w:rPr>
      </w:pPr>
    </w:p>
    <w:p>
      <w:pPr>
        <w:jc w:val="both"/>
        <w:ind w:right="240" w:firstLine="456"/>
        <w:spacing w:after="0" w:line="257" w:lineRule="auto"/>
        <w:rPr>
          <w:sz w:val="20"/>
          <w:szCs w:val="20"/>
          <w:color w:val="auto"/>
        </w:rPr>
      </w:pPr>
      <w:r>
        <w:rPr>
          <w:rFonts w:ascii="Times New Roman" w:cs="Times New Roman" w:eastAsia="Times New Roman" w:hAnsi="Times New Roman"/>
          <w:sz w:val="18"/>
          <w:szCs w:val="18"/>
          <w:color w:val="auto"/>
        </w:rPr>
        <w:t>Payments of distributions or of proceeds on the disposition of shares of our common stock made to a non-U.S. holder may be subject to information reporting and backup withholding at the then effective rate (currently, 28%) unless the non-U.S. holder establishes an exemption, for example, by properly certifying its non-U.S. status on an IRS Form W-8BEN, IRS Form W-8BEN-E, as applicable, or another applicable version of IRS Form W-8.</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information reporting and backup withholding may apply if either we or our paying agent has actual knowledge, or reason to know, that the holder is a U.S. person.</w:t>
      </w:r>
    </w:p>
    <w:p>
      <w:pPr>
        <w:spacing w:after="0" w:line="18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official guidance promulgated thereunder, commonly referred to as the Foreign Account Tax Compliance Act or FATCA, generally impose a U.S. federal withholding tax of 30% on dividends on and the gross proceeds of a disposition of our common stock, paid to a ‘‘foreign financial institution’’ (as specially defined under FATCA),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of a disposition of shares of our common stock paid to a ‘‘non-financial foreign entity’’ (as specially defined under FATCA) unless such entity provides the withholding agent with a certification identifying certain substantial direct and indirect U.S. owners of the entity, certifies that there are none or otherwise establishes an exemption. The withholding obligations under FATCA generally apply to payments of dividends on our common stock and, under transition rules, are expected to apply to payments of gross proceeds from a sale or other disposition of our common stock on or after January 1, 2019.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19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will not pay any additional amounts to holders in respect of any amounts withheld, including pursuant to FATCA. Under certain circumstances, you may be eligible for refunds or credits of such taxes. Prospective purchasers are encouraged to consult with their tax advisors regarding the possible implications of this legislation on their investment in shares of our common stock.</w:t>
      </w:r>
    </w:p>
    <w:p>
      <w:pPr>
        <w:spacing w:after="0" w:line="172"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purchaser should consult its tax advisor regarding the particular U.S. federal, state and local and non-U.S. tax consequences of purchasing, owning and disposing of shares of our common stock, including the consequences of any proposed change in applicable laws.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the selling stockholders and Barclays Capital Inc., as underwriter in this offering, have entered into an underwriting agreement with respect to the shares being offered. Subject to certain conditions, the underwriter has agreed to purchase from the selling stockholders 4,088,978 shares of our common stock.</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underwriter is committed to take and pay for all of the shares being offered, if any are taken. We and the selling stockholders have agreed to indemnify the underwriter against certain liabilities, including liabilities under the Securities Act, and to contribute to payments that the underwriter may be required to make for any such liabilities.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 currently intends to make a market in the shares as permitted by applicable laws and regulations. However, the underwriter is not obligated to do so, and the underwriter may discontinue any market 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underwriter is offering the shares subject to its acceptance of the shares from the selling stockholders and subject to prior sale. The underwriter reserves the right to withdraw, cancel or modify offers to the public and to reject orders in whole or in part. In addition, the underwriter has advised us that it does not intend to confirm sales to any account over which it exercises discretionary authority except sales to accounts over which it has discretionary authority to exceed five percent of the shares being offered.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 is expected to make offers and sales both inside and outside the United States through their respective selling agents.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 has advised us that it proposes to offer the shares to the public at the public offering price set forth on the cover page of this prospectus</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supplement and to certain dealers, which may include the underwriter, at that price less a concession not in excess of $ per ordinary share. After the offering, the public offering price, concession and reallowance to dealers may be reduced by the representatives. No such reduction will change the amount of proceeds to be received by us as set forth on the cover page of this prospectus supplement.</w:t>
      </w:r>
    </w:p>
    <w:p>
      <w:pPr>
        <w:spacing w:after="0" w:line="186"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the selling stockholders are to pay the underwriter and the proceeds, before expenses, to the selling stockholders in connection with this offering.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ind w:right="362"/>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commissions paid by the selling stockholders</w:t>
            </w:r>
          </w:p>
        </w:tc>
        <w:tc>
          <w:tcPr>
            <w:tcW w:w="194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selling stockholders, before expenses</w:t>
            </w:r>
          </w:p>
        </w:tc>
        <w:tc>
          <w:tcPr>
            <w:tcW w:w="194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r>
      <w:tr>
        <w:trPr>
          <w:trHeight w:val="43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expenses of this offering, not including the underwriting discount, are estimated at $</w:t>
            </w:r>
          </w:p>
        </w:tc>
        <w:tc>
          <w:tcPr>
            <w:tcW w:w="42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w w:val="99"/>
              </w:rPr>
              <w:t>and are payable by us. We have also agreed to reimburse</w:t>
            </w:r>
          </w:p>
        </w:tc>
      </w:tr>
    </w:tbl>
    <w:p>
      <w:pPr>
        <w:ind w:right="440"/>
        <w:spacing w:after="0" w:line="261" w:lineRule="auto"/>
        <w:rPr>
          <w:sz w:val="20"/>
          <w:szCs w:val="20"/>
          <w:color w:val="auto"/>
        </w:rPr>
      </w:pPr>
      <w:r>
        <w:rPr>
          <w:rFonts w:ascii="Times New Roman" w:cs="Times New Roman" w:eastAsia="Times New Roman" w:hAnsi="Times New Roman"/>
          <w:sz w:val="18"/>
          <w:szCs w:val="18"/>
          <w:color w:val="auto"/>
        </w:rPr>
        <w:t>the underwriter in an amount of up to $10,000 for certain of its expenses relating to the clearance of this offering with the Financial Industry Regulatory Authority.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and our directors and certain of our officers have agreed with the underwriter, subject to certain exceptions, not to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whether now owned or hereinafter acquired (including holding as a custodian) or with respect to which such person has beneficial ownership during the period from the date of this prospectus supplement continuing through the date, with respect to us, 45 days after the date of this prospectus supplement and, with respect to our directors and certain of our officers, 30 days after the date of this prospectus supplement, except with the prior written consent of the underwriter.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“MX.”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‘‘naked’’ short sales.</w:t>
      </w:r>
    </w:p>
    <w:p>
      <w:pPr>
        <w:spacing w:after="0" w:line="7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‘‘Naked’’ short sales are sales in excess of the shares offered hereby. The underwriter must close out any naked short position by purchasing shares in the open market. A naked short position is more likely to be created if the underwriter is concerned that there may be downward pressure on the price of shares in the open market after pricing that could adversely affect investors who purchase in this offering.</w:t>
      </w:r>
    </w:p>
    <w:p>
      <w:pPr>
        <w:spacing w:after="0" w:line="6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on behalf of the underwriter for the purpose of fixing or maintaining the price of the shares. A syndicate covering transaction is the bid for or the purchase of shares on behalf of the underwriter to reduce a short position incurred by the underwriter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Neither we, the selling shareholder nor any of the underwriter make any representation or prediction as to the direction or magnitude of any effect that the transactions described above may have on the price of shares. The underwriter is not obligated to engage in these activities and, if commenced, any of the activities may be discontinued at any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prospectus supplement and the accompanying prospectus in electronic format may be made available by e-mail or on the web sites or through online services maintained by one or more of the underwriter or its affiliates. In those cases, prospective investors may view offering terms online and may be allowed to place orders online. The underwriter may agree with us to allocate a specific number of shares for sale to online brokerage account holders. Any such allocation for online distributions will be made by the underwriter on the same basis as other allocations. Other than the prospectus supplement and the accompanying prospectus in electronic format, the information on the underwriter’s web sites and any information contained in any other web site maintained by the underwriter is not part of this prospectus supplement or the accompanying prospectus, has not been approved and/or endorsed by us or the underwriter and should not be relied upon by investors.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underwriter and its affiliates are a full service financial institution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and investment banking services for us, for which it received or will receive customary fees and expenses.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67"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referred to in (a) to (c) above shall result in a requirement for the Company or any Representative to publish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Article 3 of the Prospectus Directive, or supplement a prospectus pursuant to Article 16 of the Prospectus Directive.</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person located in a Member State to whom any offer of ordinary shares is made or who receives any communication in respect of an offer of the shares, or who initially acquires any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 has been given to the offer or resale; or where the shares have been acquired by it on behalf of persons in any Member State other than qualified investors, the offer of those ordinary shares to it is not treated under the Prospectus Directive as having been made to such persons.</w:t>
      </w:r>
    </w:p>
    <w:p>
      <w:pPr>
        <w:spacing w:after="0" w:line="18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Company, the underwriter and its respective affiliates will rely upon the truth and accuracy of the foregoing representations, acknowledgments and agreements.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 to publish a prospectus pursuant to Article 3 of the Prospectus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Directive in relation to such offer. Neither the Company nor the representative have authorized, nor do they authorize, the making of any offer of shares in circumstances in which an obligation arises for the Company or the representative to publish a prospectus for such offer.</w:t>
      </w:r>
    </w:p>
    <w:p>
      <w:pPr>
        <w:spacing w:after="0" w:line="16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the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This prospectus and any other material in relation to the shares described herein is only being distributed to, and is only directed at, persons in the United Kingdom who are “qualified investors” or otherwise in circumstances which do not require publication by the Company of a prospectus pursuant to section 85(1) of the UK Financial Services and Markets Act 2000.</w:t>
      </w:r>
    </w:p>
    <w:p>
      <w:pPr>
        <w:spacing w:after="0" w:line="176"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Any investment or investment activity to which this prospectus relates is available only to, and will be engaged in only with, investment professionals falling within Article 19(5), or high net worth entities falling within Article 49(2), of the UK Financial Services and Markets Act 2000 (Financial Promotion) Order 2005 or other persons to whom such investment or investment activity may lawfully be made available (together, “relevant persons”). Persons who are not relevant persons should not take any action on the basis of this prospectus and should not act or rely on 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of the Dubai Financial Services Authority (“DFSA”). This prospectus supplement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France</w:t>
      </w:r>
    </w:p>
    <w:p>
      <w:pPr>
        <w:spacing w:after="0" w:line="11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shares described in this prospectus supplement has been and will not be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shares have not been offered or sold and will not be offered or sold, directly or indirectly, to the public in France. Neither this prospectus supplement nor any other offering material relating to the shares has been or will be:</w:t>
      </w:r>
    </w:p>
    <w:p>
      <w:pPr>
        <w:spacing w:after="0" w:line="86"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shares to the public in France.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900" w:right="40" w:hanging="325"/>
        <w:spacing w:after="0" w:line="267"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xml:space="preserve">), in each case acting for their own account, or otherwise in circumstances in which no offer to the public occurs, all as defined in and in accordance with Articles L.411-2, D.411-1, D.411-2, D.734-1, D.744-1, D.754-1 and D.764-1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28" w:lineRule="exact"/>
        <w:rPr>
          <w:rFonts w:ascii="Times New Roman" w:cs="Times New Roman" w:eastAsia="Times New Roman" w:hAnsi="Times New Roman"/>
          <w:sz w:val="18"/>
          <w:szCs w:val="18"/>
          <w:color w:val="auto"/>
        </w:rPr>
      </w:pPr>
    </w:p>
    <w:p>
      <w:pPr>
        <w:ind w:left="900" w:right="380" w:hanging="325"/>
        <w:spacing w:after="0" w:line="284"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L.411-2-I-1° -or-2° -or 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 xml:space="preserve">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offre au public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The shares may not be distributed directly or indirectly to the public except in accordance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 xml:space="preserve"> and applicable regulations thereunder.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WARNING: The contents of this prospectus supplement have not been reviewed by any regulatory authority in Hong Kong. You are advised to exercise caution in relation to any offer of the shares. If recipients are in any doubt about any of the contents of this prospectus supplement, they should obtain independent professional advice.</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will be issued or has been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(Cap. 571) and any rules made under that Ordinance.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requirements of, and otherwise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480" w:hanging="567"/>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480" w:right="220" w:hanging="567"/>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7" w:lineRule="exact"/>
        <w:rPr>
          <w:sz w:val="20"/>
          <w:szCs w:val="20"/>
          <w:color w:val="auto"/>
        </w:rPr>
      </w:pPr>
    </w:p>
    <w:p>
      <w:pPr>
        <w:ind w:left="1480" w:right="100" w:hanging="567"/>
        <w:spacing w:after="0" w:line="28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480" w:right="700" w:hanging="567"/>
        <w:spacing w:after="0" w:line="28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Chile</w:t>
      </w:r>
    </w:p>
    <w:p>
      <w:pPr>
        <w:spacing w:after="0" w:line="117"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The shares are not registered in the Securities Registry (</w:t>
      </w:r>
      <w:r>
        <w:rPr>
          <w:rFonts w:ascii="Times New Roman" w:cs="Times New Roman" w:eastAsia="Times New Roman" w:hAnsi="Times New Roman"/>
          <w:sz w:val="18"/>
          <w:szCs w:val="18"/>
          <w:i w:val="1"/>
          <w:iCs w:val="1"/>
          <w:color w:val="auto"/>
        </w:rPr>
        <w:t>Registro de Valores</w:t>
      </w:r>
      <w:r>
        <w:rPr>
          <w:rFonts w:ascii="Times New Roman" w:cs="Times New Roman" w:eastAsia="Times New Roman" w:hAnsi="Times New Roman"/>
          <w:sz w:val="18"/>
          <w:szCs w:val="18"/>
          <w:color w:val="auto"/>
        </w:rPr>
        <w:t>) or subject to the control of the Chilean Securities and Exchange Commission (</w:t>
      </w:r>
      <w:r>
        <w:rPr>
          <w:rFonts w:ascii="Times New Roman" w:cs="Times New Roman" w:eastAsia="Times New Roman" w:hAnsi="Times New Roman"/>
          <w:sz w:val="18"/>
          <w:szCs w:val="18"/>
          <w:i w:val="1"/>
          <w:iCs w:val="1"/>
          <w:color w:val="auto"/>
        </w:rPr>
        <w:t>Superintendencia de Valores y Seguros de Chile</w:t>
      </w:r>
      <w:r>
        <w:rPr>
          <w:rFonts w:ascii="Times New Roman" w:cs="Times New Roman" w:eastAsia="Times New Roman" w:hAnsi="Times New Roman"/>
          <w:sz w:val="18"/>
          <w:szCs w:val="18"/>
          <w:color w:val="auto"/>
        </w:rPr>
        <w:t>). This prospectus supplement and other offering materials relating to the offer of the shares do not constitute a public offer of, or an invitation to subscribe for or purchase, the shares in the Republic of Chile, other than to individually identified purchasers pursuant to a private offering within the meaning of Article 4 of the Chilean Securities Market Act (</w:t>
      </w:r>
      <w:r>
        <w:rPr>
          <w:rFonts w:ascii="Times New Roman" w:cs="Times New Roman" w:eastAsia="Times New Roman" w:hAnsi="Times New Roman"/>
          <w:sz w:val="18"/>
          <w:szCs w:val="18"/>
          <w:i w:val="1"/>
          <w:iCs w:val="1"/>
          <w:color w:val="auto"/>
        </w:rPr>
        <w:t>Ley de Mercado de Valores</w:t>
      </w:r>
      <w:r>
        <w:rPr>
          <w:rFonts w:ascii="Times New Roman" w:cs="Times New Roman" w:eastAsia="Times New Roman" w:hAnsi="Times New Roman"/>
          <w:sz w:val="18"/>
          <w:szCs w:val="18"/>
          <w:color w:val="auto"/>
        </w:rPr>
        <w:t>) (an offer that is not “addressed to the public at large or to a certain sector or specific group of the public”).</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Jones Day, Palo Alto, California, will pass on the validity of the shares of common stock to be offered hereby. Certain matters will be passed upon for the underwriter by Latham &amp; Watkins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Samil PricewaterhouseCoopers, an independent registered public accounting firm, given on the authority of said firm as experts in accounting and auditing.</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80"/>
          </w:cols>
          <w:pgMar w:left="240" w:top="455"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in accordance therewith file reports, including annual and quarterly reports, proxy statements and other information with the SEC. Such reports, proxy statements and other information may be inspected and copied at prescribed rates at the public reference facilities maintained by the SEC at the SEC’s Public Reference Room, 100 F Street, N.E., Washington, D.C. 20549. Further information on the Public Reference Room may be obtained by calling the SEC at 1-800-SEC-0330. In addition, such reports, proxy statements and other information may be accessed through the SEC Internet website located at http://www.sec.gov.</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for the registration under the Securities Act of the securities offered under this prospectus supplement and the accompanying prospectus. This prospectus supplement and the accompanying prospectus do not contain all the information set forth in the registration statement, parts of which are omitted in accordance with the rules and regulations of the SEC. Reference is hereby made to the registration statement which contains further information with respect to our company and our securities. Statements herein concerning the provisions of documents filed as exhibits to the registration statement are necessarily summaries of such documents, and each such statement is qualified by reference to the copy of the applicable document filed with the SEC.</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incorporate by reference in this prospectus supplement the documents listed below, each of which should be considered an important part of this prospectus supplement.</w:t>
      </w:r>
    </w:p>
    <w:p>
      <w:pPr>
        <w:spacing w:after="0" w:line="67" w:lineRule="exact"/>
        <w:rPr>
          <w:sz w:val="20"/>
          <w:szCs w:val="20"/>
          <w:color w:val="auto"/>
        </w:rPr>
      </w:pPr>
    </w:p>
    <w:p>
      <w:pPr>
        <w:ind w:left="900" w:right="72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2016, filed with the SEC on February 21, 2017, and as amended by Amendment No. 1 to our Annual Report on Form 10-K for the year ended December 31, 2016, filed with the SEC on May 1, 2017;</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2017, filed with the SEC on May 9, 2017, and June 30, 2017, filed with the SEC on August 4, 2017;</w:t>
      </w:r>
    </w:p>
    <w:p>
      <w:pPr>
        <w:spacing w:after="0" w:line="67"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10, 2017 (with respect to Item 8.01 only), January 11, 2017, January 17, 2017, February 23, 2017, July 14, 2017 and August 9, 2017 (with the exception of any information and related exhibits contained in such documents which has been “furnished” under Item 2.02 and/or Item 7.01 of Form 8-K, which information is not deemed “filed” and which is not incorporated by reference into this prospectus supplement); and</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par value $0.01 per share, contained in our registration statement on Form S-1 (Registration</w:t>
      </w:r>
    </w:p>
    <w:p>
      <w:pPr>
        <w:spacing w:after="0" w:line="27" w:lineRule="exact"/>
        <w:rPr>
          <w:rFonts w:ascii="Times New Roman" w:cs="Times New Roman" w:eastAsia="Times New Roman" w:hAnsi="Times New Roman"/>
          <w:sz w:val="18"/>
          <w:szCs w:val="18"/>
          <w:color w:val="auto"/>
        </w:rPr>
      </w:pPr>
    </w:p>
    <w:p>
      <w:pPr>
        <w:ind w:left="9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333-165467), originally filed with the SEC on March 15, 2010, as amended, which description is incorporated by reference into our Amendment No. 1 to our Form 8-A filed with the SEC on March 10, 2011 and any amendment or report filed for the purpose of further updating such description.</w:t>
      </w:r>
    </w:p>
    <w:p>
      <w:pPr>
        <w:spacing w:after="0" w:line="186" w:lineRule="exact"/>
        <w:rPr>
          <w:sz w:val="20"/>
          <w:szCs w:val="20"/>
          <w:color w:val="auto"/>
        </w:rPr>
      </w:pPr>
    </w:p>
    <w:p>
      <w:pPr>
        <w:ind w:right="220" w:firstLine="456"/>
        <w:spacing w:after="0" w:line="272" w:lineRule="auto"/>
        <w:rPr>
          <w:sz w:val="20"/>
          <w:szCs w:val="20"/>
          <w:color w:val="auto"/>
        </w:rPr>
      </w:pPr>
      <w:r>
        <w:rPr>
          <w:rFonts w:ascii="Times New Roman" w:cs="Times New Roman" w:eastAsia="Times New Roman" w:hAnsi="Times New Roman"/>
          <w:sz w:val="17"/>
          <w:szCs w:val="17"/>
          <w:color w:val="auto"/>
        </w:rPr>
        <w:t>We also incorporate by reference each of the documents that we file with the SEC under Sections 13(a), 13(c), 14 or 15(d) of the Exchange Act until the offering of the common stock covered by this prospectus supplement terminates. We will not, however, incorporate by reference in this prospectus supplement any documents or portions thereof that are not deemed “filed” with the SEC, including any information furnished pursuant to Item 2.02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7.01 of our Current Reports on Form 8-K after the date of this prospectus supplement unless, and except to the extent, specified in such Current Reports.</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You may obtain, free of charge, a copy of any of our filings (other than exhibits to these documents, unless the exhibits are specifically incorporated by reference into these documents or referred to in this prospectus) by writing or calling us at the following address and telephone number: c/o MagnaChip Semiconductor, Inc., 60 South Market Street, Suite 750, San Jose, CA 95113, Attention: Chief Compliance Officer, Executive Vice President, General Counsel and Secretary; the telephone number at that address is 408-625-5999.</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174625</wp:posOffset>
            </wp:positionV>
            <wp:extent cx="2813050" cy="72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130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MagnaChip Semiconductor Corporation</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4,088,978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stockholders named herein of up to 4,088,978 already outstanding shares (the “Common Shares”) of our common stock, par value $0.01 per share (our “common stock”). See “Selling Stockholders.”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Common Shares by the selling stockholders.</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Our registration of the Common Shares covered by this prospectus does not mean that the selling stockholders will offer or sell any of the Common Shares. The selling stockholders may sell the Common Shares covered by this prospectus in a number of different ways, at varying prices, and at different times or in separate transactions. We provide more information about how the selling stockholders may sell the shares in the section entitled “Plan of Distribution” beginning on page 9.</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(the “NYSE”), under the symbol “MX.” On April 24, 2017, the last reported sale price of our common stock on the NYSE was $8.15 per share.</w:t>
      </w:r>
    </w:p>
    <w:p>
      <w:pPr>
        <w:spacing w:after="0" w:line="149" w:lineRule="exact"/>
        <w:rPr>
          <w:sz w:val="20"/>
          <w:szCs w:val="20"/>
          <w:color w:val="auto"/>
        </w:rPr>
      </w:pPr>
    </w:p>
    <w:p>
      <w:pPr>
        <w:ind w:left="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risks. See “</w:t>
      </w:r>
      <w:hyperlink w:anchor="page2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2.</w:t>
      </w:r>
    </w:p>
    <w:p>
      <w:pPr>
        <w:spacing w:after="0" w:line="215"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198120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date of this prospectus is May 11, 2017.</w:t>
      </w:r>
    </w:p>
    <w:p>
      <w:pPr>
        <w:sectPr>
          <w:pgSz w:w="11900" w:h="16838" w:orient="portrait"/>
          <w:cols w:equalWidth="0" w:num="1">
            <w:col w:w="11300"/>
          </w:cols>
          <w:pgMar w:left="24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ABOUT THIS PROSPECTUS</w:t>
              </w:r>
            </w:hyperlink>
          </w:p>
        </w:tc>
        <w:tc>
          <w:tcPr>
            <w:tcW w:w="8820" w:type="dxa"/>
            <w:vAlign w:val="bottom"/>
            <w:gridSpan w:val="5"/>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820" w:type="dxa"/>
            <w:vAlign w:val="bottom"/>
            <w:gridSpan w:val="5"/>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OUR COMPANY</w:t>
              </w:r>
            </w:hyperlink>
          </w:p>
        </w:tc>
        <w:tc>
          <w:tcPr>
            <w:tcW w:w="97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RISK FACTORS</w:t>
              </w:r>
            </w:hyperlink>
          </w:p>
        </w:tc>
        <w:tc>
          <w:tcPr>
            <w:tcW w:w="98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SPECIAL NOTE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5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SELLING STOCKHOLDERS</w:t>
              </w:r>
            </w:hyperlink>
          </w:p>
        </w:tc>
        <w:tc>
          <w:tcPr>
            <w:tcW w:w="88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DESCRIPTION OF COMMON STOCK</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PLAN OF DISTRIBUTION</w:t>
              </w:r>
            </w:hyperlink>
          </w:p>
        </w:tc>
        <w:tc>
          <w:tcPr>
            <w:tcW w:w="900" w:type="dxa"/>
            <w:vAlign w:val="bottom"/>
            <w:tcBorders>
              <w:top w:val="single" w:sz="8" w:color="0000EE"/>
            </w:tcBorders>
            <w:gridSpan w:val="3"/>
          </w:tcPr>
          <w:p>
            <w:pPr>
              <w:spacing w:after="0"/>
              <w:rPr>
                <w:sz w:val="17"/>
                <w:szCs w:val="17"/>
                <w:color w:val="auto"/>
              </w:rPr>
            </w:pPr>
          </w:p>
        </w:tc>
        <w:tc>
          <w:tcPr>
            <w:tcW w:w="81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INCORPORATION OF CERTAIN INFORMATION BY REFERENCE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LEGAL MATTERS</w:t>
              </w:r>
            </w:hyperlink>
          </w:p>
        </w:tc>
        <w:tc>
          <w:tcPr>
            <w:tcW w:w="58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3"/>
          </w:tcPr>
          <w:p>
            <w:pPr>
              <w:spacing w:after="0"/>
              <w:rPr>
                <w:sz w:val="17"/>
                <w:szCs w:val="17"/>
                <w:color w:val="auto"/>
              </w:rPr>
            </w:pPr>
          </w:p>
        </w:tc>
        <w:tc>
          <w:tcPr>
            <w:tcW w:w="96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6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or incorporated by reference in this prospectus. We have not authorized anyone to provide you with different information. You should not assume that the information contained in or incorporated by reference in this prospectus is accurate as of any date other than the date of this prospectus. We are not making an offer of these securities in any state where the offer is not permitted.</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process, the selling stockholders named under the heading “Selling Stockholders” in this prospectus may, from time to time, sell up to 4,088,978 shares of our common stock. Specific information about the terms of an offering will be, if required, included in a prospectus supplement relating to such offering of shares. The prospectus supplement may also add, update or change information included in this prospectus. You should read both this prospectus and any applicable prospectus supplement, together with additional information described below under the caption “Where You Can Find More Information.”</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Neither we, the selling stockholders nor any underwriter has authorized anyone to provide information different from that contained in this prospectus and the documents incorporated by reference herein.</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prospectus, in any prospectus supplement or in any document incorporated by reference is accurate only as of its date, regardless of the time of delivery of this prospectus or any sale of Common Shares.</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or solicitation of an offer to buy the Common Shares in any circumstances under which or jurisdiction in which the offer or solicitation is unlawful.</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terms “we,” “our,” “us,” the “Company” and “MagnaChip” refer to MagnaChip Semiconductor Corporation and, unless the context otherwise requires, its consolidated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are a Korea-based designer and manufacturer of analog and mixed-signal semiconductor products for consumer, computing, communication, industrial, automotive and Internet of Things (“IoT”) applications. We provide technology platforms for analog, mixed-signal, power, high voltage, non-volatile memory, and Radio Frequency (“RF”) applications. We have a proven record of a 30-year operating history, large portfolio of approximately 2,198 registered novel patents and 166 pending novel patent applications and extensive engineering and manufacturing process expertise.</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business is comprised of two operating segments: Foundry Services Group and Standard Products Group. Our Foundry Services Group provides specialty analog and mixed-signal foundry services mainly for fabless and Integrated Device Manufacturer (“IDM”) semiconductor companies that primarily serve the consumer, computing, communication, industrial, automotive and IoT applications. Our Standard Products Group is comprised of two business lines: Display Solutions and Power Solutions. Our Display Solutions products provide flat panel display solutions to major suppliers of large and small flat panel displays. Our Power Solutions products include discrete and integrated circuit solutions for power management in consumer, communication and industrial applications.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MagnaChip Semiconductor Corporation is a Delaware corporation. Our principal executive offices are located at: c/o MagnaChip Semiconductor S.A., 1, Allée Scheffer, L-2520 Luxembourg, Grand Duchy of Luxembourg, and our telephone number is (352) 45-62-62. Our website address is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 You should not consider the information contained on our website to be part of this prospectus or in deciding whether to purchase shares of our common stock.</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specific risks set forth under the caption “Risk Factors” in the applicable prospectus supplement and under the caption “Risk Factors” in any of our filings with the SEC pursuant to Sections 13(a), 13(c), 14 or 15(d) of the Securities Exchange Act of 1934, as amended (the “Exchange Act”), incorporated by reference herein, before making an investment decision. For more information, see “Where You Can Find More Information.”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herein contain forward-looking statements within the meaning of Section 21E of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section and elsewhere in this prospectus and factors listed in “Business” and “Risk Factors” in our most recent Annual Report on Form 10-K and any subsequently filed Quarterly Reports on Form 10-Q, which are incorporated by reference into this prospectus, as the same may be updated from time to time by our future filings under the Exchange Act.</w:t>
      </w:r>
    </w:p>
    <w:p>
      <w:pPr>
        <w:spacing w:after="0" w:line="18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You should read these risk factors and the other cautionary statements made in this prospectus, any applicable prospectus supplement and the documents incorporated by reference herein as being applicable to all related forward-looking statements wherever they appear in this prospectus, any applicable prospectus supplement and the documents incorporated by reference herein.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if at all.</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any applicable prospectus supplement and the documents incorporated by reference herein relate only to events as of the date on which the statements are made. We undertake no obligation to update any forward-looking statement to reflect events or circumstances after the date on which the statement is made or to reflect the occurrence of unanticipated events, except to the extent required by applicable securities law. These cautionary statements qualify all forward-looking statements attributable to us or persons acting on our behalf.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by the selling stockholders. All of the proceeds will go to the selling stockholders. The selling stockholders in this offering are funds affiliated with Avenue Capital Management II, L.P. (collectively referred to herein as “Avenue”), which collectively beneficially owned approximately 12.2% of our outstanding common stock as of March 31, 2017, and are affiliated with a director of our company. See “Selling Stockholders.”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55"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20" w:firstLine="456"/>
        <w:spacing w:after="0" w:line="272"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common stock held as of March 31, 2017 by the selling stockholders, the number of shares of common stock being offered hereby and information with respect to common stock to be beneficially owned by the selling stockholders assuming all the Common Shares registered hereunder are sold. 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7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percentages in the following table reflect the common stock beneficially owned by the selling stockholders as a percentage of the total number of shares of our common stock held and, to the extent applicable, issuable to the selling stockholders upon the exercise or conversion of any of our securities that are exercisable or convertible within 60 days of March 31, 2017. As of March 31, 2017, we had 33,553,688 shares of common stock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in the table below is based on information provided by or on behalf of the selling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8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0" w:type="dxa"/>
            <w:vAlign w:val="bottom"/>
          </w:tcPr>
          <w:p>
            <w:pPr>
              <w:spacing w:after="0"/>
              <w:rPr>
                <w:sz w:val="1"/>
                <w:szCs w:val="1"/>
                <w:color w:val="auto"/>
              </w:rPr>
            </w:pPr>
          </w:p>
        </w:tc>
      </w:tr>
      <w:tr>
        <w:trPr>
          <w:trHeight w:val="173"/>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00" w:type="dxa"/>
            <w:vAlign w:val="bottom"/>
            <w:vMerge w:val="restart"/>
          </w:tcPr>
          <w:p>
            <w:pPr>
              <w:spacing w:after="0"/>
              <w:rPr>
                <w:sz w:val="15"/>
                <w:szCs w:val="15"/>
                <w:color w:val="auto"/>
              </w:rPr>
            </w:pPr>
          </w:p>
        </w:tc>
        <w:tc>
          <w:tcPr>
            <w:tcW w:w="246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Offering(1)</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vMerge w:val="continue"/>
          </w:tcPr>
          <w:p>
            <w:pPr>
              <w:spacing w:after="0"/>
              <w:rPr>
                <w:sz w:val="12"/>
                <w:szCs w:val="12"/>
                <w:color w:val="auto"/>
              </w:rPr>
            </w:pPr>
          </w:p>
        </w:tc>
        <w:tc>
          <w:tcPr>
            <w:tcW w:w="550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Funds</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managed by Avenue Capital Management II, L.P. (2)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4,088,978</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4,088,978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57"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stockholders dispose of all the Common Shares covered by this prospectus and do not acquire beneficial ownership of any additional shares of common stock. The registration of these Common Shares does not necessarily mean that the selling stockholders will sell all or any portion of the Common Shares covered by this prospectus.</w:t>
      </w:r>
    </w:p>
    <w:p>
      <w:pPr>
        <w:spacing w:after="0" w:line="1" w:lineRule="exact"/>
        <w:rPr>
          <w:rFonts w:ascii="Times New Roman" w:cs="Times New Roman" w:eastAsia="Times New Roman" w:hAnsi="Times New Roman"/>
          <w:sz w:val="18"/>
          <w:szCs w:val="18"/>
          <w:color w:val="auto"/>
        </w:rPr>
      </w:pPr>
    </w:p>
    <w:p>
      <w:pPr>
        <w:ind w:left="460" w:right="40" w:hanging="452"/>
        <w:spacing w:after="0" w:line="25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Avenue Capital Management II, L.P. (“Avenue Capital Management”), Avenue Capital Management II GenPar, LLC (“Avenue Capital Management GenPar”) and Marc Lasry beneficially own 4,088,978 shares of common stock through the Funds (as defined below). The Funds ownership is as follows: Avenue Investments, L.P. (“Avenue Investments”) owns 722,264 shares of common stock, Avenue International, Ltd. (“Avenue International”) owns 1,234,715 shares of common stock, Avenue-CDP Global Opportunities Fund, L.P. (“Avenue-CDP”) owns 84,924 shares of common stock, Avenue Special Situations Fund IV, L.P. (“Avenue Fund IV”) owns 496,023 shares of common stock, Avenue Special Situations Fund V, L.P. (“Avenue Fund V”) owns 619,115 shares of common stock, Avenue Entrust Customized Portfolio SPC on behalf of and for the account of Avenue US Europe Distressed Segregated Portfolio (“Avenue Entrust”) owns 119,747 shares of common stock and Avenue PPF Opportunities Fund, L.P. (“Avenue PPF”) owns 812,190 shares of common stock. Avenue Partners, LLC (“Avenue Partners”) beneficially owns 1,956,979 shares of common stock through Avenue Investments and Avenue International Master.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56" w:lineRule="auto"/>
        <w:rPr>
          <w:sz w:val="20"/>
          <w:szCs w:val="20"/>
          <w:color w:val="auto"/>
        </w:rPr>
      </w:pPr>
      <w:r>
        <w:rPr>
          <w:rFonts w:ascii="Times New Roman" w:cs="Times New Roman" w:eastAsia="Times New Roman" w:hAnsi="Times New Roman"/>
          <w:sz w:val="18"/>
          <w:szCs w:val="18"/>
          <w:color w:val="auto"/>
        </w:rPr>
        <w:t>Avenue Partners is the general partner of Avenue Investments and the sole shareholder of Avenue International Master GenPar, Ltd. (“Avenue International GenPar”), the general partner of Avenue International Master, L.P. (“Avenue International Master”), with respect to the common stock held by Avenue Investments and Avenue International. Avenue Capital Management is the investment manager to Avenue Investments, Avenue International, Avenue-CDP, Avenue PPF, Avenue Fund IV, Avenue Fund V and Avenue Entrust Customized Portfolio SPC on behalf of and for the account of Avenue Entrust (collectively, the “Funds”). Avenue Capital Management GenPar is the general partner of Avenue Capital Management. Mr. Lasry is the managing member of Avenue Partners and Avenue Capital Management GenPar.</w:t>
      </w:r>
    </w:p>
    <w:p>
      <w:pPr>
        <w:spacing w:after="0" w:line="80" w:lineRule="exact"/>
        <w:rPr>
          <w:sz w:val="20"/>
          <w:szCs w:val="20"/>
          <w:color w:val="auto"/>
        </w:rPr>
      </w:pPr>
    </w:p>
    <w:p>
      <w:pPr>
        <w:ind w:left="460" w:right="120"/>
        <w:spacing w:after="0" w:line="266" w:lineRule="auto"/>
        <w:rPr>
          <w:sz w:val="20"/>
          <w:szCs w:val="20"/>
          <w:color w:val="auto"/>
        </w:rPr>
      </w:pPr>
      <w:r>
        <w:rPr>
          <w:rFonts w:ascii="Times New Roman" w:cs="Times New Roman" w:eastAsia="Times New Roman" w:hAnsi="Times New Roman"/>
          <w:sz w:val="18"/>
          <w:szCs w:val="18"/>
          <w:color w:val="auto"/>
        </w:rPr>
        <w:t>Avenue International GenPar, Avenue Partners, Avenue Capital Management, Avenue Capital Management GenPar and Mr. Lasry have the shared power to vote and dispose of the shares of common stock held by the Funds. The address for Avenue Partners, Avenue Capital Management, Avenue Capital Management GenPar and Mr. Lasry is 399 Park Avenue, 6th Floor, 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2017, Avenue beneficially owned approximately 4,088,978 shares of common stock, or 12.2% of our outstanding common stock. In addition, one member of our board of directors, Mr. Randal Klein, is an employee of an affiliate of Avenue.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November 9, 2009, we entered into a registration rights agreement (the “Registration Rights Agreement”) with the holders of MagnaChip Semiconductor LLC’s common units issued in our reorganization proceedings, including Avenue, pursuant to which we granted them registration rights with respect to our common stock.</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00"/>
          </w:cols>
          <w:pgMar w:left="24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our bylaws are summaries and are qualified by reference to the certificate of incorporation and the bylaws, which documents are incorporated by reference as exhibits to the registration statement of which this prospectus is a part, and the applicable provisions of the Delaware General Corporation Law (DGCL).</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$0.01 per share and 5,000,000 shares of undesignated preferred stock, par value $0.01 per share, the rights and preferences of which may be established from time to time by our board of directors. As of March 31, 2017, there were 33,553,688 shares of common stock and no shares of preferred stock issued and outstanding.</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copies of which have been filed as exhibits to the registration statement of which this prospectus is a part.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are outstanding on the date of this prospectus are fully paid and non-assessable.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5,000,000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 the selling stockholders have certain rights with respect to the registration of their shares of our common stock under the Securities Act.</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r>
        <w:rPr>
          <w:rFonts w:ascii="Times New Roman" w:cs="Times New Roman" w:eastAsia="Times New Roman" w:hAnsi="Times New Roman"/>
          <w:sz w:val="18"/>
          <w:szCs w:val="18"/>
          <w:color w:val="auto"/>
        </w:rPr>
        <w:t>. Commencing 90 days following the completion of a firm commitment underwritten public offering of our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 effective registration statement filed by us under the Securities Act resulting in gross proceeds of at least $75.0 million to us, any holder who is a party to the Registration Rights Agreement who holds registrable securities has the right to demand that we file a registration statement covering the resale of its common stock, provided that a minimum of 20% of the common stock covered by the Registration Rights Agreement are included in such request, subject to a maximum of four such demands in the aggregate for all holders and to other specified exceptions. Provided that we are eligible for the use of SEC Form S-3, any holder who is a party to the Registration Rights Agreement who holds registrable securities,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underwriters of any such offerings will have the right to limit the number of shares to be offered except that if a limit is imposed, then only shares held by holders who are parties to the Registration Rights Agreement who holds registrable securities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r>
        <w:rPr>
          <w:rFonts w:ascii="Times New Roman" w:cs="Times New Roman" w:eastAsia="Times New Roman" w:hAnsi="Times New Roman"/>
          <w:sz w:val="18"/>
          <w:szCs w:val="18"/>
          <w:color w:val="auto"/>
        </w:rPr>
        <w:t>. If we register any equity securities for our own account for public sale, stockholders with registration rights will,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specified 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who holds registrable securities proposed to be included in such offering would materially and adversely interfere with the successful marketing of our securities. Priority of inclusion in the registration shall be given first to us, second to stockholders with registration rights,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on the basis of the relative number of securities requested to be registered by such stockholder, and third to any other participating person on such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 determine.</w:t>
      </w:r>
    </w:p>
    <w:p>
      <w:pPr>
        <w:spacing w:after="0" w:line="183" w:lineRule="exact"/>
        <w:rPr>
          <w:sz w:val="20"/>
          <w:szCs w:val="20"/>
          <w:color w:val="auto"/>
        </w:rPr>
      </w:pPr>
    </w:p>
    <w:p>
      <w:pPr>
        <w:jc w:val="both"/>
        <w:ind w:right="2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Expenses of Registration</w:t>
      </w:r>
      <w:r>
        <w:rPr>
          <w:rFonts w:ascii="Times New Roman" w:cs="Times New Roman" w:eastAsia="Times New Roman" w:hAnsi="Times New Roman"/>
          <w:sz w:val="18"/>
          <w:szCs w:val="18"/>
          <w:color w:val="auto"/>
        </w:rPr>
        <w:t>. Other than underwriting fees, discounts, commissions, stock transfer taxes and fees and disbursements of legal counsel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 The Registration Rights Agreement contains indemnification and contribution arrangements between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who are a party to the Registration Rights Agreement who holds registrable securities with respect to each registration statement.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described below may have the effect of delaying, deferring or discouraging another party from acquiring control of us.</w:t>
      </w:r>
    </w:p>
    <w:p>
      <w:pPr>
        <w:spacing w:after="0" w:line="158"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subject to the provisions of Section 203 of the DGCL regulating corporate takeovers. In general, those provisions prohibit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Delaware corporation from engaging in any business combination with any interested stockholder for a period of three years following the date that the stockholder became an interested stockholder, unless:</w:t>
      </w:r>
    </w:p>
    <w:p>
      <w:pPr>
        <w:spacing w:after="0" w:line="8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172" w:lineRule="exact"/>
        <w:rPr>
          <w:sz w:val="20"/>
          <w:szCs w:val="20"/>
          <w:color w:val="auto"/>
        </w:rPr>
      </w:pPr>
    </w:p>
    <w:p>
      <w:pPr>
        <w:jc w:val="both"/>
        <w:ind w:right="2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Charter and Bylaws</w:t>
      </w:r>
      <w:r>
        <w:rPr>
          <w:rFonts w:ascii="Times New Roman" w:cs="Times New Roman" w:eastAsia="Times New Roman" w:hAnsi="Times New Roman"/>
          <w:sz w:val="18"/>
          <w:szCs w:val="18"/>
          <w:color w:val="auto"/>
        </w:rPr>
        <w:t>. Our certificate of incorporation and bylaws contain certain provisions that are intended to enhance the likelihood of continuity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stability in 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171"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Authorized but Unissued Preferred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is authorized to issue, without stockholder approval, preferred stock with such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board of directors may determine.</w:t>
      </w:r>
    </w:p>
    <w:p>
      <w:pPr>
        <w:spacing w:after="0" w:line="15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Calling Special Stockholder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that special meetings of our stockholders may be called only pursuant to the request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171"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Advanced Notice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must timely provide advance notice, with specific requirements as to form and content, of nominations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or the proposal of business to be voted on at an annual meeting.</w:t>
      </w:r>
    </w:p>
    <w:p>
      <w:pPr>
        <w:spacing w:after="0" w:line="15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that our board of directors will be elected annually by the stockholders in accordance with the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and bylaws at the annual meeting. Each director shall serve for a one-year term or until a successor is duly elected or qualified, or until such director’s earlier death, resignation, disqualification or removal. The bylaws provide that the number of directors will initially be seven and thereafter may be fixed by the board of directors in accordance with the certificate of incorporation and bylaws.</w:t>
      </w:r>
    </w:p>
    <w:p>
      <w:pPr>
        <w:spacing w:after="0" w:line="177"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Board of Director Requirements</w:t>
      </w:r>
      <w:r>
        <w:rPr>
          <w:rFonts w:ascii="Times New Roman" w:cs="Times New Roman" w:eastAsia="Times New Roman" w:hAnsi="Times New Roman"/>
          <w:sz w:val="18"/>
          <w:szCs w:val="18"/>
          <w:color w:val="auto"/>
        </w:rPr>
        <w:t>. Our authorized number of directors may be changed only by resolution of the board of directors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vacancies, 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1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law permits corporations to adopt provisions renouncing any interest or expectancy in certain opportunities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158" w:lineRule="exact"/>
        <w:rPr>
          <w:sz w:val="20"/>
          <w:szCs w:val="20"/>
          <w:color w:val="auto"/>
        </w:rPr>
      </w:pPr>
    </w:p>
    <w:p>
      <w:pPr>
        <w:ind w:right="7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r>
        <w:rPr>
          <w:rFonts w:ascii="Times New Roman" w:cs="Times New Roman" w:eastAsia="Times New Roman" w:hAnsi="Times New Roman"/>
          <w:sz w:val="18"/>
          <w:szCs w:val="18"/>
          <w:color w:val="auto"/>
        </w:rPr>
        <w:t>. We will indemnify officers and directors against losses that they may incur in investigations and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proceedings resulting from their services to us, which may include services in connection with takeover defense measures.</w:t>
      </w:r>
    </w:p>
    <w:p>
      <w:pPr>
        <w:spacing w:after="0" w:line="15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Supermajority Voting Requirements</w:t>
      </w:r>
      <w:r>
        <w:rPr>
          <w:rFonts w:ascii="Times New Roman" w:cs="Times New Roman" w:eastAsia="Times New Roman" w:hAnsi="Times New Roman"/>
          <w:sz w:val="18"/>
          <w:szCs w:val="18"/>
          <w:color w:val="auto"/>
        </w:rPr>
        <w:t>. In addition to the vote of the holders of any class or series of stock required by law, the bylaws or the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incorporation, the affirmative vote of the holders of at least 66 2/3% in voting power of all shares of our stock entitled to vote generally 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86"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and removal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vacancies on our board and newly created directorships;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notice requirements for stockholder proposals and director nominations;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provisions.</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“MX.”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American Stock Transfer &amp; Trust Company, LLC and its telephone number is (800) 937-5449.</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are registering 4,088,978 Common Shares for possible sale by the selling stockholders. Unless the context otherwise requires, as used in this prospectus, “selling stockholders” includes the selling stockholders named in the table above and donees, pledgees, transferees or other successors-in-interest selling Common Shares received from the selling stockholders as a gift, pledge, partnership distribution or other transfer after the date of this prospectus.</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selling stockholders may offer and sell all or a portion of the Common Shares covered by this prospectus from time to time, in one or more or any combination of the following transactions:</w:t>
      </w:r>
    </w:p>
    <w:p>
      <w:pPr>
        <w:spacing w:after="0" w:line="67"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 in the over-the-counter market or on any other national securities exchange on which our shares are then listed or traded;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Common Shares by any selling stockholder holder to its partners, members or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whether the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the Common Shares at prices then prevailing or related to the then current market price or at negotiated prices. The offering price of the Common Shares from time to time will be determined by the selling stockholders and, at the time of the determination, may be higher or lower than the market price of our common stock on NYSE or any other exchange or market.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Common Shares may be sold directly or through broker-dealers acting as principal or agent, or pursuant to a distribution by one or more underwriters on a firm commitment or best-efforts basis. The selling stockholders may also enter into hedging transactions with broker-dealers. In connection with such transactions, broker-dealers of other financial institutions may engage in short sales of our Common Shares in the course of hedging the positions they assume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the selling stockholders. The selling stockholders may also enter into options or other transactions with broker-dealers or other financial institutions which require the delivery to such broker-dealer or other financial institution of Common Shares offered by this prospectus, which Common Shares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stockholders or from purchasers of the offered Common Shares for whom they may act as agents. In addition, underwriters may sell the Common Shares to or through dealers, and those dealers may receive compensation in the form of discounts, concessions or commissions from the underwriters and/or commissions from the purchasers for whom they may act as agents. The selling stockholders and any underwriters, dealers or agents participating in a distribution of the Common Shares may be deemed to be “underwriters” within the meaning of the Securities Act, and any profit on the sale of the Common Shares by the selling stockholders and any commissions received by broker-dealers may be deemed to be underwriting commissions under the Securities Act.</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selling stockholders may agree to indemnify an underwriter, broker-dealer or agent against certain liabilities related to the selling of the Common Shares, including liabilities arising under the Securities Act. Under the Registration Rights Agreement, we have agreed to indemnify the selling stockholders against certain liabilities related to the sale of the Common Shares, including certain liabilities arising under the Securities Act. Under the Registration Rights Agreement, we have also agreed to pay the costs, expenses and fees of registering the Common Shares, including the fees, charges and disbursements of one firm of counsel to the selling stockholders; however, the selling stockholders will pay any underwriting fees, discounts, selling commissions and stock transfer taxes relating to the registration and sale of the Common Shares in any underwritten offering.</w:t>
      </w:r>
    </w:p>
    <w:p>
      <w:pPr>
        <w:spacing w:after="0" w:line="18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Upon our notification by the selling stockholders that any material arrangement has been entered into with an underwriter or broker-dealer for the sale of Common Shares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82"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being offered;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130" w:lineRule="exact"/>
        <w:rPr>
          <w:rFonts w:ascii="Times New Roman" w:cs="Times New Roman" w:eastAsia="Times New Roman" w:hAnsi="Times New Roman"/>
          <w:sz w:val="18"/>
          <w:szCs w:val="18"/>
          <w:color w:val="auto"/>
        </w:rPr>
      </w:pPr>
    </w:p>
    <w:p>
      <w:pPr>
        <w:ind w:left="900" w:righ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discounts, selling commissions or other compensation paid to underwriters or broker-dealers and any fees, discounts, selling commissions or concessions allowed or reallowed or paid by any underwriters to dealers;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upon being notified by the selling stockholders that a donee, pledgee, transferee, other successor-in-interest intends to sell more than 500 Common Shares, we will, to the extent required, promptly file a supplement to this prospectus to name specifically such person as a selling stockholder.</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selling stockholders are subject to the applicable provisions of the Exchange Act and the rules and regulations thereunder, including Regulation M. This regulation may limit the timing of purchases and sales of any of the Common Shares offered in this prospectus by the selling stockholders. The anti-manipulation rules under the Exchange Act may apply to sales of the Common Shares in the market and to the activities of the selling stockholders and their affiliates. Furthermore, Regulation M may restrict the ability of any person engaged in the distribution of the Common Shares to engage in market-making activities for the particular securities being distributed for a period of up to five business days before the distribution. The restrictions may affect the marketability of the Common Shares and the ability of any person or entity to engage in market-making activities for the Common Shares.</w:t>
      </w:r>
    </w:p>
    <w:p>
      <w:pPr>
        <w:spacing w:after="0" w:line="188"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agency fees, or other items constituting underwriting compensation to be received by any FINRA member or independent broker dealer will not exceed 8% of any offering pursuant to this prospectus and any applicable prospectus supplement.</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Common Shares under this prospectus, the selling stockholders may sell the Common Shares in compliance with the provisions of Rule 144 under the Securities Act, if available, or pursuant to other available exemptions from the registration requirements of the Securities Act.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in accordance therewith file reports, including annual and quarterly reports, proxy statements and other information with the SEC. Such reports, proxy statements and other information may be inspected and copied at prescribed rates at the public reference facilities maintained by the SEC at the SEC’s Public Reference Room, 100 F Street, N.E., Washington, D.C. 20549. Further information on the Public Reference Room may be obtained by calling the SEC at 1-800-SEC-0330. In addition, such reports, proxy statements and other information may be accessed through the SEC Internet website located at http://www.sec.gov.</w:t>
      </w:r>
    </w:p>
    <w:p>
      <w:pPr>
        <w:spacing w:after="0" w:line="184" w:lineRule="exact"/>
        <w:rPr>
          <w:sz w:val="20"/>
          <w:szCs w:val="20"/>
          <w:color w:val="auto"/>
        </w:rPr>
      </w:pPr>
    </w:p>
    <w:p>
      <w:pPr>
        <w:jc w:val="both"/>
        <w:ind w:right="220" w:firstLine="456"/>
        <w:spacing w:after="0" w:line="27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have filed with the SEC under the Securities Act for the registration under the Securities Act of the securities offered hereby. This prospectus does not contain all the information set forth in the registration statement, parts of which are omitted in accordance with the rules and regulations of the SEC. Reference is hereby made to the registration statement which contains further information with respect to our company and our securities. Statements herein concerning the provisions of documents filed as exhibits to the registration statement are necessarily summaries of such documents, and each such statement is qualified by reference to the copy of the applicable document filed with the SEC.</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on the SEC’s website at www.sec.gov. Information about us is also available on our website at http://www.magnachip.com. Information on our website is not incorporated by reference herein and our website address is included as an inactive textual reference only.</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the information we file with the SEC. This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When we refer to this prospectus, unless the context requires otherwise, we also refer to any documents incorporated by reference. We are incorporating by reference the documents listed below and any future filings we make with the SEC under Sections 13(a), 13(c), 14 or 15(d) of the Exchange Act (except that, unless otherwise expressly indicated, we are not incorporating any information “furnished” under Item 2.02 or Item 7.01 of any Current Report on Form 8-K):</w:t>
      </w:r>
    </w:p>
    <w:p>
      <w:pPr>
        <w:spacing w:after="0" w:line="93" w:lineRule="exact"/>
        <w:rPr>
          <w:sz w:val="20"/>
          <w:szCs w:val="20"/>
          <w:color w:val="auto"/>
        </w:rPr>
      </w:pPr>
    </w:p>
    <w:p>
      <w:pPr>
        <w:ind w:left="9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Amendment No. 1 to the Registration Statement on Form 8-A (filed on March 10, 2011) and any amendment or report filed for the purpose of further updating such description;</w:t>
      </w:r>
    </w:p>
    <w:p>
      <w:pPr>
        <w:spacing w:after="0" w:line="67"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2016 (filed on February 21, 2017), as amended by Amendment No. 1 to our Annual Report on Form 10-K for the fiscal year ended December 31, 2016 (filed on May 1, 2017) (as amended, our “2016 Annual Report”); and</w:t>
      </w:r>
    </w:p>
    <w:p>
      <w:pPr>
        <w:spacing w:after="0" w:line="81"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10, 2017 (with respect to Item 8.01 only), January 11, 2017, January 17, 2017 and February 23, 2017 (with the exception of any information and related exhibits contained in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documents which has been “furnished” under Item 2.02 and/or Item 7.01 of Form 8-K, which information is not deemed “filed” and which is not incorporated by reference into this prospectus).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to be modified or superseded for purposes of this prospectus to the extent that a statement contained in this prospectus, or in any other subsequently filed document that also is or is deemed to be incorporated by reference in this prospectus, modifies or supersedes such prior statement. Any statement contained in this prospectus shall be deemed to be modified or superseded to the extent that a statement contained in a subsequently filed document that is or is deemed to be incorporated by reference in this prospectus modifies or supersedes such prior statement. Any statement so modified or superseded shall not be deemed, except as so modified or superseded, to constitute a part of this prospectus.</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You may obtain, free of charge, a copy of any of our filings (other than exhibits to these documents, unless the exhibits are specifically incorporated by reference into these documents or referred to in this prospectus) by writing or calling us at the following address and telephone number: c/o MagnaChip Semiconductor, Inc., 60 South Market Street, Suite 750, San Jose, CA 95113, Attention: Chief Compliance Officer, Executive Vice President, General Counsel and Secretary; the telephone number at that address is 408-625-5999.</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Paul, Weiss, Rifkind, Wharton &amp; Garrison LLP, New York, New York, has issued an opinion with respect to the validity of the Common Shares to be offered by this prospectus. If counsel for any underwriters passes on legal matters in connection with an offering of the Common Shares described in this prospectus, we will name that counsel in the prospectus supplement relating to that offering.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2016 have been so incorporated in reliance on the reports of Samil PricewaterhouseCoopers, an independent registered public accounting firm, given on the authority of said firm as experts in accounting and auditing.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4,088,978 Shares</w:t>
      </w:r>
    </w:p>
    <w:p>
      <w:pPr>
        <w:spacing w:after="0" w:line="200" w:lineRule="exact"/>
        <w:rPr>
          <w:sz w:val="20"/>
          <w:szCs w:val="20"/>
          <w:color w:val="auto"/>
        </w:rPr>
      </w:pPr>
    </w:p>
    <w:p>
      <w:pPr>
        <w:spacing w:after="0" w:line="223"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2296795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341630</wp:posOffset>
            </wp:positionV>
            <wp:extent cx="2478405" cy="61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32"/>
          <w:szCs w:val="32"/>
          <w:b w:val="1"/>
          <w:bCs w:val="1"/>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2019-12-06T23:38:49Z</dcterms:created>
  <dcterms:modified xsi:type="dcterms:W3CDTF">2019-12-06T23:38:49Z</dcterms:modified>
</cp:coreProperties>
</file>