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ý Rule 13d-1(b)</w:t>
      </w:r>
    </w:p>
    <w:p>
      <w:pPr>
        <w:spacing w:after="0" w:line="200" w:lineRule="exact"/>
        <w:rPr>
          <w:sz w:val="24"/>
          <w:szCs w:val="24"/>
          <w:color w:val="auto"/>
        </w:rPr>
      </w:pPr>
    </w:p>
    <w:p>
      <w:pPr>
        <w:spacing w:after="0" w:line="24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66" w:lineRule="exact"/>
        <w:rPr>
          <w:sz w:val="24"/>
          <w:szCs w:val="24"/>
          <w:color w:val="auto"/>
        </w:rPr>
      </w:pPr>
    </w:p>
    <w:p>
      <w:pPr>
        <w:ind w:right="60" w:firstLine="8"/>
        <w:spacing w:after="0" w:line="19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 w:name="page2"/>
    <w:bookmarkEnd w:id="1"/>
    <w:p>
      <w:pPr>
        <w:ind w:left="440" w:right="7980" w:hanging="357"/>
        <w:spacing w:after="0" w:line="391"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Toronado Fund, L.P.</w:t>
      </w:r>
    </w:p>
    <w:p>
      <w:pPr>
        <w:ind w:left="440" w:right="5800" w:hanging="357"/>
        <w:spacing w:after="0" w:line="25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20" w:hanging="373"/>
        <w:spacing w:after="0" w:line="207" w:lineRule="exact"/>
        <w:tabs>
          <w:tab w:leader="none" w:pos="8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40" w:hanging="393"/>
        <w:spacing w:after="0" w:line="207" w:lineRule="exact"/>
        <w:tabs>
          <w:tab w:leader="none" w:pos="8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440" w:hanging="357"/>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440" w:right="7100" w:hanging="357"/>
        <w:spacing w:after="0" w:line="383"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20" w:hanging="358"/>
        <w:spacing w:after="0"/>
        <w:tabs>
          <w:tab w:leader="none" w:pos="20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-1819275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-1390650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-833755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-550545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2,410,910</w:t>
            </w:r>
          </w:p>
        </w:tc>
        <w:tc>
          <w:tcPr>
            <w:tcW w:w="0" w:type="dxa"/>
            <w:vAlign w:val="bottom"/>
          </w:tcPr>
          <w:p>
            <w:pPr>
              <w:spacing w:after="0"/>
              <w:rPr>
                <w:sz w:val="1"/>
                <w:szCs w:val="1"/>
                <w:color w:val="auto"/>
              </w:rPr>
            </w:pPr>
          </w:p>
        </w:tc>
      </w:tr>
      <w:tr>
        <w:trPr>
          <w:trHeight w:val="87"/>
        </w:trPr>
        <w:tc>
          <w:tcPr>
            <w:tcW w:w="1600" w:type="dxa"/>
            <w:vAlign w:val="bottom"/>
            <w:vMerge w:val="continue"/>
          </w:tcPr>
          <w:p>
            <w:pPr>
              <w:spacing w:after="0"/>
              <w:rPr>
                <w:sz w:val="7"/>
                <w:szCs w:val="7"/>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6.</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24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7.</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EACH</w:t>
            </w:r>
          </w:p>
        </w:tc>
        <w:tc>
          <w:tcPr>
            <w:tcW w:w="240" w:type="dxa"/>
            <w:vAlign w:val="bottom"/>
            <w:vMerge w:val="continue"/>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2,410,910</w:t>
            </w:r>
          </w:p>
        </w:tc>
        <w:tc>
          <w:tcPr>
            <w:tcW w:w="0" w:type="dxa"/>
            <w:vAlign w:val="bottom"/>
          </w:tcPr>
          <w:p>
            <w:pPr>
              <w:spacing w:after="0"/>
              <w:rPr>
                <w:sz w:val="1"/>
                <w:szCs w:val="1"/>
                <w:color w:val="auto"/>
              </w:rPr>
            </w:pPr>
          </w:p>
        </w:tc>
      </w:tr>
      <w:tr>
        <w:trPr>
          <w:trHeight w:val="136"/>
        </w:trPr>
        <w:tc>
          <w:tcPr>
            <w:tcW w:w="1600" w:type="dxa"/>
            <w:vAlign w:val="bottom"/>
            <w:vMerge w:val="restart"/>
          </w:tcPr>
          <w:p>
            <w:pPr>
              <w:jc w:val="center"/>
              <w:ind w:right="190"/>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9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8.</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2,410,910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460" w:right="4120" w:hanging="459"/>
        <w:spacing w:after="0" w:line="231" w:lineRule="exact"/>
        <w:tabs>
          <w:tab w:leader="none" w:pos="440" w:val="left"/>
        </w:tabs>
        <w:rPr>
          <w:sz w:val="20"/>
          <w:szCs w:val="20"/>
          <w:color w:val="auto"/>
        </w:rPr>
      </w:pPr>
      <w:r>
        <w:rPr>
          <w:rFonts w:ascii="Arial" w:cs="Arial" w:eastAsia="Arial" w:hAnsi="Arial"/>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tabs>
          <w:tab w:leader="none" w:pos="44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tab/>
        <w:t>TYPE OF REPORTING PERSON (see instructions)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27" w:right="339" w:bottom="1440" w:gutter="0" w:footer="0" w:header="0"/>
        </w:sectPr>
      </w:pPr>
    </w:p>
    <w:bookmarkStart w:id="2" w:name="page3"/>
    <w:bookmarkEnd w:id="2"/>
    <w:p>
      <w:pPr>
        <w:ind w:left="440" w:right="7980" w:hanging="357"/>
        <w:spacing w:after="0" w:line="414"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NAMES OF REPORTING PERSONS Toronado Partners LLC</w:t>
      </w:r>
    </w:p>
    <w:p>
      <w:pPr>
        <w:ind w:left="440" w:right="5800" w:hanging="357"/>
        <w:spacing w:after="0" w:line="25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20" w:hanging="373"/>
        <w:spacing w:after="0" w:line="207" w:lineRule="exact"/>
        <w:tabs>
          <w:tab w:leader="none" w:pos="8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40" w:hanging="393"/>
        <w:spacing w:after="0" w:line="207" w:lineRule="exact"/>
        <w:tabs>
          <w:tab w:leader="none" w:pos="8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440" w:hanging="35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440" w:right="7100" w:hanging="357"/>
        <w:spacing w:after="0" w:line="38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California</w:t>
      </w:r>
    </w:p>
    <w:p>
      <w:pPr>
        <w:spacing w:after="0" w:line="1" w:lineRule="exact"/>
        <w:rPr>
          <w:rFonts w:ascii="Arial" w:cs="Arial" w:eastAsia="Arial" w:hAnsi="Arial"/>
          <w:sz w:val="18"/>
          <w:szCs w:val="18"/>
          <w:color w:val="auto"/>
        </w:rPr>
      </w:pPr>
    </w:p>
    <w:p>
      <w:pPr>
        <w:ind w:left="2020" w:hanging="358"/>
        <w:spacing w:after="0"/>
        <w:tabs>
          <w:tab w:leader="none" w:pos="20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-1819275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-1390650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-833755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-550545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2,692,261</w:t>
            </w:r>
          </w:p>
        </w:tc>
        <w:tc>
          <w:tcPr>
            <w:tcW w:w="0" w:type="dxa"/>
            <w:vAlign w:val="bottom"/>
          </w:tcPr>
          <w:p>
            <w:pPr>
              <w:spacing w:after="0"/>
              <w:rPr>
                <w:sz w:val="1"/>
                <w:szCs w:val="1"/>
                <w:color w:val="auto"/>
              </w:rPr>
            </w:pPr>
          </w:p>
        </w:tc>
      </w:tr>
      <w:tr>
        <w:trPr>
          <w:trHeight w:val="87"/>
        </w:trPr>
        <w:tc>
          <w:tcPr>
            <w:tcW w:w="1600" w:type="dxa"/>
            <w:vAlign w:val="bottom"/>
            <w:vMerge w:val="continue"/>
          </w:tcPr>
          <w:p>
            <w:pPr>
              <w:spacing w:after="0"/>
              <w:rPr>
                <w:sz w:val="7"/>
                <w:szCs w:val="7"/>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6.</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24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7.</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EACH</w:t>
            </w:r>
          </w:p>
        </w:tc>
        <w:tc>
          <w:tcPr>
            <w:tcW w:w="240" w:type="dxa"/>
            <w:vAlign w:val="bottom"/>
            <w:vMerge w:val="continue"/>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2,410,910</w:t>
            </w:r>
          </w:p>
        </w:tc>
        <w:tc>
          <w:tcPr>
            <w:tcW w:w="0" w:type="dxa"/>
            <w:vAlign w:val="bottom"/>
          </w:tcPr>
          <w:p>
            <w:pPr>
              <w:spacing w:after="0"/>
              <w:rPr>
                <w:sz w:val="1"/>
                <w:szCs w:val="1"/>
                <w:color w:val="auto"/>
              </w:rPr>
            </w:pPr>
          </w:p>
        </w:tc>
      </w:tr>
      <w:tr>
        <w:trPr>
          <w:trHeight w:val="136"/>
        </w:trPr>
        <w:tc>
          <w:tcPr>
            <w:tcW w:w="1600" w:type="dxa"/>
            <w:vAlign w:val="bottom"/>
            <w:vMerge w:val="restart"/>
          </w:tcPr>
          <w:p>
            <w:pPr>
              <w:jc w:val="center"/>
              <w:ind w:right="190"/>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9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8.</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281,351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2,692,261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460" w:right="4120" w:hanging="459"/>
        <w:spacing w:after="0" w:line="231" w:lineRule="exact"/>
        <w:tabs>
          <w:tab w:leader="none" w:pos="440" w:val="left"/>
        </w:tabs>
        <w:rPr>
          <w:sz w:val="20"/>
          <w:szCs w:val="20"/>
          <w:color w:val="auto"/>
        </w:rPr>
      </w:pPr>
      <w:r>
        <w:rPr>
          <w:rFonts w:ascii="Arial" w:cs="Arial" w:eastAsia="Arial" w:hAnsi="Arial"/>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tabs>
          <w:tab w:leader="none" w:pos="44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tab/>
        <w:t>TYPE OF REPORTING PERSON (see instructions)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27" w:right="339" w:bottom="1440" w:gutter="0" w:footer="0" w:header="0"/>
        </w:sectPr>
      </w:pPr>
    </w:p>
    <w:bookmarkStart w:id="3" w:name="page4"/>
    <w:bookmarkEnd w:id="3"/>
    <w:p>
      <w:pPr>
        <w:ind w:left="440" w:right="7980" w:hanging="357"/>
        <w:spacing w:after="0" w:line="440"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Toronado Capital Management, LLC</w:t>
      </w:r>
    </w:p>
    <w:p>
      <w:pPr>
        <w:ind w:left="440" w:right="5800" w:hanging="357"/>
        <w:spacing w:after="0" w:line="25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20" w:hanging="373"/>
        <w:spacing w:after="0" w:line="207" w:lineRule="exact"/>
        <w:tabs>
          <w:tab w:leader="none" w:pos="8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40" w:hanging="393"/>
        <w:spacing w:after="0" w:line="207" w:lineRule="exact"/>
        <w:tabs>
          <w:tab w:leader="none" w:pos="84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440" w:hanging="35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440" w:right="7100" w:hanging="357"/>
        <w:spacing w:after="0" w:line="38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20" w:hanging="358"/>
        <w:spacing w:after="0"/>
        <w:tabs>
          <w:tab w:leader="none" w:pos="20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-1819275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-1390650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-833755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-550545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2,692,261</w:t>
            </w:r>
          </w:p>
        </w:tc>
        <w:tc>
          <w:tcPr>
            <w:tcW w:w="0" w:type="dxa"/>
            <w:vAlign w:val="bottom"/>
          </w:tcPr>
          <w:p>
            <w:pPr>
              <w:spacing w:after="0"/>
              <w:rPr>
                <w:sz w:val="1"/>
                <w:szCs w:val="1"/>
                <w:color w:val="auto"/>
              </w:rPr>
            </w:pPr>
          </w:p>
        </w:tc>
      </w:tr>
      <w:tr>
        <w:trPr>
          <w:trHeight w:val="87"/>
        </w:trPr>
        <w:tc>
          <w:tcPr>
            <w:tcW w:w="1600" w:type="dxa"/>
            <w:vAlign w:val="bottom"/>
            <w:vMerge w:val="continue"/>
          </w:tcPr>
          <w:p>
            <w:pPr>
              <w:spacing w:after="0"/>
              <w:rPr>
                <w:sz w:val="7"/>
                <w:szCs w:val="7"/>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6.</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24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7.</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EACH</w:t>
            </w:r>
          </w:p>
        </w:tc>
        <w:tc>
          <w:tcPr>
            <w:tcW w:w="240" w:type="dxa"/>
            <w:vAlign w:val="bottom"/>
            <w:vMerge w:val="continue"/>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2,410,910</w:t>
            </w:r>
          </w:p>
        </w:tc>
        <w:tc>
          <w:tcPr>
            <w:tcW w:w="0" w:type="dxa"/>
            <w:vAlign w:val="bottom"/>
          </w:tcPr>
          <w:p>
            <w:pPr>
              <w:spacing w:after="0"/>
              <w:rPr>
                <w:sz w:val="1"/>
                <w:szCs w:val="1"/>
                <w:color w:val="auto"/>
              </w:rPr>
            </w:pPr>
          </w:p>
        </w:tc>
      </w:tr>
      <w:tr>
        <w:trPr>
          <w:trHeight w:val="136"/>
        </w:trPr>
        <w:tc>
          <w:tcPr>
            <w:tcW w:w="1600" w:type="dxa"/>
            <w:vAlign w:val="bottom"/>
            <w:vMerge w:val="restart"/>
          </w:tcPr>
          <w:p>
            <w:pPr>
              <w:jc w:val="center"/>
              <w:ind w:right="190"/>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9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8.</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281,351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2,692,261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460" w:right="4120" w:hanging="459"/>
        <w:spacing w:after="0" w:line="231" w:lineRule="exact"/>
        <w:tabs>
          <w:tab w:leader="none" w:pos="440" w:val="left"/>
        </w:tabs>
        <w:rPr>
          <w:sz w:val="20"/>
          <w:szCs w:val="20"/>
          <w:color w:val="auto"/>
        </w:rPr>
      </w:pPr>
      <w:r>
        <w:rPr>
          <w:rFonts w:ascii="Arial" w:cs="Arial" w:eastAsia="Arial" w:hAnsi="Arial"/>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tabs>
          <w:tab w:leader="none" w:pos="44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tab/>
        <w:t>TYPE OF REPORTING PERSON (see instructions)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27" w:right="339" w:bottom="1440" w:gutter="0" w:footer="0" w:header="0"/>
        </w:sectPr>
      </w:pPr>
    </w:p>
    <w:bookmarkStart w:id="4" w:name="page5"/>
    <w:bookmarkEnd w:id="4"/>
    <w:p>
      <w:pPr>
        <w:ind w:left="440" w:right="7980" w:hanging="357"/>
        <w:spacing w:after="0" w:line="391"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John Stephen Perkins</w:t>
      </w:r>
    </w:p>
    <w:p>
      <w:pPr>
        <w:ind w:left="440" w:right="5800" w:hanging="357"/>
        <w:spacing w:after="0" w:line="25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20" w:hanging="373"/>
        <w:spacing w:after="0" w:line="207" w:lineRule="exact"/>
        <w:tabs>
          <w:tab w:leader="none" w:pos="8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40" w:hanging="393"/>
        <w:spacing w:after="0" w:line="207" w:lineRule="exact"/>
        <w:tabs>
          <w:tab w:leader="none" w:pos="84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440" w:hanging="35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440" w:right="7100" w:hanging="357"/>
        <w:spacing w:after="0" w:line="38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20" w:hanging="358"/>
        <w:spacing w:after="0"/>
        <w:tabs>
          <w:tab w:leader="none" w:pos="20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-1819275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-1390650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-833755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-550545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-130810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2,692,261</w:t>
            </w:r>
          </w:p>
        </w:tc>
        <w:tc>
          <w:tcPr>
            <w:tcW w:w="0" w:type="dxa"/>
            <w:vAlign w:val="bottom"/>
          </w:tcPr>
          <w:p>
            <w:pPr>
              <w:spacing w:after="0"/>
              <w:rPr>
                <w:sz w:val="1"/>
                <w:szCs w:val="1"/>
                <w:color w:val="auto"/>
              </w:rPr>
            </w:pPr>
          </w:p>
        </w:tc>
      </w:tr>
      <w:tr>
        <w:trPr>
          <w:trHeight w:val="87"/>
        </w:trPr>
        <w:tc>
          <w:tcPr>
            <w:tcW w:w="1600" w:type="dxa"/>
            <w:vAlign w:val="bottom"/>
            <w:vMerge w:val="continue"/>
          </w:tcPr>
          <w:p>
            <w:pPr>
              <w:spacing w:after="0"/>
              <w:rPr>
                <w:sz w:val="7"/>
                <w:szCs w:val="7"/>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6.</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24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7.</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EACH</w:t>
            </w:r>
          </w:p>
        </w:tc>
        <w:tc>
          <w:tcPr>
            <w:tcW w:w="240" w:type="dxa"/>
            <w:vAlign w:val="bottom"/>
            <w:vMerge w:val="continue"/>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2,410,910</w:t>
            </w:r>
          </w:p>
        </w:tc>
        <w:tc>
          <w:tcPr>
            <w:tcW w:w="0" w:type="dxa"/>
            <w:vAlign w:val="bottom"/>
          </w:tcPr>
          <w:p>
            <w:pPr>
              <w:spacing w:after="0"/>
              <w:rPr>
                <w:sz w:val="1"/>
                <w:szCs w:val="1"/>
                <w:color w:val="auto"/>
              </w:rPr>
            </w:pPr>
          </w:p>
        </w:tc>
      </w:tr>
      <w:tr>
        <w:trPr>
          <w:trHeight w:val="136"/>
        </w:trPr>
        <w:tc>
          <w:tcPr>
            <w:tcW w:w="1600" w:type="dxa"/>
            <w:vAlign w:val="bottom"/>
            <w:vMerge w:val="restart"/>
          </w:tcPr>
          <w:p>
            <w:pPr>
              <w:jc w:val="center"/>
              <w:ind w:right="190"/>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9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8.</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281,351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2,692,261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460" w:right="4120" w:hanging="459"/>
        <w:spacing w:after="0" w:line="231" w:lineRule="exact"/>
        <w:tabs>
          <w:tab w:leader="none" w:pos="440" w:val="left"/>
        </w:tabs>
        <w:rPr>
          <w:sz w:val="20"/>
          <w:szCs w:val="20"/>
          <w:color w:val="auto"/>
        </w:rPr>
      </w:pPr>
      <w:r>
        <w:rPr>
          <w:rFonts w:ascii="Arial" w:cs="Arial" w:eastAsia="Arial" w:hAnsi="Arial"/>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tabs>
          <w:tab w:leader="none" w:pos="44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tab/>
        <w:t>TYPE OF REPORTING PERSON (see instructions)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80" w:hanging="335"/>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MagnaChip Semiconductor Corporation</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60 South Market Street, Suite 750</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San Jose, CA 95113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680" w:right="7860"/>
        <w:spacing w:after="0" w:line="259" w:lineRule="auto"/>
        <w:rPr>
          <w:rFonts w:ascii="Arial" w:cs="Arial" w:eastAsia="Arial" w:hAnsi="Arial"/>
          <w:sz w:val="18"/>
          <w:szCs w:val="18"/>
          <w:color w:val="auto"/>
        </w:rPr>
      </w:pPr>
      <w:r>
        <w:rPr>
          <w:rFonts w:ascii="Arial" w:cs="Arial" w:eastAsia="Arial" w:hAnsi="Arial"/>
          <w:sz w:val="18"/>
          <w:szCs w:val="18"/>
          <w:color w:val="auto"/>
        </w:rPr>
        <w:t>Toronado Fund, L.P. Toronado Partners LLC Toronado Capital Management LLC John Stephen Perkins</w:t>
      </w:r>
    </w:p>
    <w:p>
      <w:pPr>
        <w:spacing w:after="0" w:line="186" w:lineRule="exact"/>
        <w:rPr>
          <w:rFonts w:ascii="Arial" w:cs="Arial" w:eastAsia="Arial" w:hAnsi="Arial"/>
          <w:sz w:val="18"/>
          <w:szCs w:val="18"/>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the Principal Office</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The principal business address of each reporting person is 44 Montgomery Street, Suite 1200, San Francisco, CA 94104.</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7"/>
          <w:szCs w:val="17"/>
          <w:color w:val="auto"/>
        </w:rPr>
        <w:t>Reference is made to Item 4 of pages 2–5 of this Schedule 13G (this “Schedule”), which Items are incorporated by reference herein.</w:t>
      </w:r>
    </w:p>
    <w:p>
      <w:pPr>
        <w:spacing w:after="0" w:line="236" w:lineRule="exact"/>
        <w:rPr>
          <w:rFonts w:ascii="Arial" w:cs="Arial" w:eastAsia="Arial" w:hAnsi="Arial"/>
          <w:sz w:val="18"/>
          <w:szCs w:val="18"/>
          <w:color w:val="auto"/>
        </w:rPr>
      </w:pPr>
    </w:p>
    <w:p>
      <w:pPr>
        <w:ind w:left="680" w:right="8280" w:hanging="335"/>
        <w:spacing w:after="0" w:line="563"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Common Stock (the “Shares”)</w:t>
      </w:r>
    </w:p>
    <w:p>
      <w:pPr>
        <w:ind w:left="680" w:right="9340" w:hanging="335"/>
        <w:spacing w:after="0" w:line="560"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55933J203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6" w:lineRule="exact"/>
        <w:rPr>
          <w:sz w:val="20"/>
          <w:szCs w:val="20"/>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020" w:hanging="675"/>
        <w:spacing w:after="0" w:line="239" w:lineRule="exact"/>
        <w:tabs>
          <w:tab w:leader="none" w:pos="683"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10"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 is hereby made to Items 5-9 of this Schedule, which Items are incorporated by reference herein.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Toronado Fund, L.P. directly holds 2,410,910 Shares. Toronado Partners LLC acts as investment manager for the Toronado Fund, L.P., Toronado Capital Management LLC acts as general partner for Toronado Fund, L.P., and John Stephen Perkins acts as Managing Member of Toronado Partners LLC. Toronado Partners LLC, Toronado Capital Management LLC, and John Stephen Perkins directly or indirectly control an additional 281,351 for a cumulative total of 2,692,261 shares.</w:t>
      </w:r>
    </w:p>
    <w:p>
      <w:pPr>
        <w:spacing w:after="0" w:line="18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Based upon the foregoing, as of the date hereof, each of Toronado Fund, L.P., Toronado Partners LLC, Toronado Capital Management LLC, and John Stephen Perkins (collectively, the “Reporting Persons”) may be deemed to be the beneficial owner of the number of Shares set forth in Item 9 of such Reporting Person’s cover page hereto. Each Reporting Person disclaims beneficial ownership of the Shares not held directly by such Reporting Person.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percentage of beneficial ownership in item 11 was derived from Issuer’s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the best knowledge of the Reporting Persons, no one other than the Reporting Persons and the equity holders of the Reporting Persons has the right to receive or the power to direct the receipt of dividends from, or the proceeds from the sale of, the Shares.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Reporting Persons have agreed to jointly file this Schedule 13G in accordance with Rule 13d-1(k) of the Exchange Act, the agreement with respect to which is attached hereto as Exhibit 1. Each Reporting Person expressly disclaims beneficial ownership with respect to any Shares other than the Shares owned of record by such Reporting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By signing below the undersigned certify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10" w:right="459" w:bottom="1440" w:gutter="0" w:footer="0" w:header="0"/>
        </w:sectPr>
      </w:pPr>
    </w:p>
    <w:bookmarkStart w:id="7" w:name="page8"/>
    <w:bookmarkEnd w:id="7"/>
    <w:p>
      <w:pPr>
        <w:ind w:left="526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Dated: February 13, 2023</w:t>
      </w:r>
      <w:r>
        <w:rPr>
          <w:sz w:val="20"/>
          <w:szCs w:val="20"/>
          <w:color w:val="auto"/>
        </w:rPr>
        <w:tab/>
      </w:r>
      <w:r>
        <w:rPr>
          <w:rFonts w:ascii="Arial" w:cs="Arial" w:eastAsia="Arial" w:hAnsi="Arial"/>
          <w:sz w:val="16"/>
          <w:szCs w:val="16"/>
          <w:u w:val="single" w:color="auto"/>
          <w:color w:val="auto"/>
        </w:rPr>
        <w:t>Toronado Fund, L.P</w:t>
      </w:r>
      <w:r>
        <w:rPr>
          <w:rFonts w:ascii="Arial" w:cs="Arial" w:eastAsia="Arial" w:hAnsi="Arial"/>
          <w:sz w:val="16"/>
          <w:szCs w:val="16"/>
          <w:color w:val="auto"/>
        </w:rPr>
        <w:t>.</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Toronado Partners LLC, its investment manager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Toronado Partners LLC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 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Toronado Capital Management LLC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John Stephen Perkins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3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810" w:right="9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Rule 13d-1(k) promulgated under the Securities Exchange Act of 1934, as amended, the persons named below agree to the joint filing on behalf of each of them Statements on Schedule 13D or Schedule 13G, as applicable (including amendments thereto), with regard to the securities of MagnaChip Semiconductor Corporation, and further agree that this Joint Filing Agreement be included as an Exhibit to any such joint filings. In evidence thereof, the undersigned, being duly authorized, hereby execute this Agreement.</w:t>
      </w:r>
    </w:p>
    <w:p>
      <w:pPr>
        <w:spacing w:after="0" w:line="187"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Dated: February 13, 2023</w:t>
      </w:r>
      <w:r>
        <w:rPr>
          <w:sz w:val="20"/>
          <w:szCs w:val="20"/>
          <w:color w:val="auto"/>
        </w:rPr>
        <w:tab/>
      </w:r>
      <w:r>
        <w:rPr>
          <w:rFonts w:ascii="Arial" w:cs="Arial" w:eastAsia="Arial" w:hAnsi="Arial"/>
          <w:sz w:val="16"/>
          <w:szCs w:val="16"/>
          <w:u w:val="single" w:color="auto"/>
          <w:color w:val="auto"/>
        </w:rPr>
        <w:t>Toronado Fund, L.P</w:t>
      </w:r>
      <w:r>
        <w:rPr>
          <w:rFonts w:ascii="Arial" w:cs="Arial" w:eastAsia="Arial" w:hAnsi="Arial"/>
          <w:sz w:val="16"/>
          <w:szCs w:val="16"/>
          <w:color w:val="auto"/>
        </w:rPr>
        <w:t>.</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Toronado Partners LLC, its investment manager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Toronado Partners LLC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 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Toronado Capital Management LLC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John Stephen Perkins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41B71E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79E2A9E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2023-02-14T05:35:17Z</dcterms:created>
  <dcterms:modified xsi:type="dcterms:W3CDTF">2023-02-14T05:35:17Z</dcterms:modified>
</cp:coreProperties>
</file>