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1234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9720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215, Daesin-ro, Heungdeok-gu</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Cheongju-si, Chungcheongbuk-do, 28429, Republic of Korea</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Office +82 43 718 3535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jonathan.kim@magnachip.com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August 16, 2017</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Martin James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MagnaChip Semiconductor Corporation</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21, 2017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001-34791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225"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provides the following information in response to the comments contained in the correspondence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dated August 2, 2017, relating to the aforementioned Form 10-K. For reference purposes, the text of your letter dated August 2, 2017, has been reproduced herein (in bold), with the Company’s response following such text. Unless the context otherwise requires, references to “MagnaChip,” “our,” “us,” or “we” mean MagnaChip Semiconductor Corporation on a consolidated basis with its wholly owned subsidiaries.</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4. Inventory, page 96</w:t>
      </w:r>
    </w:p>
    <w:p>
      <w:pPr>
        <w:spacing w:after="0" w:line="12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establish a reserve for inventory and present a roll-forward in the second table on page 96. Please address the following:</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Tell us what the reduction of $297 thousand presented as a ‘change in reserve’ in Fiscal 2015 represents.</w:t>
      </w:r>
    </w:p>
    <w:p>
      <w:pPr>
        <w:spacing w:after="0" w:line="130" w:lineRule="exact"/>
        <w:rPr>
          <w:rFonts w:ascii="Arial" w:cs="Arial" w:eastAsia="Arial" w:hAnsi="Arial"/>
          <w:sz w:val="18"/>
          <w:szCs w:val="18"/>
          <w:b w:val="1"/>
          <w:bCs w:val="1"/>
          <w:color w:val="auto"/>
        </w:rPr>
      </w:pPr>
    </w:p>
    <w:p>
      <w:pPr>
        <w:ind w:left="900" w:right="120" w:hanging="446"/>
        <w:spacing w:after="0" w:line="266" w:lineRule="auto"/>
        <w:tabs>
          <w:tab w:leader="none" w:pos="9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Tell us whether the ‘change in reserve’ caption is a net amount for each period presented in the table and if so, provide us with the gross amount of impairment charges recorded pursuant to ASC 330-10-35-2 and the gross amounts of any recoveries or other items that reduced the caption amount for each period.</w:t>
      </w:r>
    </w:p>
    <w:p>
      <w:pPr>
        <w:spacing w:after="0" w:line="81" w:lineRule="exact"/>
        <w:rPr>
          <w:rFonts w:ascii="Arial" w:cs="Arial" w:eastAsia="Arial" w:hAnsi="Arial"/>
          <w:sz w:val="18"/>
          <w:szCs w:val="18"/>
          <w:b w:val="1"/>
          <w:bCs w:val="1"/>
          <w:color w:val="auto"/>
        </w:rPr>
      </w:pPr>
    </w:p>
    <w:p>
      <w:pPr>
        <w:ind w:left="900" w:hanging="446"/>
        <w:spacing w:after="0"/>
        <w:tabs>
          <w:tab w:leader="none" w:pos="9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Explain to us how your accounting for impaired inventory complies with ASC 330-10-35-14 and SAB Topic 5.BB.</w:t>
      </w:r>
    </w:p>
    <w:p>
      <w:pPr>
        <w:spacing w:after="0" w:line="229" w:lineRule="exact"/>
        <w:rPr>
          <w:sz w:val="24"/>
          <w:szCs w:val="24"/>
          <w:color w:val="auto"/>
        </w:rPr>
      </w:pPr>
    </w:p>
    <w:p>
      <w:pPr>
        <w:spacing w:after="0" w:line="27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informs the Staff that the reduction of $297 thousand presented as a ‘change in reserve’ in the fiscal year ended December 31, 2015 represents a net change in reserve attributable to a reduction of reserves offset by an addition to inventory reserves established in the same period. The reduction of reserves was recorded in connection with previously reserved items that were sold during the period as a result of an unexpected increase in customer demand. The reduction of reserves did not cause any inventory to be written up as of December 31, 2015.</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MagnaChip Semiconductor, Ltd., 215, Daesin-ro, Heungdeok-gu, Cheongju-si, Chungcheongbuk-do, 28429, Republic of Korea</w:t>
      </w:r>
    </w:p>
    <w:p>
      <w:pPr>
        <w:sectPr>
          <w:pgSz w:w="11900" w:h="16838" w:orient="portrait"/>
          <w:cols w:equalWidth="0" w:num="1">
            <w:col w:w="11420"/>
          </w:cols>
          <w:pgMar w:left="240" w:top="233" w:right="239" w:bottom="1440" w:gutter="0" w:footer="0" w:header="0"/>
        </w:sectPr>
      </w:pPr>
    </w:p>
    <w:bookmarkStart w:id="1" w:name="page2"/>
    <w:bookmarkEnd w:id="1"/>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the gross amount of inventory reserve charged to cost of sales, recorded pursuant to ASC 330-10-35-2, and the reduction of inventory reserve for the sale of previously reserved inventory for the years ended December 31, 2016, 2015 and 2014 (in thousands):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60" w:type="dxa"/>
            <w:vAlign w:val="bottom"/>
          </w:tcPr>
          <w:p>
            <w:pPr>
              <w:spacing w:after="0"/>
              <w:rPr>
                <w:sz w:val="14"/>
                <w:szCs w:val="14"/>
                <w:color w:val="auto"/>
              </w:rPr>
            </w:pPr>
          </w:p>
        </w:tc>
        <w:tc>
          <w:tcPr>
            <w:tcW w:w="20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color w:val="auto"/>
                <w:w w:val="90"/>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2016</w:t>
            </w:r>
          </w:p>
        </w:tc>
        <w:tc>
          <w:tcPr>
            <w:tcW w:w="3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(16,033)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(47,488)</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(72,400)</w:t>
            </w:r>
          </w:p>
        </w:tc>
        <w:tc>
          <w:tcPr>
            <w:tcW w:w="100" w:type="dxa"/>
            <w:vAlign w:val="bottom"/>
            <w:shd w:val="clear" w:color="auto" w:fill="CCEEFF"/>
          </w:tcPr>
          <w:p>
            <w:pPr>
              <w:spacing w:after="0"/>
              <w:rPr>
                <w:sz w:val="18"/>
                <w:szCs w:val="18"/>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color w:val="auto"/>
              </w:rPr>
              <w:t>Change in reserve</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(13,635)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(12,938)</w:t>
            </w: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w:t>
            </w:r>
          </w:p>
        </w:tc>
        <w:tc>
          <w:tcPr>
            <w:tcW w:w="3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12,055</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w:t>
            </w:r>
          </w:p>
        </w:tc>
      </w:tr>
      <w:tr>
        <w:trPr>
          <w:trHeight w:val="324"/>
        </w:trPr>
        <w:tc>
          <w:tcPr>
            <w:tcW w:w="6860" w:type="dxa"/>
            <w:vAlign w:val="bottom"/>
          </w:tcPr>
          <w:p>
            <w:pPr>
              <w:spacing w:after="0"/>
              <w:rPr>
                <w:sz w:val="20"/>
                <w:szCs w:val="20"/>
                <w:color w:val="auto"/>
              </w:rPr>
            </w:pPr>
            <w:r>
              <w:rPr>
                <w:rFonts w:ascii="Arial" w:cs="Arial" w:eastAsia="Arial" w:hAnsi="Arial"/>
                <w:sz w:val="18"/>
                <w:szCs w:val="18"/>
                <w:color w:val="auto"/>
              </w:rPr>
              <w:t>Write off</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11,384</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29,146</w:t>
            </w:r>
          </w:p>
        </w:tc>
        <w:tc>
          <w:tcPr>
            <w:tcW w:w="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23,765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(16,033)</w:t>
            </w:r>
          </w:p>
        </w:tc>
        <w:tc>
          <w:tcPr>
            <w:tcW w:w="3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(47,488)</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evaluates the sufficiency of inventory reserves in accordance with ASC 330-10-35-2 and takes into consideration historical usage, expected demand, anticipated sales price, new product development schedules, the effect new products might have on the sale of existing products, product age and other factors. As a result, the Company’s inventory reserves are established when conditions indicate that the net realizable value is less than cost due to physical deterioration, obsolescence, changes in price levels, or other causes based on individual facts and circumstances. Reserves are also established for excess inventory based on the Company’s current inventory levels and projected demand and the Company’s ability to sell those specific products. Situations that could cause these inventory reserves include changes in business and economic conditions, changes in consumer confidence caused by changes in market conditions, sudden and significant decreases in demand for the Company’s products, inventory obsolescence because of rapidly changing technology and consumer requirements, or failure to estimate end customer demand properly.</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accordance with ASC 330-10-35-14 and SAB Topic 5.BB, once a reserve is established for a particular item based on the Company’s assessment as described above, it is maintained until the related item is sold or scrapped as a new cost basis has been established that cannot subsequently be marked up. In tracking the new cost basis for impaired inventory, the Company retains both the original cost and the aggregate of all write-downs (i.e. the inventory reserve) in the Company’s accounting records. When previously written down inventory is sold or scrapped, the reserve established for that inventory is reversed in the same period. As a result, the new cost basis is appropriately matched to the sale or scrap of the impaired inventory.</w:t>
      </w:r>
    </w:p>
    <w:p>
      <w:pPr>
        <w:spacing w:after="0" w:line="281" w:lineRule="exact"/>
        <w:rPr>
          <w:sz w:val="20"/>
          <w:szCs w:val="20"/>
          <w:color w:val="auto"/>
        </w:rPr>
      </w:pPr>
    </w:p>
    <w:p>
      <w:pPr>
        <w:jc w:val="center"/>
        <w:ind w:right="-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ind w:right="1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regarding our responses, please feel free to contact me by telephone at +82 43 718 3535 or by email at jonathan.kim@magnachip.com.</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W.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 Executive Vice President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Tara Harkins, SEC</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Theodore S. Kim, MagnaChip Semiconductor Corporation</w:t>
      </w:r>
    </w:p>
    <w:p>
      <w:pPr>
        <w:spacing w:after="0" w:line="130" w:lineRule="exact"/>
        <w:rPr>
          <w:rFonts w:ascii="Arial" w:cs="Arial" w:eastAsia="Arial" w:hAnsi="Arial"/>
          <w:sz w:val="18"/>
          <w:szCs w:val="18"/>
          <w:color w:val="auto"/>
        </w:rPr>
      </w:pPr>
    </w:p>
    <w:p>
      <w:pPr>
        <w:ind w:left="460" w:right="8640"/>
        <w:spacing w:after="0" w:line="381" w:lineRule="auto"/>
        <w:rPr>
          <w:rFonts w:ascii="Arial" w:cs="Arial" w:eastAsia="Arial" w:hAnsi="Arial"/>
          <w:sz w:val="18"/>
          <w:szCs w:val="18"/>
          <w:color w:val="auto"/>
        </w:rPr>
      </w:pPr>
      <w:r>
        <w:rPr>
          <w:rFonts w:ascii="Arial" w:cs="Arial" w:eastAsia="Arial" w:hAnsi="Arial"/>
          <w:sz w:val="15"/>
          <w:szCs w:val="15"/>
          <w:color w:val="auto"/>
        </w:rPr>
        <w:t>Stuart Ogg, Jones Day Micheal Reagan, Jones Day</w:t>
      </w:r>
    </w:p>
    <w:p>
      <w:pPr>
        <w:spacing w:after="0" w:line="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sectPr>
      <w:pgSz w:w="11900" w:h="16838" w:orient="portrait"/>
      <w:cols w:equalWidth="0" w:num="1">
        <w:col w:w="11100"/>
      </w:cols>
      <w:pgMar w:left="2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2019-12-07T00:08:37Z</dcterms:created>
  <dcterms:modified xsi:type="dcterms:W3CDTF">2019-12-07T00:08:37Z</dcterms:modified>
</cp:coreProperties>
</file>