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220980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Date of report (Date of earliest event reported): May 18,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205740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ind w:right="-179"/>
        <w:spacing w:after="0"/>
        <w:rPr>
          <w:sz w:val="20"/>
          <w:szCs w:val="20"/>
          <w:color w:val="auto"/>
        </w:rPr>
      </w:pPr>
      <w:r>
        <w:rPr>
          <w:rFonts w:ascii="Arial" w:cs="Arial" w:eastAsia="Arial" w:hAnsi="Arial"/>
          <w:sz w:val="39"/>
          <w:szCs w:val="39"/>
          <w:b w:val="1"/>
          <w:bCs w:val="1"/>
          <w:color w:val="auto"/>
        </w:rPr>
        <w:t>Magnachip Semiconductor Corporation</w:t>
      </w:r>
    </w:p>
    <w:p>
      <w:pPr>
        <w:spacing w:after="0" w:line="9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080"/>
          </w:cols>
          <w:pgMar w:left="320" w:top="535" w:right="499" w:bottom="1440" w:gutter="0" w:footer="0" w:header="0"/>
        </w:sectPr>
      </w:pPr>
    </w:p>
    <w:p>
      <w:pPr>
        <w:spacing w:after="0" w:line="205"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4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001-34791</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83-0406195</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00" w:space="720"/>
            <w:col w:w="2760" w:space="720"/>
            <w:col w:w="2980"/>
          </w:cols>
          <w:pgMar w:left="320" w:top="535" w:right="499" w:bottom="1440" w:gutter="0" w:footer="0" w:header="0"/>
          <w:type w:val="continuous"/>
        </w:sectPr>
      </w:pPr>
    </w:p>
    <w:p>
      <w:pPr>
        <w:spacing w:after="0" w:line="30" w:lineRule="exact"/>
        <w:rPr>
          <w:sz w:val="24"/>
          <w:szCs w:val="24"/>
          <w:color w:val="auto"/>
        </w:rPr>
      </w:pPr>
    </w:p>
    <w:p>
      <w:pPr>
        <w:jc w:val="center"/>
        <w:ind w:left="420" w:right="2100"/>
        <w:spacing w:after="0" w:line="261" w:lineRule="auto"/>
        <w:rPr>
          <w:sz w:val="20"/>
          <w:szCs w:val="20"/>
          <w:color w:val="auto"/>
        </w:rPr>
      </w:pPr>
      <w:r>
        <w:rPr>
          <w:rFonts w:ascii="Arial" w:cs="Arial" w:eastAsia="Arial" w:hAnsi="Arial"/>
          <w:sz w:val="18"/>
          <w:szCs w:val="18"/>
          <w:b w:val="1"/>
          <w:bCs w:val="1"/>
          <w:color w:val="auto"/>
        </w:rPr>
        <w:t>c/o Magnachip Semiconductor, Ltd. 15F, 76 Jikji-daero 436beon-gil, Heungdeok-gu Cheongju-si, Chungcheongbuk-do, 28581, Republic of Korea (Address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jc w:val="center"/>
        <w:ind w:right="2020"/>
        <w:spacing w:after="0"/>
        <w:rPr>
          <w:sz w:val="20"/>
          <w:szCs w:val="20"/>
          <w:color w:val="auto"/>
        </w:rPr>
      </w:pPr>
      <w:r>
        <w:rPr>
          <w:rFonts w:ascii="Arial" w:cs="Arial" w:eastAsia="Arial" w:hAnsi="Arial"/>
          <w:sz w:val="16"/>
          <w:szCs w:val="16"/>
          <w:b w:val="1"/>
          <w:bCs w:val="1"/>
          <w:color w:val="auto"/>
        </w:rPr>
        <w:t>Not Applicable</w:t>
      </w:r>
    </w:p>
    <w:p>
      <w:pPr>
        <w:spacing w:after="0" w:line="50" w:lineRule="exact"/>
        <w:rPr>
          <w:sz w:val="24"/>
          <w:szCs w:val="24"/>
          <w:color w:val="auto"/>
        </w:rPr>
      </w:pPr>
    </w:p>
    <w:p>
      <w:pPr>
        <w:jc w:val="center"/>
        <w:ind w:right="2020"/>
        <w:spacing w:after="0"/>
        <w:rPr>
          <w:sz w:val="20"/>
          <w:szCs w:val="20"/>
          <w:color w:val="auto"/>
        </w:rPr>
      </w:pPr>
      <w:r>
        <w:rPr>
          <w:rFonts w:ascii="Arial" w:cs="Arial" w:eastAsia="Arial" w:hAnsi="Arial"/>
          <w:sz w:val="18"/>
          <w:szCs w:val="18"/>
          <w:b w:val="1"/>
          <w:bCs w:val="1"/>
          <w:color w:val="auto"/>
        </w:rPr>
        <w:t>(Zip Code)</w:t>
      </w:r>
    </w:p>
    <w:p>
      <w:pPr>
        <w:spacing w:after="0" w:line="207" w:lineRule="exact"/>
        <w:rPr>
          <w:sz w:val="24"/>
          <w:szCs w:val="24"/>
          <w:color w:val="auto"/>
        </w:rPr>
      </w:pPr>
    </w:p>
    <w:p>
      <w:pPr>
        <w:sectPr>
          <w:pgSz w:w="11900" w:h="16838" w:orient="portrait"/>
          <w:cols w:equalWidth="0" w:num="2">
            <w:col w:w="7200" w:space="720"/>
            <w:col w:w="3160"/>
          </w:cols>
          <w:pgMar w:left="320" w:top="535" w:right="499" w:bottom="1440" w:gutter="0" w:footer="0" w:header="0"/>
          <w:type w:val="continuous"/>
        </w:sect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+82 (2) 6903-3000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214630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51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194"/>
        </w:trPr>
        <w:tc>
          <w:tcPr>
            <w:tcW w:w="1460" w:type="dxa"/>
            <w:vAlign w:val="bottom"/>
          </w:tcPr>
          <w:p>
            <w:pPr>
              <w:spacing w:after="0"/>
              <w:rPr>
                <w:sz w:val="16"/>
                <w:szCs w:val="16"/>
                <w:color w:val="auto"/>
              </w:rPr>
            </w:pPr>
          </w:p>
        </w:tc>
        <w:tc>
          <w:tcPr>
            <w:tcW w:w="136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87"/>
              </w:rPr>
              <w:t>Title of each class</w:t>
            </w:r>
          </w:p>
        </w:tc>
        <w:tc>
          <w:tcPr>
            <w:tcW w:w="2280" w:type="dxa"/>
            <w:vAlign w:val="bottom"/>
          </w:tcPr>
          <w:p>
            <w:pPr>
              <w:spacing w:after="0"/>
              <w:rPr>
                <w:sz w:val="16"/>
                <w:szCs w:val="16"/>
                <w:color w:val="auto"/>
              </w:rPr>
            </w:pPr>
          </w:p>
        </w:tc>
        <w:tc>
          <w:tcPr>
            <w:tcW w:w="124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1"/>
              </w:rPr>
              <w:t>Trading Symbol</w:t>
            </w:r>
          </w:p>
        </w:tc>
        <w:tc>
          <w:tcPr>
            <w:tcW w:w="1200" w:type="dxa"/>
            <w:vAlign w:val="bottom"/>
          </w:tcPr>
          <w:p>
            <w:pPr>
              <w:spacing w:after="0"/>
              <w:rPr>
                <w:sz w:val="16"/>
                <w:szCs w:val="16"/>
                <w:color w:val="auto"/>
              </w:rPr>
            </w:pPr>
          </w:p>
        </w:tc>
        <w:tc>
          <w:tcPr>
            <w:tcW w:w="334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7"/>
        </w:trPr>
        <w:tc>
          <w:tcPr>
            <w:tcW w:w="510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rPr>
              <w:t>MX</w:t>
            </w:r>
          </w:p>
        </w:tc>
        <w:tc>
          <w:tcPr>
            <w:tcW w:w="120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202"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35" w:right="49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Company held its 2023 Annual Meeting of Stockholders (“Annual Meeting”) on May 18, 2023. As of the close of business on the record date of April 6, 2023, there were 42,549,137 shares of the Company’s common stock outstanding and entitled to vote at the Annual Meeting. The number of shares of the Company’s common stock present at the meeting, in person or by proxy, was 34,496,754, or 81.08% of the outstanding shares entitled to vote.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At the meeting, the following proposals were submitted to a vote of the Company’s stockholders, with the final voting results indicated below:</w:t>
      </w:r>
    </w:p>
    <w:p>
      <w:pPr>
        <w:spacing w:after="0" w:line="225"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u w:val="single" w:color="auto"/>
          <w:color w:val="auto"/>
        </w:rPr>
        <w:t>Proposal 1 – Election of Directors</w:t>
      </w:r>
      <w:r>
        <w:rPr>
          <w:rFonts w:ascii="Arial" w:cs="Arial" w:eastAsia="Arial" w:hAnsi="Arial"/>
          <w:sz w:val="18"/>
          <w:szCs w:val="18"/>
          <w:color w:val="auto"/>
        </w:rPr>
        <w:t>. The Company’s stockholders elected the following six directors to serve until the 2024 Annual Meetings of Stockholders and until their respective successors are elected and qualified.</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3120" w:type="dxa"/>
            <w:vAlign w:val="bottom"/>
            <w:gridSpan w:val="3"/>
          </w:tcPr>
          <w:p>
            <w:pPr>
              <w:jc w:val="center"/>
              <w:ind w:left="1470"/>
              <w:spacing w:after="0"/>
              <w:rPr>
                <w:sz w:val="20"/>
                <w:szCs w:val="20"/>
                <w:color w:val="auto"/>
              </w:rPr>
            </w:pPr>
            <w:r>
              <w:rPr>
                <w:rFonts w:ascii="Arial" w:cs="Arial" w:eastAsia="Arial" w:hAnsi="Arial"/>
                <w:sz w:val="18"/>
                <w:szCs w:val="18"/>
                <w:b w:val="1"/>
                <w:bCs w:val="1"/>
                <w:color w:val="auto"/>
                <w:w w:val="96"/>
              </w:rPr>
              <w:t>For</w:t>
            </w:r>
          </w:p>
        </w:tc>
        <w:tc>
          <w:tcPr>
            <w:tcW w:w="38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Withheld</w:t>
            </w:r>
          </w:p>
        </w:tc>
        <w:tc>
          <w:tcPr>
            <w:tcW w:w="190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1"/>
              </w:rPr>
              <w:t>Broker Non-Votes</w:t>
            </w:r>
          </w:p>
        </w:tc>
      </w:tr>
      <w:tr>
        <w:trPr>
          <w:trHeight w:val="20"/>
        </w:trPr>
        <w:tc>
          <w:tcPr>
            <w:tcW w:w="36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Melvin L. Keating</w:t>
            </w:r>
          </w:p>
        </w:tc>
        <w:tc>
          <w:tcPr>
            <w:tcW w:w="3120" w:type="dxa"/>
            <w:vAlign w:val="bottom"/>
            <w:gridSpan w:val="3"/>
            <w:shd w:val="clear" w:color="auto" w:fill="CCEEFF"/>
          </w:tcPr>
          <w:p>
            <w:pPr>
              <w:jc w:val="center"/>
              <w:ind w:left="1470"/>
              <w:spacing w:after="0"/>
              <w:rPr>
                <w:sz w:val="20"/>
                <w:szCs w:val="20"/>
                <w:color w:val="auto"/>
              </w:rPr>
            </w:pPr>
            <w:r>
              <w:rPr>
                <w:rFonts w:ascii="Arial" w:cs="Arial" w:eastAsia="Arial" w:hAnsi="Arial"/>
                <w:sz w:val="18"/>
                <w:szCs w:val="18"/>
                <w:color w:val="auto"/>
                <w:w w:val="88"/>
              </w:rPr>
              <w:t>19,237,049</w:t>
            </w:r>
          </w:p>
        </w:tc>
        <w:tc>
          <w:tcPr>
            <w:tcW w:w="14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8,578,340</w:t>
            </w:r>
          </w:p>
        </w:tc>
        <w:tc>
          <w:tcPr>
            <w:tcW w:w="170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89"/>
              </w:rPr>
              <w:t>6,681,365</w:t>
            </w:r>
          </w:p>
        </w:tc>
        <w:tc>
          <w:tcPr>
            <w:tcW w:w="200" w:type="dxa"/>
            <w:vAlign w:val="bottom"/>
            <w:shd w:val="clear" w:color="auto" w:fill="CCEEFF"/>
          </w:tcPr>
          <w:p>
            <w:pPr>
              <w:spacing w:after="0"/>
              <w:rPr>
                <w:sz w:val="18"/>
                <w:szCs w:val="18"/>
                <w:color w:val="auto"/>
              </w:rPr>
            </w:pPr>
          </w:p>
        </w:tc>
      </w:tr>
      <w:tr>
        <w:trPr>
          <w:trHeight w:val="216"/>
        </w:trPr>
        <w:tc>
          <w:tcPr>
            <w:tcW w:w="3660" w:type="dxa"/>
            <w:vAlign w:val="bottom"/>
          </w:tcPr>
          <w:p>
            <w:pPr>
              <w:ind w:left="100"/>
              <w:spacing w:after="0"/>
              <w:rPr>
                <w:sz w:val="20"/>
                <w:szCs w:val="20"/>
                <w:color w:val="auto"/>
              </w:rPr>
            </w:pPr>
            <w:r>
              <w:rPr>
                <w:rFonts w:ascii="Arial" w:cs="Arial" w:eastAsia="Arial" w:hAnsi="Arial"/>
                <w:sz w:val="18"/>
                <w:szCs w:val="18"/>
                <w:color w:val="auto"/>
              </w:rPr>
              <w:t>Young-Joon (YJ) Kim</w:t>
            </w:r>
          </w:p>
        </w:tc>
        <w:tc>
          <w:tcPr>
            <w:tcW w:w="3120" w:type="dxa"/>
            <w:vAlign w:val="bottom"/>
            <w:gridSpan w:val="3"/>
          </w:tcPr>
          <w:p>
            <w:pPr>
              <w:jc w:val="center"/>
              <w:ind w:left="1470"/>
              <w:spacing w:after="0"/>
              <w:rPr>
                <w:sz w:val="20"/>
                <w:szCs w:val="20"/>
                <w:color w:val="auto"/>
              </w:rPr>
            </w:pPr>
            <w:r>
              <w:rPr>
                <w:rFonts w:ascii="Arial" w:cs="Arial" w:eastAsia="Arial" w:hAnsi="Arial"/>
                <w:sz w:val="18"/>
                <w:szCs w:val="18"/>
                <w:color w:val="auto"/>
                <w:w w:val="88"/>
              </w:rPr>
              <w:t>25,791,174</w:t>
            </w:r>
          </w:p>
        </w:tc>
        <w:tc>
          <w:tcPr>
            <w:tcW w:w="1420" w:type="dxa"/>
            <w:vAlign w:val="bottom"/>
            <w:gridSpan w:val="3"/>
          </w:tcPr>
          <w:p>
            <w:pPr>
              <w:ind w:left="380"/>
              <w:spacing w:after="0"/>
              <w:rPr>
                <w:sz w:val="20"/>
                <w:szCs w:val="20"/>
                <w:color w:val="auto"/>
              </w:rPr>
            </w:pPr>
            <w:r>
              <w:rPr>
                <w:rFonts w:ascii="Arial" w:cs="Arial" w:eastAsia="Arial" w:hAnsi="Arial"/>
                <w:sz w:val="18"/>
                <w:szCs w:val="18"/>
                <w:color w:val="auto"/>
              </w:rPr>
              <w:t>2,024,215</w:t>
            </w:r>
          </w:p>
        </w:tc>
        <w:tc>
          <w:tcPr>
            <w:tcW w:w="170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6,681,365</w:t>
            </w:r>
          </w:p>
        </w:tc>
        <w:tc>
          <w:tcPr>
            <w:tcW w:w="200" w:type="dxa"/>
            <w:vAlign w:val="bottom"/>
          </w:tcPr>
          <w:p>
            <w:pPr>
              <w:spacing w:after="0"/>
              <w:rPr>
                <w:sz w:val="18"/>
                <w:szCs w:val="18"/>
                <w:color w:val="auto"/>
              </w:rPr>
            </w:pPr>
          </w:p>
        </w:tc>
      </w:tr>
      <w:tr>
        <w:trPr>
          <w:trHeight w:val="216"/>
        </w:trPr>
        <w:tc>
          <w:tcPr>
            <w:tcW w:w="3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Ilbok Lee</w:t>
            </w:r>
          </w:p>
        </w:tc>
        <w:tc>
          <w:tcPr>
            <w:tcW w:w="3120" w:type="dxa"/>
            <w:vAlign w:val="bottom"/>
            <w:gridSpan w:val="3"/>
            <w:shd w:val="clear" w:color="auto" w:fill="CCEEFF"/>
          </w:tcPr>
          <w:p>
            <w:pPr>
              <w:jc w:val="center"/>
              <w:ind w:left="1470"/>
              <w:spacing w:after="0"/>
              <w:rPr>
                <w:sz w:val="20"/>
                <w:szCs w:val="20"/>
                <w:color w:val="auto"/>
              </w:rPr>
            </w:pPr>
            <w:r>
              <w:rPr>
                <w:rFonts w:ascii="Arial" w:cs="Arial" w:eastAsia="Arial" w:hAnsi="Arial"/>
                <w:sz w:val="18"/>
                <w:szCs w:val="18"/>
                <w:color w:val="auto"/>
                <w:w w:val="88"/>
              </w:rPr>
              <w:t>23,727,126</w:t>
            </w:r>
          </w:p>
        </w:tc>
        <w:tc>
          <w:tcPr>
            <w:tcW w:w="14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4,088,263</w:t>
            </w:r>
          </w:p>
        </w:tc>
        <w:tc>
          <w:tcPr>
            <w:tcW w:w="170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89"/>
              </w:rPr>
              <w:t>6,681,365</w:t>
            </w:r>
          </w:p>
        </w:tc>
        <w:tc>
          <w:tcPr>
            <w:tcW w:w="200" w:type="dxa"/>
            <w:vAlign w:val="bottom"/>
            <w:shd w:val="clear" w:color="auto" w:fill="CCEEFF"/>
          </w:tcPr>
          <w:p>
            <w:pPr>
              <w:spacing w:after="0"/>
              <w:rPr>
                <w:sz w:val="18"/>
                <w:szCs w:val="18"/>
                <w:color w:val="auto"/>
              </w:rPr>
            </w:pPr>
          </w:p>
        </w:tc>
      </w:tr>
      <w:tr>
        <w:trPr>
          <w:trHeight w:val="216"/>
        </w:trPr>
        <w:tc>
          <w:tcPr>
            <w:tcW w:w="3660" w:type="dxa"/>
            <w:vAlign w:val="bottom"/>
          </w:tcPr>
          <w:p>
            <w:pPr>
              <w:ind w:left="100"/>
              <w:spacing w:after="0"/>
              <w:rPr>
                <w:sz w:val="20"/>
                <w:szCs w:val="20"/>
                <w:color w:val="auto"/>
              </w:rPr>
            </w:pPr>
            <w:r>
              <w:rPr>
                <w:rFonts w:ascii="Arial" w:cs="Arial" w:eastAsia="Arial" w:hAnsi="Arial"/>
                <w:sz w:val="18"/>
                <w:szCs w:val="18"/>
                <w:color w:val="auto"/>
              </w:rPr>
              <w:t>Camillo Martino</w:t>
            </w:r>
          </w:p>
        </w:tc>
        <w:tc>
          <w:tcPr>
            <w:tcW w:w="3120" w:type="dxa"/>
            <w:vAlign w:val="bottom"/>
            <w:gridSpan w:val="3"/>
          </w:tcPr>
          <w:p>
            <w:pPr>
              <w:jc w:val="center"/>
              <w:ind w:left="1470"/>
              <w:spacing w:after="0"/>
              <w:rPr>
                <w:sz w:val="20"/>
                <w:szCs w:val="20"/>
                <w:color w:val="auto"/>
              </w:rPr>
            </w:pPr>
            <w:r>
              <w:rPr>
                <w:rFonts w:ascii="Arial" w:cs="Arial" w:eastAsia="Arial" w:hAnsi="Arial"/>
                <w:sz w:val="18"/>
                <w:szCs w:val="18"/>
                <w:color w:val="auto"/>
                <w:w w:val="88"/>
              </w:rPr>
              <w:t>24,972,515</w:t>
            </w:r>
          </w:p>
        </w:tc>
        <w:tc>
          <w:tcPr>
            <w:tcW w:w="1420" w:type="dxa"/>
            <w:vAlign w:val="bottom"/>
            <w:gridSpan w:val="3"/>
          </w:tcPr>
          <w:p>
            <w:pPr>
              <w:ind w:left="380"/>
              <w:spacing w:after="0"/>
              <w:rPr>
                <w:sz w:val="20"/>
                <w:szCs w:val="20"/>
                <w:color w:val="auto"/>
              </w:rPr>
            </w:pPr>
            <w:r>
              <w:rPr>
                <w:rFonts w:ascii="Arial" w:cs="Arial" w:eastAsia="Arial" w:hAnsi="Arial"/>
                <w:sz w:val="18"/>
                <w:szCs w:val="18"/>
                <w:color w:val="auto"/>
              </w:rPr>
              <w:t>2,842,874</w:t>
            </w:r>
          </w:p>
        </w:tc>
        <w:tc>
          <w:tcPr>
            <w:tcW w:w="170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6,681,365</w:t>
            </w:r>
          </w:p>
        </w:tc>
        <w:tc>
          <w:tcPr>
            <w:tcW w:w="200" w:type="dxa"/>
            <w:vAlign w:val="bottom"/>
          </w:tcPr>
          <w:p>
            <w:pPr>
              <w:spacing w:after="0"/>
              <w:rPr>
                <w:sz w:val="18"/>
                <w:szCs w:val="18"/>
                <w:color w:val="auto"/>
              </w:rPr>
            </w:pPr>
          </w:p>
        </w:tc>
      </w:tr>
      <w:tr>
        <w:trPr>
          <w:trHeight w:val="216"/>
        </w:trPr>
        <w:tc>
          <w:tcPr>
            <w:tcW w:w="3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Gary Tanner</w:t>
            </w:r>
          </w:p>
        </w:tc>
        <w:tc>
          <w:tcPr>
            <w:tcW w:w="3120" w:type="dxa"/>
            <w:vAlign w:val="bottom"/>
            <w:gridSpan w:val="3"/>
            <w:shd w:val="clear" w:color="auto" w:fill="CCEEFF"/>
          </w:tcPr>
          <w:p>
            <w:pPr>
              <w:jc w:val="center"/>
              <w:ind w:left="1470"/>
              <w:spacing w:after="0"/>
              <w:rPr>
                <w:sz w:val="20"/>
                <w:szCs w:val="20"/>
                <w:color w:val="auto"/>
              </w:rPr>
            </w:pPr>
            <w:r>
              <w:rPr>
                <w:rFonts w:ascii="Arial" w:cs="Arial" w:eastAsia="Arial" w:hAnsi="Arial"/>
                <w:sz w:val="18"/>
                <w:szCs w:val="18"/>
                <w:color w:val="auto"/>
                <w:w w:val="88"/>
              </w:rPr>
              <w:t>20,176,625</w:t>
            </w:r>
          </w:p>
        </w:tc>
        <w:tc>
          <w:tcPr>
            <w:tcW w:w="14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7,638,764</w:t>
            </w:r>
          </w:p>
        </w:tc>
        <w:tc>
          <w:tcPr>
            <w:tcW w:w="170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89"/>
              </w:rPr>
              <w:t>6,681,365</w:t>
            </w:r>
          </w:p>
        </w:tc>
        <w:tc>
          <w:tcPr>
            <w:tcW w:w="200" w:type="dxa"/>
            <w:vAlign w:val="bottom"/>
            <w:shd w:val="clear" w:color="auto" w:fill="CCEEFF"/>
          </w:tcPr>
          <w:p>
            <w:pPr>
              <w:spacing w:after="0"/>
              <w:rPr>
                <w:sz w:val="18"/>
                <w:szCs w:val="18"/>
                <w:color w:val="auto"/>
              </w:rPr>
            </w:pPr>
          </w:p>
        </w:tc>
      </w:tr>
      <w:tr>
        <w:trPr>
          <w:trHeight w:val="230"/>
        </w:trPr>
        <w:tc>
          <w:tcPr>
            <w:tcW w:w="3660" w:type="dxa"/>
            <w:vAlign w:val="bottom"/>
          </w:tcPr>
          <w:p>
            <w:pPr>
              <w:ind w:left="100"/>
              <w:spacing w:after="0"/>
              <w:rPr>
                <w:sz w:val="20"/>
                <w:szCs w:val="20"/>
                <w:color w:val="auto"/>
              </w:rPr>
            </w:pPr>
            <w:r>
              <w:rPr>
                <w:rFonts w:ascii="Arial" w:cs="Arial" w:eastAsia="Arial" w:hAnsi="Arial"/>
                <w:sz w:val="18"/>
                <w:szCs w:val="18"/>
                <w:color w:val="auto"/>
              </w:rPr>
              <w:t>Kyo-Hwa (Liz) Chung</w:t>
            </w:r>
          </w:p>
        </w:tc>
        <w:tc>
          <w:tcPr>
            <w:tcW w:w="3120" w:type="dxa"/>
            <w:vAlign w:val="bottom"/>
            <w:gridSpan w:val="3"/>
          </w:tcPr>
          <w:p>
            <w:pPr>
              <w:jc w:val="center"/>
              <w:ind w:left="1470"/>
              <w:spacing w:after="0"/>
              <w:rPr>
                <w:sz w:val="20"/>
                <w:szCs w:val="20"/>
                <w:color w:val="auto"/>
              </w:rPr>
            </w:pPr>
            <w:r>
              <w:rPr>
                <w:rFonts w:ascii="Arial" w:cs="Arial" w:eastAsia="Arial" w:hAnsi="Arial"/>
                <w:sz w:val="18"/>
                <w:szCs w:val="18"/>
                <w:color w:val="auto"/>
                <w:w w:val="88"/>
              </w:rPr>
              <w:t>25,798,282</w:t>
            </w:r>
          </w:p>
        </w:tc>
        <w:tc>
          <w:tcPr>
            <w:tcW w:w="1420" w:type="dxa"/>
            <w:vAlign w:val="bottom"/>
            <w:gridSpan w:val="3"/>
          </w:tcPr>
          <w:p>
            <w:pPr>
              <w:ind w:left="380"/>
              <w:spacing w:after="0"/>
              <w:rPr>
                <w:sz w:val="20"/>
                <w:szCs w:val="20"/>
                <w:color w:val="auto"/>
              </w:rPr>
            </w:pPr>
            <w:r>
              <w:rPr>
                <w:rFonts w:ascii="Arial" w:cs="Arial" w:eastAsia="Arial" w:hAnsi="Arial"/>
                <w:sz w:val="18"/>
                <w:szCs w:val="18"/>
                <w:color w:val="auto"/>
              </w:rPr>
              <w:t>2,017,107</w:t>
            </w:r>
          </w:p>
        </w:tc>
        <w:tc>
          <w:tcPr>
            <w:tcW w:w="170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6,681,365</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u w:val="single" w:color="auto"/>
          <w:color w:val="auto"/>
        </w:rPr>
        <w:t>Proposal 2 – Advisory Vote on the Compensation of the Named Executive Officers</w:t>
      </w:r>
      <w:r>
        <w:rPr>
          <w:rFonts w:ascii="Arial" w:cs="Arial" w:eastAsia="Arial" w:hAnsi="Arial"/>
          <w:sz w:val="18"/>
          <w:szCs w:val="18"/>
          <w:color w:val="auto"/>
        </w:rPr>
        <w:t>. The Company’s stockholders approved, on an advisory basis, the compensation of the Company’s named executive officers as disclosed in the Company’s 2023 proxy materials.</w:t>
      </w:r>
    </w:p>
    <w:p>
      <w:pPr>
        <w:spacing w:after="0" w:line="153"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22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6"/>
              </w:rPr>
              <w:t>For</w:t>
            </w:r>
          </w:p>
        </w:tc>
        <w:tc>
          <w:tcPr>
            <w:tcW w:w="2960" w:type="dxa"/>
            <w:vAlign w:val="bottom"/>
            <w:gridSpan w:val="3"/>
          </w:tcPr>
          <w:p>
            <w:pPr>
              <w:jc w:val="center"/>
              <w:ind w:right="760"/>
              <w:spacing w:after="0"/>
              <w:rPr>
                <w:sz w:val="20"/>
                <w:szCs w:val="20"/>
                <w:color w:val="auto"/>
              </w:rPr>
            </w:pPr>
            <w:r>
              <w:rPr>
                <w:rFonts w:ascii="Arial" w:cs="Arial" w:eastAsia="Arial" w:hAnsi="Arial"/>
                <w:sz w:val="18"/>
                <w:szCs w:val="18"/>
                <w:b w:val="1"/>
                <w:bCs w:val="1"/>
                <w:color w:val="auto"/>
                <w:w w:val="90"/>
              </w:rPr>
              <w:t>Against</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9"/>
              </w:rPr>
              <w:t>Abstained</w:t>
            </w:r>
          </w:p>
        </w:tc>
        <w:tc>
          <w:tcPr>
            <w:tcW w:w="298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90"/>
              </w:rPr>
              <w:t>Broker Non-Votes</w:t>
            </w:r>
          </w:p>
        </w:tc>
      </w:tr>
      <w:tr>
        <w:trPr>
          <w:trHeight w:val="21"/>
        </w:trPr>
        <w:tc>
          <w:tcPr>
            <w:tcW w:w="100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6"/>
        </w:trPr>
        <w:tc>
          <w:tcPr>
            <w:tcW w:w="22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24,785,988</w:t>
            </w:r>
          </w:p>
        </w:tc>
        <w:tc>
          <w:tcPr>
            <w:tcW w:w="2960" w:type="dxa"/>
            <w:vAlign w:val="bottom"/>
            <w:gridSpan w:val="3"/>
            <w:shd w:val="clear" w:color="auto" w:fill="CCEEFF"/>
          </w:tcPr>
          <w:p>
            <w:pPr>
              <w:jc w:val="right"/>
              <w:ind w:right="1500"/>
              <w:spacing w:after="0"/>
              <w:rPr>
                <w:sz w:val="20"/>
                <w:szCs w:val="20"/>
                <w:color w:val="auto"/>
              </w:rPr>
            </w:pPr>
            <w:r>
              <w:rPr>
                <w:rFonts w:ascii="Arial" w:cs="Arial" w:eastAsia="Arial" w:hAnsi="Arial"/>
                <w:sz w:val="18"/>
                <w:szCs w:val="18"/>
                <w:color w:val="auto"/>
              </w:rPr>
              <w:t>2,196,951</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832,450</w:t>
            </w:r>
          </w:p>
        </w:tc>
        <w:tc>
          <w:tcPr>
            <w:tcW w:w="2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6,681,365</w:t>
            </w:r>
          </w:p>
        </w:tc>
        <w:tc>
          <w:tcPr>
            <w:tcW w:w="4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880"/>
        <w:spacing w:after="0" w:line="342" w:lineRule="auto"/>
        <w:rPr>
          <w:sz w:val="20"/>
          <w:szCs w:val="20"/>
          <w:color w:val="auto"/>
        </w:rPr>
      </w:pPr>
      <w:r>
        <w:rPr>
          <w:rFonts w:ascii="Arial" w:cs="Arial" w:eastAsia="Arial" w:hAnsi="Arial"/>
          <w:sz w:val="16"/>
          <w:szCs w:val="16"/>
          <w:u w:val="single" w:color="auto"/>
          <w:color w:val="auto"/>
        </w:rPr>
        <w:t>Proposal 3 – Ratification of the Appointment of Samil PricewaterhouseCoopers</w:t>
      </w:r>
      <w:r>
        <w:rPr>
          <w:rFonts w:ascii="Arial" w:cs="Arial" w:eastAsia="Arial" w:hAnsi="Arial"/>
          <w:sz w:val="16"/>
          <w:szCs w:val="16"/>
          <w:color w:val="auto"/>
        </w:rPr>
        <w:t>. The Company’s stockholders ratified the appointment of Samil PricewaterhouseCoopers as the Company’s independent registered public accounting firm for the fiscal year ending December 31, 2023.</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Pr>
          <w:p>
            <w:pPr>
              <w:spacing w:after="0"/>
              <w:rPr>
                <w:sz w:val="17"/>
                <w:szCs w:val="17"/>
                <w:color w:val="auto"/>
              </w:rPr>
            </w:pPr>
          </w:p>
        </w:tc>
        <w:tc>
          <w:tcPr>
            <w:tcW w:w="25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6"/>
              </w:rPr>
              <w:t>For</w:t>
            </w:r>
          </w:p>
        </w:tc>
        <w:tc>
          <w:tcPr>
            <w:tcW w:w="1120" w:type="dxa"/>
            <w:vAlign w:val="bottom"/>
            <w:gridSpan w:val="2"/>
          </w:tcPr>
          <w:p>
            <w:pPr>
              <w:ind w:left="520"/>
              <w:spacing w:after="0"/>
              <w:rPr>
                <w:sz w:val="20"/>
                <w:szCs w:val="20"/>
                <w:color w:val="auto"/>
              </w:rPr>
            </w:pPr>
            <w:r>
              <w:rPr>
                <w:rFonts w:ascii="Arial" w:cs="Arial" w:eastAsia="Arial" w:hAnsi="Arial"/>
                <w:sz w:val="18"/>
                <w:szCs w:val="18"/>
                <w:b w:val="1"/>
                <w:bCs w:val="1"/>
                <w:color w:val="auto"/>
                <w:w w:val="87"/>
              </w:rPr>
              <w:t>Against</w:t>
            </w:r>
          </w:p>
        </w:tc>
        <w:tc>
          <w:tcPr>
            <w:tcW w:w="308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89"/>
              </w:rPr>
              <w:t>Abstained</w:t>
            </w:r>
          </w:p>
        </w:tc>
        <w:tc>
          <w:tcPr>
            <w:tcW w:w="0" w:type="dxa"/>
            <w:vAlign w:val="bottom"/>
          </w:tcPr>
          <w:p>
            <w:pPr>
              <w:spacing w:after="0"/>
              <w:rPr>
                <w:sz w:val="1"/>
                <w:szCs w:val="1"/>
                <w:color w:val="auto"/>
              </w:rPr>
            </w:pPr>
          </w:p>
        </w:tc>
      </w:tr>
      <w:tr>
        <w:trPr>
          <w:trHeight w:val="21"/>
        </w:trPr>
        <w:tc>
          <w:tcPr>
            <w:tcW w:w="224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240" w:type="dxa"/>
            <w:vAlign w:val="bottom"/>
            <w:vMerge w:val="continue"/>
          </w:tcPr>
          <w:p>
            <w:pPr>
              <w:spacing w:after="0"/>
              <w:rPr>
                <w:sz w:val="18"/>
                <w:szCs w:val="18"/>
                <w:color w:val="auto"/>
              </w:rPr>
            </w:pPr>
          </w:p>
        </w:tc>
        <w:tc>
          <w:tcPr>
            <w:tcW w:w="256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34,210,803</w:t>
            </w: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86"/>
              </w:rPr>
              <w:t>268,306</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17,645</w:t>
            </w: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800" w:type="dxa"/>
            <w:vAlign w:val="bottom"/>
            <w:gridSpan w:val="4"/>
          </w:tcPr>
          <w:p>
            <w:pPr>
              <w:spacing w:after="0"/>
              <w:rPr>
                <w:sz w:val="20"/>
                <w:szCs w:val="20"/>
                <w:color w:val="auto"/>
              </w:rPr>
            </w:pPr>
            <w:r>
              <w:rPr>
                <w:rFonts w:ascii="Arial" w:cs="Arial" w:eastAsia="Arial" w:hAnsi="Arial"/>
                <w:sz w:val="18"/>
                <w:szCs w:val="18"/>
                <w:color w:val="auto"/>
              </w:rPr>
              <w:t>There were no broker non-votes with respect to Proposal 3.</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u w:val="single" w:color="auto"/>
          <w:color w:val="auto"/>
        </w:rPr>
        <w:t>Proposal 4 – Approval of Amended and Restated 2020 Equity and Incentive Compensation Plan</w:t>
      </w:r>
      <w:r>
        <w:rPr>
          <w:rFonts w:ascii="Arial" w:cs="Arial" w:eastAsia="Arial" w:hAnsi="Arial"/>
          <w:sz w:val="18"/>
          <w:szCs w:val="18"/>
          <w:color w:val="auto"/>
        </w:rPr>
        <w:t>. The Company’s stockholders approved the Company’s Amended and Restated 2020 Equity and Incentive Compensation Plan.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8"/>
                <w:szCs w:val="18"/>
                <w:color w:val="auto"/>
              </w:rPr>
            </w:pPr>
          </w:p>
        </w:tc>
        <w:tc>
          <w:tcPr>
            <w:tcW w:w="22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6"/>
              </w:rPr>
              <w:t>For</w:t>
            </w:r>
          </w:p>
        </w:tc>
        <w:tc>
          <w:tcPr>
            <w:tcW w:w="2960" w:type="dxa"/>
            <w:vAlign w:val="bottom"/>
            <w:gridSpan w:val="3"/>
          </w:tcPr>
          <w:p>
            <w:pPr>
              <w:jc w:val="center"/>
              <w:ind w:right="760"/>
              <w:spacing w:after="0"/>
              <w:rPr>
                <w:sz w:val="20"/>
                <w:szCs w:val="20"/>
                <w:color w:val="auto"/>
              </w:rPr>
            </w:pPr>
            <w:r>
              <w:rPr>
                <w:rFonts w:ascii="Arial" w:cs="Arial" w:eastAsia="Arial" w:hAnsi="Arial"/>
                <w:sz w:val="18"/>
                <w:szCs w:val="18"/>
                <w:b w:val="1"/>
                <w:bCs w:val="1"/>
                <w:color w:val="auto"/>
                <w:w w:val="90"/>
              </w:rPr>
              <w:t>Against</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9"/>
              </w:rPr>
              <w:t>Abstained</w:t>
            </w:r>
          </w:p>
        </w:tc>
        <w:tc>
          <w:tcPr>
            <w:tcW w:w="298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90"/>
              </w:rPr>
              <w:t>Broker Non-Votes</w:t>
            </w:r>
          </w:p>
        </w:tc>
        <w:tc>
          <w:tcPr>
            <w:tcW w:w="1120" w:type="dxa"/>
            <w:vAlign w:val="bottom"/>
          </w:tcPr>
          <w:p>
            <w:pPr>
              <w:spacing w:after="0"/>
              <w:rPr>
                <w:sz w:val="18"/>
                <w:szCs w:val="18"/>
                <w:color w:val="auto"/>
              </w:rPr>
            </w:pPr>
          </w:p>
        </w:tc>
      </w:tr>
      <w:tr>
        <w:trPr>
          <w:trHeight w:val="21"/>
        </w:trPr>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1120" w:type="dxa"/>
            <w:vAlign w:val="bottom"/>
          </w:tcPr>
          <w:p>
            <w:pPr>
              <w:spacing w:after="0"/>
              <w:rPr>
                <w:sz w:val="18"/>
                <w:szCs w:val="18"/>
                <w:color w:val="auto"/>
              </w:rPr>
            </w:pPr>
          </w:p>
        </w:tc>
        <w:tc>
          <w:tcPr>
            <w:tcW w:w="22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23,873,521</w:t>
            </w:r>
          </w:p>
        </w:tc>
        <w:tc>
          <w:tcPr>
            <w:tcW w:w="2960" w:type="dxa"/>
            <w:vAlign w:val="bottom"/>
            <w:gridSpan w:val="3"/>
            <w:shd w:val="clear" w:color="auto" w:fill="CCEEFF"/>
          </w:tcPr>
          <w:p>
            <w:pPr>
              <w:jc w:val="right"/>
              <w:ind w:right="1500"/>
              <w:spacing w:after="0"/>
              <w:rPr>
                <w:sz w:val="20"/>
                <w:szCs w:val="20"/>
                <w:color w:val="auto"/>
              </w:rPr>
            </w:pPr>
            <w:r>
              <w:rPr>
                <w:rFonts w:ascii="Arial" w:cs="Arial" w:eastAsia="Arial" w:hAnsi="Arial"/>
                <w:sz w:val="18"/>
                <w:szCs w:val="18"/>
                <w:color w:val="auto"/>
              </w:rPr>
              <w:t>3,904,687</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37,181</w:t>
            </w:r>
          </w:p>
        </w:tc>
        <w:tc>
          <w:tcPr>
            <w:tcW w:w="2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6,681,365</w:t>
            </w:r>
          </w:p>
        </w:tc>
        <w:tc>
          <w:tcPr>
            <w:tcW w:w="44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398"/>
        </w:trPr>
        <w:tc>
          <w:tcPr>
            <w:tcW w:w="1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jc w:val="center"/>
        <w:ind w:right="-5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May 19, 2023</w:t>
      </w:r>
      <w:r>
        <w:rPr>
          <w:sz w:val="20"/>
          <w:szCs w:val="20"/>
          <w:color w:val="auto"/>
        </w:rPr>
        <w:tab/>
      </w:r>
      <w:r>
        <w:rPr>
          <w:rFonts w:ascii="Arial" w:cs="Arial" w:eastAsia="Arial" w:hAnsi="Arial"/>
          <w:sz w:val="17"/>
          <w:szCs w:val="17"/>
          <w:color w:val="auto"/>
        </w:rPr>
        <w:t>By: /s/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21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2165"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Theodore Kim</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Compliance Officer,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720"/>
      </w:cols>
      <w:pgMar w:left="320" w:top="121"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2023-05-19T15:38:35Z</dcterms:created>
  <dcterms:modified xsi:type="dcterms:W3CDTF">2023-05-19T15:38:35Z</dcterms:modified>
</cp:coreProperties>
</file>