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160" w:right="3900" w:hanging="4152"/>
        <w:spacing w:after="0" w:line="488" w:lineRule="auto"/>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April 1, 2007</w:t>
      </w:r>
    </w:p>
    <w:p>
      <w:pPr>
        <w:ind w:left="5640"/>
        <w:spacing w:after="0"/>
        <w:rPr>
          <w:rFonts w:ascii="MS PGothic" w:cs="MS PGothic" w:eastAsia="MS PGothic" w:hAnsi="MS PGothic"/>
          <w:sz w:val="16"/>
          <w:szCs w:val="16"/>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-13970</wp:posOffset>
            </wp:positionV>
            <wp:extent cx="125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510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100" w:type="dxa"/>
            <w:vAlign w:val="bottom"/>
          </w:tcPr>
          <w:p>
            <w:pPr>
              <w:jc w:val="center"/>
              <w:ind w:right="1741"/>
              <w:spacing w:after="0"/>
              <w:rPr>
                <w:sz w:val="20"/>
                <w:szCs w:val="20"/>
                <w:color w:val="auto"/>
              </w:rPr>
            </w:pPr>
            <w:r>
              <w:rPr>
                <w:rFonts w:ascii="Arial" w:cs="Arial" w:eastAsia="Arial" w:hAnsi="Arial"/>
                <w:sz w:val="18"/>
                <w:szCs w:val="18"/>
                <w:b w:val="1"/>
                <w:bCs w:val="1"/>
                <w:color w:val="auto"/>
                <w:w w:val="88"/>
              </w:rPr>
              <w:t>c/o MagnaChip Semiconductor S.A.</w:t>
            </w:r>
          </w:p>
        </w:tc>
        <w:tc>
          <w:tcPr>
            <w:tcW w:w="2920" w:type="dxa"/>
            <w:vAlign w:val="bottom"/>
          </w:tcPr>
          <w:p>
            <w:pPr>
              <w:spacing w:after="0"/>
              <w:rPr>
                <w:sz w:val="24"/>
                <w:szCs w:val="24"/>
                <w:color w:val="auto"/>
              </w:rPr>
            </w:pPr>
          </w:p>
        </w:tc>
      </w:tr>
      <w:tr>
        <w:trPr>
          <w:trHeight w:val="216"/>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74, rue de Merl, B.P. 709, L-2017</w:t>
            </w:r>
          </w:p>
        </w:tc>
        <w:tc>
          <w:tcPr>
            <w:tcW w:w="2920" w:type="dxa"/>
            <w:vAlign w:val="bottom"/>
          </w:tcPr>
          <w:p>
            <w:pPr>
              <w:spacing w:after="0"/>
              <w:rPr>
                <w:sz w:val="18"/>
                <w:szCs w:val="18"/>
                <w:color w:val="auto"/>
              </w:rPr>
            </w:pPr>
          </w:p>
        </w:tc>
      </w:tr>
      <w:tr>
        <w:trPr>
          <w:trHeight w:val="231"/>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6"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 See the definition of “accelerated filer and large accelerated filer” in Rule 12b-2 of the Exchange Act.</w:t>
      </w:r>
    </w:p>
    <w:p>
      <w:pPr>
        <w:spacing w:after="0" w:line="99" w:lineRule="exact"/>
        <w:rPr>
          <w:sz w:val="24"/>
          <w:szCs w:val="24"/>
          <w:color w:val="auto"/>
        </w:rPr>
      </w:pPr>
    </w:p>
    <w:p>
      <w:pPr>
        <w:ind w:left="2700"/>
        <w:spacing w:after="0" w:line="207" w:lineRule="exact"/>
        <w:tabs>
          <w:tab w:leader="none" w:pos="5020" w:val="left"/>
          <w:tab w:leader="none" w:pos="6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184" w:lineRule="exact"/>
        <w:tabs>
          <w:tab w:leader="none" w:pos="91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May 1, 2007, the registrant had 52,720,784.0470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gridSpan w:val="14"/>
            <w:vMerge w:val="restart"/>
          </w:tcPr>
          <w:p>
            <w:pPr>
              <w:spacing w:after="0"/>
              <w:rPr>
                <w:sz w:val="20"/>
                <w:szCs w:val="20"/>
                <w:color w:val="auto"/>
              </w:rPr>
            </w:pPr>
            <w:r>
              <w:rPr>
                <w:rFonts w:ascii="Arial" w:cs="Arial" w:eastAsia="Arial" w:hAnsi="Arial"/>
                <w:sz w:val="18"/>
                <w:szCs w:val="18"/>
                <w:color w:val="auto"/>
              </w:rPr>
              <w:t>PART I FINANCIAL INFORMATION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208"/>
        </w:trPr>
        <w:tc>
          <w:tcPr>
            <w:tcW w:w="10900" w:type="dxa"/>
            <w:vAlign w:val="bottom"/>
            <w:gridSpan w:val="14"/>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7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676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tcPr>
          <w:p>
            <w:pPr>
              <w:spacing w:after="0"/>
              <w:rPr>
                <w:sz w:val="24"/>
                <w:szCs w:val="24"/>
                <w:color w:val="auto"/>
              </w:rPr>
            </w:pPr>
          </w:p>
        </w:tc>
        <w:tc>
          <w:tcPr>
            <w:tcW w:w="55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2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Unitholders’ Equity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Borders>
              <w:top w:val="single" w:sz="8" w:color="0000EE"/>
            </w:tcBorders>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410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52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7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2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7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912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780" w:type="dxa"/>
            <w:vAlign w:val="bottom"/>
            <w:gridSpan w:val="2"/>
          </w:tcPr>
          <w:p>
            <w:pPr>
              <w:ind w:left="440"/>
              <w:spacing w:after="0"/>
              <w:rPr>
                <w:sz w:val="20"/>
                <w:szCs w:val="20"/>
                <w:color w:val="auto"/>
              </w:rPr>
            </w:pPr>
            <w:r>
              <w:rPr>
                <w:rFonts w:ascii="Arial" w:cs="Arial" w:eastAsia="Arial" w:hAnsi="Arial"/>
                <w:sz w:val="18"/>
                <w:szCs w:val="18"/>
                <w:color w:val="auto"/>
              </w:rPr>
              <w:t>Item 4T.</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88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900" w:type="dxa"/>
            <w:vAlign w:val="bottom"/>
            <w:gridSpan w:val="14"/>
          </w:tcPr>
          <w:p>
            <w:pPr>
              <w:spacing w:after="0"/>
              <w:rPr>
                <w:sz w:val="20"/>
                <w:szCs w:val="20"/>
                <w:color w:val="auto"/>
              </w:rPr>
            </w:pPr>
            <w:r>
              <w:rPr>
                <w:rFonts w:ascii="Arial" w:cs="Arial" w:eastAsia="Arial" w:hAnsi="Arial"/>
                <w:sz w:val="18"/>
                <w:szCs w:val="18"/>
                <w:color w:val="auto"/>
              </w:rPr>
              <w:t>PART II 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78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824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78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912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78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20" w:type="dxa"/>
            <w:vAlign w:val="bottom"/>
          </w:tcPr>
          <w:p>
            <w:pPr>
              <w:jc w:val="center"/>
              <w:ind w:left="1832"/>
              <w:spacing w:after="0"/>
              <w:rPr>
                <w:sz w:val="20"/>
                <w:szCs w:val="20"/>
                <w:color w:val="auto"/>
              </w:rPr>
            </w:pPr>
            <w:r>
              <w:rPr>
                <w:rFonts w:ascii="Arial" w:cs="Arial" w:eastAsia="Arial" w:hAnsi="Arial"/>
                <w:sz w:val="18"/>
                <w:szCs w:val="18"/>
                <w:b w:val="1"/>
                <w:bCs w:val="1"/>
                <w:color w:val="auto"/>
                <w:w w:val="99"/>
              </w:rPr>
              <w:t>PART I. FINANCIAL INFORMATION</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20" w:type="dxa"/>
            <w:vAlign w:val="bottom"/>
          </w:tcPr>
          <w:p>
            <w:pPr>
              <w:jc w:val="center"/>
              <w:ind w:left="185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20" w:type="dxa"/>
            <w:vAlign w:val="bottom"/>
          </w:tcPr>
          <w:p>
            <w:pPr>
              <w:jc w:val="center"/>
              <w:ind w:left="185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20" w:type="dxa"/>
            <w:vAlign w:val="bottom"/>
          </w:tcPr>
          <w:p>
            <w:pPr>
              <w:jc w:val="center"/>
              <w:ind w:left="1832"/>
              <w:spacing w:after="0"/>
              <w:rPr>
                <w:sz w:val="20"/>
                <w:szCs w:val="20"/>
                <w:color w:val="auto"/>
              </w:rPr>
            </w:pPr>
            <w:r>
              <w:rPr>
                <w:rFonts w:ascii="Arial" w:cs="Arial" w:eastAsia="Arial" w:hAnsi="Arial"/>
                <w:sz w:val="18"/>
                <w:szCs w:val="18"/>
                <w:b w:val="1"/>
                <w:bCs w:val="1"/>
                <w:color w:val="auto"/>
                <w:w w:val="87"/>
              </w:rPr>
              <w:t>(Unaudited; in thousands of US dollars, except unit data)</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April 1, 2007</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April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151,783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7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136,860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6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22,729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w w:val="87"/>
              </w:rPr>
              <w:t>Operating loss</w:t>
            </w:r>
          </w:p>
        </w:tc>
        <w:tc>
          <w:tcPr>
            <w:tcW w:w="7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gridSpan w:val="2"/>
            <w:vMerge w:val="continue"/>
          </w:tcPr>
          <w:p>
            <w:pPr>
              <w:spacing w:after="0"/>
              <w:rPr>
                <w:sz w:val="20"/>
                <w:szCs w:val="20"/>
                <w:color w:val="auto"/>
              </w:rPr>
            </w:pPr>
          </w:p>
        </w:tc>
        <w:tc>
          <w:tcPr>
            <w:tcW w:w="7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(42,924)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(14,416)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(64,731)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7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0" w:type="dxa"/>
            <w:vAlign w:val="bottom"/>
            <w:gridSpan w:val="2"/>
            <w:vMerge w:val="continue"/>
          </w:tcPr>
          <w:p>
            <w:pPr>
              <w:spacing w:after="0"/>
              <w:rPr>
                <w:sz w:val="19"/>
                <w:szCs w:val="19"/>
                <w:color w:val="auto"/>
              </w:rPr>
            </w:pPr>
          </w:p>
        </w:tc>
        <w:tc>
          <w:tcPr>
            <w:tcW w:w="7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(66,982)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units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3"/>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(69,852)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units - Basic and diluted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units - Basic and diluted</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6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52,720,784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53,104,521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1, 2007</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2006</w:t>
            </w: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59,264</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80,717</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69,362</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6,707</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229,964</w:t>
            </w: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244,064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304,523</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130,458</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47,468</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712,413</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64,181</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26,688</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128,722</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8"/>
                <w:szCs w:val="18"/>
                <w:color w:val="auto"/>
              </w:rPr>
            </w:pPr>
          </w:p>
        </w:tc>
      </w:tr>
      <w:tr>
        <w:trPr>
          <w:trHeight w:val="221"/>
        </w:trPr>
        <w:tc>
          <w:tcPr>
            <w:tcW w:w="890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63,381</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947,154</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shd w:val="clear" w:color="auto" w:fill="CCEEFF"/>
          </w:tcPr>
          <w:p>
            <w:pPr>
              <w:spacing w:after="0"/>
              <w:rPr>
                <w:sz w:val="18"/>
                <w:szCs w:val="18"/>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redeemable convertible preferred units; 60,000 units authorized, 50,091 units issued and 0 unit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April 1, 2007 and December 31, 2006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w w:val="93"/>
              </w:rPr>
              <w:t>Series B redeemable convertible preferred units; 550,000 units authorized, 450,692 units issued and 93,997 units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8880" w:type="dxa"/>
            <w:vAlign w:val="bottom"/>
          </w:tcPr>
          <w:p>
            <w:pPr>
              <w:ind w:left="640"/>
              <w:spacing w:after="0"/>
              <w:rPr>
                <w:sz w:val="20"/>
                <w:szCs w:val="20"/>
                <w:color w:val="auto"/>
              </w:rPr>
            </w:pPr>
            <w:r>
              <w:rPr>
                <w:rFonts w:ascii="Arial" w:cs="Arial" w:eastAsia="Arial" w:hAnsi="Arial"/>
                <w:sz w:val="18"/>
                <w:szCs w:val="18"/>
                <w:color w:val="auto"/>
              </w:rPr>
              <w:t>outstanding at April 1, 2007 and December 31, 2006</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120,244</w:t>
            </w: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120,244</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8"/>
                <w:szCs w:val="18"/>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units; 65,000,000 units authorized, 52,720,784 units issued and outstanding at April 1, 2007 and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2,476</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(441,720)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(370,314)</w:t>
            </w: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31,538</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(354,985)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(284,541)</w:t>
            </w:r>
          </w:p>
        </w:tc>
      </w:tr>
      <w:tr>
        <w:trPr>
          <w:trHeight w:val="222"/>
        </w:trPr>
        <w:tc>
          <w:tcPr>
            <w:tcW w:w="20" w:type="dxa"/>
            <w:vAlign w:val="bottom"/>
          </w:tcPr>
          <w:p>
            <w:pPr>
              <w:spacing w:after="0"/>
              <w:rPr>
                <w:sz w:val="19"/>
                <w:szCs w:val="19"/>
                <w:color w:val="auto"/>
              </w:rPr>
            </w:pPr>
          </w:p>
        </w:tc>
        <w:tc>
          <w:tcPr>
            <w:tcW w:w="8880" w:type="dxa"/>
            <w:vAlign w:val="bottom"/>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712,413</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Paid-In</w:t>
            </w:r>
          </w:p>
        </w:tc>
        <w:tc>
          <w:tcPr>
            <w:tcW w:w="220" w:type="dxa"/>
            <w:vAlign w:val="bottom"/>
          </w:tcPr>
          <w:p>
            <w:pPr>
              <w:spacing w:after="0"/>
              <w:rPr>
                <w:sz w:val="11"/>
                <w:szCs w:val="11"/>
                <w:color w:val="auto"/>
              </w:rPr>
            </w:pPr>
          </w:p>
        </w:tc>
        <w:tc>
          <w:tcPr>
            <w:tcW w:w="10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Capital</w:t>
            </w:r>
          </w:p>
        </w:tc>
        <w:tc>
          <w:tcPr>
            <w:tcW w:w="2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2, 2006</w:t>
            </w: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Balance at January 1, 2006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53,091,570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$53,092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2,169</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 (130,092)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28,347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accrued on preferred units</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(2,633)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(3,891)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Total comprehensive income</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2,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53,130,445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53,130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(136,616)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(46,944)</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April 1, 2007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52,720,784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(370,314)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(284,541)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Cumulative impact from adoption of FASB Interpretation (“FIN”)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640"/>
              <w:spacing w:after="0"/>
              <w:rPr>
                <w:sz w:val="20"/>
                <w:szCs w:val="20"/>
                <w:color w:val="auto"/>
              </w:rPr>
            </w:pPr>
            <w:r>
              <w:rPr>
                <w:rFonts w:ascii="Arial" w:cs="Arial" w:eastAsia="Arial" w:hAnsi="Arial"/>
                <w:sz w:val="18"/>
                <w:szCs w:val="18"/>
                <w:color w:val="auto"/>
              </w:rPr>
              <w:t xml:space="preserve">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 an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640"/>
              <w:spacing w:after="0"/>
              <w:rPr>
                <w:sz w:val="20"/>
                <w:szCs w:val="20"/>
                <w:color w:val="auto"/>
              </w:rPr>
            </w:pPr>
            <w:r>
              <w:rPr>
                <w:rFonts w:ascii="Arial" w:cs="Arial" w:eastAsia="Arial" w:hAnsi="Arial"/>
                <w:sz w:val="18"/>
                <w:szCs w:val="18"/>
                <w:color w:val="auto"/>
              </w:rPr>
              <w:t>interpretation of SFAS No. 109</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(1,554)</w:t>
            </w:r>
          </w:p>
        </w:tc>
        <w:tc>
          <w:tcPr>
            <w:tcW w:w="1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(2,870)</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(66,982)</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valuation of derivatives</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(66,045)</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April 1, 2007</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52,720,784</w:t>
            </w:r>
          </w:p>
        </w:tc>
        <w:tc>
          <w:tcPr>
            <w:tcW w:w="2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52,721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2,476</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 (441,720)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31,538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(354,985)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1, 2007</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(66,982)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43,942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(4,709)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(12,183)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(5,606)</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(2,964)</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(20,198)</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Purchase of plant, property and equipment</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(7,821)</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 for intellectual property registration</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intangible assets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6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(8,886)</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Exercise of unit options</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(29,909)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59,264</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0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These financial statements should be read in conjunction with the audited consolidated financial statements and notes thereto included in the Company’s Annual Report on Form 10-K for the year ended December 31, 2006, which was filed with the SEC on March 30, 2007. The results of operations for the three-month periods ended April 1, 2007 are not necessarily indicative of the results to be expected for a full year or for any other periods.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the Financial Accounting Standards Board (“FASB”) issued Statements of Financial Accounting Standards (“SFAS”) No. 159, “</w:t>
      </w:r>
      <w:r>
        <w:rPr>
          <w:rFonts w:ascii="Arial" w:cs="Arial" w:eastAsia="Arial" w:hAnsi="Arial"/>
          <w:sz w:val="16"/>
          <w:szCs w:val="16"/>
          <w:i w:val="1"/>
          <w:iCs w:val="1"/>
          <w:color w:val="auto"/>
        </w:rPr>
        <w:t>The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Option for Financial Assets and Financial Liabilities,” </w:t>
      </w:r>
      <w:r>
        <w:rPr>
          <w:rFonts w:ascii="Arial" w:cs="Arial" w:eastAsia="Arial" w:hAnsi="Arial"/>
          <w:sz w:val="16"/>
          <w:szCs w:val="16"/>
          <w:color w:val="auto"/>
        </w:rPr>
        <w:t>which provides companies with an option to report selected financial assets and liabilities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The Company is currently evaluating the impact that the adoption may have on its consolidated financial statements.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April 1, 2007 and December 31, 2006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April 1, 2007</w:t>
            </w:r>
          </w:p>
        </w:tc>
        <w:tc>
          <w:tcPr>
            <w:tcW w:w="820" w:type="dxa"/>
            <w:vAlign w:val="bottom"/>
            <w:gridSpan w:val="2"/>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12,228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8"/>
              </w:rPr>
              <w:t>51,881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13,139</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Materials in-transit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2,426</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(10,312)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46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6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8"/>
              </w:rPr>
              <w:t>69,362</w:t>
            </w:r>
          </w:p>
        </w:tc>
        <w:tc>
          <w:tcPr>
            <w:tcW w:w="7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jc w:val="right"/>
              <w:ind w:right="5172"/>
              <w:spacing w:after="0"/>
              <w:rPr>
                <w:sz w:val="20"/>
                <w:szCs w:val="20"/>
                <w:color w:val="auto"/>
              </w:rPr>
            </w:pPr>
            <w:r>
              <w:rPr>
                <w:rFonts w:ascii="Arial" w:cs="Arial" w:eastAsia="Arial" w:hAnsi="Arial"/>
                <w:sz w:val="18"/>
                <w:szCs w:val="18"/>
                <w:b w:val="1"/>
                <w:bCs w:val="1"/>
                <w:color w:val="auto"/>
                <w:w w:val="89"/>
              </w:rPr>
              <w:t>3. Property, Plant and Equipment</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gridSpan w:val="2"/>
          </w:tcPr>
          <w:p>
            <w:pPr>
              <w:ind w:left="460"/>
              <w:spacing w:after="0"/>
              <w:rPr>
                <w:sz w:val="20"/>
                <w:szCs w:val="20"/>
                <w:color w:val="auto"/>
              </w:rPr>
            </w:pPr>
            <w:r>
              <w:rPr>
                <w:rFonts w:ascii="Arial" w:cs="Arial" w:eastAsia="Arial" w:hAnsi="Arial"/>
                <w:sz w:val="18"/>
                <w:szCs w:val="18"/>
                <w:color w:val="auto"/>
                <w:w w:val="94"/>
              </w:rPr>
              <w:t>Property, plant and equipment as of April 1, 2007 and December 31, 2006 comprise the following: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April 1, 2007</w:t>
            </w:r>
          </w:p>
        </w:tc>
        <w:tc>
          <w:tcPr>
            <w:tcW w:w="74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160,467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370,015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83"/>
              </w:rPr>
              <w:t>47,082</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577,564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(285,375)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Land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Arial" w:cs="Arial" w:eastAsia="Arial" w:hAnsi="Arial"/>
                <w:sz w:val="18"/>
                <w:szCs w:val="18"/>
                <w:color w:val="auto"/>
              </w:rPr>
              <w:t>12,334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0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net</w:t>
            </w: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304,523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jc w:val="right"/>
              <w:ind w:right="195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April 1, 2007 and December 31, 2006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April 1, 2007</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2006</w:t>
            </w: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21,038</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6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168,245</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170,209</w:t>
            </w:r>
          </w:p>
        </w:tc>
        <w:tc>
          <w:tcPr>
            <w:tcW w:w="6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10,156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9,742</w:t>
            </w:r>
          </w:p>
        </w:tc>
        <w:tc>
          <w:tcPr>
            <w:tcW w:w="6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(84,076)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(76,606)</w:t>
            </w: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130,458</w:t>
            </w:r>
          </w:p>
        </w:tc>
        <w:tc>
          <w:tcPr>
            <w:tcW w:w="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Goodwill is reviewed at least annually for possible impairment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Based on our review performed during the current quarter, no impairment charge was taken.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0"/>
              </w:rPr>
              <w:t>Three months ended</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1, 2007</w:t>
            </w:r>
          </w:p>
        </w:tc>
        <w:tc>
          <w:tcPr>
            <w:tcW w:w="82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78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 to warranty reserve</w:t>
            </w: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4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78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80" w:type="dxa"/>
            <w:vAlign w:val="bottom"/>
            <w:vMerge w:val="restart"/>
          </w:tcPr>
          <w:p>
            <w:pPr>
              <w:jc w:val="right"/>
              <w:ind w:right="2712"/>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At the same time, such subsidiaries issued $250 million aggregate principal amount of 8% Senior Subordinated Notes.</w:t>
      </w:r>
    </w:p>
    <w:p>
      <w:pPr>
        <w:spacing w:after="0" w:line="18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Concurrently with the issuance of the Second Priority Senior Secured Notes, the Company entered into a new senior credit agreement with a financial syndicate providing for a $100 million senior secured revolving credit facility. Interest is charged at current rates when drawn upon.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April 1, 2007 and December 31, 2006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Amount of</w:t>
            </w:r>
          </w:p>
        </w:tc>
      </w:tr>
      <w:tr>
        <w:trPr>
          <w:trHeight w:val="161"/>
        </w:trPr>
        <w:tc>
          <w:tcPr>
            <w:tcW w:w="786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786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7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paid in full upon maturity.</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April 1, 2007, the Company and all of its subsidiaries except for MagnaChip Semiconductor (Shanghai) Company Limited have jointly and severally guaranteed each series of the Second Priority Senior Secured Notes on a second priority senior secured basis. As of April 1, 2007, the Company and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March 26, 2007, the Company entered into the Sixth Amendment to Credit Agreement, dated as of March 26, 2007 (the “Sixth Amendment”), with MagnaChip Semiconductor S.A. and MagnaChip Semiconductor Finance Company, as borrowers, the Subsidiary Guarantors party thereto, the Lenders party thereto (the “Lenders”), and UBS AG, Stamford Branch, as administrative agent and collateral agent (the “Agent”). Under the Sixth Amendment, among other things, the existing financial covenants set forth in Section 6.10 of the Credit Agreement were revised to provide that authorized but unspent capital expenditures in a calendar quarter during 2007 carry over to increase the authorized limit on capital expenditures in successive quarters.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London Inter-bank Offering Rate (“LIBOR”) plus 3.25% to a fixed interest rate of 7.34% on the Company’s Floating Rate Second Priority Senior Secured Notes (the “Notes”). This Swap will be in effect until June 15,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The Swap qualifies as an effective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three-month period ended April 1, 2007, the Company recorded changes in the fair value of the Swap amounting to $917 thousand, under other comprehensive income in the accompanying condensed consolidated financial statements. In addition, during the same period, the Company recognized interest income of $952 thousand, which represents the differences between fixed and variable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Severance Benefits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April 1, 2007, 97% of all employees of the Company were eligible for severance benefits.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4"/>
              </w:rPr>
              <w:t>Three months ended</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1, 2007</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April 2, 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64,642</w:t>
            </w: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Provisions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4,182</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(2,964)</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(2,858)</w:t>
            </w: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65,101</w:t>
            </w: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59,249</w:t>
            </w:r>
          </w:p>
        </w:tc>
        <w:tc>
          <w:tcPr>
            <w:tcW w:w="60" w:type="dxa"/>
            <w:vAlign w:val="bottom"/>
            <w:shd w:val="clear" w:color="auto" w:fill="CCEEFF"/>
          </w:tcPr>
          <w:p>
            <w:pPr>
              <w:spacing w:after="0"/>
              <w:rPr>
                <w:sz w:val="18"/>
                <w:szCs w:val="18"/>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(819)</w:t>
            </w:r>
          </w:p>
        </w:tc>
        <w:tc>
          <w:tcPr>
            <w:tcW w:w="2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(890)</w:t>
            </w: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63,381</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57,416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severance benefits are funded approximately 2.64% and 3.09% as of April 1, 2007 and April 2, 2006,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2013 – 2017</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5,087</w:t>
            </w:r>
          </w:p>
        </w:tc>
      </w:tr>
    </w:tbl>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Units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All of the Series A were redeemed by cash on December 27, 2004 and some of the Series B were redeemed by cash on December 15, 2004 and December 27, 2004.</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and nine months ended April 1,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7"/>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6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April 1, 2007</w:t>
            </w:r>
          </w:p>
        </w:tc>
        <w:tc>
          <w:tcPr>
            <w:tcW w:w="14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April 2, 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Amounts</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5"/>
              </w:rPr>
              <w:t>Amounts</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$ 117,374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106,462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$ 120,244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109,095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and diluted loss per common unit for the three months ended April 1, 2007 and April 2, 2006:</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April 1, 2007</w:t>
            </w:r>
          </w:p>
        </w:tc>
        <w:tc>
          <w:tcPr>
            <w:tcW w:w="6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April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(66,982)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(69,852)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52,720,784</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53,104,521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02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85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April 1, 2007</w:t>
            </w: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April 2, 2006</w:t>
            </w:r>
          </w:p>
        </w:tc>
        <w:tc>
          <w:tcPr>
            <w:tcW w:w="20" w:type="dxa"/>
            <w:vAlign w:val="bottom"/>
          </w:tcPr>
          <w:p>
            <w:pPr>
              <w:spacing w:after="0"/>
              <w:rPr>
                <w:sz w:val="12"/>
                <w:szCs w:val="12"/>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Options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4,964,903</w:t>
            </w:r>
          </w:p>
        </w:tc>
        <w:tc>
          <w:tcPr>
            <w:tcW w:w="860" w:type="dxa"/>
            <w:vAlign w:val="bottom"/>
          </w:tcPr>
          <w:p>
            <w:pPr>
              <w:jc w:val="right"/>
              <w:spacing w:after="0"/>
              <w:rPr>
                <w:sz w:val="20"/>
                <w:szCs w:val="20"/>
                <w:color w:val="auto"/>
              </w:rPr>
            </w:pPr>
            <w:r>
              <w:rPr>
                <w:rFonts w:ascii="Arial" w:cs="Arial" w:eastAsia="Arial" w:hAnsi="Arial"/>
                <w:sz w:val="18"/>
                <w:szCs w:val="18"/>
                <w:color w:val="auto"/>
              </w:rPr>
              <w:t>4,136,580</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Warrant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the acquisition of the Company’s business from Hynix Semiconductor Inc. (“Hynix”) on October 6, 2004 (the “Original Acquisition”), the Company issued a warrant to Hynix which enables Hynix to purchase 5,079,254 common units of the Company at an exercise price of $1.00 per unit. This warrant expired unexercised in accordance with its terms on October 6,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 The term of options in no event exceed ten years from the date of grant. As of April 1, 2007, an aggregate maximum of 7,890,864 common units were authorized and reserved for all future and outstanding grants of options.</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Restricted units are issued upon the exercise of certain options to purchase restricted common units. Restricted units issued are subject to restrictions which generally lapse in installments over a four-year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unit option and restricted unit activities for the three and nine months ended April 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Weighted average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630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5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exercise price</w:t>
            </w:r>
          </w:p>
        </w:tc>
        <w:tc>
          <w:tcPr>
            <w:tcW w:w="104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remaining</w:t>
            </w:r>
          </w:p>
        </w:tc>
      </w:tr>
      <w:tr>
        <w:trPr>
          <w:trHeight w:val="175"/>
        </w:trPr>
        <w:tc>
          <w:tcPr>
            <w:tcW w:w="63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restricted units</w:t>
            </w:r>
          </w:p>
        </w:tc>
        <w:tc>
          <w:tcPr>
            <w:tcW w:w="480" w:type="dxa"/>
            <w:vAlign w:val="bottom"/>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500" w:type="dxa"/>
            <w:vAlign w:val="bottom"/>
          </w:tcPr>
          <w:p>
            <w:pPr>
              <w:spacing w:after="0"/>
              <w:rPr>
                <w:sz w:val="15"/>
                <w:szCs w:val="15"/>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US dollar)</w:t>
            </w:r>
          </w:p>
        </w:tc>
        <w:tc>
          <w:tcPr>
            <w:tcW w:w="480" w:type="dxa"/>
            <w:vAlign w:val="bottom"/>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4"/>
              </w:rPr>
              <w:t>contractual life</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621,967</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5,069,528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148,500</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Forfeited / Repurchased</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253,125</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Released from restriction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88,406</w:t>
            </w:r>
          </w:p>
        </w:tc>
        <w:tc>
          <w:tcPr>
            <w:tcW w:w="4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Outstanding at April 1, 2007</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533,561</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4,964,903</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 years</w:t>
            </w:r>
          </w:p>
        </w:tc>
      </w:tr>
      <w:tr>
        <w:trPr>
          <w:trHeight w:val="20"/>
        </w:trPr>
        <w:tc>
          <w:tcPr>
            <w:tcW w:w="6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April 1, 2007</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1,834,298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years</w:t>
            </w: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SFAS 123(R), the Company is required to measure compensation cost for all unit-based awards at fair value on the date of grant and recognize compensation expense over the grantee’s requisite service period. As permitted under SFAS No. 123(R), the Company elected to recognize compensation expense for all options with graded vesting based on the graded attribution method.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Total unit option related compensation expense for the three months ended April 1, 2007 and April 2, 2006 were $25 thousand and $74 thousand, respectively. As of April 1, 2007, total unrecognized compensation cost of $271 thousand is expected to be recognized over a weighted average future period of 1.2 years. Total fair value of options vested for the three months ended April 1, 2007 is $50 thousand.</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1720" w:type="dxa"/>
            <w:vAlign w:val="bottom"/>
            <w:gridSpan w:val="3"/>
          </w:tcPr>
          <w:p>
            <w:pPr>
              <w:jc w:val="right"/>
              <w:ind w:right="960"/>
              <w:spacing w:after="0" w:line="142" w:lineRule="exact"/>
              <w:rPr>
                <w:sz w:val="20"/>
                <w:szCs w:val="20"/>
                <w:color w:val="auto"/>
              </w:rPr>
            </w:pPr>
            <w:r>
              <w:rPr>
                <w:rFonts w:ascii="Arial" w:cs="Arial" w:eastAsia="Arial" w:hAnsi="Arial"/>
                <w:sz w:val="14"/>
                <w:szCs w:val="14"/>
                <w:b w:val="1"/>
                <w:bCs w:val="1"/>
                <w:color w:val="auto"/>
                <w:w w:val="89"/>
              </w:rPr>
              <w:t>April 1, 2007</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April 2, 2006</w:t>
            </w:r>
          </w:p>
        </w:tc>
        <w:tc>
          <w:tcPr>
            <w:tcW w:w="140" w:type="dxa"/>
            <w:vAlign w:val="bottom"/>
          </w:tcPr>
          <w:p>
            <w:pPr>
              <w:spacing w:after="0"/>
              <w:rPr>
                <w:sz w:val="12"/>
                <w:szCs w:val="12"/>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of options (in US dollars)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Expected term</w:t>
            </w:r>
          </w:p>
        </w:tc>
        <w:tc>
          <w:tcPr>
            <w:tcW w:w="100" w:type="dxa"/>
            <w:vAlign w:val="bottom"/>
          </w:tcPr>
          <w:p>
            <w:pPr>
              <w:spacing w:after="0"/>
              <w:rPr>
                <w:sz w:val="18"/>
                <w:szCs w:val="18"/>
                <w:color w:val="auto"/>
              </w:rPr>
            </w:pPr>
          </w:p>
        </w:tc>
        <w:tc>
          <w:tcPr>
            <w:tcW w:w="1620" w:type="dxa"/>
            <w:vAlign w:val="bottom"/>
            <w:gridSpan w:val="2"/>
          </w:tcPr>
          <w:p>
            <w:pPr>
              <w:jc w:val="right"/>
              <w:ind w:right="960"/>
              <w:spacing w:after="0"/>
              <w:rPr>
                <w:sz w:val="20"/>
                <w:szCs w:val="20"/>
                <w:color w:val="auto"/>
              </w:rPr>
            </w:pPr>
            <w:r>
              <w:rPr>
                <w:rFonts w:ascii="Arial" w:cs="Arial" w:eastAsia="Arial" w:hAnsi="Arial"/>
                <w:sz w:val="18"/>
                <w:szCs w:val="18"/>
                <w:color w:val="auto"/>
                <w:w w:val="86"/>
              </w:rPr>
              <w:t>2.2 years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2.5 years</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expected term of each option grant was based on employees’ expected exercises and post-vesting employment termination behavior and the risk free interest rate was based on the U.S. Treasury yield curve for the period corresponding to the expected term at the time of grant. The expected volatility was estimated using historical volatility of share prices of similar public entities. No dividends were assumed for this calculation of option value.</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total cash received from employees as a result of option exercises was $74 thousand for the three months ended April 2, 2006. There was no option exercise during the three months ended April 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Uncertainty in Income Taxes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including its subsidiaries files income tax returns in Japan, Korea, Taiwan, U.S., Hong Kong and U.K. The Company is subject to income tax examinations by tax authorities of these jurisdictions for all years since the beginning of its operation in October 2004.</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a $ 1,554 thousand increase in the liability for unrecognized tax benefits, which was accounted for as a reduction to the January 1, 2007, balance of retained earnings. Total amount of unrecognized tax benefits as of the date of adoption was $6,773 thousand and it related to temporary timing differences. There was no change in total amount of unrecognized tax benefits during the three months ended April 1, 2007.</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Company recognizes interest and penalties accrued related to unrecognized tax benefits as income tax expenses. The Company recognized $39 thousand and $530 thousand of interest and penalties for the three months ended April 1, 2007 and for the periods up to the adoption date, respectively. Total interest and penalties accrued as of April 1, 2007 and as of the adoption date were $569 thousand and $530 thousand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 Information</w:t>
      </w:r>
      <w:r>
        <w:rPr>
          <w:rFonts w:ascii="Arial" w:cs="Arial" w:eastAsia="Arial" w:hAnsi="Arial"/>
          <w:sz w:val="18"/>
          <w:szCs w:val="18"/>
          <w:color w:val="auto"/>
        </w:rPr>
        <w:t>, allocates resources to and assesses the performance of each segment using information about its revenue and gross profit. The Company does not 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1, 2007</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30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58,870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11,772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57,755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880"/>
              <w:spacing w:after="0"/>
              <w:rPr>
                <w:sz w:val="20"/>
                <w:szCs w:val="20"/>
                <w:color w:val="auto"/>
              </w:rPr>
            </w:pPr>
            <w:r>
              <w:rPr>
                <w:rFonts w:ascii="Arial" w:cs="Arial" w:eastAsia="Arial" w:hAnsi="Arial"/>
                <w:sz w:val="18"/>
                <w:szCs w:val="18"/>
                <w:color w:val="auto"/>
              </w:rPr>
              <w:t>Total segment net sales</w:t>
            </w:r>
          </w:p>
        </w:tc>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430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151,783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213,143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30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7,089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(1,420)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2,847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6,407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880"/>
              <w:spacing w:after="0"/>
              <w:rPr>
                <w:sz w:val="20"/>
                <w:szCs w:val="20"/>
                <w:color w:val="auto"/>
              </w:rPr>
            </w:pPr>
            <w:r>
              <w:rPr>
                <w:rFonts w:ascii="Arial" w:cs="Arial" w:eastAsia="Arial" w:hAnsi="Arial"/>
                <w:sz w:val="18"/>
                <w:szCs w:val="18"/>
                <w:color w:val="auto"/>
              </w:rPr>
              <w:t>Total segment gross profit</w:t>
            </w:r>
          </w:p>
        </w:tc>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vMerge w:val="continue"/>
          </w:tcPr>
          <w:p>
            <w:pPr>
              <w:spacing w:after="0"/>
              <w:rPr>
                <w:sz w:val="19"/>
                <w:szCs w:val="19"/>
                <w:color w:val="auto"/>
              </w:rPr>
            </w:pPr>
          </w:p>
        </w:tc>
        <w:tc>
          <w:tcPr>
            <w:tcW w:w="430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14,923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160" w:type="dxa"/>
            <w:vAlign w:val="bottom"/>
            <w:vMerge w:val="restart"/>
          </w:tcPr>
          <w:p>
            <w:pPr>
              <w:ind w:left="96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Below are condensed consolidating balance sheets as of April 1, 2007 and December 31, 2006, condensed consolidating statements of operations and of cash flows for the three months ended April 1, 2007 and April 2, 2006 of those entities that guarantee the Senior Subordinated Notes, those that do not, MagnaChip Semiconductor LLC, and the co-issuers.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Non-Guarantors</w:t>
            </w:r>
          </w:p>
        </w:tc>
        <w:tc>
          <w:tcPr>
            <w:tcW w:w="260" w:type="dxa"/>
            <w:vAlign w:val="bottom"/>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26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Eliminations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56,842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(51,665)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135,714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(46,854)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18,802</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(43,208)</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(42,924)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0" w:type="dxa"/>
            <w:vAlign w:val="bottom"/>
          </w:tcPr>
          <w:p>
            <w:pPr>
              <w:spacing w:after="0"/>
              <w:rPr>
                <w:sz w:val="1"/>
                <w:szCs w:val="1"/>
                <w:color w:val="auto"/>
              </w:rPr>
            </w:pPr>
          </w:p>
        </w:tc>
      </w:tr>
      <w:tr>
        <w:trPr>
          <w:trHeight w:val="215"/>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Income (loss) before income taxes, equity in earnings (loss) of related</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equity investment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(63,196)</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Loss before equity in loss of related investment</w:t>
            </w: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(63,229)</w:t>
            </w: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(66,926)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(65,445)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(63,590)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195,961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(66,982)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(66,926)</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(63,229)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(65,632)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195,787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(69,852)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(66,926)</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(63,229)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(65,632)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195,787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16"/>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Co-Issuers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Non-Guarantors</w:t>
            </w:r>
          </w:p>
        </w:tc>
        <w:tc>
          <w:tcPr>
            <w:tcW w:w="360" w:type="dxa"/>
            <w:vAlign w:val="bottom"/>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208,428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98,794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(94,079)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172,443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92,364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(91,992)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18,657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(11,414)</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8"/>
                <w:szCs w:val="18"/>
                <w:color w:val="auto"/>
                <w:w w:val="97"/>
              </w:rPr>
              <w:t>Income (loss) before income taxes, equity in earnings (loss) of</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related equity investment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(5,596)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8"/>
                <w:szCs w:val="18"/>
                <w:color w:val="auto"/>
              </w:rPr>
              <w:t>Income (loss) before equity in earnings (loss) of related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(7,829)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(6,741)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(3,891)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(2,715)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(8,325)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11,244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(6,524)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(2,715)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(8,325)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11,244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(Parent)</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Co-Issuers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Guarantors</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93,454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22,939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226,265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92,830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(112,430)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229,964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304,523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108,853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130,458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(235,064)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(311,255)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(140,707)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793,927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634,149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(1,428,076)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(234,704)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525,320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677,644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620,058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(875,905)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712,413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807,076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(1,428,076)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761,978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906,323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(1,562,722)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947,154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units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108,264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(441,720)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(406,592)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(479,674)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1,274,407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(441,720)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(354,985)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(236,658)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(286,265)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(354,985)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ind w:left="1280"/>
              <w:spacing w:after="0"/>
              <w:rPr>
                <w:sz w:val="20"/>
                <w:szCs w:val="20"/>
                <w:color w:val="auto"/>
              </w:rPr>
            </w:pPr>
            <w:r>
              <w:rPr>
                <w:rFonts w:ascii="Arial" w:cs="Arial" w:eastAsia="Arial" w:hAnsi="Arial"/>
                <w:sz w:val="18"/>
                <w:szCs w:val="18"/>
                <w:color w:val="auto"/>
                <w:w w:val="96"/>
              </w:rPr>
              <w:t>Total liabilities, redeemable convertible preferred</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1500"/>
              <w:spacing w:after="0"/>
              <w:rPr>
                <w:sz w:val="20"/>
                <w:szCs w:val="20"/>
                <w:color w:val="auto"/>
              </w:rPr>
            </w:pPr>
            <w:r>
              <w:rPr>
                <w:rFonts w:ascii="Arial" w:cs="Arial" w:eastAsia="Arial" w:hAnsi="Arial"/>
                <w:sz w:val="18"/>
                <w:szCs w:val="18"/>
                <w:color w:val="auto"/>
              </w:rPr>
              <w:t>units and unitholders’ equity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(234,704)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525,320</w:t>
            </w:r>
          </w:p>
        </w:tc>
        <w:tc>
          <w:tcPr>
            <w:tcW w:w="2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677,644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620,058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(875,905)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712,413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Co-Issuers</w:t>
            </w:r>
          </w:p>
        </w:tc>
        <w:tc>
          <w:tcPr>
            <w:tcW w:w="10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86,488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379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232,859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(94,002)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244,064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334,809</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336,279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117,101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(246,126)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(77,489)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Long-term inter-company loans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791,648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633,987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(1,425,635)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(167,166)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584,343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726,741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677,654</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51,803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804,635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(1,425,635)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753,474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898,956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(1,542,641)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units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136,229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155,415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108,239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(265,055)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(338,112)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(323,358)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(412,488)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1,073,958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(370,314)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(86,769)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(169,131)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(221,302)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(284,541)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ind w:left="1280"/>
              <w:spacing w:after="0"/>
              <w:rPr>
                <w:sz w:val="20"/>
                <w:szCs w:val="20"/>
                <w:color w:val="auto"/>
              </w:rPr>
            </w:pPr>
            <w:r>
              <w:rPr>
                <w:rFonts w:ascii="Arial" w:cs="Arial" w:eastAsia="Arial" w:hAnsi="Arial"/>
                <w:sz w:val="18"/>
                <w:szCs w:val="18"/>
                <w:color w:val="auto"/>
                <w:w w:val="92"/>
              </w:rPr>
              <w:t>Total liabilities, redeemable convertible preferred</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1500"/>
              <w:spacing w:after="0"/>
              <w:rPr>
                <w:sz w:val="20"/>
                <w:szCs w:val="20"/>
                <w:color w:val="auto"/>
              </w:rPr>
            </w:pPr>
            <w:r>
              <w:rPr>
                <w:rFonts w:ascii="Arial" w:cs="Arial" w:eastAsia="Arial" w:hAnsi="Arial"/>
                <w:sz w:val="18"/>
                <w:szCs w:val="18"/>
                <w:color w:val="auto"/>
              </w:rPr>
              <w:t>units and unitholders’ equity</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(167,166)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584,343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726,741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677,654</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2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(Parent)</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(66,982)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(66,926)</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(63,229)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(65,632)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195,787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(66,982)</w:t>
            </w:r>
          </w:p>
        </w:tc>
      </w:tr>
      <w:tr>
        <w:trPr>
          <w:trHeight w:val="20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provided by (used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43,942</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loss on foreign currency translation,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66,926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65,445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63,590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(195,961)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(4,709)</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(12,183)</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2,610</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(5,606)</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4,478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(9,515)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11,410</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of severance benefits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r>
      <w:tr>
        <w:trPr>
          <w:trHeight w:val="27"/>
        </w:trPr>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8"/>
              </w:rPr>
              <w:t>Net cash provided by (used in) operating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842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(20,198)</w:t>
            </w:r>
          </w:p>
        </w:tc>
      </w:tr>
      <w:tr>
        <w:trPr>
          <w:trHeight w:val="221"/>
        </w:trPr>
        <w:tc>
          <w:tcPr>
            <w:tcW w:w="4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property and equipment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Payment for intellectual property registration</w:t>
            </w:r>
          </w:p>
        </w:tc>
        <w:tc>
          <w:tcPr>
            <w:tcW w:w="1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(8,886)</w:t>
            </w:r>
          </w:p>
        </w:tc>
      </w:tr>
      <w:tr>
        <w:trPr>
          <w:trHeight w:val="222"/>
        </w:trPr>
        <w:tc>
          <w:tcPr>
            <w:tcW w:w="4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100" w:type="dxa"/>
            <w:vAlign w:val="bottom"/>
          </w:tcPr>
          <w:p>
            <w:pPr>
              <w:spacing w:after="0"/>
              <w:rPr>
                <w:sz w:val="18"/>
                <w:szCs w:val="18"/>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842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(29,909)</w:t>
            </w:r>
          </w:p>
        </w:tc>
      </w:tr>
      <w:tr>
        <w:trPr>
          <w:trHeight w:val="221"/>
        </w:trPr>
        <w:tc>
          <w:tcPr>
            <w:tcW w:w="48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321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892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72,608</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w w:val="86"/>
              </w:rPr>
              <w:t>319</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9"/>
                <w:szCs w:val="19"/>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45,434</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11,777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59,264</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ind w:left="6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MagnaChip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(Parent)</w:t>
            </w:r>
          </w:p>
        </w:tc>
        <w:tc>
          <w:tcPr>
            <w:tcW w:w="1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(3,891)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(2,715)</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(8,325)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11,244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(3,891)</w:t>
            </w: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provided by (used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49,240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3,014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648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(3,825)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(25,979)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(25,758)</w:t>
            </w: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Loss of related investment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14,128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10,706</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(32,937)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(33,295)</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(10,483)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(10,801)</w:t>
            </w: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3,104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8,385</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(14,547)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(9,711)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w:t>
            </w: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(3,400)</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(4,764)</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2,852</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2,036</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Net cash provided by (used in) operating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12,126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60" w:type="dxa"/>
            <w:vAlign w:val="bottom"/>
            <w:shd w:val="clear" w:color="auto" w:fill="CCEEFF"/>
          </w:tcPr>
          <w:p>
            <w:pPr>
              <w:spacing w:after="0"/>
              <w:rPr>
                <w:sz w:val="18"/>
                <w:szCs w:val="18"/>
                <w:color w:val="auto"/>
              </w:rPr>
            </w:pPr>
          </w:p>
        </w:tc>
      </w:tr>
      <w:tr>
        <w:trPr>
          <w:trHeight w:val="22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property and equipment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(13,237)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(13,541)</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Payment for intellectual property registration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(698)</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disposal of intangible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restricted cash</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(8,045)</w:t>
            </w:r>
          </w:p>
        </w:tc>
      </w:tr>
      <w:tr>
        <w:trPr>
          <w:trHeight w:val="22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 of unit options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68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(9,534)</w:t>
            </w: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11,895</w:t>
            </w:r>
          </w:p>
        </w:tc>
        <w:tc>
          <w:tcPr>
            <w:tcW w:w="16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209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841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63,435</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22,089</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249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458</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33,984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Our actual results may differ materially from those anticipated in these forward-looking statements as a result of certain factors set forth elsewhere in this Form 10-Q and in prior Company public filings with the SEC. In addition, other factors have been or may be discussed from time to time in the Company’s SEC filings. These forward–looking statements are made based 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unaudited condensed consolidated interim financial statements and related notes included elsewhere in this Form 10-Q.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We also provide wafer foundry services whereby we leverage our specialized process technologies and low cost manufacturing facilities to produce semiconductors for third parties using their product designs. Our solutions are used in a wide variety of consumer and commercial mass market applications, such as mobile handsets, including camera-equipped mobile handsets, flat panel monitors and televisions, mobile displays, portable computer displays, handheld gaming devices, PDAs and audio-visual equipment such as DVD players.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separate business segments: Display Solutions, Imaging Solutions and Semiconductor Manufacturing Services.</w:t>
      </w:r>
    </w:p>
    <w:p>
      <w:pPr>
        <w:spacing w:after="0" w:line="90" w:lineRule="exact"/>
        <w:rPr>
          <w:sz w:val="20"/>
          <w:szCs w:val="20"/>
          <w:color w:val="auto"/>
        </w:rPr>
      </w:pPr>
    </w:p>
    <w:p>
      <w:pPr>
        <w:ind w:left="900" w:right="440" w:hanging="446"/>
        <w:spacing w:after="0" w:line="335"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Display Solutions: </w:t>
      </w:r>
      <w:r>
        <w:rPr>
          <w:rFonts w:ascii="Arial" w:cs="Arial" w:eastAsia="Arial" w:hAnsi="Arial"/>
          <w:sz w:val="15"/>
          <w:szCs w:val="15"/>
          <w:color w:val="auto"/>
        </w:rPr>
        <w:t>Our Display Solutions segment offers flat panel display drivers for the entire product range of small to large panel displays,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mobile handsets, handheld gaming devices, PDAs, displays for desktop and mobile computer monitors and flat panel televisions. Our products also cover a broad range of technologies and interfaces including LTPS, TFT, OLED technologies, RSDS and mini-LVDS interfaces.</w:t>
      </w:r>
    </w:p>
    <w:p>
      <w:pPr>
        <w:spacing w:after="0" w:line="7" w:lineRule="exact"/>
        <w:rPr>
          <w:rFonts w:ascii="Arial" w:cs="Arial" w:eastAsia="Arial" w:hAnsi="Arial"/>
          <w:sz w:val="15"/>
          <w:szCs w:val="15"/>
          <w:color w:val="auto"/>
        </w:rPr>
      </w:pPr>
    </w:p>
    <w:p>
      <w:pPr>
        <w:ind w:left="90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address a broad spectrum of consumer electronics products ranging from camera-equipped</w:t>
      </w:r>
      <w:r>
        <w:rPr>
          <w:rFonts w:ascii="Arial" w:cs="Arial" w:eastAsia="Arial" w:hAnsi="Arial"/>
          <w:sz w:val="16"/>
          <w:szCs w:val="16"/>
          <w:i w:val="1"/>
          <w:iCs w:val="1"/>
          <w:color w:val="auto"/>
        </w:rPr>
        <w:t xml:space="preserve"> </w:t>
      </w:r>
      <w:r>
        <w:rPr>
          <w:rFonts w:ascii="Arial" w:cs="Arial" w:eastAsia="Arial" w:hAnsi="Arial"/>
          <w:sz w:val="16"/>
          <w:szCs w:val="16"/>
          <w:color w:val="auto"/>
        </w:rPr>
        <w:t>mobile handsets to personal computer webcams, offering VGA, 1.3, 2.1 and 3.2 mega pixel CMOS image sensors. Our highly integrated image sensors are designed to be cost effective and to provide brighter, sharper and more colorful image quality for use primarily in applications that require small form factors, low power consumption, effective heat dissipation and high reliability.</w:t>
      </w:r>
    </w:p>
    <w:p>
      <w:pPr>
        <w:spacing w:after="0" w:line="31"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uses our process technology and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to manufacture semiconductor wafers for third parties based on their designs. We provide our services to specialty markets that utilize high-voltage, embedded memory, analog and power processes. We offer customized services for clients globally at our state-of-the-art fabrication facilities located in Cheongju and Gumi, Korea. Our fabs provide us with large scale, cost-effective and flexible capacity enabling us to rapidly scale to high volume to meet shifts in demand by our end customers.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 of operations for the three months ended April 1, 2007 and April 2,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April 1, 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April 2, 2006</w:t>
            </w:r>
          </w:p>
        </w:tc>
        <w:tc>
          <w:tcPr>
            <w:tcW w:w="60" w:type="dxa"/>
            <w:vAlign w:val="bottom"/>
          </w:tcPr>
          <w:p>
            <w:pPr>
              <w:spacing w:after="0"/>
              <w:rPr>
                <w:sz w:val="14"/>
                <w:szCs w:val="14"/>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1560" w:type="dxa"/>
            <w:vAlign w:val="bottom"/>
            <w:gridSpan w:val="5"/>
          </w:tcPr>
          <w:p>
            <w:pPr>
              <w:ind w:left="20"/>
              <w:spacing w:after="0" w:line="142" w:lineRule="exact"/>
              <w:rPr>
                <w:sz w:val="20"/>
                <w:szCs w:val="20"/>
                <w:color w:val="auto"/>
              </w:rPr>
            </w:pPr>
            <w:r>
              <w:rPr>
                <w:rFonts w:ascii="Arial" w:cs="Arial" w:eastAsia="Arial" w:hAnsi="Arial"/>
                <w:sz w:val="14"/>
                <w:szCs w:val="14"/>
                <w:b w:val="1"/>
                <w:bCs w:val="1"/>
                <w:i w:val="1"/>
                <w:iCs w:val="1"/>
                <w:color w:val="auto"/>
                <w:w w:val="90"/>
              </w:rPr>
              <w:t>millions of US dollars; %)</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$ 151.8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$ 213.1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(61.3)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tcPr>
          <w:p>
            <w:pPr>
              <w:jc w:val="right"/>
              <w:spacing w:after="0"/>
              <w:rPr>
                <w:sz w:val="20"/>
                <w:szCs w:val="20"/>
                <w:color w:val="auto"/>
              </w:rPr>
            </w:pPr>
            <w:r>
              <w:rPr>
                <w:rFonts w:ascii="Arial" w:cs="Arial" w:eastAsia="Arial" w:hAnsi="Arial"/>
                <w:sz w:val="18"/>
                <w:szCs w:val="18"/>
                <w:color w:val="auto"/>
              </w:rPr>
              <w:t>136.9</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172.8</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(31.8)</w:t>
            </w:r>
          </w:p>
        </w:tc>
        <w:tc>
          <w:tcPr>
            <w:tcW w:w="540" w:type="dxa"/>
            <w:vAlign w:val="bottom"/>
          </w:tcPr>
          <w:p>
            <w:pPr>
              <w:jc w:val="right"/>
              <w:spacing w:after="0"/>
              <w:rPr>
                <w:sz w:val="20"/>
                <w:szCs w:val="20"/>
                <w:color w:val="auto"/>
              </w:rPr>
            </w:pPr>
            <w:r>
              <w:rPr>
                <w:rFonts w:ascii="Arial" w:cs="Arial" w:eastAsia="Arial" w:hAnsi="Arial"/>
                <w:sz w:val="18"/>
                <w:szCs w:val="18"/>
                <w:color w:val="auto"/>
              </w:rPr>
              <w:t>286.5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Foreign currency gain, net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tax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(67.0)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(63.1)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8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24"/>
                <w:szCs w:val="2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April 1, 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April 2, 2006</w:t>
            </w:r>
          </w:p>
        </w:tc>
        <w:tc>
          <w:tcPr>
            <w:tcW w:w="60" w:type="dxa"/>
            <w:vAlign w:val="bottom"/>
          </w:tcPr>
          <w:p>
            <w:pPr>
              <w:spacing w:after="0"/>
              <w:rPr>
                <w:sz w:val="14"/>
                <w:szCs w:val="14"/>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total</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1560" w:type="dxa"/>
            <w:vAlign w:val="bottom"/>
            <w:gridSpan w:val="5"/>
          </w:tcPr>
          <w:p>
            <w:pPr>
              <w:ind w:left="20"/>
              <w:spacing w:after="0" w:line="142" w:lineRule="exact"/>
              <w:rPr>
                <w:sz w:val="20"/>
                <w:szCs w:val="20"/>
                <w:color w:val="auto"/>
              </w:rPr>
            </w:pPr>
            <w:r>
              <w:rPr>
                <w:rFonts w:ascii="Arial" w:cs="Arial" w:eastAsia="Arial" w:hAnsi="Arial"/>
                <w:sz w:val="14"/>
                <w:szCs w:val="14"/>
                <w:b w:val="1"/>
                <w:bCs w:val="1"/>
                <w:i w:val="1"/>
                <w:iCs w:val="1"/>
                <w:color w:val="auto"/>
                <w:w w:val="90"/>
              </w:rPr>
              <w:t>millions of US dollars; %)</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58.9</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(26.8)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Imaging solutions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All other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$ 151.8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$ 213.1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(61.3)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derive a majority of our net sales from three operating segments: Display Solutions, Imaging Solutions and Semiconductor Manufacturing Services.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“All other” category represents certain business activities other than these business segments, principally composed of rental and unit processing.</w:t>
      </w:r>
    </w:p>
    <w:p>
      <w:pPr>
        <w:spacing w:after="0" w:line="18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Total net sales for the three months ended April 1, 2007 decreased $61.3 million, or 28.8% compared to the three months ended April 2, 2006. Net sales generated in the three operating segments during the current quarter were $128.4 million, a decrease of $76.1 million or 37.2% from the net sales of three operating segments for prior-year quarter.</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three months ended April 1, 2007 were $58.9 million, a $26.8 million or 31.3%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$85.7 million for the three months ended April 2, 2006. This sales decrease in our display driver business was primarily attributable to overall downturn in display products market. Along with demand decrease in the end-market, both sales volume and average selling price were reduced resulting in significant decrease in the revenue.</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Imaging Solutions net sales decreased $7.6 million in the current quarter, or 39.2% compared to net sales generated in the prior-year</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This decrease was primarily attributable to missed opportunities from our delays in transition to new mega-pixel products, which was expected to substitute our VGA products. Revenue from our traditional VGA products decreased due to lower market demand and a decline in average selling price.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first quarter of 2007, were $57.7 million, a $41.7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42.0% decrease compared to net sales of $99.4 million for the prior-year quarter. This decrease was mainly due to an inventory correction in the analog and power areas of our foundry business, coupled with continued average selling price erosion.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three months ended April 1, 2007 were $23.4 million compared to $8.6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April 2, 2006. This increase of $14.8 million substantially represents revenue increase from our unit processing service rendered to Hynix.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2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4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April 1, 2007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April 2, 2006</w:t>
            </w:r>
          </w:p>
        </w:tc>
        <w:tc>
          <w:tcPr>
            <w:tcW w:w="100" w:type="dxa"/>
            <w:vAlign w:val="bottom"/>
          </w:tcPr>
          <w:p>
            <w:pPr>
              <w:spacing w:after="0"/>
              <w:rPr>
                <w:sz w:val="14"/>
                <w:szCs w:val="14"/>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Change</w:t>
            </w:r>
          </w:p>
        </w:tc>
      </w:tr>
      <w:tr>
        <w:trPr>
          <w:trHeight w:val="129"/>
        </w:trPr>
        <w:tc>
          <w:tcPr>
            <w:tcW w:w="48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4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sales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w w:val="71"/>
              </w:rPr>
              <w:t>millions of</w:t>
            </w:r>
          </w:p>
        </w:tc>
        <w:tc>
          <w:tcPr>
            <w:tcW w:w="28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92"/>
              </w:rPr>
              <w:t>US</w:t>
            </w:r>
          </w:p>
        </w:tc>
        <w:tc>
          <w:tcPr>
            <w:tcW w:w="7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i w:val="1"/>
                <w:iCs w:val="1"/>
                <w:color w:val="auto"/>
                <w:w w:val="80"/>
              </w:rPr>
              <w:t>dollars;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6"/>
              </w:rPr>
              <w:t>18.0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(10.9)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(60.6)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Imaging solutions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rPr>
              <w:t>(4.4)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(68.2)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6"/>
              </w:rPr>
              <w:t>24.6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(88.6)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All other</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12"/>
              <w:spacing w:after="0"/>
              <w:rPr>
                <w:sz w:val="20"/>
                <w:szCs w:val="20"/>
                <w:color w:val="auto"/>
              </w:rPr>
            </w:pPr>
            <w:r>
              <w:rPr>
                <w:rFonts w:ascii="Arial" w:cs="Arial" w:eastAsia="Arial" w:hAnsi="Arial"/>
                <w:sz w:val="18"/>
                <w:szCs w:val="18"/>
                <w:color w:val="auto"/>
              </w:rPr>
              <w:t>2.1</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204.8</w:t>
            </w:r>
          </w:p>
        </w:tc>
        <w:tc>
          <w:tcPr>
            <w:tcW w:w="60" w:type="dxa"/>
            <w:vAlign w:val="bottom"/>
          </w:tcPr>
          <w:p>
            <w:pPr>
              <w:spacing w:after="0"/>
              <w:rPr>
                <w:sz w:val="18"/>
                <w:szCs w:val="18"/>
                <w:color w:val="auto"/>
              </w:rPr>
            </w:pPr>
          </w:p>
        </w:tc>
      </w:tr>
      <w:tr>
        <w:trPr>
          <w:trHeight w:val="27"/>
        </w:trPr>
        <w:tc>
          <w:tcPr>
            <w:tcW w:w="4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6"/>
              </w:rPr>
              <w:t>40.3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(25.4)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(63.0)</w:t>
            </w:r>
          </w:p>
        </w:tc>
      </w:tr>
      <w:tr>
        <w:trPr>
          <w:trHeight w:val="20"/>
        </w:trPr>
        <w:tc>
          <w:tcPr>
            <w:tcW w:w="4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Total gross profit decreased $25.4 million in the first quarter of 2007, or 63.0%, compared to the gross profit generated in the first quarter of 2006. Gross margin percentage for current quarter was 9.8% of net sales, a decrease of 9.1% from 18.9% for prior-year quarter. This decline in gross margin percentage was primarily attributable to lower utilization of our manufacturing capacity as a result of substantial sales decreases, coupled with an overall decrease in average selling prices.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margin percentage for Display Solutions for the three months ended April 1, 2007 declined to 12.1% compared to 21.0%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April 2, 2006. This decline in gross margin percentage was primarily attributable to lower average selling price and higher overhead cost per-unit driven by a decrease in unit volume.</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Imaging Solutions reported gross loss for both quarters due to low revenues resulting from a weak market position for new mega pixel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decreases in sales for VGA products. However, gross margin percentage for the current period was improved compared to the prior period mainly due to a decrease in depreciation cost resulting from impairment charges taken in the second quarter of 2006.</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Gross margin for Semiconductor Manufacturing Services declined to 4.9% in the first quarter of 2007 from 24.7%</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first quarter of 2006. The year-over-year decrease was primarily attributable to lower margin mix within the segment, coupled with lower revenue.</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Gross margin percentage for All other for the current period increased to 27.4% from 24.4% for the prior period. This improvement in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percentage is mainly attributable to sales volume increase for unit processing, which resulted in lower fixed cost per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$22.7 million or 15.0% of net sales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April 1, 2007 compared to $21.5 million or 10.1% for the three months ended April 2, 2006. The increase of $1.2 million or 5.6% from the prior-year quarter was primarily attributable to employee related expenses such as salaries and benefits which was partially offset by decreases in depreciation and amortization expenses resulting from impairment charges taken during the second quarter of 2006.</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quarter were $35.1 million, an increase of $5.2 million or 17.4%</w:t>
      </w:r>
      <w:r>
        <w:rPr>
          <w:rFonts w:ascii="Arial" w:cs="Arial" w:eastAsia="Arial" w:hAnsi="Arial"/>
          <w:sz w:val="16"/>
          <w:szCs w:val="16"/>
          <w:i w:val="1"/>
          <w:iCs w:val="1"/>
          <w:color w:val="auto"/>
        </w:rPr>
        <w:t xml:space="preserve"> </w:t>
      </w:r>
      <w:r>
        <w:rPr>
          <w:rFonts w:ascii="Arial" w:cs="Arial" w:eastAsia="Arial" w:hAnsi="Arial"/>
          <w:sz w:val="16"/>
          <w:szCs w:val="16"/>
          <w:color w:val="auto"/>
        </w:rPr>
        <w:t>from $29.9 million for the prior year quarter. This year-over-year increase in research and development expenses essentially represented our focus on the introduction of new products, especially for the Imaging Solutions and Display Solutions segments. As a percentage of net sales, research and development expenses for the current quarter increased to 23.1% compared to 14.0% for the prior-year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 and Net Foreign Currency Gain or Loss</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$14.4 million during the three-month period ended April 1, 2007, relatively consistent with $14.7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three-month period ended April 2, 2006. Substantially all of our interest expense is to service our long-term borrowings of $750.0 million at a weighted-average interest rate of 7.4%. The decline in net interest expense was mainly due to an increase in interest income from financial assets including cash and cash equivalents.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i w:val="1"/>
          <w:iCs w:val="1"/>
          <w:color w:val="auto"/>
        </w:rPr>
        <w:t xml:space="preserve">Net Foreign Currency Gain or Loss. </w:t>
      </w:r>
      <w:r>
        <w:rPr>
          <w:rFonts w:ascii="Arial" w:cs="Arial" w:eastAsia="Arial" w:hAnsi="Arial"/>
          <w:sz w:val="15"/>
          <w:szCs w:val="15"/>
          <w:color w:val="auto"/>
        </w:rPr>
        <w:t>Net foreign currency loss for the three months ended April 1, 2007 was $7.4 million, compared to net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gain of $24.2 million for the three months ended April 2, 2006. A substantial portion of our net foreign currency gain or loss is non-cash translation gain or loss recorded for intercompany borrowings at our Korea subsidiary and is affected by changes in the exchange rate between Korea won and U.S. dollar.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current quarter were $2.3 million, consistent with income tax expenses of $2.3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2006. Our income tax expenses are mostly composed of withholding taxes on inter-company interest payments and changes in deferred tax assets. Due to the uncertainty of the utilization of foreign tax credits, we treated this withholding tax as a current tax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to meet required debt payments, including debt service payments on the notes and, if drawn upon, the senior credit facility, and to invest in research and development and capital equipment. We anticipate that operating cash flow, together with available borrowing capacity under our senior credit facility, will be sufficient to meet our working capital needs, our research and development and capital expenditures needs and service requirements on our debt obligations for the foreseeable future. As of April 1, 2007, we had total outstanding long-term debt of $750.0 million.</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principle sources of liquidity are our cash, cash equivalents and available borrowings under our senior credit facility of $100 million. As of April 1, 2007, our cash and cash equivalents balance was $59.3 million or 8.3% of our total assets, a $29.9 million decrease from $89.2 million or 11.6% of total assets as of December 31, 2006. The decrease in cash and cash equivalents during the first quarter of 2007 was primarily attributable to cash outflow of $20.2 million in operating activities, coupled with cash outflow associated with quarterly capital expenditures of $8.3 million.</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three-month period ended April 1, 2007, net cash used in operating activities was $20.2 million, compared to $8.5 million of net cash provided by operating activities during the year-ago period. This decrease in cash from operating activities between the two periods was primarily attributable to a reduction in gross profit of $25.4 million resulting mainly from lower revenue. The net operating cash outflow for the current quarter principally reflects our net loss of $67.0 million adjusted by $43.9 million of depreciation and amortization costs.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working capital balance as of April 1, 2007 was $101.2 million compared to $122.6 million as of December 31, 2006. The decrease of $21.4 million in our working capital balance was mainly due to a $29.9 million reduction in cash and cash equivalents driven by foregoing reasons. This decease in cash and cash equivalents was partially offset by inventory build-up of $11.5 million representing expected sales growth in the coming periods.</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investing activities, net cash outlay during the first quarter of 2007 was $8.9 million, compared to $8.0 million in the prior-year quarter. In the prior-year quarter, cash outlay for our capital expenditures was offset by a cash inflow from the sale of our application processor business.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April 1, 2007, there were no significant financing activities, consistent with the prior year quarter.</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For the three months ended April 1, 2007, capital expenditures were $8.3 million, a $5.9 million or 41.5% decrease from $14.2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April 2, 2006 as a result of the management of the timing of capital expenditures. We will continue to manage the timing of our capital expenditures to support the growth of business from new customers and to optimize return on our investment.</w:t>
      </w:r>
    </w:p>
    <w:p>
      <w:pPr>
        <w:spacing w:after="0" w:line="107"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i w:val="1"/>
          <w:iCs w:val="1"/>
          <w:color w:val="auto"/>
        </w:rPr>
        <w:t xml:space="preserve">Future Financing Activities. </w:t>
      </w:r>
      <w:r>
        <w:rPr>
          <w:rFonts w:ascii="Arial" w:cs="Arial" w:eastAsia="Arial" w:hAnsi="Arial"/>
          <w:sz w:val="16"/>
          <w:szCs w:val="16"/>
          <w:color w:val="auto"/>
        </w:rPr>
        <w:t>Our primary future capital requirements on a recurring basis will be funding working capital needs, meeting required debt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funding research and development, and capital expenditures. We anticipate that operating cash flows, together with available borrowings under our senior credit facility, will be sufficient to meet these capital requirements for the foreseeable future. We may from time to time incur additional debt.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However, we cannot assure you that such financing will be available to us on acceptable terms or that such financing will be available at 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April 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86"/>
              </w:rPr>
              <w:t>Payments Due by Period</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1"/>
                <w:szCs w:val="11"/>
                <w:color w:val="auto"/>
              </w:rPr>
            </w:pPr>
          </w:p>
        </w:tc>
      </w:tr>
      <w:tr>
        <w:trPr>
          <w:trHeight w:val="161"/>
        </w:trPr>
        <w:tc>
          <w:tcPr>
            <w:tcW w:w="7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2007</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2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9"/>
              </w:rPr>
              <w:t>expense</w:t>
            </w:r>
          </w:p>
        </w:tc>
      </w:tr>
      <w:tr>
        <w:trPr>
          <w:trHeight w:val="20"/>
        </w:trPr>
        <w:tc>
          <w:tcPr>
            <w:tcW w:w="7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7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7"/>
          </w:tcPr>
          <w:p>
            <w:pPr>
              <w:spacing w:after="0" w:line="142" w:lineRule="exact"/>
              <w:rPr>
                <w:sz w:val="20"/>
                <w:szCs w:val="20"/>
                <w:color w:val="auto"/>
              </w:rPr>
            </w:pPr>
            <w:r>
              <w:rPr>
                <w:rFonts w:ascii="Arial" w:cs="Arial" w:eastAsia="Arial" w:hAnsi="Arial"/>
                <w:sz w:val="14"/>
                <w:szCs w:val="14"/>
                <w:b w:val="1"/>
                <w:bCs w:val="1"/>
                <w:i w:val="1"/>
                <w:iCs w:val="1"/>
                <w:color w:val="auto"/>
                <w:w w:val="85"/>
              </w:rPr>
              <w:t>(in millions of US dollars)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Secured notes and subordinated notes(*)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750.0</w:t>
            </w:r>
          </w:p>
        </w:tc>
        <w:tc>
          <w:tcPr>
            <w:tcW w:w="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760" w:type="dxa"/>
            <w:vAlign w:val="bottom"/>
            <w:gridSpan w:val="8"/>
          </w:tcPr>
          <w:p>
            <w:pPr>
              <w:ind w:left="40"/>
              <w:spacing w:after="0"/>
              <w:rPr>
                <w:sz w:val="20"/>
                <w:szCs w:val="20"/>
                <w:color w:val="auto"/>
              </w:rPr>
            </w:pPr>
            <w:r>
              <w:rPr>
                <w:rFonts w:ascii="Arial" w:cs="Arial" w:eastAsia="Arial" w:hAnsi="Arial"/>
                <w:sz w:val="18"/>
                <w:szCs w:val="18"/>
                <w:color w:val="auto"/>
              </w:rPr>
              <w:t>—   —   —   500.0</w:t>
            </w: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11.0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Others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300"/>
              <w:spacing w:after="0"/>
              <w:rPr>
                <w:sz w:val="20"/>
                <w:szCs w:val="20"/>
                <w:color w:val="auto"/>
              </w:rPr>
            </w:pPr>
            <w:r>
              <w:rPr>
                <w:rFonts w:ascii="Arial" w:cs="Arial" w:eastAsia="Arial" w:hAnsi="Arial"/>
                <w:sz w:val="18"/>
                <w:szCs w:val="18"/>
                <w:color w:val="auto"/>
                <w:w w:val="86"/>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interest obligations on notes.</w:t>
      </w:r>
    </w:p>
    <w:p>
      <w:pPr>
        <w:spacing w:after="0" w:line="171" w:lineRule="exact"/>
        <w:rPr>
          <w:sz w:val="20"/>
          <w:szCs w:val="20"/>
          <w:color w:val="auto"/>
        </w:rPr>
      </w:pPr>
    </w:p>
    <w:p>
      <w:pPr>
        <w:jc w:val="both"/>
        <w:ind w:right="120" w:firstLine="456"/>
        <w:spacing w:after="0"/>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These notes will be paid in full upon maturity.</w:t>
      </w:r>
    </w:p>
    <w:p>
      <w:pPr>
        <w:spacing w:after="0" w:line="1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March 26, 2007, the Company entered into the Sixth Amendment to Credit Agreement, dated as of March 26, 2006 (the “Sixth Amendment”), with MagnaChip Semiconductor S.A. and MagnaChip Semiconductor Finance Company, as borrowers, the Subsidiary Guarantors party thereto, the Lenders party thereto, and the Agent. Under the Sixth Amendment, among other things, the existing financial covenants set forth in Section 6.10 of the Credit Agreement were revised to provide that authorized but unspent capital expenditures in a calendar quarter during 2007 carry over to increase the authorized limit on capital expenditures in successive quarters.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The Company adopted the provision of FIN No.48,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As of the date of adoption, the Company’s unrecognized tax benefits totaled $1.6 million. These unrecognized tax benefits have been excluded from the above table because we cannot estimate the period of cash settlement with the respective taxing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credit agreement with a syndicate of banks, financial institutions and other entities providing for a $100 million senior secured revolving credit facility. The undrawn portion of such senior secured credit line as of April 1, 2007 and December 31, 2006 were $94.6 million and $93.8 million, respectively. The utilized portions of the credit line are related to the issuance of letters of credit rather than cash drawdowns.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senior credit facility,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the Financial Accounting Standards Board (“FASB”) issued Statements of Financial Accounting Standards (“SFAS”) No. 159, “</w:t>
      </w:r>
      <w:r>
        <w:rPr>
          <w:rFonts w:ascii="Arial" w:cs="Arial" w:eastAsia="Arial" w:hAnsi="Arial"/>
          <w:sz w:val="16"/>
          <w:szCs w:val="16"/>
          <w:i w:val="1"/>
          <w:iCs w:val="1"/>
          <w:color w:val="auto"/>
        </w:rPr>
        <w:t>The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Option for Financial Assets and Financial Liabilities,” </w:t>
      </w:r>
      <w:r>
        <w:rPr>
          <w:rFonts w:ascii="Arial" w:cs="Arial" w:eastAsia="Arial" w:hAnsi="Arial"/>
          <w:sz w:val="16"/>
          <w:szCs w:val="16"/>
          <w:color w:val="auto"/>
        </w:rPr>
        <w:t>which provides companies with an option to report selected financial assets and liabilities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We are currently evaluating the impact that the adoption may have on our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its financial instruments according to a fair value hierarchy, as defined and may be required to provide additional disclosures based on that hierarchy. SFAS 157 is effective for financial statements issued for fiscal years beginning after November 15, 2007. We are currently evaluating the impact that the adoption may have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our management to make significant judgments and estimates that affect our financial position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is derived from the sale of semiconductor products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 For certain distributors, standard products are sold without rights to return products or stock rotation or price protection rights. Our policy is to recognize revenue upon delivery of products to customers, where shipment represents the point when the rights and risks of ownership have passed to the customer, when persuasive evidence of an arrangement exists, the product has been delivered, the price is fixed or determinable and collection of the resulting receivable is reasonably assured.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payment. If the financial condition of our customers were to deteriorate, additional allowances may be required. We record warranty liabilities for the estimated costs that may be incurred under our limited warranty. This warranty covers product defects based on compliance to our specifications and is normally applicable for twelve months from the date of purchase. These liabilities are recorded when related revenue is recognized. Warranty costs include the costs to replace the defective product. Factors that affect our warranty liability include the historical and anticipated rate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If net realizable value is less than cost at the balance sheet date, the carrying amount is reduced to the realizable value, and the difference is recognized as a loss on valuation of inventories under cost of sales. We estimate the net realizable value for such finished goods and work-in-progress based on current invoice prices.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 of Tangible and Intangible Assets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Buildings and related structures are depreciated over the 10 to 40 year periods. Machinery, equipment and other assets including vehicles are depreciated over the estimated useful lives ranging 5 to 10 years.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intangible assets represent rights under patents, trademarks, property use rights, customer relationship and technology, and are amortized over the periods of benefit, ranging up to 10 years, on a straight-line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We account for income taxes in accordance with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set up since it is expected that the deferred tax assets at this subsidiary will be deemed realizable based on the current prospects for its future taxable income.</w:t>
      </w:r>
    </w:p>
    <w:p>
      <w:pPr>
        <w:spacing w:after="0" w:line="10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—an interpretation of SFAS No. 109. Under FIN No. 48, we evaluate our tax positions taken or expected to be taken in a tax return for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on our financial statements. Only those tax positions that meet the more-likely-than-not threshold are recognized on the financial statements at the largest amount of benefit that is greater than 50 percent likely of ultimately being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9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Pursuant to the provisions of SFAS No. 123(R), unit-based compensation cost is estimated at the grant date based on the fair-value of the award and is recognized as expense over the requisite service period of the award. We utilize the Black-Scholes option pricing model to value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valuation of our common unit is based on an independent appraisal from a third party and is updated reflecting the changes in our financial results and prospects. Determination of the fair value of our common units involves complex and subjective judgments. If we make different judgments or adopt different assumptions, material differences could result in the timing and amount of the unit-based compensation expenses recorded because the estimated fair value of the underlying units for the options granted would be different.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We have determined, based on the nature of our operations and products offered to customers, that our reportable segments are Display Solutions, Imaging Solutions, and Semiconductor Manufacturing Services. Our chief operating decision maker (“CODM”) as defined by SFAS 131, </w:t>
      </w:r>
      <w:r>
        <w:rPr>
          <w:rFonts w:ascii="Arial" w:cs="Arial" w:eastAsia="Arial" w:hAnsi="Arial"/>
          <w:sz w:val="16"/>
          <w:szCs w:val="16"/>
          <w:i w:val="1"/>
          <w:iCs w:val="1"/>
          <w:color w:val="auto"/>
        </w:rPr>
        <w:t>Disclosure about Segments of an</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 and Related Information</w:t>
      </w:r>
      <w:r>
        <w:rPr>
          <w:rFonts w:ascii="Arial" w:cs="Arial" w:eastAsia="Arial" w:hAnsi="Arial"/>
          <w:sz w:val="16"/>
          <w:szCs w:val="16"/>
          <w:color w:val="auto"/>
        </w:rPr>
        <w:t>, allocates resources to and assesses the performance by these segments.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 denominated in currencies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April 1, 2007 for our Korean subsidiary, a 10% devaluation of the Korean Won against the U.S. dollar would have resulted in a decrease of $2.1 million in our U.S. dollar financial instruments balance and cash balance.</w:t>
      </w:r>
    </w:p>
    <w:p>
      <w:pPr>
        <w:spacing w:after="0" w:line="171" w:lineRule="exact"/>
        <w:rPr>
          <w:sz w:val="20"/>
          <w:szCs w:val="20"/>
          <w:color w:val="auto"/>
        </w:rPr>
      </w:pPr>
    </w:p>
    <w:p>
      <w:pPr>
        <w:ind w:right="100" w:firstLine="456"/>
        <w:spacing w:after="0" w:line="23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the $250 million 8% Senior Subordinated Notes due 2014</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changes in fair value due to interest rate changes. If the market interest rate had decreased by 10% and all other variables were held constant from their levels at April 1, 2007, we estimate that we would have additional interest expense costs over the market rate of $0.7 million for the three months ended April 1, 2007. The fair value of these fixed rate notes would have decreased by $8.2 million or increased by $8.5 million with a 10% increase or decrease in the interest rate, respectively.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 Floating Rate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Senior Secured Notes to a fixed interest rate for the periods to maturity date of June 2008. With this interest rate swap, cash flow interest rate risk was replaced with exposure to interest rate risk. For details, refer to “Note 6. Long-term Borrowings.”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 em 4T.</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Our internal control over financial reporting is designed to provide reasonable assurance regarding the reliability of our financial reporting and preparation of financial statements for external purposes in accordance with generally accepted accounting principles. Because of its inherent limitations, internal control over financial reporting may not prevent or detect misstatements.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If we were to lose key customers or if customers cease to place orders for our high volume devices, our financial results will be adversely affected. While we served more than 151 customers in the three-month period ended April 1, 2007, net sales to our 10 largest customers represented approximately 71.0% of our net sales for the period. We had one individual customer and one group of affiliated customers that each represented greater than 10% of our net sales during the three months ended April 1, 2007. Significant reductions in sales to any of these customers, the loss of major customers or the curtailment of orders for our high-volume devices within a short period of time would adversely affect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depend on our ability to attract and retain skilled technical and managerial personnel. We could lose the services of, or fail to recruit, skilled personnel, which could hinder our research and product development programs or otherwise have a material adverse effect on our business.</w:t>
      </w:r>
    </w:p>
    <w:p>
      <w:pPr>
        <w:spacing w:after="0" w:line="16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45"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As of May 1, 2007, approximately 60.2%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16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not be realized.</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Original Acquisition. In addition, our senior secured credit facility and the indentures governing our notes may prohibit us from making acquisitions that we may otherwise wish to pursue.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certain subcontractors.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If we cannot obtain adequate materials in a timely manner or on favorable terms for the manufacture of our products, either or both of our revenues or profits will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21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4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or licensees for damages they may suffer if the products they purchase from us or the technology they license from us violate the intellectual 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competitors may develop, patent or gain access to know-how and technology similar to our own. Failure to protect our existing intellectual property rights may result in the loss of valuable technologies or our having to pay other companies for infringing on their intellectual property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Our company organizational structure is based, in part, on assumptions about the various tax laws, including withholding tax, and other laws of applicable non-U.S. jurisdictions. In addition, our Korean subsidiary was granted a limited tax-holiday under Korean law in October 2004, which provides for certain tax exemptions for corporate taxes, withholding taxes, acquisition taxes, property and land taxes and other taxes for five years. Our interpretations and conclusions are not binding on any taxing authority, and, if our assumptions about tax and other laws are incorrect or if the authorities were to change or modify the relevant laws, we could suffer adverse tax and other financial consequences or have the anticipated benefits of our company organizational structure materially impaired.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CVC, Francisco Partners, and CVC Asia Pacific own approximately 34.1%, 34.1% and 18.3%, respectively, of the outstanding voting interests in MagnaChip. By virtue of their ownership of these voting interests, and the securityholders’ agreement among MagnaChip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increase in tensions with North Korea could adversely affect our business, financial condition, and results of operations.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Relations between Korea and North Korea have been tense throughout Korea’s modern history. The level of tension between Korea and North Korea has fluctuated and may increase or change abruptly as a result of current and future events. Although we do not derive any revenue from, nor sell any products in, North Korea, any future increase in tensions which may occur, for example, the breakdown of high-level contacts between Korea and North Korea or the occurrence of military hostilities,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we share certain facilities with Hynix, a few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invest significant resources in our research and development. However, research and development efforts may not yield commercially viable products. During each stage of research and development there is a 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Beginning with our fiscal year ending December 31, 2008, our independent auditors will be required to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175"/>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103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16"/>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35"/>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7860" w:type="dxa"/>
            <w:vAlign w:val="bottom"/>
            <w:gridSpan w:val="2"/>
          </w:tcPr>
          <w:p>
            <w:pPr>
              <w:ind w:left="248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Dated: May 14, 2007</w:t>
            </w:r>
          </w:p>
        </w:tc>
        <w:tc>
          <w:tcPr>
            <w:tcW w:w="7860" w:type="dxa"/>
            <w:vAlign w:val="bottom"/>
            <w:gridSpan w:val="2"/>
          </w:tcPr>
          <w:p>
            <w:pPr>
              <w:ind w:left="2480"/>
              <w:spacing w:after="0"/>
              <w:rPr>
                <w:sz w:val="20"/>
                <w:szCs w:val="20"/>
                <w:color w:val="auto"/>
              </w:rPr>
            </w:pPr>
            <w:r>
              <w:rPr>
                <w:rFonts w:ascii="Arial" w:cs="Arial" w:eastAsia="Arial" w:hAnsi="Arial"/>
                <w:sz w:val="18"/>
                <w:szCs w:val="18"/>
                <w:color w:val="auto"/>
              </w:rPr>
              <w:t>By:  /s/ Sang Park</w:t>
            </w:r>
          </w:p>
        </w:tc>
      </w:tr>
      <w:tr>
        <w:trPr>
          <w:trHeight w:val="202"/>
        </w:trPr>
        <w:tc>
          <w:tcPr>
            <w:tcW w:w="3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Dated: May 14, 2007</w:t>
            </w:r>
          </w:p>
        </w:tc>
        <w:tc>
          <w:tcPr>
            <w:tcW w:w="7860" w:type="dxa"/>
            <w:vAlign w:val="bottom"/>
            <w:gridSpan w:val="2"/>
          </w:tcPr>
          <w:p>
            <w:pPr>
              <w:ind w:left="2480"/>
              <w:spacing w:after="0"/>
              <w:rPr>
                <w:sz w:val="20"/>
                <w:szCs w:val="20"/>
                <w:color w:val="auto"/>
              </w:rPr>
            </w:pPr>
            <w:r>
              <w:rPr>
                <w:rFonts w:ascii="Arial" w:cs="Arial" w:eastAsia="Arial" w:hAnsi="Arial"/>
                <w:sz w:val="18"/>
                <w:szCs w:val="18"/>
                <w:color w:val="auto"/>
              </w:rPr>
              <w:t>By:  /s/ Robert J. Krakauer</w:t>
            </w:r>
          </w:p>
        </w:tc>
      </w:tr>
      <w:tr>
        <w:trPr>
          <w:trHeight w:val="202"/>
        </w:trPr>
        <w:tc>
          <w:tcPr>
            <w:tcW w:w="3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Krakauer</w:t>
            </w:r>
          </w:p>
        </w:tc>
      </w:tr>
      <w:tr>
        <w:trPr>
          <w:trHeight w:val="222"/>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r>
        <w:trPr>
          <w:trHeight w:val="365"/>
        </w:trPr>
        <w:tc>
          <w:tcPr>
            <w:tcW w:w="3560" w:type="dxa"/>
            <w:vAlign w:val="bottom"/>
          </w:tcPr>
          <w:p>
            <w:pPr>
              <w:spacing w:after="0"/>
              <w:rPr>
                <w:sz w:val="24"/>
                <w:szCs w:val="24"/>
                <w:color w:val="auto"/>
              </w:rPr>
            </w:pPr>
          </w:p>
        </w:tc>
        <w:tc>
          <w:tcPr>
            <w:tcW w:w="2740" w:type="dxa"/>
            <w:vAlign w:val="bottom"/>
          </w:tcPr>
          <w:p>
            <w:pPr>
              <w:jc w:val="right"/>
              <w:ind w:right="412"/>
              <w:spacing w:after="0"/>
              <w:rPr>
                <w:sz w:val="20"/>
                <w:szCs w:val="20"/>
                <w:color w:val="auto"/>
              </w:rPr>
            </w:pPr>
            <w:r>
              <w:rPr>
                <w:rFonts w:ascii="Arial" w:cs="Arial" w:eastAsia="Arial" w:hAnsi="Arial"/>
                <w:sz w:val="18"/>
                <w:szCs w:val="18"/>
                <w:color w:val="auto"/>
              </w:rPr>
              <w:t>34</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3840"/>
              <w:spacing w:after="0"/>
              <w:rPr>
                <w:sz w:val="20"/>
                <w:szCs w:val="20"/>
                <w:color w:val="auto"/>
              </w:rPr>
            </w:pPr>
            <w:r>
              <w:rPr>
                <w:rFonts w:ascii="Arial" w:cs="Arial" w:eastAsia="Arial" w:hAnsi="Arial"/>
                <w:sz w:val="18"/>
                <w:szCs w:val="18"/>
                <w:color w:val="auto"/>
              </w:rPr>
              <w:t>INDEX TO EXHIBITS</w:t>
            </w:r>
          </w:p>
        </w:tc>
      </w:tr>
      <w:tr>
        <w:trPr>
          <w:trHeight w:val="340"/>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175"/>
        </w:trPr>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3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18"/>
                <w:szCs w:val="18"/>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16"/>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17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14,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17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14,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April 1, 2007, as filed with the Securities and Exchange Commission on the date hereof (the “Report”), I, Sang Park, Chief Executive Officer and Chairman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2007</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April 1, 2007,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2007</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2019-12-12T04:16:12Z</dcterms:created>
  <dcterms:modified xsi:type="dcterms:W3CDTF">2019-12-12T04:16:12Z</dcterms:modified>
</cp:coreProperties>
</file>