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Avenue Investments, L.P.</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200" w:type="dxa"/>
            <w:vAlign w:val="bottom"/>
            <w:tcBorders>
              <w:top w:val="single" w:sz="8" w:color="0000EE"/>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03/10/2011</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480"/>
        <w:spacing w:after="0" w:line="268" w:lineRule="auto"/>
        <w:rPr>
          <w:sz w:val="20"/>
          <w:szCs w:val="20"/>
          <w:color w:val="auto"/>
        </w:rPr>
      </w:pPr>
      <w:r>
        <w:rPr>
          <w:rFonts w:ascii="Arial" w:cs="Arial" w:eastAsia="Arial" w:hAnsi="Arial"/>
          <w:sz w:val="18"/>
          <w:szCs w:val="18"/>
          <w:color w:val="0000FF"/>
        </w:rPr>
        <w:t>C/O AVENUE CAPITAL MANAGEMENT II, L.P.</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10022</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MAGNACHIP SEMICONDUCTOR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5. If Amendment, Date of Original Filed</w:t>
            </w:r>
          </w:p>
        </w:tc>
        <w:tc>
          <w:tcPr>
            <w:tcW w:w="0" w:type="dxa"/>
            <w:vAlign w:val="bottom"/>
          </w:tcPr>
          <w:p>
            <w:pPr>
              <w:spacing w:after="0"/>
              <w:rPr>
                <w:sz w:val="1"/>
                <w:szCs w:val="1"/>
                <w:color w:val="auto"/>
              </w:rPr>
            </w:pPr>
          </w:p>
        </w:tc>
      </w:t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42"/>
        </w:trPr>
        <w:tc>
          <w:tcPr>
            <w:tcW w:w="1840" w:type="dxa"/>
            <w:vAlign w:val="bottom"/>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4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184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Other (specify</w:t>
            </w:r>
          </w:p>
        </w:tc>
        <w:tc>
          <w:tcPr>
            <w:tcW w:w="460" w:type="dxa"/>
            <w:vAlign w:val="bottom"/>
            <w:tcBorders>
              <w:bottom w:val="single" w:sz="8" w:color="2C2C2C"/>
            </w:tcBorders>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84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6. Individual or Joint/Group Filing (Check</w:t>
            </w:r>
          </w:p>
        </w:tc>
        <w:tc>
          <w:tcPr>
            <w:tcW w:w="0" w:type="dxa"/>
            <w:vAlign w:val="bottom"/>
          </w:tcPr>
          <w:p>
            <w:pPr>
              <w:spacing w:after="0"/>
              <w:rPr>
                <w:sz w:val="1"/>
                <w:szCs w:val="1"/>
                <w:color w:val="auto"/>
              </w:rPr>
            </w:pPr>
          </w:p>
        </w:tc>
      </w:tr>
      <w:tr>
        <w:trPr>
          <w:trHeight w:val="68"/>
        </w:trPr>
        <w:tc>
          <w:tcPr>
            <w:tcW w:w="1840" w:type="dxa"/>
            <w:vAlign w:val="bottom"/>
            <w:vMerge w:val="restart"/>
          </w:tcPr>
          <w:p>
            <w:pPr>
              <w:ind w:left="540"/>
              <w:spacing w:after="0"/>
              <w:rPr>
                <w:sz w:val="20"/>
                <w:szCs w:val="20"/>
                <w:color w:val="auto"/>
              </w:rPr>
            </w:pPr>
            <w:r>
              <w:rPr>
                <w:rFonts w:ascii="Arial" w:cs="Arial" w:eastAsia="Arial" w:hAnsi="Arial"/>
                <w:sz w:val="14"/>
                <w:szCs w:val="14"/>
                <w:color w:val="auto"/>
              </w:rPr>
              <w:t>below)</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84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68"/>
        </w:trPr>
        <w:tc>
          <w:tcPr>
            <w:tcW w:w="18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8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18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60" w:type="dxa"/>
            <w:vAlign w:val="bottom"/>
          </w:tcPr>
          <w:p>
            <w:pPr>
              <w:ind w:left="240"/>
              <w:spacing w:after="0" w:line="189" w:lineRule="exact"/>
              <w:rPr>
                <w:sz w:val="20"/>
                <w:szCs w:val="20"/>
                <w:color w:val="auto"/>
              </w:rPr>
            </w:pPr>
            <w:r>
              <w:rPr>
                <w:rFonts w:ascii="Arial" w:cs="Arial" w:eastAsia="Arial" w:hAnsi="Arial"/>
                <w:sz w:val="18"/>
                <w:szCs w:val="18"/>
                <w:color w:val="0000FF"/>
              </w:rPr>
              <w:t>X</w:t>
            </w: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bl>
    <w:p>
      <w:pPr>
        <w:spacing w:after="0" w:line="279"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340" w:type="dxa"/>
            <w:vAlign w:val="bottom"/>
          </w:tcPr>
          <w:p>
            <w:pPr>
              <w:jc w:val="right"/>
              <w:ind w:right="40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3340" w:type="dxa"/>
            <w:vAlign w:val="bottom"/>
          </w:tcPr>
          <w:p>
            <w:pPr>
              <w:jc w:val="right"/>
              <w:ind w:right="10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3720" w:type="dxa"/>
            <w:vAlign w:val="bottom"/>
            <w:tcBorders>
              <w:bottom w:val="single" w:sz="8" w:color="2C2C2C"/>
            </w:tcBorders>
          </w:tcPr>
          <w:p>
            <w:pPr>
              <w:spacing w:after="0"/>
              <w:rPr>
                <w:sz w:val="4"/>
                <w:szCs w:val="4"/>
                <w:color w:val="auto"/>
              </w:rPr>
            </w:pPr>
          </w:p>
        </w:tc>
        <w:tc>
          <w:tcPr>
            <w:tcW w:w="33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331"/>
        </w:trPr>
        <w:tc>
          <w:tcPr>
            <w:tcW w:w="20" w:type="dxa"/>
            <w:vAlign w:val="bottom"/>
          </w:tcPr>
          <w:p>
            <w:pPr>
              <w:spacing w:after="0"/>
              <w:rPr>
                <w:sz w:val="24"/>
                <w:szCs w:val="24"/>
                <w:color w:val="auto"/>
              </w:rPr>
            </w:pPr>
          </w:p>
        </w:tc>
        <w:tc>
          <w:tcPr>
            <w:tcW w:w="37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$0.01 par value</w:t>
            </w:r>
          </w:p>
        </w:tc>
        <w:tc>
          <w:tcPr>
            <w:tcW w:w="3340" w:type="dxa"/>
            <w:vAlign w:val="bottom"/>
            <w:tcBorders>
              <w:bottom w:val="single" w:sz="8" w:color="2C2C2C"/>
            </w:tcBorders>
          </w:tcPr>
          <w:p>
            <w:pPr>
              <w:jc w:val="right"/>
              <w:ind w:right="400"/>
              <w:spacing w:after="0"/>
              <w:rPr>
                <w:sz w:val="20"/>
                <w:szCs w:val="20"/>
                <w:color w:val="auto"/>
              </w:rPr>
            </w:pPr>
            <w:r>
              <w:rPr>
                <w:rFonts w:ascii="Arial" w:cs="Arial" w:eastAsia="Arial" w:hAnsi="Arial"/>
                <w:sz w:val="18"/>
                <w:szCs w:val="18"/>
                <w:color w:val="0000FF"/>
              </w:rPr>
              <w:t>1,458,684</w:t>
            </w:r>
            <w:r>
              <w:rPr>
                <w:rFonts w:ascii="Arial" w:cs="Arial" w:eastAsia="Arial" w:hAnsi="Arial"/>
                <w:sz w:val="22"/>
                <w:szCs w:val="22"/>
                <w:color w:val="008000"/>
                <w:vertAlign w:val="superscript"/>
              </w:rPr>
              <w:t>(1)(2)</w:t>
            </w:r>
          </w:p>
        </w:tc>
        <w:tc>
          <w:tcPr>
            <w:tcW w:w="1320" w:type="dxa"/>
            <w:vAlign w:val="bottom"/>
            <w:tcBorders>
              <w:bottom w:val="single" w:sz="8" w:color="2C2C2C"/>
            </w:tcBorders>
          </w:tcPr>
          <w:p>
            <w:pPr>
              <w:ind w:left="6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30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7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$0.01 par value</w:t>
            </w:r>
          </w:p>
        </w:tc>
        <w:tc>
          <w:tcPr>
            <w:tcW w:w="3340" w:type="dxa"/>
            <w:vAlign w:val="bottom"/>
            <w:tcBorders>
              <w:bottom w:val="single" w:sz="8" w:color="2C2C2C"/>
            </w:tcBorders>
          </w:tcPr>
          <w:p>
            <w:pPr>
              <w:jc w:val="right"/>
              <w:ind w:right="400"/>
              <w:spacing w:after="0"/>
              <w:rPr>
                <w:sz w:val="20"/>
                <w:szCs w:val="20"/>
                <w:color w:val="auto"/>
              </w:rPr>
            </w:pPr>
            <w:r>
              <w:rPr>
                <w:rFonts w:ascii="Arial" w:cs="Arial" w:eastAsia="Arial" w:hAnsi="Arial"/>
                <w:sz w:val="18"/>
                <w:szCs w:val="18"/>
                <w:color w:val="0000FF"/>
              </w:rPr>
              <w:t>1,482,770</w:t>
            </w:r>
            <w:r>
              <w:rPr>
                <w:rFonts w:ascii="Arial" w:cs="Arial" w:eastAsia="Arial" w:hAnsi="Arial"/>
                <w:sz w:val="22"/>
                <w:szCs w:val="22"/>
                <w:color w:val="008000"/>
                <w:vertAlign w:val="superscript"/>
              </w:rPr>
              <w:t>(1)(2)</w:t>
            </w:r>
          </w:p>
        </w:tc>
        <w:tc>
          <w:tcPr>
            <w:tcW w:w="1320" w:type="dxa"/>
            <w:vAlign w:val="bottom"/>
            <w:tcBorders>
              <w:bottom w:val="single" w:sz="8" w:color="2C2C2C"/>
            </w:tcBorders>
          </w:tcPr>
          <w:p>
            <w:pPr>
              <w:ind w:left="6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(4)</w:t>
            </w:r>
          </w:p>
        </w:tc>
        <w:tc>
          <w:tcPr>
            <w:tcW w:w="30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7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$0.01 par value</w:t>
            </w:r>
          </w:p>
        </w:tc>
        <w:tc>
          <w:tcPr>
            <w:tcW w:w="3340" w:type="dxa"/>
            <w:vAlign w:val="bottom"/>
            <w:tcBorders>
              <w:bottom w:val="single" w:sz="8" w:color="2C2C2C"/>
            </w:tcBorders>
          </w:tcPr>
          <w:p>
            <w:pPr>
              <w:jc w:val="right"/>
              <w:ind w:right="400"/>
              <w:spacing w:after="0"/>
              <w:rPr>
                <w:sz w:val="20"/>
                <w:szCs w:val="20"/>
                <w:color w:val="auto"/>
              </w:rPr>
            </w:pPr>
            <w:r>
              <w:rPr>
                <w:rFonts w:ascii="Arial" w:cs="Arial" w:eastAsia="Arial" w:hAnsi="Arial"/>
                <w:sz w:val="18"/>
                <w:szCs w:val="18"/>
                <w:color w:val="0000FF"/>
              </w:rPr>
              <w:t>4,375,589</w:t>
            </w:r>
            <w:r>
              <w:rPr>
                <w:rFonts w:ascii="Arial" w:cs="Arial" w:eastAsia="Arial" w:hAnsi="Arial"/>
                <w:sz w:val="22"/>
                <w:szCs w:val="22"/>
                <w:color w:val="008000"/>
                <w:vertAlign w:val="superscript"/>
              </w:rPr>
              <w:t>(1)(2)</w:t>
            </w:r>
          </w:p>
        </w:tc>
        <w:tc>
          <w:tcPr>
            <w:tcW w:w="1320" w:type="dxa"/>
            <w:vAlign w:val="bottom"/>
            <w:tcBorders>
              <w:bottom w:val="single" w:sz="8" w:color="2C2C2C"/>
            </w:tcBorders>
          </w:tcPr>
          <w:p>
            <w:pPr>
              <w:ind w:left="6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(5)</w:t>
            </w:r>
          </w:p>
        </w:tc>
        <w:tc>
          <w:tcPr>
            <w:tcW w:w="30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720" w:type="dxa"/>
            <w:vAlign w:val="bottom"/>
            <w:tcBorders>
              <w:top w:val="single" w:sz="8" w:color="808080"/>
            </w:tcBorders>
            <w:shd w:val="clear" w:color="auto" w:fill="2C2C2C"/>
          </w:tcPr>
          <w:p>
            <w:pPr>
              <w:spacing w:after="0" w:line="20" w:lineRule="exact"/>
              <w:rPr>
                <w:sz w:val="1"/>
                <w:szCs w:val="1"/>
                <w:color w:val="auto"/>
              </w:rPr>
            </w:pPr>
          </w:p>
        </w:tc>
        <w:tc>
          <w:tcPr>
            <w:tcW w:w="334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80" w:type="dxa"/>
            <w:vAlign w:val="bottom"/>
          </w:tcPr>
          <w:p>
            <w:pPr>
              <w:spacing w:after="0"/>
              <w:rPr>
                <w:sz w:val="14"/>
                <w:szCs w:val="14"/>
                <w:color w:val="auto"/>
              </w:rPr>
            </w:pPr>
          </w:p>
        </w:tc>
        <w:tc>
          <w:tcPr>
            <w:tcW w:w="1680" w:type="dxa"/>
            <w:vAlign w:val="bottom"/>
            <w:gridSpan w:val="6"/>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9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80" w:type="dxa"/>
            <w:vAlign w:val="bottom"/>
            <w:gridSpan w:val="6"/>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80" w:type="dxa"/>
            <w:vAlign w:val="bottom"/>
            <w:gridSpan w:val="6"/>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9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2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gridSpan w:val="4"/>
          </w:tcPr>
          <w:p>
            <w:pPr>
              <w:ind w:left="80"/>
              <w:spacing w:after="0"/>
              <w:rPr>
                <w:sz w:val="20"/>
                <w:szCs w:val="20"/>
                <w:color w:val="auto"/>
              </w:rPr>
            </w:pPr>
            <w:r>
              <w:rPr>
                <w:rFonts w:ascii="Arial" w:cs="Arial" w:eastAsia="Arial" w:hAnsi="Arial"/>
                <w:sz w:val="14"/>
                <w:szCs w:val="14"/>
                <w:b w:val="1"/>
                <w:bCs w:val="1"/>
                <w:color w:val="auto"/>
              </w:rPr>
              <w:t>Date</w:t>
            </w:r>
          </w:p>
        </w:tc>
        <w:tc>
          <w:tcPr>
            <w:tcW w:w="2020" w:type="dxa"/>
            <w:vAlign w:val="bottom"/>
            <w:vMerge w:val="continue"/>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0000FF"/>
              </w:rPr>
              <w:t>Warrants</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60" w:type="dxa"/>
            <w:vAlign w:val="bottom"/>
            <w:gridSpan w:val="3"/>
          </w:tcPr>
          <w:p>
            <w:pPr>
              <w:ind w:left="720"/>
              <w:spacing w:after="0"/>
              <w:rPr>
                <w:sz w:val="20"/>
                <w:szCs w:val="20"/>
                <w:color w:val="auto"/>
              </w:rPr>
            </w:pPr>
            <w:r>
              <w:rPr>
                <w:rFonts w:ascii="Arial" w:cs="Arial" w:eastAsia="Arial" w:hAnsi="Arial"/>
                <w:sz w:val="14"/>
                <w:szCs w:val="14"/>
                <w:color w:val="0000FF"/>
              </w:rPr>
              <w:t>06/30/2010</w:t>
            </w:r>
          </w:p>
        </w:tc>
        <w:tc>
          <w:tcPr>
            <w:tcW w:w="800" w:type="dxa"/>
            <w:vAlign w:val="bottom"/>
            <w:gridSpan w:val="4"/>
          </w:tcPr>
          <w:p>
            <w:pPr>
              <w:ind w:left="100"/>
              <w:spacing w:after="0"/>
              <w:rPr>
                <w:sz w:val="20"/>
                <w:szCs w:val="20"/>
                <w:color w:val="auto"/>
              </w:rPr>
            </w:pPr>
            <w:r>
              <w:rPr>
                <w:rFonts w:ascii="Arial" w:cs="Arial" w:eastAsia="Arial" w:hAnsi="Arial"/>
                <w:sz w:val="14"/>
                <w:szCs w:val="14"/>
                <w:color w:val="0000FF"/>
                <w:w w:val="96"/>
              </w:rPr>
              <w:t>11/09/2014</w:t>
            </w:r>
          </w:p>
        </w:tc>
        <w:tc>
          <w:tcPr>
            <w:tcW w:w="2020" w:type="dxa"/>
            <w:vAlign w:val="bottom"/>
          </w:tcPr>
          <w:p>
            <w:pPr>
              <w:ind w:left="100"/>
              <w:spacing w:after="0"/>
              <w:rPr>
                <w:sz w:val="20"/>
                <w:szCs w:val="20"/>
                <w:color w:val="auto"/>
              </w:rPr>
            </w:pPr>
            <w:r>
              <w:rPr>
                <w:rFonts w:ascii="Arial" w:cs="Arial" w:eastAsia="Arial" w:hAnsi="Arial"/>
                <w:sz w:val="18"/>
                <w:szCs w:val="18"/>
                <w:color w:val="0000FF"/>
                <w:w w:val="90"/>
              </w:rPr>
              <w:t>Common Stock, $0.01 par</w:t>
            </w:r>
          </w:p>
        </w:tc>
        <w:tc>
          <w:tcPr>
            <w:tcW w:w="900" w:type="dxa"/>
            <w:vAlign w:val="bottom"/>
          </w:tcPr>
          <w:p>
            <w:pPr>
              <w:ind w:left="80"/>
              <w:spacing w:after="0"/>
              <w:rPr>
                <w:sz w:val="20"/>
                <w:szCs w:val="20"/>
                <w:color w:val="auto"/>
              </w:rPr>
            </w:pPr>
            <w:r>
              <w:rPr>
                <w:rFonts w:ascii="Arial" w:cs="Arial" w:eastAsia="Arial" w:hAnsi="Arial"/>
                <w:sz w:val="18"/>
                <w:szCs w:val="18"/>
                <w:color w:val="0000FF"/>
                <w:w w:val="87"/>
              </w:rPr>
              <w:t>23,573</w:t>
            </w:r>
            <w:r>
              <w:rPr>
                <w:rFonts w:ascii="Arial" w:cs="Arial" w:eastAsia="Arial" w:hAnsi="Arial"/>
                <w:sz w:val="22"/>
                <w:szCs w:val="22"/>
                <w:color w:val="008000"/>
                <w:w w:val="87"/>
                <w:vertAlign w:val="superscript"/>
              </w:rPr>
              <w:t>(1)(2)</w:t>
            </w:r>
          </w:p>
        </w:tc>
        <w:tc>
          <w:tcPr>
            <w:tcW w:w="880" w:type="dxa"/>
            <w:vAlign w:val="bottom"/>
          </w:tcPr>
          <w:p>
            <w:pPr>
              <w:ind w:left="260"/>
              <w:spacing w:after="0"/>
              <w:rPr>
                <w:sz w:val="20"/>
                <w:szCs w:val="20"/>
                <w:color w:val="auto"/>
              </w:rPr>
            </w:pPr>
            <w:r>
              <w:rPr>
                <w:rFonts w:ascii="Arial" w:cs="Arial" w:eastAsia="Arial" w:hAnsi="Arial"/>
                <w:sz w:val="18"/>
                <w:szCs w:val="18"/>
                <w:color w:val="0000FF"/>
              </w:rPr>
              <w:t>15.76</w:t>
            </w:r>
          </w:p>
        </w:tc>
        <w:tc>
          <w:tcPr>
            <w:tcW w:w="880" w:type="dxa"/>
            <w:vAlign w:val="bottom"/>
          </w:tcPr>
          <w:p>
            <w:pPr>
              <w:ind w:left="3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(6)</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120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2020" w:type="dxa"/>
            <w:vAlign w:val="bottom"/>
            <w:tcBorders>
              <w:bottom w:val="single" w:sz="8" w:color="2C2C2C"/>
            </w:tcBorders>
          </w:tcPr>
          <w:p>
            <w:pPr>
              <w:ind w:left="820"/>
              <w:spacing w:after="0"/>
              <w:rPr>
                <w:sz w:val="20"/>
                <w:szCs w:val="20"/>
                <w:color w:val="auto"/>
              </w:rPr>
            </w:pPr>
            <w:r>
              <w:rPr>
                <w:rFonts w:ascii="Arial" w:cs="Arial" w:eastAsia="Arial" w:hAnsi="Arial"/>
                <w:sz w:val="18"/>
                <w:szCs w:val="18"/>
                <w:color w:val="0000FF"/>
              </w:rPr>
              <w:t>value</w:t>
            </w:r>
          </w:p>
        </w:tc>
        <w:tc>
          <w:tcPr>
            <w:tcW w:w="90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160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0000FF"/>
              </w:rPr>
              <w:t>Warrants</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60" w:type="dxa"/>
            <w:vAlign w:val="bottom"/>
            <w:gridSpan w:val="3"/>
          </w:tcPr>
          <w:p>
            <w:pPr>
              <w:ind w:left="720"/>
              <w:spacing w:after="0"/>
              <w:rPr>
                <w:sz w:val="20"/>
                <w:szCs w:val="20"/>
                <w:color w:val="auto"/>
              </w:rPr>
            </w:pPr>
            <w:r>
              <w:rPr>
                <w:rFonts w:ascii="Arial" w:cs="Arial" w:eastAsia="Arial" w:hAnsi="Arial"/>
                <w:sz w:val="14"/>
                <w:szCs w:val="14"/>
                <w:color w:val="0000FF"/>
              </w:rPr>
              <w:t>06/30/2010</w:t>
            </w:r>
          </w:p>
        </w:tc>
        <w:tc>
          <w:tcPr>
            <w:tcW w:w="800" w:type="dxa"/>
            <w:vAlign w:val="bottom"/>
            <w:gridSpan w:val="4"/>
          </w:tcPr>
          <w:p>
            <w:pPr>
              <w:ind w:left="100"/>
              <w:spacing w:after="0"/>
              <w:rPr>
                <w:sz w:val="20"/>
                <w:szCs w:val="20"/>
                <w:color w:val="auto"/>
              </w:rPr>
            </w:pPr>
            <w:r>
              <w:rPr>
                <w:rFonts w:ascii="Arial" w:cs="Arial" w:eastAsia="Arial" w:hAnsi="Arial"/>
                <w:sz w:val="14"/>
                <w:szCs w:val="14"/>
                <w:color w:val="0000FF"/>
                <w:w w:val="96"/>
              </w:rPr>
              <w:t>11/09/2014</w:t>
            </w:r>
          </w:p>
        </w:tc>
        <w:tc>
          <w:tcPr>
            <w:tcW w:w="2020" w:type="dxa"/>
            <w:vAlign w:val="bottom"/>
          </w:tcPr>
          <w:p>
            <w:pPr>
              <w:ind w:left="100"/>
              <w:spacing w:after="0"/>
              <w:rPr>
                <w:sz w:val="20"/>
                <w:szCs w:val="20"/>
                <w:color w:val="auto"/>
              </w:rPr>
            </w:pPr>
            <w:r>
              <w:rPr>
                <w:rFonts w:ascii="Arial" w:cs="Arial" w:eastAsia="Arial" w:hAnsi="Arial"/>
                <w:sz w:val="18"/>
                <w:szCs w:val="18"/>
                <w:color w:val="0000FF"/>
                <w:w w:val="90"/>
              </w:rPr>
              <w:t>Common Stock, $0.01 par</w:t>
            </w:r>
          </w:p>
        </w:tc>
        <w:tc>
          <w:tcPr>
            <w:tcW w:w="900" w:type="dxa"/>
            <w:vAlign w:val="bottom"/>
          </w:tcPr>
          <w:p>
            <w:pPr>
              <w:ind w:left="80"/>
              <w:spacing w:after="0"/>
              <w:rPr>
                <w:sz w:val="20"/>
                <w:szCs w:val="20"/>
                <w:color w:val="auto"/>
              </w:rPr>
            </w:pPr>
            <w:r>
              <w:rPr>
                <w:rFonts w:ascii="Arial" w:cs="Arial" w:eastAsia="Arial" w:hAnsi="Arial"/>
                <w:sz w:val="18"/>
                <w:szCs w:val="18"/>
                <w:color w:val="0000FF"/>
                <w:w w:val="87"/>
              </w:rPr>
              <w:t>30,315</w:t>
            </w:r>
            <w:r>
              <w:rPr>
                <w:rFonts w:ascii="Arial" w:cs="Arial" w:eastAsia="Arial" w:hAnsi="Arial"/>
                <w:sz w:val="22"/>
                <w:szCs w:val="22"/>
                <w:color w:val="008000"/>
                <w:w w:val="87"/>
                <w:vertAlign w:val="superscript"/>
              </w:rPr>
              <w:t>(1)(2)</w:t>
            </w:r>
          </w:p>
        </w:tc>
        <w:tc>
          <w:tcPr>
            <w:tcW w:w="880" w:type="dxa"/>
            <w:vAlign w:val="bottom"/>
          </w:tcPr>
          <w:p>
            <w:pPr>
              <w:ind w:left="260"/>
              <w:spacing w:after="0"/>
              <w:rPr>
                <w:sz w:val="20"/>
                <w:szCs w:val="20"/>
                <w:color w:val="auto"/>
              </w:rPr>
            </w:pPr>
            <w:r>
              <w:rPr>
                <w:rFonts w:ascii="Arial" w:cs="Arial" w:eastAsia="Arial" w:hAnsi="Arial"/>
                <w:sz w:val="18"/>
                <w:szCs w:val="18"/>
                <w:color w:val="0000FF"/>
              </w:rPr>
              <w:t>15.76</w:t>
            </w:r>
          </w:p>
        </w:tc>
        <w:tc>
          <w:tcPr>
            <w:tcW w:w="880" w:type="dxa"/>
            <w:vAlign w:val="bottom"/>
          </w:tcPr>
          <w:p>
            <w:pPr>
              <w:ind w:left="3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(7)</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120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2020" w:type="dxa"/>
            <w:vAlign w:val="bottom"/>
            <w:tcBorders>
              <w:bottom w:val="single" w:sz="8" w:color="2C2C2C"/>
            </w:tcBorders>
          </w:tcPr>
          <w:p>
            <w:pPr>
              <w:ind w:left="820"/>
              <w:spacing w:after="0"/>
              <w:rPr>
                <w:sz w:val="20"/>
                <w:szCs w:val="20"/>
                <w:color w:val="auto"/>
              </w:rPr>
            </w:pPr>
            <w:r>
              <w:rPr>
                <w:rFonts w:ascii="Arial" w:cs="Arial" w:eastAsia="Arial" w:hAnsi="Arial"/>
                <w:sz w:val="18"/>
                <w:szCs w:val="18"/>
                <w:color w:val="0000FF"/>
              </w:rPr>
              <w:t>value</w:t>
            </w:r>
          </w:p>
        </w:tc>
        <w:tc>
          <w:tcPr>
            <w:tcW w:w="90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160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0000FF"/>
              </w:rPr>
              <w:t>Warrants</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60" w:type="dxa"/>
            <w:vAlign w:val="bottom"/>
            <w:gridSpan w:val="3"/>
          </w:tcPr>
          <w:p>
            <w:pPr>
              <w:ind w:left="720"/>
              <w:spacing w:after="0"/>
              <w:rPr>
                <w:sz w:val="20"/>
                <w:szCs w:val="20"/>
                <w:color w:val="auto"/>
              </w:rPr>
            </w:pPr>
            <w:r>
              <w:rPr>
                <w:rFonts w:ascii="Arial" w:cs="Arial" w:eastAsia="Arial" w:hAnsi="Arial"/>
                <w:sz w:val="14"/>
                <w:szCs w:val="14"/>
                <w:color w:val="0000FF"/>
              </w:rPr>
              <w:t>06/30/2010</w:t>
            </w:r>
          </w:p>
        </w:tc>
        <w:tc>
          <w:tcPr>
            <w:tcW w:w="800" w:type="dxa"/>
            <w:vAlign w:val="bottom"/>
            <w:gridSpan w:val="4"/>
          </w:tcPr>
          <w:p>
            <w:pPr>
              <w:ind w:left="100"/>
              <w:spacing w:after="0"/>
              <w:rPr>
                <w:sz w:val="20"/>
                <w:szCs w:val="20"/>
                <w:color w:val="auto"/>
              </w:rPr>
            </w:pPr>
            <w:r>
              <w:rPr>
                <w:rFonts w:ascii="Arial" w:cs="Arial" w:eastAsia="Arial" w:hAnsi="Arial"/>
                <w:sz w:val="14"/>
                <w:szCs w:val="14"/>
                <w:color w:val="0000FF"/>
                <w:w w:val="96"/>
              </w:rPr>
              <w:t>11/09/2014</w:t>
            </w:r>
          </w:p>
        </w:tc>
        <w:tc>
          <w:tcPr>
            <w:tcW w:w="2020" w:type="dxa"/>
            <w:vAlign w:val="bottom"/>
          </w:tcPr>
          <w:p>
            <w:pPr>
              <w:ind w:left="100"/>
              <w:spacing w:after="0"/>
              <w:rPr>
                <w:sz w:val="20"/>
                <w:szCs w:val="20"/>
                <w:color w:val="auto"/>
              </w:rPr>
            </w:pPr>
            <w:r>
              <w:rPr>
                <w:rFonts w:ascii="Arial" w:cs="Arial" w:eastAsia="Arial" w:hAnsi="Arial"/>
                <w:sz w:val="18"/>
                <w:szCs w:val="18"/>
                <w:color w:val="0000FF"/>
                <w:w w:val="90"/>
              </w:rPr>
              <w:t>Common Stock, $0.01 par</w:t>
            </w:r>
          </w:p>
        </w:tc>
        <w:tc>
          <w:tcPr>
            <w:tcW w:w="900" w:type="dxa"/>
            <w:vAlign w:val="bottom"/>
          </w:tcPr>
          <w:p>
            <w:pPr>
              <w:ind w:left="80"/>
              <w:spacing w:after="0"/>
              <w:rPr>
                <w:sz w:val="20"/>
                <w:szCs w:val="20"/>
                <w:color w:val="auto"/>
              </w:rPr>
            </w:pPr>
            <w:r>
              <w:rPr>
                <w:rFonts w:ascii="Arial" w:cs="Arial" w:eastAsia="Arial" w:hAnsi="Arial"/>
                <w:sz w:val="18"/>
                <w:szCs w:val="18"/>
                <w:color w:val="0000FF"/>
                <w:w w:val="87"/>
              </w:rPr>
              <w:t>70,448</w:t>
            </w:r>
            <w:r>
              <w:rPr>
                <w:rFonts w:ascii="Arial" w:cs="Arial" w:eastAsia="Arial" w:hAnsi="Arial"/>
                <w:sz w:val="22"/>
                <w:szCs w:val="22"/>
                <w:color w:val="008000"/>
                <w:w w:val="87"/>
                <w:vertAlign w:val="superscript"/>
              </w:rPr>
              <w:t>(1)(2)</w:t>
            </w:r>
          </w:p>
        </w:tc>
        <w:tc>
          <w:tcPr>
            <w:tcW w:w="880" w:type="dxa"/>
            <w:vAlign w:val="bottom"/>
          </w:tcPr>
          <w:p>
            <w:pPr>
              <w:ind w:left="260"/>
              <w:spacing w:after="0"/>
              <w:rPr>
                <w:sz w:val="20"/>
                <w:szCs w:val="20"/>
                <w:color w:val="auto"/>
              </w:rPr>
            </w:pPr>
            <w:r>
              <w:rPr>
                <w:rFonts w:ascii="Arial" w:cs="Arial" w:eastAsia="Arial" w:hAnsi="Arial"/>
                <w:sz w:val="18"/>
                <w:szCs w:val="18"/>
                <w:color w:val="0000FF"/>
              </w:rPr>
              <w:t>15.76</w:t>
            </w:r>
          </w:p>
        </w:tc>
        <w:tc>
          <w:tcPr>
            <w:tcW w:w="880" w:type="dxa"/>
            <w:vAlign w:val="bottom"/>
          </w:tcPr>
          <w:p>
            <w:pPr>
              <w:ind w:left="3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(8)</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1200" w:type="dxa"/>
            <w:vAlign w:val="bottom"/>
            <w:tcBorders>
              <w:bottom w:val="single" w:sz="8" w:color="2C2C2C"/>
            </w:tcBorders>
          </w:tcPr>
          <w:p>
            <w:pPr>
              <w:spacing w:after="0"/>
              <w:rPr>
                <w:sz w:val="22"/>
                <w:szCs w:val="22"/>
                <w:color w:val="auto"/>
              </w:rPr>
            </w:pPr>
          </w:p>
        </w:tc>
        <w:tc>
          <w:tcPr>
            <w:tcW w:w="100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2020" w:type="dxa"/>
            <w:vAlign w:val="bottom"/>
            <w:tcBorders>
              <w:bottom w:val="single" w:sz="8" w:color="2C2C2C"/>
            </w:tcBorders>
          </w:tcPr>
          <w:p>
            <w:pPr>
              <w:ind w:left="820"/>
              <w:spacing w:after="0"/>
              <w:rPr>
                <w:sz w:val="20"/>
                <w:szCs w:val="20"/>
                <w:color w:val="auto"/>
              </w:rPr>
            </w:pPr>
            <w:r>
              <w:rPr>
                <w:rFonts w:ascii="Arial" w:cs="Arial" w:eastAsia="Arial" w:hAnsi="Arial"/>
                <w:sz w:val="18"/>
                <w:szCs w:val="18"/>
                <w:color w:val="0000FF"/>
              </w:rPr>
              <w:t>value</w:t>
            </w:r>
          </w:p>
        </w:tc>
        <w:tc>
          <w:tcPr>
            <w:tcW w:w="90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16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84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5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Avenue Investments, L.P.</w:t>
              </w:r>
            </w:hyperlink>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460" w:type="dxa"/>
            <w:vAlign w:val="bottom"/>
            <w:gridSpan w:val="3"/>
          </w:tcPr>
          <w:p>
            <w:pPr>
              <w:ind w:left="180"/>
              <w:spacing w:after="0"/>
              <w:rPr>
                <w:sz w:val="20"/>
                <w:szCs w:val="20"/>
                <w:color w:val="auto"/>
              </w:rPr>
            </w:pPr>
            <w:r>
              <w:rPr>
                <w:rFonts w:ascii="Arial" w:cs="Arial" w:eastAsia="Arial" w:hAnsi="Arial"/>
                <w:sz w:val="14"/>
                <w:szCs w:val="14"/>
                <w:color w:val="auto"/>
              </w:rPr>
              <w:t>(Middle)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6"/>
          </w:tcPr>
          <w:p>
            <w:pPr>
              <w:spacing w:after="0"/>
              <w:rPr>
                <w:sz w:val="20"/>
                <w:szCs w:val="20"/>
                <w:color w:val="auto"/>
              </w:rPr>
            </w:pPr>
            <w:r>
              <w:rPr>
                <w:rFonts w:ascii="Arial" w:cs="Arial" w:eastAsia="Arial" w:hAnsi="Arial"/>
                <w:sz w:val="18"/>
                <w:szCs w:val="18"/>
                <w:color w:val="0000FF"/>
              </w:rPr>
              <w:t>C/O AVENUE CAPITAL MANAGEMENT II, L.P.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w w:val="99"/>
              </w:rPr>
              <w:t>399 PARK AVENUE, 6TH FLOOR</w:t>
            </w:r>
          </w:p>
        </w:tc>
        <w:tc>
          <w:tcPr>
            <w:tcW w:w="5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080" w:type="dxa"/>
            <w:vAlign w:val="bottom"/>
            <w:gridSpan w:val="2"/>
          </w:tcPr>
          <w:p>
            <w:pPr>
              <w:ind w:left="180"/>
              <w:spacing w:after="0"/>
              <w:rPr>
                <w:sz w:val="20"/>
                <w:szCs w:val="20"/>
                <w:color w:val="auto"/>
              </w:rPr>
            </w:pPr>
            <w:r>
              <w:rPr>
                <w:rFonts w:ascii="Arial" w:cs="Arial" w:eastAsia="Arial" w:hAnsi="Arial"/>
                <w:sz w:val="18"/>
                <w:szCs w:val="18"/>
                <w:color w:val="0000FF"/>
              </w:rPr>
              <w:t>10022</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gridSpan w:val="2"/>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460" w:type="dxa"/>
            <w:vAlign w:val="bottom"/>
            <w:gridSpan w:val="3"/>
          </w:tcPr>
          <w:p>
            <w:pPr>
              <w:ind w:left="180"/>
              <w:spacing w:after="0"/>
              <w:rPr>
                <w:sz w:val="20"/>
                <w:szCs w:val="20"/>
                <w:color w:val="auto"/>
              </w:rPr>
            </w:pPr>
            <w:r>
              <w:rPr>
                <w:rFonts w:ascii="Arial" w:cs="Arial" w:eastAsia="Arial" w:hAnsi="Arial"/>
                <w:sz w:val="14"/>
                <w:szCs w:val="14"/>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gridSpan w:val="2"/>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0" w:type="dxa"/>
            <w:vAlign w:val="bottom"/>
            <w:gridSpan w:val="6"/>
          </w:tcPr>
          <w:p>
            <w:pPr>
              <w:spacing w:after="0" w:line="224"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Avenue CDP Global Opportunities Fund LP</w:t>
              </w:r>
            </w:hyperlink>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460" w:type="dxa"/>
            <w:vAlign w:val="bottom"/>
            <w:gridSpan w:val="3"/>
          </w:tcPr>
          <w:p>
            <w:pPr>
              <w:ind w:left="180"/>
              <w:spacing w:after="0"/>
              <w:rPr>
                <w:sz w:val="20"/>
                <w:szCs w:val="20"/>
                <w:color w:val="auto"/>
              </w:rPr>
            </w:pPr>
            <w:r>
              <w:rPr>
                <w:rFonts w:ascii="Arial" w:cs="Arial" w:eastAsia="Arial" w:hAnsi="Arial"/>
                <w:sz w:val="14"/>
                <w:szCs w:val="14"/>
                <w:color w:val="auto"/>
              </w:rPr>
              <w:t>(Middle)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6"/>
          </w:tcPr>
          <w:p>
            <w:pPr>
              <w:spacing w:after="0"/>
              <w:rPr>
                <w:sz w:val="20"/>
                <w:szCs w:val="20"/>
                <w:color w:val="auto"/>
              </w:rPr>
            </w:pPr>
            <w:r>
              <w:rPr>
                <w:rFonts w:ascii="Arial" w:cs="Arial" w:eastAsia="Arial" w:hAnsi="Arial"/>
                <w:sz w:val="18"/>
                <w:szCs w:val="18"/>
                <w:color w:val="0000FF"/>
              </w:rPr>
              <w:t>C/O AVENUE CAPITAL MANAGEMENT II, L.P.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w w:val="99"/>
              </w:rPr>
              <w:t>399 PARK AVENUE, 6TH FLOOR</w:t>
            </w:r>
          </w:p>
        </w:tc>
        <w:tc>
          <w:tcPr>
            <w:tcW w:w="5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080" w:type="dxa"/>
            <w:vAlign w:val="bottom"/>
            <w:gridSpan w:val="2"/>
          </w:tcPr>
          <w:p>
            <w:pPr>
              <w:ind w:left="180"/>
              <w:spacing w:after="0"/>
              <w:rPr>
                <w:sz w:val="20"/>
                <w:szCs w:val="20"/>
                <w:color w:val="auto"/>
              </w:rPr>
            </w:pPr>
            <w:r>
              <w:rPr>
                <w:rFonts w:ascii="Arial" w:cs="Arial" w:eastAsia="Arial" w:hAnsi="Arial"/>
                <w:sz w:val="18"/>
                <w:szCs w:val="18"/>
                <w:color w:val="0000FF"/>
              </w:rPr>
              <w:t>10022</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spacing w:after="0" w:line="125"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9025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2924175" cy="9025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Avenue International Master, L.P.</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AVENUE CAPITAL MANAGEMENT II,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AVENUE INTERNATIONAL, LTD.</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AVENUE CAPITAL MANAGEMENT II,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Avenue International Master GenPar, Ltd.</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AVENUE CAPITAL MANAGEMENT II,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Avenue Partners, LLC</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AVENUE CAPITAL MANAGEMENT II,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NEW YORK</w:t>
            </w:r>
          </w:p>
        </w:tc>
        <w:tc>
          <w:tcPr>
            <w:tcW w:w="1340" w:type="dxa"/>
            <w:vAlign w:val="bottom"/>
          </w:tcPr>
          <w:p>
            <w:pPr>
              <w:ind w:left="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340" w:type="dxa"/>
            <w:vAlign w:val="bottom"/>
          </w:tcPr>
          <w:p>
            <w:pPr>
              <w:ind w:left="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400" w:type="dxa"/>
            <w:vAlign w:val="bottom"/>
            <w:tcBorders>
              <w:bottom w:val="single" w:sz="8" w:color="0000EE"/>
            </w:tcBorders>
          </w:tcPr>
          <w:p>
            <w:pPr>
              <w:spacing w:after="0" w:line="224" w:lineRule="exact"/>
              <w:rPr>
                <w:rFonts w:ascii="Arial" w:cs="Arial" w:eastAsia="Arial" w:hAnsi="Arial"/>
                <w:sz w:val="22"/>
                <w:szCs w:val="22"/>
                <w:color w:val="0000EE"/>
                <w:w w:val="96"/>
              </w:rPr>
            </w:pPr>
            <w:hyperlink r:id="rId19">
              <w:r>
                <w:rPr>
                  <w:rFonts w:ascii="Arial" w:cs="Arial" w:eastAsia="Arial" w:hAnsi="Arial"/>
                  <w:sz w:val="22"/>
                  <w:szCs w:val="22"/>
                  <w:color w:val="0000EE"/>
                  <w:w w:val="96"/>
                </w:rPr>
                <w:t>LASRY MARC</w:t>
              </w:r>
            </w:hyperlink>
          </w:p>
        </w:tc>
        <w:tc>
          <w:tcPr>
            <w:tcW w:w="1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(Last)</w:t>
            </w:r>
          </w:p>
        </w:tc>
        <w:tc>
          <w:tcPr>
            <w:tcW w:w="1340" w:type="dxa"/>
            <w:vAlign w:val="bottom"/>
          </w:tcPr>
          <w:p>
            <w:pPr>
              <w:ind w:left="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AVENUE CAPITAL MANAGEMENT II,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180" w:firstLine="9"/>
        <w:spacing w:after="0" w:line="27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persons reporting on this Form 3 (the "Reporting Persons") originally acquired common units and warrants exercisable to purchase common units in exchange for previously outstanding debt of subsidiaries of MagnaChip Semiconductor LLC held by the Reporting Persons and in connection with a rights offering of common units of MagnaChip Semiconductor LLC . Prior to the effectiveness of the registration statement on Form 8-A, MagnaChip Semiconductor LLC converted into MagnaChip Semiconductor Corporation (the "Issuer") and the Reporting Persons received shares of Common Stock, par value $0.01 (the "Common Stock"), and the warrants exercisable to purchase shares of Common Stock.</w:t>
      </w:r>
    </w:p>
    <w:p>
      <w:pPr>
        <w:spacing w:after="0" w:line="8" w:lineRule="exact"/>
        <w:rPr>
          <w:rFonts w:ascii="Arial" w:cs="Arial" w:eastAsia="Arial" w:hAnsi="Arial"/>
          <w:sz w:val="12"/>
          <w:szCs w:val="12"/>
          <w:color w:val="008000"/>
        </w:rPr>
      </w:pPr>
    </w:p>
    <w:p>
      <w:pPr>
        <w:ind w:left="20" w:right="20" w:firstLine="9"/>
        <w:spacing w:after="0" w:line="273"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filing of this Form 3 shall not be construed as an admission that Avenue Global Opportunities GenPar, LLC ("Global GenPar"), Avenue International, Ltd. ("Avenue International"), Avenue International Master GenPar, Ltd. ("International GenPar"), Avenue Partners, LLC ("Avenue Partners"), Avenue Capital Management II, L.P. ("Avenue Capital Management"), Avenue Capital Management II GenPar, LLC ("Avenue Capital Management GenPar") or Marc Lasry (collectively, the "Controlling Persons") is or was for the purposes of Section 16(a) of the Securities Exchange Act of 1934, as amended, or otherwise the beneficial owner of any of the Common Stock of the Issuer directly held by Avenue Investments, L.P. ("Avenue Investments"), Avenue-CDP Global Opportunities Fund, L.P. ("Avenue-CDP") and Avenue International Master, L.P. ("Avenue International Master"). Pursuant to Rule 16a-1, the Controlling Persons disclaim such beneficial ownership except to the extent of their pecuniary interest therein.</w:t>
      </w:r>
    </w:p>
    <w:p>
      <w:pPr>
        <w:spacing w:after="0" w:line="11" w:lineRule="exact"/>
        <w:rPr>
          <w:rFonts w:ascii="Arial" w:cs="Arial" w:eastAsia="Arial" w:hAnsi="Arial"/>
          <w:sz w:val="12"/>
          <w:szCs w:val="12"/>
          <w:color w:val="008000"/>
        </w:rPr>
      </w:pPr>
    </w:p>
    <w:p>
      <w:pPr>
        <w:ind w:left="2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Avenue Investments holds directly 1,458,684 shares of Common Stock of the Issuer. Avenue Partners serves as the general partner of Avenue Investments. Avenue Partners holds indirectly the 1,458,684 shares of Common Stock of the Issuer held directly by Avenue Investments. Avenue Partners has a direct performance-based allocation from Avenue Investments. Mr. Lasry owns an interest in Avenue Partners and receives a portion of the profits allocation related to Avenue Investments.</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Avenue-CDP holds directly 1,482,770 shares of Common Stock of the Issuer. Global GenPar serves as the general partner of Avenue-CDP. Global GenPar holds indirectly the 1,482,770 shares of Common</w:t>
      </w:r>
    </w:p>
    <w:p>
      <w:pPr>
        <w:sectPr>
          <w:pgSz w:w="11900" w:h="16849" w:orient="portrait"/>
          <w:cols w:equalWidth="0" w:num="1">
            <w:col w:w="11340"/>
          </w:cols>
          <w:pgMar w:left="260" w:top="113" w:right="299" w:bottom="0" w:gutter="0" w:footer="0" w:header="0"/>
        </w:sectPr>
      </w:pPr>
    </w:p>
    <w:bookmarkStart w:id="2" w:name="page3"/>
    <w:bookmarkEnd w:id="2"/>
    <w:p>
      <w:pPr>
        <w:ind w:right="60"/>
        <w:spacing w:after="0" w:line="239" w:lineRule="auto"/>
        <w:rPr>
          <w:sz w:val="20"/>
          <w:szCs w:val="20"/>
          <w:color w:val="auto"/>
        </w:rPr>
      </w:pPr>
      <w:r>
        <w:rPr>
          <w:rFonts w:ascii="Arial" w:cs="Arial" w:eastAsia="Arial" w:hAnsi="Arial"/>
          <w:sz w:val="14"/>
          <w:szCs w:val="14"/>
          <w:color w:val="008000"/>
        </w:rPr>
        <w:t>Stock of the Issuer held directly by Avenue-CDP. Global GenPar has a direct performance-based allocation from Avenue-CDP. Mr. Lasry owns an interest in Global GenPar and receives a portion of the profits allocation related to Avenue-CDP.</w:t>
      </w:r>
    </w:p>
    <w:p>
      <w:pPr>
        <w:spacing w:after="0" w:line="30" w:lineRule="exact"/>
        <w:rPr>
          <w:sz w:val="20"/>
          <w:szCs w:val="20"/>
          <w:color w:val="auto"/>
        </w:rPr>
      </w:pPr>
    </w:p>
    <w:p>
      <w:pPr>
        <w:ind w:right="40" w:firstLine="9"/>
        <w:spacing w:after="0" w:line="228"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Avenue International Master holds directly 4,375,589 shares of Common Stock of the Issuer. Avenue International is the sole limited partner of Avenue International Master, International GenPar serves as the general partner of Avenue International Master and Avenue Partners is the sole shareholder of International GenPar. Each of Avenue International, International GenPar and Avenue Partners holds indirectly the 4,375,589 shares of Common Stock of the Issuer held directly by Avenue International Master. International GenPar has a direct performance-based allocation from Avenue International Master, and Avenue Partners, as the sole shareholder of International GenPar, has an indirect interest in such allocation. Mr. Lasry owns an interest in International GenPar and Avenue Partners and receives a portion of the profits allocation related to Avenue International Master.</w:t>
      </w:r>
    </w:p>
    <w:p>
      <w:pPr>
        <w:spacing w:after="0" w:line="32" w:lineRule="exact"/>
        <w:rPr>
          <w:rFonts w:ascii="Arial" w:cs="Arial" w:eastAsia="Arial" w:hAnsi="Arial"/>
          <w:sz w:val="14"/>
          <w:szCs w:val="14"/>
          <w:color w:val="008000"/>
        </w:rPr>
      </w:pPr>
    </w:p>
    <w:p>
      <w:pPr>
        <w:ind w:firstLine="9"/>
        <w:spacing w:after="0" w:line="288"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Avenue Investments holds directly warrants exercisable to purchase 23,573 shares of Common Stock of the Issuer. Avenue Partners serves as the general partner of Avenue Investments. Avenue Partners holds indirectly the warrants exercisable to purchase 23,573 shares of Common Stock of the Issuer held directly by Avenue Investments. Avenue Partners has a direct performance-based allocation from Avenue Investments. Mr. Lasry owns an interest in Avenue Partners and receives a portion of the profits allocation related to Avenue Investments.</w:t>
      </w:r>
    </w:p>
    <w:p>
      <w:pPr>
        <w:spacing w:after="0" w:line="2" w:lineRule="exact"/>
        <w:rPr>
          <w:rFonts w:ascii="Arial" w:cs="Arial" w:eastAsia="Arial" w:hAnsi="Arial"/>
          <w:sz w:val="12"/>
          <w:szCs w:val="12"/>
          <w:color w:val="008000"/>
        </w:rPr>
      </w:pPr>
    </w:p>
    <w:p>
      <w:pPr>
        <w:jc w:val="both"/>
        <w:ind w:right="140" w:firstLine="9"/>
        <w:spacing w:after="0" w:line="233"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Avenue-CDP holds directly warrants exercisable to purchase 30,315 shares of Common Stock of the Issuer. Global GenPar serves as the general partner of Avenue-CDP. Global GenPar holds indirectly the warrants exercisable to purchase 30,315 shares of Common Stock of the Issuer held directly by Avenue-CDP. Global GenPar has a direct performance-based allocation from Avenue-CDP. Mr. Lasry owns an interest in Global GenPar and receives a portion of the profits allocation related to Avenue-CDP.</w:t>
      </w:r>
    </w:p>
    <w:p>
      <w:pPr>
        <w:spacing w:after="0" w:line="30" w:lineRule="exact"/>
        <w:rPr>
          <w:rFonts w:ascii="Arial" w:cs="Arial" w:eastAsia="Arial" w:hAnsi="Arial"/>
          <w:sz w:val="14"/>
          <w:szCs w:val="14"/>
          <w:color w:val="008000"/>
        </w:rPr>
      </w:pPr>
    </w:p>
    <w:p>
      <w:pPr>
        <w:ind w:right="20" w:firstLine="9"/>
        <w:spacing w:after="0" w:line="273"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Avenue International Master holds directly warrants exercisable to purchase 70,448 shares of Common Stock of the Issuer. Avenue International is the sole limited partner of Avenue International Master, International GenPar serves as the general partner of Avenue International Master and Avenue Partners is the sole shareholder of International GenPar. Each of Avenue International, International GenPar and Avenue Partners holds indirectly the warrants exercisable to purchase 70,448 shares of Common Stock of the Issuer held directly by Avenue International Master. International GenPar has a direct performance-based allocation from Avenue International Master, and Avenue Partners, as the sole shareholder of International GenPar, has an indirect interest in such allocation. Mr. Lasry owns an interest in International GenPar and Avenue Partners and receives a portion of the profits allocation related to Avenue International Master.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right="80"/>
        <w:spacing w:after="0" w:line="288" w:lineRule="auto"/>
        <w:rPr>
          <w:sz w:val="20"/>
          <w:szCs w:val="20"/>
          <w:color w:val="auto"/>
        </w:rPr>
      </w:pPr>
      <w:r>
        <w:rPr>
          <w:rFonts w:ascii="Arial" w:cs="Arial" w:eastAsia="Arial" w:hAnsi="Arial"/>
          <w:sz w:val="12"/>
          <w:szCs w:val="12"/>
          <w:color w:val="008000"/>
        </w:rPr>
        <w:t>This Form 3 is being filed by the Reporting Persons jointly with an additional Form 3 dated as of the same date with respect to the Common Stock and warrants of the Issuer filed by Avenue Special Situations Fund IV, L.P., Avenue Capital Partners IV, LLC, GL Partners IV, LLC, Avenue Special Situations Fund V, L.P., Avenue Capital Partners V, LLC, GL Partners V, LLC, Avenue Capital Manangement II, L.P., Avenue Capital Management II GenPar, LLC and Marc Lasry due to the limitations on the number of Reporting Persons able to file a single Form 3.</w:t>
      </w:r>
    </w:p>
    <w:p>
      <w:pPr>
        <w:sectPr>
          <w:pgSz w:w="11900" w:h="16838" w:orient="portrait"/>
          <w:cols w:equalWidth="0" w:num="1">
            <w:col w:w="11340"/>
          </w:cols>
          <w:pgMar w:left="280" w:top="129" w:right="279" w:bottom="1440" w:gutter="0" w:footer="0" w:header="0"/>
        </w:sectPr>
      </w:pPr>
    </w:p>
    <w:p>
      <w:pPr>
        <w:spacing w:after="0" w:line="3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Avenue Investments,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23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extLst>
                    </a:blip>
                    <a:srcRect/>
                    <a:stretch>
                      <a:fillRect/>
                    </a:stretch>
                  </pic:blipFill>
                  <pic:spPr bwMode="auto">
                    <a:xfrm>
                      <a:off x="0" y="0"/>
                      <a:ext cx="132334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Avenue Partners,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588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11588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General Partner, By: /s/ Eric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617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2617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Ross, attorney-in-fact for Marc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868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Lasry,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601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16014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Avenue-CDP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239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9239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Opportunities Fund,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884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2884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Avenue Global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10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31064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Fund GenPar,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950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395095" cy="8890"/>
                    </a:xfrm>
                    <a:prstGeom prst="rect">
                      <a:avLst/>
                    </a:prstGeom>
                    <a:noFill/>
                  </pic:spPr>
                </pic:pic>
              </a:graphicData>
            </a:graphic>
          </wp:anchor>
        </w:drawing>
      </w:r>
    </w:p>
    <w:p>
      <w:pPr>
        <w:spacing w:after="0" w:line="24"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Partner, By: /s/ Eric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537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15379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attorney-in-fact for Marc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144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Lasry,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601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16014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Avenue International 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966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29667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L.P. By: Avenue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258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Master GenPar,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668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General Partner, By: /s/ Eric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617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2617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Ross, attorney-in-fact for Marc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868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Lasry,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6737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67373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Avenue International, Ltd.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633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Eric Ross,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125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3125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for Marc Lasry,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947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09474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Avenue International 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731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GenPar, Ltd. By: /s/ Eric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66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37668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attorney-in-fact for Marc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144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Lasry,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6737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67373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Avenue Partners,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201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Eric Ross,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73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Marc Lasry,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172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0172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color w:val="0000FF"/>
        </w:rPr>
        <w:t>03/10/2011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03/10/2011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color w:val="0000FF"/>
        </w:rPr>
        <w:t>03/10/2011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0000FF"/>
        </w:rPr>
        <w:t>03/10/2011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03/10/2011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03/10/2011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98" w:lineRule="exact"/>
        <w:rPr>
          <w:sz w:val="20"/>
          <w:szCs w:val="20"/>
          <w:color w:val="auto"/>
        </w:rPr>
      </w:pPr>
    </w:p>
    <w:p>
      <w:pPr>
        <w:sectPr>
          <w:pgSz w:w="11900" w:h="16838" w:orient="portrait"/>
          <w:cols w:equalWidth="0" w:num="2">
            <w:col w:w="9020" w:space="100"/>
            <w:col w:w="2220"/>
          </w:cols>
          <w:pgMar w:left="280" w:top="129" w:right="279" w:bottom="1440" w:gutter="0" w:footer="0" w:header="0"/>
          <w:type w:val="continuous"/>
        </w:sectPr>
      </w:pPr>
    </w:p>
    <w:tbl>
      <w:tblPr>
        <w:tblLayout w:type="fixed"/>
        <w:tblInd w:w="682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Eric Ross, attorney-in-fact</w:t>
            </w:r>
          </w:p>
        </w:tc>
        <w:tc>
          <w:tcPr>
            <w:tcW w:w="100" w:type="dxa"/>
            <w:vAlign w:val="bottom"/>
          </w:tcPr>
          <w:p>
            <w:pPr>
              <w:spacing w:after="0"/>
              <w:rPr>
                <w:sz w:val="18"/>
                <w:szCs w:val="18"/>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4"/>
              </w:rPr>
              <w:t>03/10/2011</w:t>
            </w:r>
          </w:p>
        </w:tc>
        <w:tc>
          <w:tcPr>
            <w:tcW w:w="0" w:type="dxa"/>
            <w:vAlign w:val="bottom"/>
          </w:tcPr>
          <w:p>
            <w:pPr>
              <w:spacing w:after="0"/>
              <w:rPr>
                <w:sz w:val="1"/>
                <w:szCs w:val="1"/>
                <w:color w:val="auto"/>
              </w:rPr>
            </w:pPr>
          </w:p>
        </w:tc>
      </w:tr>
      <w:tr>
        <w:trPr>
          <w:trHeight w:val="88"/>
        </w:trPr>
        <w:tc>
          <w:tcPr>
            <w:tcW w:w="108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for Marc Lasry</w:t>
            </w:r>
          </w:p>
        </w:tc>
        <w:tc>
          <w:tcPr>
            <w:tcW w:w="11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080" w:type="dxa"/>
            <w:vAlign w:val="bottom"/>
            <w:tcBorders>
              <w:bottom w:val="single" w:sz="8" w:color="auto"/>
            </w:tcBorders>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354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29"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4"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11" Type="http://schemas.openxmlformats.org/officeDocument/2006/relationships/hyperlink" Target="http://www.sec.gov/cgi-bin/browse-edgar?action=getcompany&amp;CIK=0001003215" TargetMode="External"/><Relationship Id="rId12" Type="http://schemas.openxmlformats.org/officeDocument/2006/relationships/hyperlink" Target="http://www.sec.gov/cgi-bin/browse-edgar?action=getcompany&amp;CIK=0001325702" TargetMode="External"/><Relationship Id="rId13" Type="http://schemas.openxmlformats.org/officeDocument/2006/relationships/hyperlink" Target="http://www.sec.gov/cgi-bin/browse-edgar?action=getcompany&amp;CIK=0001382345" TargetMode="External"/><Relationship Id="rId15" Type="http://schemas.openxmlformats.org/officeDocument/2006/relationships/hyperlink" Target="http://www.sec.gov/cgi-bin/browse-edgar?action=getcompany&amp;CIK=0001450166" TargetMode="External"/><Relationship Id="rId16" Type="http://schemas.openxmlformats.org/officeDocument/2006/relationships/hyperlink" Target="http://www.sec.gov/cgi-bin/browse-edgar?action=getcompany&amp;CIK=0001180908" TargetMode="External"/><Relationship Id="rId17" Type="http://schemas.openxmlformats.org/officeDocument/2006/relationships/hyperlink" Target="http://www.sec.gov/cgi-bin/browse-edgar?action=getcompany&amp;CIK=0001495478" TargetMode="External"/><Relationship Id="rId18" Type="http://schemas.openxmlformats.org/officeDocument/2006/relationships/hyperlink" Target="http://www.sec.gov/cgi-bin/browse-edgar?action=getcompany&amp;CIK=0001495476" TargetMode="External"/><Relationship Id="rId19" Type="http://schemas.openxmlformats.org/officeDocument/2006/relationships/hyperlink" Target="http://www.sec.gov/cgi-bin/browse-edgar?action=getcompany&amp;CIK=00012599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2019-12-18T02:19:17Z</dcterms:created>
  <dcterms:modified xsi:type="dcterms:W3CDTF">2019-12-18T02:19:17Z</dcterms:modified>
</cp:coreProperties>
</file>