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147955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7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2005</w:t>
      </w:r>
    </w:p>
    <w:p>
      <w:pPr>
        <w:spacing w:after="0" w:line="9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26" w:right="379" w:bottom="1440" w:gutter="0" w:footer="0" w:header="0"/>
        </w:sectPr>
      </w:pPr>
    </w:p>
    <w:p>
      <w:pPr>
        <w:spacing w:after="0" w:line="100"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13" w:lineRule="exact"/>
        <w:rPr>
          <w:sz w:val="24"/>
          <w:szCs w:val="24"/>
          <w:color w:val="auto"/>
        </w:rPr>
      </w:pPr>
    </w:p>
    <w:p>
      <w:pPr>
        <w:sectPr>
          <w:pgSz w:w="11900" w:h="16838" w:orient="portrait"/>
          <w:cols w:equalWidth="0" w:num="3">
            <w:col w:w="2840" w:space="620"/>
            <w:col w:w="140" w:space="580"/>
            <w:col w:w="7100"/>
          </w:cols>
          <w:pgMar w:left="240" w:top="226" w:right="3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151130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p>
      <w:pPr>
        <w:spacing w:after="0" w:line="3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MAGNACHIP SEMICONDUCTOR LLC</w:t>
      </w:r>
    </w:p>
    <w:p>
      <w:pPr>
        <w:spacing w:after="0" w:line="5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111760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42"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766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420" w:type="dxa"/>
            <w:vAlign w:val="bottom"/>
            <w:gridSpan w:val="2"/>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6"/>
              </w:rPr>
              <w:t>83-0406195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8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420" w:type="dxa"/>
            <w:vAlign w:val="bottom"/>
            <w:gridSpan w:val="2"/>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66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420" w:type="dxa"/>
            <w:vAlign w:val="bottom"/>
            <w:gridSpan w:val="2"/>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7660" w:type="dxa"/>
            <w:vAlign w:val="bottom"/>
            <w:gridSpan w:val="3"/>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7"/>
              </w:rPr>
              <w:t>c/o MagnaChip Semiconductor S.A.</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7"/>
              </w:rPr>
              <w:t>74, rue de Merl, B.P. 709, L-2017</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7"/>
              </w:rPr>
              <w:t>Luxembourg, Grand Duchy of Luxembourg</w:t>
            </w:r>
          </w:p>
        </w:tc>
        <w:tc>
          <w:tcPr>
            <w:tcW w:w="1420" w:type="dxa"/>
            <w:vAlign w:val="bottom"/>
            <w:gridSpan w:val="2"/>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660" w:type="dxa"/>
            <w:vAlign w:val="bottom"/>
            <w:gridSpan w:val="3"/>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420" w:type="dxa"/>
            <w:vAlign w:val="bottom"/>
            <w:gridSpan w:val="2"/>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420" w:type="dxa"/>
            <w:vAlign w:val="bottom"/>
            <w:gridSpan w:val="4"/>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(352) 45-62-62</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660" w:type="dxa"/>
            <w:vAlign w:val="bottom"/>
            <w:gridSpan w:val="3"/>
          </w:tcPr>
          <w:p>
            <w:pPr>
              <w:jc w:val="center"/>
              <w:ind w:left="2757"/>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 None.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 None.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120" w:type="dxa"/>
            <w:vAlign w:val="bottom"/>
            <w:gridSpan w:val="2"/>
          </w:tcPr>
          <w:p>
            <w:pPr>
              <w:spacing w:after="0"/>
              <w:rPr>
                <w:sz w:val="16"/>
                <w:szCs w:val="16"/>
                <w:color w:val="auto"/>
              </w:rPr>
            </w:pPr>
          </w:p>
        </w:tc>
        <w:tc>
          <w:tcPr>
            <w:tcW w:w="66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4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—Checking the box above will not relieve any registrant required to file reports pursuant to Section 13 or 15(d) of the Exchange Act from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those Sections.</w:t>
      </w:r>
    </w:p>
    <w:p>
      <w:pPr>
        <w:spacing w:after="0" w:line="37" w:lineRule="exact"/>
        <w:rPr>
          <w:sz w:val="24"/>
          <w:szCs w:val="24"/>
          <w:color w:val="auto"/>
        </w:rPr>
      </w:pPr>
    </w:p>
    <w:p>
      <w:pPr>
        <w:ind w:right="14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80"/>
          </w:cols>
          <w:pgMar w:left="240" w:top="226" w:right="379" w:bottom="1440" w:gutter="0" w:footer="0" w:header="0"/>
          <w:type w:val="continuous"/>
        </w:sectPr>
      </w:pPr>
    </w:p>
    <w:p>
      <w:pPr>
        <w:spacing w:after="0" w:line="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2040" w:space="100"/>
            <w:col w:w="2260" w:space="720"/>
            <w:col w:w="1180" w:space="80"/>
            <w:col w:w="2120" w:space="720"/>
            <w:col w:w="1500" w:space="80"/>
            <w:col w:w="480"/>
          </w:cols>
          <w:pgMar w:left="240" w:top="226" w:right="379" w:bottom="1440" w:gutter="0" w:footer="0" w:header="0"/>
          <w:type w:val="continuous"/>
        </w:sectPr>
      </w:pPr>
    </w:p>
    <w:p>
      <w:pPr>
        <w:ind w:left="460"/>
        <w:spacing w:after="0" w:line="207" w:lineRule="exact"/>
        <w:tabs>
          <w:tab w:leader="none" w:pos="78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3">
            <w:col w:w="8360" w:space="180"/>
            <w:col w:w="220" w:space="80"/>
            <w:col w:w="2440"/>
          </w:cols>
          <w:pgMar w:left="240" w:top="226" w:right="379" w:bottom="1440" w:gutter="0" w:footer="0" w:header="0"/>
          <w:type w:val="continuous"/>
        </w:sect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Times New Roman" w:cs="Times New Roman" w:eastAsia="Times New Roman" w:hAnsi="Times New Roman"/>
          <w:sz w:val="18"/>
          <w:szCs w:val="18"/>
          <w:b w:val="1"/>
          <w:bCs w:val="1"/>
          <w:color w:val="auto"/>
        </w:rPr>
        <w:t>Not applicable.</w:t>
      </w:r>
    </w:p>
    <w:p>
      <w:pPr>
        <w:spacing w:after="0" w:line="5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1, 2006, the registrant had 53,108,569.672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 annual report or proxy statement, form of proxy or other proxy soliciting material with respect to any annual or other meeting of security holders has been sent to security holders.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140" w:type="dxa"/>
            <w:vAlign w:val="bottom"/>
            <w:gridSpan w:val="17"/>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7"/>
              </w:rPr>
              <w:t>MAGNACHIP SEMICONDUCTOR LLC</w:t>
            </w:r>
          </w:p>
        </w:tc>
        <w:tc>
          <w:tcPr>
            <w:tcW w:w="1280" w:type="dxa"/>
            <w:vAlign w:val="bottom"/>
          </w:tcPr>
          <w:p>
            <w:pPr>
              <w:spacing w:after="0"/>
              <w:rPr>
                <w:sz w:val="20"/>
                <w:szCs w:val="20"/>
                <w:color w:val="auto"/>
              </w:rPr>
            </w:pPr>
          </w:p>
        </w:tc>
      </w:tr>
      <w:tr>
        <w:trPr>
          <w:trHeight w:val="29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40" w:type="dxa"/>
            <w:vAlign w:val="bottom"/>
            <w:gridSpan w:val="17"/>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2005 FORM 10-K ANNUAL REPORT</w:t>
            </w:r>
          </w:p>
        </w:tc>
        <w:tc>
          <w:tcPr>
            <w:tcW w:w="1280" w:type="dxa"/>
            <w:vAlign w:val="bottom"/>
          </w:tcPr>
          <w:p>
            <w:pPr>
              <w:spacing w:after="0"/>
              <w:rPr>
                <w:sz w:val="24"/>
                <w:szCs w:val="24"/>
                <w:color w:val="auto"/>
              </w:rPr>
            </w:pPr>
          </w:p>
        </w:tc>
      </w:tr>
      <w:tr>
        <w:trPr>
          <w:trHeight w:val="29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gridSpan w:val="1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280" w:type="dxa"/>
            <w:vAlign w:val="bottom"/>
          </w:tcPr>
          <w:p>
            <w:pPr>
              <w:spacing w:after="0"/>
              <w:rPr>
                <w:sz w:val="24"/>
                <w:szCs w:val="24"/>
                <w:color w:val="auto"/>
              </w:rPr>
            </w:pPr>
          </w:p>
        </w:tc>
      </w:tr>
      <w:tr>
        <w:trPr>
          <w:trHeight w:val="380"/>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91"/>
              </w:rPr>
            </w:pPr>
            <w:hyperlink w:anchor="page4">
              <w:r>
                <w:rPr>
                  <w:rFonts w:ascii="Times New Roman" w:cs="Times New Roman" w:eastAsia="Times New Roman" w:hAnsi="Times New Roman"/>
                  <w:sz w:val="18"/>
                  <w:szCs w:val="18"/>
                  <w:color w:val="0000EE"/>
                  <w:w w:val="91"/>
                </w:rPr>
                <w:t>PART I</w:t>
              </w:r>
            </w:hyperlink>
          </w:p>
        </w:tc>
        <w:tc>
          <w:tcPr>
            <w:tcW w:w="382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Business</w:t>
              </w:r>
            </w:hyperlink>
          </w:p>
        </w:tc>
        <w:tc>
          <w:tcPr>
            <w:tcW w:w="8300" w:type="dxa"/>
            <w:vAlign w:val="bottom"/>
            <w:gridSpan w:val="26"/>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8040" w:type="dxa"/>
            <w:vAlign w:val="bottom"/>
            <w:gridSpan w:val="24"/>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10</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Unresolved Staff Comments</w:t>
              </w:r>
            </w:hyperlink>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0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Properties</w:t>
              </w:r>
            </w:hyperlink>
          </w:p>
        </w:tc>
        <w:tc>
          <w:tcPr>
            <w:tcW w:w="6940" w:type="dxa"/>
            <w:vAlign w:val="bottom"/>
            <w:gridSpan w:val="18"/>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Legal Proceedings</w:t>
              </w:r>
            </w:hyperlink>
          </w:p>
        </w:tc>
        <w:tc>
          <w:tcPr>
            <w:tcW w:w="7620" w:type="dxa"/>
            <w:vAlign w:val="bottom"/>
            <w:gridSpan w:val="22"/>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17</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Submission of Matters to a Vote of Security Holders</w:t>
              </w:r>
            </w:hyperlink>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17</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0"/>
          </w:tcPr>
          <w:p>
            <w:pPr>
              <w:jc w:val="center"/>
              <w:ind w:right="3800"/>
              <w:spacing w:after="0"/>
              <w:rPr>
                <w:rFonts w:ascii="Times New Roman" w:cs="Times New Roman" w:eastAsia="Times New Roman" w:hAnsi="Times New Roman"/>
                <w:sz w:val="18"/>
                <w:szCs w:val="18"/>
                <w:color w:val="0000EE"/>
                <w:w w:val="92"/>
              </w:rPr>
            </w:pPr>
            <w:hyperlink w:anchor="page21">
              <w:r>
                <w:rPr>
                  <w:rFonts w:ascii="Times New Roman" w:cs="Times New Roman" w:eastAsia="Times New Roman" w:hAnsi="Times New Roman"/>
                  <w:sz w:val="18"/>
                  <w:szCs w:val="18"/>
                  <w:color w:val="0000EE"/>
                  <w:w w:val="92"/>
                </w:rPr>
                <w:t>PART II</w:t>
              </w:r>
            </w:hyperlink>
          </w:p>
        </w:tc>
        <w:tc>
          <w:tcPr>
            <w:tcW w:w="12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Market for Registrant’s Common Stock, Related Stockholder Matters and Issuer Purchases of Equity Securities</w:t>
              </w:r>
            </w:hyperlink>
          </w:p>
        </w:tc>
        <w:tc>
          <w:tcPr>
            <w:tcW w:w="1280" w:type="dxa"/>
            <w:vAlign w:val="bottom"/>
          </w:tcPr>
          <w:p>
            <w:pPr>
              <w:spacing w:after="0"/>
              <w:rPr>
                <w:sz w:val="22"/>
                <w:szCs w:val="22"/>
                <w:color w:val="auto"/>
              </w:rPr>
            </w:pPr>
          </w:p>
        </w:tc>
      </w:tr>
      <w:tr>
        <w:trPr>
          <w:trHeight w:val="383"/>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18</w:t>
            </w:r>
          </w:p>
        </w:tc>
      </w:tr>
      <w:tr>
        <w:trPr>
          <w:trHeight w:val="24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Selected Financial Data</w:t>
              </w:r>
            </w:hyperlink>
          </w:p>
        </w:tc>
        <w:tc>
          <w:tcPr>
            <w:tcW w:w="7260" w:type="dxa"/>
            <w:vAlign w:val="bottom"/>
            <w:gridSpan w:val="21"/>
          </w:tcPr>
          <w:p>
            <w:pPr>
              <w:spacing w:after="0"/>
              <w:rPr>
                <w:sz w:val="21"/>
                <w:szCs w:val="21"/>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19</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21</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30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Quantitative and Qualitative Disclosures About Market Risk</w:t>
              </w:r>
            </w:hyperlink>
          </w:p>
        </w:tc>
        <w:tc>
          <w:tcPr>
            <w:tcW w:w="2640" w:type="dxa"/>
            <w:vAlign w:val="bottom"/>
            <w:gridSpan w:val="4"/>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31</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Financial Statements and Supplementary Data</w:t>
              </w:r>
            </w:hyperlink>
          </w:p>
        </w:tc>
        <w:tc>
          <w:tcPr>
            <w:tcW w:w="1000" w:type="dxa"/>
            <w:vAlign w:val="bottom"/>
            <w:tcBorders>
              <w:top w:val="single" w:sz="8" w:color="0000EE"/>
            </w:tcBorders>
            <w:gridSpan w:val="4"/>
          </w:tcPr>
          <w:p>
            <w:pPr>
              <w:spacing w:after="0"/>
              <w:rPr>
                <w:sz w:val="22"/>
                <w:szCs w:val="22"/>
                <w:color w:val="auto"/>
              </w:rPr>
            </w:pPr>
          </w:p>
        </w:tc>
        <w:tc>
          <w:tcPr>
            <w:tcW w:w="4680" w:type="dxa"/>
            <w:vAlign w:val="bottom"/>
            <w:gridSpan w:val="12"/>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32</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74</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Controls and Procedures</w:t>
              </w:r>
            </w:hyperlink>
          </w:p>
        </w:tc>
        <w:tc>
          <w:tcPr>
            <w:tcW w:w="4620" w:type="dxa"/>
            <w:vAlign w:val="bottom"/>
            <w:tcBorders>
              <w:top w:val="single" w:sz="8" w:color="0000EE"/>
            </w:tcBorders>
            <w:gridSpan w:val="17"/>
          </w:tcPr>
          <w:p>
            <w:pPr>
              <w:spacing w:after="0"/>
              <w:rPr>
                <w:sz w:val="22"/>
                <w:szCs w:val="22"/>
                <w:color w:val="auto"/>
              </w:rPr>
            </w:pPr>
          </w:p>
        </w:tc>
        <w:tc>
          <w:tcPr>
            <w:tcW w:w="2580" w:type="dxa"/>
            <w:vAlign w:val="bottom"/>
            <w:gridSpan w:val="3"/>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74</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Other Information</w:t>
              </w:r>
            </w:hyperlink>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74</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bottom w:val="single" w:sz="8" w:color="0000EE"/>
            </w:tcBorders>
            <w:gridSpan w:val="6"/>
          </w:tcPr>
          <w:p>
            <w:pPr>
              <w:jc w:val="center"/>
              <w:spacing w:after="0"/>
              <w:rPr>
                <w:rFonts w:ascii="Times New Roman" w:cs="Times New Roman" w:eastAsia="Times New Roman" w:hAnsi="Times New Roman"/>
                <w:sz w:val="18"/>
                <w:szCs w:val="18"/>
                <w:color w:val="0000EE"/>
                <w:w w:val="93"/>
              </w:rPr>
            </w:pPr>
            <w:hyperlink w:anchor="page78">
              <w:r>
                <w:rPr>
                  <w:rFonts w:ascii="Times New Roman" w:cs="Times New Roman" w:eastAsia="Times New Roman" w:hAnsi="Times New Roman"/>
                  <w:sz w:val="18"/>
                  <w:szCs w:val="18"/>
                  <w:color w:val="0000EE"/>
                  <w:w w:val="93"/>
                </w:rPr>
                <w:t>PART III</w:t>
              </w:r>
            </w:hyperlink>
          </w:p>
        </w:tc>
        <w:tc>
          <w:tcPr>
            <w:tcW w:w="3760" w:type="dxa"/>
            <w:vAlign w:val="bottom"/>
            <w:gridSpan w:val="5"/>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3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Directors and Executive Officers of the Registrant</w:t>
              </w:r>
            </w:hyperlink>
          </w:p>
        </w:tc>
        <w:tc>
          <w:tcPr>
            <w:tcW w:w="5400" w:type="dxa"/>
            <w:vAlign w:val="bottom"/>
            <w:gridSpan w:val="14"/>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75</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Executive Compensation</w:t>
              </w:r>
            </w:hyperlink>
          </w:p>
        </w:tc>
        <w:tc>
          <w:tcPr>
            <w:tcW w:w="7160" w:type="dxa"/>
            <w:vAlign w:val="bottom"/>
            <w:gridSpan w:val="19"/>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79</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80" w:type="dxa"/>
            <w:vAlign w:val="bottom"/>
          </w:tcPr>
          <w:p>
            <w:pPr>
              <w:spacing w:after="0"/>
              <w:rPr>
                <w:sz w:val="22"/>
                <w:szCs w:val="22"/>
                <w:color w:val="auto"/>
              </w:rPr>
            </w:pPr>
          </w:p>
        </w:tc>
      </w:tr>
      <w:tr>
        <w:trPr>
          <w:trHeight w:val="383"/>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83</w:t>
            </w:r>
          </w:p>
        </w:tc>
      </w:tr>
      <w:tr>
        <w:trPr>
          <w:trHeight w:val="24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3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90">
              <w:r>
                <w:rPr>
                  <w:rFonts w:ascii="Times New Roman" w:cs="Times New Roman" w:eastAsia="Times New Roman" w:hAnsi="Times New Roman"/>
                  <w:sz w:val="18"/>
                  <w:szCs w:val="18"/>
                  <w:color w:val="0000EE"/>
                  <w:w w:val="97"/>
                </w:rPr>
                <w:t>Certain Relationships and Related Transactions</w:t>
              </w:r>
            </w:hyperlink>
          </w:p>
        </w:tc>
        <w:tc>
          <w:tcPr>
            <w:tcW w:w="5600" w:type="dxa"/>
            <w:vAlign w:val="bottom"/>
            <w:gridSpan w:val="15"/>
          </w:tcPr>
          <w:p>
            <w:pPr>
              <w:spacing w:after="0"/>
              <w:rPr>
                <w:sz w:val="21"/>
                <w:szCs w:val="21"/>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87</w:t>
            </w: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Principal Accounting Fees and Services</w:t>
              </w:r>
            </w:hyperlink>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88</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11"/>
          </w:tcPr>
          <w:p>
            <w:pPr>
              <w:jc w:val="center"/>
              <w:ind w:right="3760"/>
              <w:spacing w:after="0"/>
              <w:rPr>
                <w:rFonts w:ascii="Times New Roman" w:cs="Times New Roman" w:eastAsia="Times New Roman" w:hAnsi="Times New Roman"/>
                <w:sz w:val="18"/>
                <w:szCs w:val="18"/>
                <w:color w:val="0000EE"/>
                <w:w w:val="92"/>
              </w:rPr>
            </w:pPr>
            <w:hyperlink w:anchor="page92">
              <w:r>
                <w:rPr>
                  <w:rFonts w:ascii="Times New Roman" w:cs="Times New Roman" w:eastAsia="Times New Roman" w:hAnsi="Times New Roman"/>
                  <w:sz w:val="18"/>
                  <w:szCs w:val="18"/>
                  <w:color w:val="0000EE"/>
                  <w:w w:val="92"/>
                </w:rPr>
                <w:t>PART IV</w:t>
              </w:r>
            </w:hyperlink>
          </w:p>
        </w:tc>
        <w:tc>
          <w:tcPr>
            <w:tcW w:w="12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gridSpan w:val="16"/>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8940" w:type="dxa"/>
            <w:vAlign w:val="bottom"/>
            <w:gridSpan w:val="27"/>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Exhibits, Financial Statement Schedules and Reports on Form 8-K</w:t>
              </w:r>
            </w:hyperlink>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89</w:t>
            </w:r>
          </w:p>
        </w:tc>
      </w:tr>
      <w:tr>
        <w:trPr>
          <w:trHeight w:val="264"/>
        </w:trPr>
        <w:tc>
          <w:tcPr>
            <w:tcW w:w="1160" w:type="dxa"/>
            <w:vAlign w:val="bottom"/>
            <w:gridSpan w:val="2"/>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94</w:t>
            </w:r>
          </w:p>
        </w:tc>
      </w:tr>
      <w:tr>
        <w:trPr>
          <w:trHeight w:val="383"/>
        </w:trPr>
        <w:tc>
          <w:tcPr>
            <w:tcW w:w="10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80" w:type="dxa"/>
            <w:vAlign w:val="bottom"/>
            <w:gridSpan w:val="12"/>
          </w:tcPr>
          <w:p>
            <w:pPr>
              <w:jc w:val="center"/>
              <w:ind w:right="4100"/>
              <w:spacing w:after="0"/>
              <w:rPr>
                <w:sz w:val="20"/>
                <w:szCs w:val="20"/>
                <w:color w:val="auto"/>
              </w:rPr>
            </w:pPr>
            <w:r>
              <w:rPr>
                <w:rFonts w:ascii="Times New Roman" w:cs="Times New Roman" w:eastAsia="Times New Roman" w:hAnsi="Times New Roman"/>
                <w:sz w:val="18"/>
                <w:szCs w:val="18"/>
                <w:color w:val="auto"/>
                <w:w w:val="99"/>
              </w:rPr>
              <w:t>ii</w:t>
            </w:r>
          </w:p>
        </w:tc>
        <w:tc>
          <w:tcPr>
            <w:tcW w:w="128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the semiconductor market from iSuppli, DisplaySearch, and other third party sources. Market data attributed to iSuppli are from “CCD and CMOS Image Sensors: to the Handset and Beyond, Consumer Platforms Topical Report—Q3 2005” dated October 2005. Market data attributed to DisplaySearch are from “Quarterly Worldwide Flat Panel Forecast Report” dated October 19, 2005. Although we believe that this information is reliable, we cannot guarantee the accuracy and completeness of the information and have not independently verified it. As a result, you should be aware that market and other similar data set forth herein, and estimates and beliefs based on such data, may not be reliable. We do not have any obligation to announce or otherwise make publicly available updates or revisions to these forecasts. In many cases, we have made statements in this report regarding our industry and our position in the industry based on our experience in the industry and our own investigation of market conditions. We cannot assure you that any of these assumptions are accurate or that our assumptions correctly reflect our position in our industry.</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These forward-looking statements represent expectations or beliefs of ours concerning future events, and no assurance can be given that the results described in this report will be achieved. These forward-looking statements can generally be identified by the use of statements that include words such as “estimate,” “project,” “believe,” “expect,” “anticipate,” “intend,” “plan,” “foresee,” “likely,” “may,” “will,” “should” or other similar words or phrases. All forward-looking statements are based upon information available to us on the date of this report.</w:t>
      </w:r>
    </w:p>
    <w:p>
      <w:pPr>
        <w:spacing w:after="0" w:line="139" w:lineRule="exact"/>
        <w:rPr>
          <w:sz w:val="20"/>
          <w:szCs w:val="20"/>
          <w:color w:val="auto"/>
        </w:rPr>
      </w:pPr>
    </w:p>
    <w:p>
      <w:pPr>
        <w:ind w:right="120" w:firstLine="456"/>
        <w:spacing w:after="0" w:line="290" w:lineRule="auto"/>
        <w:rPr>
          <w:sz w:val="20"/>
          <w:szCs w:val="20"/>
          <w:color w:val="auto"/>
        </w:rPr>
      </w:pPr>
      <w:r>
        <w:rPr>
          <w:rFonts w:ascii="Times New Roman" w:cs="Times New Roman" w:eastAsia="Times New Roman" w:hAnsi="Times New Roman"/>
          <w:sz w:val="16"/>
          <w:szCs w:val="16"/>
          <w:color w:val="auto"/>
        </w:rPr>
        <w:t>These forward-looking statements are subject to risks, uncertainties and other factors, many of which are outside of our control, that could cause actual results to differ materially from the results discussed in the forward-looking statements, including, among other things, the matters discussed in this report in the sections captioned: “Business,” “Risk factors” and “Management’s discussion and analysis of financial condition and results of operations.” There may be other factors that could cause our actual results to differ materially from the results referred to in the forward-looking statements. All forward-looking statements attributable to us or persons acting on our behalf apply only as of the date of this report and are expressly qualified in their entirety by the cautionary statements included in this report. We undertake no obligation to publicly update or revise forward-looking statements to reflect events or circumstances after the date made or to reflect the occurrence of unanticipated events. Readers are urged to carefully review and consider the various disclosures made in this report which attempt to advise interested parties of the risks and factors that may affect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174625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“MagnaChip” and “IC Media” are our trademarks and trade names. All other trademarks, trade names, and service marks appearing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179705</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MagnaChip Semiconductor LLC (“MagnaChip”) is a leading designer, developer and manufacturer of mixed-signal and digital multimedia semiconductors addressing the convergence of consumer electronics and communications devices. We focus on Complementary Metal-Oxide Semiconductor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 We serve consumer markets that we believe will have higher growth rates than those of the overall semiconductor industry.</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manufacture our products using our proprietary process technology, which we believe provides our products with cost advantages over those of our competitors. We have approximately 11,900 registered and pending patents, which we believe is one of the largest patent portfolios in the semiconductor industry. We believe that our proprietary CMOS image sensor technology provides brighter, sharper, more colorful picture quality in image-capture applications such as camera-equipped mobile handsets. Our flat panel display drivers enable our customers to deliver higher image quality, thinner and more power-efficient small panel displays for use in mobile handsets, handheld gaming devices and PDAs and large panel displays for use in portable and desktop computer monitors and digital televisions. We are also a leading provider of wafer foundry services whereby we leverage our specialized process technologies and low cost manufacturing facilities to produce semiconductors for third parties using their product designs.</w:t>
      </w:r>
    </w:p>
    <w:p>
      <w:pPr>
        <w:spacing w:after="0" w:line="14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own and operate five wafer fabrication facilities, or fabs, which have a combined production capacity of over 116,000 eight-inch equivalent wafers per month. Our fabs provide us with large-scale, cost-effective and flexible capacity, enabling us to rapidly scale to high volume to meet shifts in demand by our end customers. Our fabs also provide us with the ability to further develop our differentiated process technologies for our own product development and manufacturing. The location of our manufacturing sites and research and development resources in Korea, Japan, and the United States provide close geographical proximity to many of our largest customers and to the core of the worldwide consumer electronics supply chain.</w:t>
      </w:r>
    </w:p>
    <w:p>
      <w:pPr>
        <w:spacing w:after="0" w:line="13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top flat panel display manufacturers.</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2005, we sold over 1,800 products to more than 300 customers. We generated actual net sales of $937.7 million for the twelve-month period ended December 31, 2005.</w:t>
      </w:r>
    </w:p>
    <w:p>
      <w:pPr>
        <w:spacing w:after="0" w:line="12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 the three-month period ended December 31, 2004, and the fiscal year ended December 31, 2005, we derived respectively 23.8% and 17.4% of our consolidated revenue from CMOS image sensors, 24.8% and 34.8% from flat panel display drivers, and 44.3% and 42.2% from semiconductor manufacturing services.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ORIGINAL ACQUISITION</w:t>
      </w:r>
    </w:p>
    <w:p>
      <w:pPr>
        <w:spacing w:after="0" w:line="92"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Our business was named MagnaChip Semiconductor when it was acquired from Hynix Semiconductor Inc. on October 6, 2004, by Citigroup Venture Capital Equity Partners, L.P., or CVC, Francisco Partners L.P., or Francisco Partners, CVC Asia Pacific Limited, or CVC Asia Pacific, certain members of management and other investors, following discussions with Hynix that began in late 2001 and the execution of a definitive agreement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in June 2004. Previously, we were the System IC division within Hynix which, in 1999, had been formed from the Hyundai Electronics and LG Semiconductor System IC businesses and can trace its history back to the late 1970s. Although we were previously part of Hynix, we had a history of operating autonomously within Hynix and had a separate global sales force and management structure.</w:t>
      </w:r>
    </w:p>
    <w:p>
      <w:pPr>
        <w:spacing w:after="0" w:line="13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transaction, we entered into several definitive agreements with Hynix regarding key raw materials, campus facilities, research and development equipment and information technology, and factory automation and wafer foundry services. We also entered into a non-exclusive cross license with Hynix which provides us with access to certain of Hynix’s intellectual property for use in the manufacture and sale of non-memory semiconductor products. We believe that these arrangements with Hynix provide significant mutual operational advantages, for example, allowing us to leverage the significant historical investments in our capital equipment and providing for shared resources and other key benefits. All agreements with Hynix under which we obtain essential materials or services are multi-year contracts. We refer to the acquisition transaction, including the related definitive agreements with Hynix, as the “Original Acquisition.” See “Certain relationships and related transactions—the Original Acquisition.”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January 31, 2006, we completed the sale of our application processor business to ABOV Semiconductor Co., Ltd., a new independent entity formed by the investors in GreenChips Co., Ltd., a Korean semiconductor solution provider. We had entered into a definitive agreement for the sale on December 28, 2005. The application processor business primarily included assets, staff and intellectual property related to MagnaChip’s 8-bit and 32-bit microcontroller, SmartCard controller, microperipheral IC, and linear IC product lines. MagnaChip retained a three percent equity stake in the new entity.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our competitive strengths include:</w:t>
      </w:r>
    </w:p>
    <w:p>
      <w:pPr>
        <w:spacing w:after="0" w:line="88"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Leading Technology and Intellectual Property. </w:t>
      </w:r>
      <w:r>
        <w:rPr>
          <w:rFonts w:ascii="Times New Roman" w:cs="Times New Roman" w:eastAsia="Times New Roman" w:hAnsi="Times New Roman"/>
          <w:sz w:val="18"/>
          <w:szCs w:val="18"/>
          <w:color w:val="auto"/>
        </w:rPr>
        <w:t>We believe our advanced process technology and portfolio of approximately 11,900 registered and 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provide us with key competitive advantages in the following areas:</w:t>
      </w:r>
    </w:p>
    <w:p>
      <w:pPr>
        <w:spacing w:after="0" w:line="35" w:lineRule="exact"/>
        <w:rPr>
          <w:sz w:val="20"/>
          <w:szCs w:val="20"/>
          <w:color w:val="auto"/>
        </w:rPr>
      </w:pPr>
    </w:p>
    <w:p>
      <w:pPr>
        <w:ind w:left="460" w:right="140" w:firstLine="43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CMOS image sensors: </w:t>
      </w:r>
      <w:r>
        <w:rPr>
          <w:rFonts w:ascii="Times New Roman" w:cs="Times New Roman" w:eastAsia="Times New Roman" w:hAnsi="Times New Roman"/>
          <w:sz w:val="18"/>
          <w:szCs w:val="18"/>
          <w:color w:val="auto"/>
        </w:rPr>
        <w:t>Our CMOS image sensors feature low power consumption and currently up to 3.2 megapixel resolution with auto-focus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auto-zoom options; features which provide important benefits to products incorporating our solutions, including increased battery life, enhanced image quality and ease of use.</w:t>
      </w:r>
    </w:p>
    <w:p>
      <w:pPr>
        <w:spacing w:after="0" w:line="46" w:lineRule="exact"/>
        <w:rPr>
          <w:sz w:val="20"/>
          <w:szCs w:val="20"/>
          <w:color w:val="auto"/>
        </w:rPr>
      </w:pPr>
    </w:p>
    <w:p>
      <w:pPr>
        <w:ind w:left="460" w:right="100" w:firstLine="43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Flat panel display drivers: </w:t>
      </w:r>
      <w:r>
        <w:rPr>
          <w:rFonts w:ascii="Times New Roman" w:cs="Times New Roman" w:eastAsia="Times New Roman" w:hAnsi="Times New Roman"/>
          <w:sz w:val="18"/>
          <w:szCs w:val="18"/>
          <w:color w:val="auto"/>
        </w:rPr>
        <w:t>We believe that our flat panel display drivers offer superior performance in shaping image signals and transmitting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signals to flat panel displays. These technical features result in sharper, brighter and higher-quality colored images in our customers’ end products. Furthermore, we believe that our flat panel display drivers enable thinner and more power-efficient flat panels that are easily integrated by our customers into their products.</w:t>
      </w:r>
    </w:p>
    <w:p>
      <w:pPr>
        <w:spacing w:after="0" w:line="52" w:lineRule="exact"/>
        <w:rPr>
          <w:sz w:val="20"/>
          <w:szCs w:val="20"/>
          <w:color w:val="auto"/>
        </w:rPr>
      </w:pPr>
    </w:p>
    <w:p>
      <w:pPr>
        <w:ind w:left="460" w:firstLine="43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Semiconductor manufacturing services: </w:t>
      </w:r>
      <w:r>
        <w:rPr>
          <w:rFonts w:ascii="Times New Roman" w:cs="Times New Roman" w:eastAsia="Times New Roman" w:hAnsi="Times New Roman"/>
          <w:sz w:val="18"/>
          <w:szCs w:val="18"/>
          <w:color w:val="auto"/>
        </w:rPr>
        <w:t>We have developed high-voltage, analog power and embedded memory specialty manufacturing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that enable us to manufacture differentiated, high performance integrated semiconductor devices. For example, we developed the first high-voltage, high-performance CMOS 0.18 µm process, which enables us to manufacture more integrated, and thus smaller and more cost-efficient, semiconductor products. We believe that our proprietary process technology allows us to meet a wide variety of the specialty semiconductor manufacturing needs of our customers.</w:t>
      </w:r>
    </w:p>
    <w:p>
      <w:pPr>
        <w:spacing w:after="0" w:line="134"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Flexible In-House Manufacturing. </w:t>
      </w:r>
      <w:r>
        <w:rPr>
          <w:rFonts w:ascii="Times New Roman" w:cs="Times New Roman" w:eastAsia="Times New Roman" w:hAnsi="Times New Roman"/>
          <w:sz w:val="18"/>
          <w:szCs w:val="18"/>
          <w:color w:val="auto"/>
        </w:rPr>
        <w:t>Our in-house wafer manufacturing capacity allows us to provide dependable delivery and quality of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products to our customers. We have the ability to ramp quickly to high volumes to meet the variable needs of our customers. We have significant wafer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manufacturing capacity as a result of our former parent’s investments in our wafer fabrication facilities. Because we offer specialty process technologies that do not require expensive investment in leading edge smaller geometry process equipment, we are able to keep our capital expenditures relatively low.</w:t>
      </w:r>
    </w:p>
    <w:p>
      <w:pPr>
        <w:spacing w:after="0" w:line="118"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Significant Cost Advantages. </w:t>
      </w:r>
      <w:r>
        <w:rPr>
          <w:rFonts w:ascii="Times New Roman" w:cs="Times New Roman" w:eastAsia="Times New Roman" w:hAnsi="Times New Roman"/>
          <w:sz w:val="18"/>
          <w:szCs w:val="18"/>
          <w:color w:val="auto"/>
        </w:rPr>
        <w:t>We maintain price competitiveness on our products through our low cost operating structure. The Asian location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manufacturing and research and development facilities provides us with a number of cost advantages relative to operating in other regions in the world. Additionally, we believe that our history of competing in the highly cost-sensitive markets in which we operated when we were a unit of Hynix required us to refine our manufacturing processes for optimal cost efficiency.</w:t>
      </w:r>
    </w:p>
    <w:p>
      <w:pPr>
        <w:spacing w:after="0" w:line="133"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Established Relationships with Key Consumer Electronics OEMs. </w:t>
      </w:r>
      <w:r>
        <w:rPr>
          <w:rFonts w:ascii="Times New Roman" w:cs="Times New Roman" w:eastAsia="Times New Roman" w:hAnsi="Times New Roman"/>
          <w:sz w:val="18"/>
          <w:szCs w:val="18"/>
          <w:color w:val="auto"/>
        </w:rPr>
        <w:t>Our long history of operating in Asia and our proximity to leading communications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OEMs facilitates our close customer relationships with leading innovators in the consumer electronics market. We have active local applications and engineering work support programs and collaborate closely with our customers in the design and manufacturing of their products.</w:t>
      </w:r>
    </w:p>
    <w:p>
      <w:pPr>
        <w:spacing w:after="0" w:line="127"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Significant Management and Board Expertise. </w:t>
      </w:r>
      <w:r>
        <w:rPr>
          <w:rFonts w:ascii="Times New Roman" w:cs="Times New Roman" w:eastAsia="Times New Roman" w:hAnsi="Times New Roman"/>
          <w:sz w:val="18"/>
          <w:szCs w:val="18"/>
          <w:color w:val="auto"/>
        </w:rPr>
        <w:t>Our management and board of directors have significant previous experience with advanced semiconductor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both in Asia and worldwide. Our top executives have many years in equivalent positions at such leading companies as Hynix, Samsung, Fairchild Semiconductor, ChipPAC, and Agilent Technologies. In addition, two of our equity sponsors, CVC and Francisco Partners, have a long history of investments in semiconductor companies. We believe that their understanding of semiconductor system solutions, relationships, and credibility with key customers provides us with a key competitive advantage.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92"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Our goal is to build upon our position as a leading provider of mixed-signal and digital multimedia semiconductors addressing the convergence of consumer electronics and communications devices. Our business strategy emphasizes the following key elements:</w:t>
      </w:r>
    </w:p>
    <w:p>
      <w:pPr>
        <w:spacing w:after="0" w:line="3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Leverage Our Substantial Intellectual Property. </w:t>
      </w:r>
      <w:r>
        <w:rPr>
          <w:rFonts w:ascii="Times New Roman" w:cs="Times New Roman" w:eastAsia="Times New Roman" w:hAnsi="Times New Roman"/>
          <w:sz w:val="18"/>
          <w:szCs w:val="18"/>
          <w:color w:val="auto"/>
        </w:rPr>
        <w:t>We intend to use our broad patent portfolio and specific end market expertise to deliver system-level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with higher levels of integration and performance to customers in our existing and new markets. In CMOS image sensors, we intend to leverage our strong pixel design and manufacturing expertise to introduce higher resolution, more integrated and cost-effective solutions for camera-equipped mobile handsets and to penetrate emerging applications for image sensors in the automotive, medical and industrial markets over time. In flat panel display drivers, we intend to leverage our broad library of circuit building blocks, our embedded memory capabilities, our understanding of the major flat panel display types and our process technology to continue to reduce time to market and introduce new products that enhance image quality and operate with greater power efficiency. Our manufacturing process expertise and related intellectual property underlies and supports many of the advances in our technology.</w:t>
      </w:r>
    </w:p>
    <w:p>
      <w:pPr>
        <w:spacing w:after="0" w:line="135"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Strengthen Collaboration With Key Customers. </w:t>
      </w:r>
      <w:r>
        <w:rPr>
          <w:rFonts w:ascii="Times New Roman" w:cs="Times New Roman" w:eastAsia="Times New Roman" w:hAnsi="Times New Roman"/>
          <w:sz w:val="18"/>
          <w:szCs w:val="18"/>
          <w:color w:val="auto"/>
        </w:rPr>
        <w:t>We intend to continue strengthening and deepening relationships with our key customers by collaborating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critical design and product development roadmaps. We believe such collaborative relationships will solidify our position with our customers, further our competitive differentiation and accelerate our drive for deeper customer and new market penetration. For example, close collaboration with our mobile handset customers has allowed us to deliver improved interfaces between baseband and image processors, which have resulted in solutions with smaller form factor and improved image quality.</w:t>
      </w:r>
    </w:p>
    <w:p>
      <w:pPr>
        <w:spacing w:after="0" w:line="134"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Increase Large Account Penetration. </w:t>
      </w:r>
      <w:r>
        <w:rPr>
          <w:rFonts w:ascii="Times New Roman" w:cs="Times New Roman" w:eastAsia="Times New Roman" w:hAnsi="Times New Roman"/>
          <w:sz w:val="18"/>
          <w:szCs w:val="18"/>
          <w:color w:val="auto"/>
        </w:rPr>
        <w:t>We have a global customer base consisting of leading consumer electronics OEMs and contract manufacturers.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customers have multiple product variations that use image-capture and processing. We will seek to increase our customer penetration by taking advantage of our broad product portfolio and existing relationships to cross-sell existing products to our customers and to penetrate product variations where our solutions are currently not used.</w:t>
      </w:r>
    </w:p>
    <w:p>
      <w:pPr>
        <w:spacing w:after="0" w:line="133"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Broaden Our Customer Base. </w:t>
      </w:r>
      <w:r>
        <w:rPr>
          <w:rFonts w:ascii="Times New Roman" w:cs="Times New Roman" w:eastAsia="Times New Roman" w:hAnsi="Times New Roman"/>
          <w:sz w:val="18"/>
          <w:szCs w:val="18"/>
          <w:color w:val="auto"/>
        </w:rPr>
        <w:t>We intend to expand our customer base across various applications and geographic locations by leveraging our position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 to many of the largest global consumer electronics</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455" w:right="2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companies and delivering to potential customers proven, innovative solutions. We also believe that as consumer electronics and communications applications converge and proliferate, we will increasingly have opportunities to sell our products into new markets such as the automotive, medical and industrial markets. We also intend to expand our global sales presence to penetrate new accounts worldwide and grow existing account relationships. We will leverage our sales representatives and distributors located in Korea, Japan, China, Taiwan, Hong Kong, Germany, Italy, France, the United Kingdom and the United States to further these goals.</w:t>
      </w:r>
    </w:p>
    <w:p>
      <w:pPr>
        <w:spacing w:after="0" w:line="137"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Leverage Our Capital Light Business Model. </w:t>
      </w:r>
      <w:r>
        <w:rPr>
          <w:rFonts w:ascii="Times New Roman" w:cs="Times New Roman" w:eastAsia="Times New Roman" w:hAnsi="Times New Roman"/>
          <w:sz w:val="18"/>
          <w:szCs w:val="18"/>
          <w:color w:val="auto"/>
        </w:rPr>
        <w:t>We acquired significant proprietary process technologies and wafer manufacturing capacity from our former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Hynix. We intend to leverage these investments made by Hynix to drive our growth and margin improvement. Furthermore, we plan to continue to keep our capital expenditures relatively low by maintaining our focus on specialty process technologies that do not require expensive investment in leading edge technologies. If needed, we will access other foundries that provide such technology in the future. We believe this approach will lead to a higher return on invested capital.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have a balanced portfolio of products that address many of the most rapidly growing consumer electronics markets. We provide products and services in the following three principal areas: CMOS image sensors, flat panel display drivers, and wafer foundry services.</w:t>
      </w:r>
    </w:p>
    <w:p>
      <w:pPr>
        <w:spacing w:after="0" w:line="116"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CMOS Image Sensors</w:t>
      </w:r>
      <w:r>
        <w:rPr>
          <w:rFonts w:ascii="Times New Roman" w:cs="Times New Roman" w:eastAsia="Times New Roman" w:hAnsi="Times New Roman"/>
          <w:sz w:val="18"/>
          <w:szCs w:val="18"/>
          <w:color w:val="auto"/>
        </w:rPr>
        <w:t>. Our highly integrated image sensors are designed to be cost effective and to provide brighter, sharper, more colorful and, thus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enhanced, image quality for use primarily in applications that require small form factors, low power consumption, effective heat dissipation and high reliability. Our image sensors fully satisfy these key criteria and are used in image capture applications such as camera-equipped mobile handsets and personal computer cameras. Our in-house manufacturing capabilities enable us to continuously fine tune our CMOS process technology to deliver improved image-capture sensitivity and accuracy.</w:t>
      </w:r>
    </w:p>
    <w:p>
      <w:pPr>
        <w:spacing w:after="0" w:line="138" w:lineRule="exact"/>
        <w:rPr>
          <w:sz w:val="20"/>
          <w:szCs w:val="20"/>
          <w:color w:val="auto"/>
        </w:rPr>
      </w:pPr>
    </w:p>
    <w:p>
      <w:pPr>
        <w:ind w:right="380" w:firstLine="456"/>
        <w:spacing w:after="0" w:line="256" w:lineRule="auto"/>
        <w:rPr>
          <w:sz w:val="20"/>
          <w:szCs w:val="20"/>
          <w:color w:val="auto"/>
        </w:rPr>
      </w:pPr>
      <w:r>
        <w:rPr>
          <w:rFonts w:ascii="Times New Roman" w:cs="Times New Roman" w:eastAsia="Times New Roman" w:hAnsi="Times New Roman"/>
          <w:sz w:val="18"/>
          <w:szCs w:val="18"/>
          <w:color w:val="auto"/>
        </w:rPr>
        <w:t>CMOS image sensors are typically less expensive to produce and consume less power than other types of image sensors. Historically, CMOS image sensors were primarily used for low-cost applications for which high-image quality was not a priority. Recently, advances in semiconductor manufacturing processes and design techniques have led to improvements in CMOS image sensor performance and quality. As a result, CMOS image sensors have become useful, relatively low-cost solutions for use in applications such as camera-equipped mobile handsets and PDAs, where high-image quality, low power consumption, small size and low-cost are important considerations.</w:t>
      </w:r>
    </w:p>
    <w:p>
      <w:pPr>
        <w:spacing w:after="0" w:line="139"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According to iSuppli, total worldwide image sensor revenue is expected to grow from $6.4 billion to $8.4 billion from 2005 to 2009, while unit shipments for area sensors such as our products will grow from 632 million units in 2005 to 1.1 billion units in 2009. Image sensor revenues for mobile communications are forecasted by iSuppli to grow from 28.7% of the total revenue in 2005 to 50.8% by 2009. Conversely, revenues for consumer electronics will drop from 45.9% to 26.2% of the total. The CMOS image sensor market is primarily driven by sales of camera-equipped mobile handsets. According to iSuppli, camera-equipped mobile handsets are the dominant application for CMOS image sensors and account for 89% and 86% of total shipments in 2005 and 2009 respectively. CMOS image sensor market for camera-equipped mobile handsets is predicted to increase from 435 million units in 2005 to 827 million units by 2009.</w:t>
      </w:r>
    </w:p>
    <w:p>
      <w:pPr>
        <w:spacing w:after="0" w:line="111"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Our CMOS image sensors are characterized by a high level of integration. Many CMOS image sensors systems are made up of at least two integrated circuits: the CMOS image sensor itself and a separate image signal processor, or ISP. With the continuing demand for ever smaller camera-enabled devices, small size has become an increasingly important consideration for manufacturers of camera phones and similar products. Our products meet this demand for smaller form factors by integrating both our proprietary image sensor and image signal processor onto a single chip, thus occupying approximately half of the space required by multiple chip solutions, while providing equivalent or even superior image quality with lower power consumption and a lower overall cost.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offer CMOS image sensors with resolutions of VGA, 1.0MP (megapixels), 1.2MP, 1.3MP, 2.1MP and 3.2MP. Our solutions enable small form factor camera module implementations which are required for today’s demanding industrial designs, such as very thin mobile phones. All of our solutions support both video and still capture modes, and provide sub-sampling modes to enable preview modes of operation with reduced power consumption. The choice of resolution by an OEM customer may involve many factors such as size, power and cost target. By offering a full line of solutions, we can service our customer’s requirements across the multiple end products they may offer.</w:t>
      </w:r>
    </w:p>
    <w:p>
      <w:pPr>
        <w:spacing w:after="0" w:line="135"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Flat Panel Display Drivers. </w:t>
      </w:r>
      <w:r>
        <w:rPr>
          <w:rFonts w:ascii="Times New Roman" w:cs="Times New Roman" w:eastAsia="Times New Roman" w:hAnsi="Times New Roman"/>
          <w:sz w:val="18"/>
          <w:szCs w:val="18"/>
          <w:color w:val="auto"/>
        </w:rPr>
        <w:t>Our flat panel display driver solutions are used in a wide variety of displays for mass market and commercial applications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mobile handsets, handheld gaming devices, PDAs, displays for desktop and mobile computer monitors and flat panel televisions. We produce highly integrated flat panel display driver solutions and have pioneered developments in embedded memory and in the design and manufacturing of display drivers, enabling our customers to provide improved picture quality through thinner, smaller, more power-efficient displays.</w:t>
      </w:r>
    </w:p>
    <w:p>
      <w:pPr>
        <w:spacing w:after="0" w:line="133" w:lineRule="exact"/>
        <w:rPr>
          <w:sz w:val="20"/>
          <w:szCs w:val="20"/>
          <w:color w:val="auto"/>
        </w:rPr>
      </w:pPr>
    </w:p>
    <w:p>
      <w:pPr>
        <w:ind w:right="320" w:firstLine="456"/>
        <w:spacing w:after="0" w:line="255" w:lineRule="auto"/>
        <w:rPr>
          <w:sz w:val="20"/>
          <w:szCs w:val="20"/>
          <w:color w:val="auto"/>
        </w:rPr>
      </w:pPr>
      <w:r>
        <w:rPr>
          <w:rFonts w:ascii="Times New Roman" w:cs="Times New Roman" w:eastAsia="Times New Roman" w:hAnsi="Times New Roman"/>
          <w:sz w:val="18"/>
          <w:szCs w:val="18"/>
          <w:color w:val="auto"/>
        </w:rPr>
        <w:t>Display drivers are the critical semiconductor components that enable the display’s functionality. A display driver operates by interfacing with the host processor to generate the precise analog voltages and currents required to create images on the display. The performance characteristics of a display driver are critical to the quality and visual appeal of the images and text generated on the display and, in mobile devices, the power efficiency of the device. Our display drivers are highly integrated semiconductors that are customized for the particular needs of our customers. We believe that our design engineering expertise, technology leadership, manufacturing process expertise and library of functional building blocks produce display drivers that enable a wide variety of display types with high-impact visual performance.</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overall end market for flat panel display drivers is composed of a multitude of consumer electronics device markets such as television, laptop and desktop computers and portable consumer devices, including mobile handsets. This overall market can be broken down into several distinct sub-markets which we serve. These sub-markets include large panel TFTs, typically used in flat panel televisions and computer displays, small panel TFTs, typically used in mobile handsets, OLEDs and Color STNs. According to DisplaySearch, total worldwide flat panel display market unit shipments are projected to grow from 2.24 billion units in 2005 to 2.8 billion units in 2008.</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provide display drivers for use in several different types of display technologies and for a variety of end-market applications as discussed below.</w:t>
      </w:r>
    </w:p>
    <w:p>
      <w:pPr>
        <w:spacing w:after="0" w:line="88" w:lineRule="exact"/>
        <w:rPr>
          <w:sz w:val="20"/>
          <w:szCs w:val="20"/>
          <w:color w:val="auto"/>
        </w:rPr>
      </w:pPr>
    </w:p>
    <w:p>
      <w:pPr>
        <w:ind w:left="460" w:right="40" w:firstLine="43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TFT-LCD. </w:t>
      </w:r>
      <w:r>
        <w:rPr>
          <w:rFonts w:ascii="Times New Roman" w:cs="Times New Roman" w:eastAsia="Times New Roman" w:hAnsi="Times New Roman"/>
          <w:sz w:val="18"/>
          <w:szCs w:val="18"/>
          <w:color w:val="auto"/>
        </w:rPr>
        <w:t>TFT is an advanced active matrix LCD technology that uses a matrix of transistors embedded on a thin film of silicon to 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transparency of the LCD when voltage is applied. TFT-LCD technology is currently widely used for notebook computers and large scale flat panel monitors (Large TFT) as well as for displays for high-end mobile devices such as advanced mobile handsets (Small TFT). We currently provide Large TFT display drivers for use in mobile and desktop computer displays and in stand-alone flat panel television displays. We also provide Small TFT display drivers for use in mobile handsets, PDAs and in other consumer devices such as handheld gaming devices.</w:t>
      </w:r>
    </w:p>
    <w:p>
      <w:pPr>
        <w:spacing w:after="0" w:line="5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i w:val="1"/>
          <w:iCs w:val="1"/>
          <w:color w:val="auto"/>
        </w:rPr>
        <w:t xml:space="preserve">Color STN. </w:t>
      </w:r>
      <w:r>
        <w:rPr>
          <w:rFonts w:ascii="Times New Roman" w:cs="Times New Roman" w:eastAsia="Times New Roman" w:hAnsi="Times New Roman"/>
          <w:sz w:val="18"/>
          <w:szCs w:val="18"/>
          <w:color w:val="auto"/>
        </w:rPr>
        <w:t>Color STN is a low-power, low-cost solution based on passive matrix LCD technology and is widely used in color mobile displays</w:t>
      </w:r>
    </w:p>
    <w:p>
      <w:pPr>
        <w:spacing w:after="0" w:line="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color w:val="auto"/>
        </w:rPr>
        <w:t>available in the market today. Our Color STN display drivers are used in mobile applications such as mobile handsets, PDAs and handheld gaming devices.</w:t>
      </w:r>
    </w:p>
    <w:p>
      <w:pPr>
        <w:spacing w:after="0" w:line="99" w:lineRule="exact"/>
        <w:rPr>
          <w:sz w:val="20"/>
          <w:szCs w:val="20"/>
          <w:color w:val="auto"/>
        </w:rPr>
      </w:pPr>
    </w:p>
    <w:p>
      <w:pPr>
        <w:ind w:left="460" w:right="20" w:firstLine="43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Organic Light Emitting Diode or OLED. </w:t>
      </w:r>
      <w:r>
        <w:rPr>
          <w:rFonts w:ascii="Times New Roman" w:cs="Times New Roman" w:eastAsia="Times New Roman" w:hAnsi="Times New Roman"/>
          <w:sz w:val="18"/>
          <w:szCs w:val="18"/>
          <w:color w:val="auto"/>
        </w:rPr>
        <w:t>OLED is a relatively new display technology used in both mobile displays as well as in larger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OLED technology provides enhanced picture quality, low power consumption and long product life; it also has fast image response time, making it an ideal solution for displaying motion pictures on mobile devices. We currently offer display drivers for OLED displays used in mobile handsets and other mobile devices.</w:t>
      </w:r>
    </w:p>
    <w:p>
      <w:pPr>
        <w:spacing w:after="0" w:line="131"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Semiconductor Manufacturing Services. </w:t>
      </w:r>
      <w:r>
        <w:rPr>
          <w:rFonts w:ascii="Times New Roman" w:cs="Times New Roman" w:eastAsia="Times New Roman" w:hAnsi="Times New Roman"/>
          <w:sz w:val="18"/>
          <w:szCs w:val="18"/>
          <w:color w:val="auto"/>
        </w:rPr>
        <w:t>We provide semiconductor manufacturing services primarily to semiconductor companies that do not have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fabs. We target the market for diversified semiconductor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products that require differentiated specialty process technologies for their manufacture including CMOS high-voltage, embedded memory, analog, power, and mixed-signal processes, which in general are not targeted by high-volume pure-play participants in the foundry market. We focus on specialty process technologies that do not require significant recurring capital investment, and we are able to better differentiate ourselves through the depth of our intellectual property portfolio and process technology skills.</w:t>
      </w:r>
    </w:p>
    <w:p>
      <w:pPr>
        <w:spacing w:after="0" w:line="13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increasing trend toward the outsourcing of semiconductor manufacturing has resulted in a rapid increase in the size of this market. According to iSuppli, the worldwide foundry service market is projected to grow from in excess of $21.8 billion in 2005 to $39.2 billion in 2009, a compound annual growth rate of 15.8%.</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Typical applications serviced by our semiconductor manufacturing services business are mixed-signal, high-voltage, power, and logic products for consumer, computer, network and communication, industrial and military end-markets. Our internal wafer fab facilities serve both our in-house product design groups and external foundry customers, allowing for both specialty process technology expertise and flexible manufacturing capacity. We target to be the primary-source provider of semiconductor manufacturing services for specialty process technologies for our foundry customers.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2005, we sold over 1,800 products to more than 300 customers. In the year ended December 31, 2005, our 10 largest customers accounted for approximately 57.7% of our net sales. In the year ended December 31, 2005, our two largest customers, a group of LG affiliates including LG.Philips LCD, and a group of Samsung affiliates, represented 26.4% and 10.0% of our net sales, respectively. See “Risk Factors—A significant portion of our sales comes from a relatively limited number of customers.”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Revenue classified by geography is determined by the headquarters locations of our customers. During the three-month period ended December 31, 2004, we received revenues of $9.3 million from external customers in the United States and $234.3 million from all foreign countries, of which 54.3% was from Korea, 16.2% from Japan, 12.8% from Taiwan, and 13.5% from China, Hong Kong, and Macau. During the year ended December 31, 2005, we received revenues of $45.5 million from external customers in the United States and $892.2 million from all foreign countries, of which 57.4% was from Korea, 11.0% from Japan, 16.0% from Taiwan, and 11.8% from China, Hong Kong, and Macau.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9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We sell our products through a direct sales force and a network of authorized agents and distributors located throughout Asia, the United States, and Europe. We have strategically located our sales and technical support offices near concentrations of major customers.</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direct sales force consists primarily of representatives located in our headquarters in Korea, as well as representatives located elsewhere throughout Asia, the United States, and Europe. Our network of authorized agents and distributors consists of agents in the United States and Europe and distributors and agents in the Asia Pacific region. During the year ended December 31, 2005, we derived approximately 68% of net sales through our direct sales force and 32% of net sales through our network of authorized agents and distributors.</w:t>
      </w:r>
    </w:p>
    <w:p>
      <w:pPr>
        <w:spacing w:after="0" w:line="136" w:lineRule="exact"/>
        <w:rPr>
          <w:sz w:val="20"/>
          <w:szCs w:val="20"/>
          <w:color w:val="auto"/>
        </w:rPr>
      </w:pPr>
    </w:p>
    <w:p>
      <w:pPr>
        <w:jc w:val="both"/>
        <w:ind w:right="200" w:firstLine="456"/>
        <w:spacing w:after="0" w:line="310" w:lineRule="auto"/>
        <w:rPr>
          <w:sz w:val="20"/>
          <w:szCs w:val="20"/>
          <w:color w:val="auto"/>
        </w:rPr>
      </w:pPr>
      <w:r>
        <w:rPr>
          <w:rFonts w:ascii="Times New Roman" w:cs="Times New Roman" w:eastAsia="Times New Roman" w:hAnsi="Times New Roman"/>
          <w:sz w:val="16"/>
          <w:szCs w:val="16"/>
          <w:color w:val="auto"/>
        </w:rPr>
        <w:t>Our product inventory is primarily located in Korea. Outside of Korea, we maintain limited amounts of product inventory, and our sales representatives generally relay orders to our headquarters for fulfillment. Some of the product inventory maintained by sales representatives is subject to return privileges or stock rotation. Our agreements with our authorized agents and distributors are usually terminable by either party on relatively short notice.</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00"/>
          </w:cols>
          <w:pgMar w:left="240" w:top="455" w:right="3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expenditures for research and development were $107.6 million, representing 11.5% of net sales for the year ended December, 31, 2005, and $97.8 million, representing 9.0% of net sales for the year ended December 31, 2004. Our research and development efforts focus on process technology, design methodology and intellectual property for our semiconductor products and foundry services. As a result, we have implemented improvements to our manufacturing processes, design software and design libraries, including releasing our 0.18 µm high-voltage process and library. We also work closely with our major customers in many research and development activities, including joint intellectual property development, to increase the likelihood that our products will be more easily designed into the customers’ products and consequently achieve rapid and lasting market acceptance. In CMOS image sensors, we are focusing on pixel size reduction, thereby enabling smaller form factors and higher resolution sensors. In flat panel display drivers, we are focusing on further integration. In semiconductor manufacturing services, our research and development work allows us to add features such as mixed-signal, high voltage, embedded memory and power devices.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use processes that require specialized raw materials that are generally available from a limited number of suppliers. We are currently attempting to qualify additional suppliers for many of our raw materials, including chemicals, gases, and tape, which is one of the process materials for our display drivers. Although we have not experienced any significant raw material shortages in the past, it is possible that going forward our business and results of operations could be adversely affected due to supply shortages or price increases for raw materials.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As of March 7, 2006, our portfolio of intellectual property assets included approximately 11,900 registered and pending patents. Our patents expire at various times over the next 18 years. While these patents are in the aggregate important to our competitive position, no single registered or pending patent is material to us.</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Pursuant to the intellectual property license agreement that we entered into with Hynix in connection with the Original Acquisition, we obtained from Hynix a non-exclusive license to certain intellectual property of Hynix that is mostly patent-related, and we granted to Hynix a non-exclusive license to certain of our intellectual property. Additionally, 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ARM’s ARM7 and ARM9 core-based System-on-Chip.</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we rely on proprietary know-how, continuing technological innovation and other trade secrets to develop products and maintain our competitive position. We attempt to protect our proprietary know-how and our other trade secrets by executing, when appropriate, confidentiality agreements with our customers and employees. We cannot assure you that our competitors will not discover comparable or the same knowledge and techniques through independent development or other means.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operate in highly competitive markets. Although no one company competes with us in all of our product lines, we face significant competition in each of our market segments.</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Our competitors include other manufacturers and designers of system semiconductors, standard products, and semi-standard programmable digital logic semiconductor products, as well as customers who design their own semiconductors that are manufactured at third party foundries.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compete with other semiconductor providers based on design experience, the ability to service customer needs from the design phase to the shipping of a completed product, length of design cycle, longevity of technology support and sales and technical support personnel. Our ability to successfully compete depends on internal and external variables, both within and outside of our control. These variables include, but are not limited to, the timeliness with which we can develop new products and technologies, product performance and quality, manufacturing yields and availability, customer service, pricing, industry trends and general economic trends.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jc w:val="both"/>
        <w:ind w:right="460" w:firstLine="456"/>
        <w:spacing w:after="0" w:line="258" w:lineRule="auto"/>
        <w:rPr>
          <w:sz w:val="20"/>
          <w:szCs w:val="20"/>
          <w:color w:val="auto"/>
        </w:rPr>
      </w:pPr>
      <w:r>
        <w:rPr>
          <w:rFonts w:ascii="Times New Roman" w:cs="Times New Roman" w:eastAsia="Times New Roman" w:hAnsi="Times New Roman"/>
          <w:sz w:val="18"/>
          <w:szCs w:val="18"/>
          <w:color w:val="auto"/>
        </w:rPr>
        <w:t>Our worldwide workforce consisted of 3,858 employees (full- and part-time) as of March 1, 2006, of which 438 were involved in sales, general and administrative, 494 were in research and development, 110 were in quality, reliability and assurance and 2,816 were in manufacturing (comprised of 493 in engineering and 2,323 in operations). As of March 1, 2006, 2,389 employees, or approximately 62% of our workforce, were represented by the MagnaChip Semiconductor Labor Union, which is a member of the Federation of Korean Metal Workers Trade Unions.</w:t>
      </w:r>
    </w:p>
    <w:p>
      <w:pPr>
        <w:spacing w:after="0" w:line="13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Currently, members of the Korea Federation of Trade Unions, representing the employees of two subcontractors that we retained for only three months in 2004, have demonstrated and may continue to demonstrate at our campus in Cheongju, Korea. The Korea Federation of Trade Unions is requesting that MagnaChip directly hire approximately 90 employees of the former subcontractors. These demonstrations have required additional interim expenses and may have a continuing negative impact on our operations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92"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file periodic reports with the Securities and Exchange Commission. Copies of our Annual Reports on Form 10-K, Quarterly Reports on Form 10-Q, and Current Reports on Form 8-K, including any amendments to these reports, are available on our website at www.magnachip.com. The public may also read and copy any materials we file with the SEC at the SEC’s Public Reference Room at 100 F Street, NE, Washington, D.C. 20549, or on the SEC’s website at www.sec.gov. For information on the operation of the Public Reference Room, please call the SEC at 1-800-SEC-0330.</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cyclical nature of the semiconductor industry may limit our ability to maintain or increase net sales and profit levels during industry downturns.</w:t>
      </w:r>
    </w:p>
    <w:p>
      <w:pPr>
        <w:spacing w:after="0" w:line="11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demand is difficult to accurately forecast.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may cancel their orders, change production quantities or delay production.</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portion of our sales comes from a relatively limited number of customers.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we were to lose key customers or if customers cease to place orders for our high volume devices, our financial results will be adversely affected. While we served more than 300 customers in the twelve-month period ended December 31, 2005, net sales to our 10 largest customers represented approximately 57.7% of our net sales for the period. We had one individual customer and two groups of affiliated customers that each represented greater than 10% of our net sales during the year ended December 31, 2005. Significant reductions in sales to any of these customers, the loss of major customers or the curtailment of orders for our high-volume devices within a short period of time would adversely affect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is highly competitive.</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semiconductor industry is highly competitive and includes hundreds of companies, a number of which have achieved substantial market share. Current and prospective customers for our products evaluate our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decline in average selling prices could decrease our profits.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 the consumer electronics and other end markets for our products is an important component in our success.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successful technological advances for growth.</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attract or retain the technical or management employees necessary to remain competitive in our industry.</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depend on our ability to attract and retain skilled technical and managerial personnel. We could lose the services of, or fail to recruit, skilled personnel, which could hinder our research and product development programs or otherwise have a material adverse effect on our business.</w:t>
      </w:r>
    </w:p>
    <w:p>
      <w:pPr>
        <w:spacing w:after="0" w:line="199" w:lineRule="exact"/>
        <w:rPr>
          <w:sz w:val="20"/>
          <w:szCs w:val="20"/>
          <w:color w:val="auto"/>
        </w:rPr>
      </w:pPr>
    </w:p>
    <w:p>
      <w:pPr>
        <w:ind w:right="800"/>
        <w:spacing w:after="0" w:line="277" w:lineRule="auto"/>
        <w:rPr>
          <w:sz w:val="20"/>
          <w:szCs w:val="20"/>
          <w:color w:val="auto"/>
        </w:rPr>
      </w:pPr>
      <w:r>
        <w:rPr>
          <w:rFonts w:ascii="Times New Roman" w:cs="Times New Roman" w:eastAsia="Times New Roman" w:hAnsi="Times New Roman"/>
          <w:sz w:val="18"/>
          <w:szCs w:val="18"/>
          <w:b w:val="1"/>
          <w:bCs w:val="1"/>
          <w:color w:val="auto"/>
        </w:rPr>
        <w:t>If we encounter future labor problems, we may fail to deliver our products in a timely manner which could adversely affect our revenues and profitability.</w:t>
      </w:r>
    </w:p>
    <w:p>
      <w:pPr>
        <w:spacing w:after="0" w:line="37"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of March 1, 2006, approximately 62% of our employees were represented by the MagnaChip Semiconductor Labor Union, which is a member of the Federation of Korean Metal Workers Trade Unions. We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240" w:top="455" w:right="3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19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b w:val="1"/>
          <w:bCs w:val="1"/>
          <w:color w:val="auto"/>
        </w:rPr>
        <w:t>We may incur costs to engage in future business combinations or strategic investments and the anticipated benefits of those transactions may not be realized.</w:t>
      </w:r>
    </w:p>
    <w:p>
      <w:pPr>
        <w:spacing w:after="0" w:line="3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Original Acquisition. In addition, our senior secured credit facility and the indentures governing our notes may prohibit us from making acquisitions that we may otherwise wish to pursue.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high utilization of our manufacturing capacity.</w:t>
      </w:r>
    </w:p>
    <w:p>
      <w:pPr>
        <w:spacing w:after="0" w:line="92" w:lineRule="exact"/>
        <w:rPr>
          <w:sz w:val="20"/>
          <w:szCs w:val="20"/>
          <w:color w:val="auto"/>
        </w:rPr>
      </w:pPr>
    </w:p>
    <w:p>
      <w:pPr>
        <w:ind w:right="540" w:firstLine="456"/>
        <w:spacing w:after="0" w:line="258" w:lineRule="auto"/>
        <w:rPr>
          <w:sz w:val="20"/>
          <w:szCs w:val="20"/>
          <w:color w:val="auto"/>
        </w:rPr>
      </w:pPr>
      <w:r>
        <w:rPr>
          <w:rFonts w:ascii="Times New Roman" w:cs="Times New Roman" w:eastAsia="Times New Roman" w:hAnsi="Times New Roman"/>
          <w:sz w:val="18"/>
          <w:szCs w:val="18"/>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failure to achieve acceptable manufacturing yields could adversely affect our business.</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certain subcontractors.</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successful parts and materials procurement for our manufacturing processes.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product liability risks and the risk of negative publicity if our products fail.</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21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37" w:lineRule="exact"/>
        <w:rPr>
          <w:sz w:val="20"/>
          <w:szCs w:val="20"/>
          <w:color w:val="auto"/>
        </w:rPr>
      </w:pPr>
    </w:p>
    <w:p>
      <w:pPr>
        <w:ind w:right="360" w:firstLine="456"/>
        <w:spacing w:after="0" w:line="293" w:lineRule="auto"/>
        <w:rPr>
          <w:sz w:val="20"/>
          <w:szCs w:val="20"/>
          <w:color w:val="auto"/>
        </w:rPr>
      </w:pPr>
      <w:r>
        <w:rPr>
          <w:rFonts w:ascii="Times New Roman" w:cs="Times New Roman" w:eastAsia="Times New Roman" w:hAnsi="Times New Roman"/>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1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Although we have never received any notices of infringement of a third party patent, we cannot assure you that third parties will not tender notices of patent infringement or assert infringement claims against us in the future.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for damages they may suffer if the products they purchase from us violate the intellectual 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41"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 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Our competitors may develop, patent or gain access to similar know-how and technology. Failure to protect our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existing intellectual property rights may result in the loss of valuable technologies or having to pay other companies for infringing on their intellectual property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many environmental laws and regulations that could affect our operations or result in significant expenses.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suffer adverse tax and other financial consequences as a result of changes in, or differences in the interpretation of, applicable tax laws.</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company organizational structure is based, in part, on assumptions about the various tax laws, including withholding tax, and other laws of applicable non-U.S. jurisdictions. In addition, MagnaChip Korea was granted a limited tax-holiday under Korean law in October 2004, which provides for certain tax exemptions for corporate taxes, withholding tax, acquisition taxes, property and land taxes and other taxes for five years. Our interpretations and conclusions are not binding on any taxing authority, and, if our assumptions about tax and other laws are incorrect or if the authorities were to change or modify the relevant laws, we could suffer adverse tax and other financial consequences or have the anticipated benefits of our company organizational structure materially impaired.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limited number of persons indirectly control us.</w:t>
      </w:r>
    </w:p>
    <w:p>
      <w:pPr>
        <w:spacing w:after="0" w:line="92"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CVC, Francisco Partners, and CVC Asia Pacific, own approximately 34%, 34% and 18%, respectively, of the outstanding voting interests in MagnaChip. By virtue of their ownership of these voting interests, and the securityholders’ agreement among MagnaChip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additional capital in the future and it may not be available on acceptable terms or at all.</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are subject to various risks that may lead to decreases in financial results.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differing labor standards, enforcement of contractual obligations and protection of intellectual property. These risks may lead to increased costs or decreased revenue growth, or both.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currency fluctuations.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3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historical financial information may not be representative of our results as a separate company.</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Prior to the Original Acquisition, we operated as a division of Hynix. Historical financial information for periods prior to September 30, 2004, has been derived from Hynix’s consolidated financial statements, is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Original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Original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expenses could increase if Hynix were unwilling or unable to provide certain services related to our shared facilities with Hynix.</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Because we share certain facilities with Hynix, a few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19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b w:val="1"/>
          <w:bCs w:val="1"/>
          <w:color w:val="auto"/>
        </w:rPr>
        <w:t>Research and development investments may not yield profitable and commercially viable products and thus will not necessarily result in increases in revenues for us.</w:t>
      </w:r>
    </w:p>
    <w:p>
      <w:pPr>
        <w:spacing w:after="0" w:line="37"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invest significant resources in our research and development. However, research and development efforts may not yield commercially viable products. During each stage of research and development there is a</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confidence may be adversely impacted if we are unable to comply with Section 404 of the Sarbanes-Oxley Act of 2002.</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will be required to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own and operate five wafer fabrication facilities, or fabs, which have a combined production capacity of over 116,000 eight-inch equivalent wafers per month. We manufacture wafers at our two 8-inch fabs and our 6-inch fab located in Cheongju, Korea and our 8-inch fab and our 5-inch fab located in Gumi, Korea. The Cheongju facilities have three main buildings totaling 164,058 square meters. The Gumi facilities have two main buildings with 50,351 square meters devoted to manufacturing. We also lease from Hynix certain exclusive-use space plus certain common- and joint-use space in several buildings, primarily warehouses, in Cheongju, Korea.</w:t>
      </w:r>
    </w:p>
    <w:p>
      <w:pPr>
        <w:spacing w:after="0" w:line="13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 addition to our fabs located in Cheongju and Gumi, Korea, we lease facilities in Seoul, Korea, and Santa Clara, California. Each of these facilities includes administration, sales and marketing, research and development, and operations functions. We also lease design facilities in Mesa, Arizona, and Osaka, Japan, and sales and marketing offices at our subsidiaries in several other countries.</w:t>
      </w:r>
    </w:p>
    <w:p>
      <w:pPr>
        <w:spacing w:after="0" w:line="132"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ownership of our wafer manufacturing assets is an important component of our business strategy that enables us to develop proprietary, differentiated products and maintain a high level of manufacturing control resulting in high production yields, shortened design and production cycles, adequate manufacturing capacity, and the capture of the wafer manufacturing profit margin.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information with respect to our manufacturing facilities and technologies: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Manufacturing</w:t>
            </w:r>
          </w:p>
        </w:tc>
        <w:tc>
          <w:tcPr>
            <w:tcW w:w="2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tcPr>
          <w:p>
            <w:pPr>
              <w:spacing w:after="0"/>
              <w:rPr>
                <w:sz w:val="13"/>
                <w:szCs w:val="13"/>
                <w:color w:val="auto"/>
              </w:rPr>
            </w:pPr>
          </w:p>
        </w:tc>
      </w:tr>
      <w:tr>
        <w:trPr>
          <w:trHeight w:val="178"/>
        </w:trPr>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24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Wafer Size</w:t>
            </w:r>
          </w:p>
        </w:tc>
        <w:tc>
          <w:tcPr>
            <w:tcW w:w="220" w:type="dxa"/>
            <w:vAlign w:val="bottom"/>
          </w:tcPr>
          <w:p>
            <w:pPr>
              <w:spacing w:after="0"/>
              <w:rPr>
                <w:sz w:val="15"/>
                <w:szCs w:val="15"/>
                <w:color w:val="auto"/>
              </w:rPr>
            </w:pPr>
          </w:p>
        </w:tc>
        <w:tc>
          <w:tcPr>
            <w:tcW w:w="2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Technology</w:t>
            </w:r>
          </w:p>
        </w:tc>
      </w:tr>
      <w:tr>
        <w:trPr>
          <w:trHeight w:val="196"/>
        </w:trPr>
        <w:tc>
          <w:tcPr>
            <w:tcW w:w="27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Pr>
          <w:p>
            <w:pPr>
              <w:spacing w:after="0"/>
              <w:rPr>
                <w:sz w:val="17"/>
                <w:szCs w:val="17"/>
                <w:color w:val="auto"/>
              </w:rPr>
            </w:pPr>
          </w:p>
        </w:tc>
        <w:tc>
          <w:tcPr>
            <w:tcW w:w="26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Cheongju</w:t>
            </w:r>
          </w:p>
        </w:tc>
        <w:tc>
          <w:tcPr>
            <w:tcW w:w="220" w:type="dxa"/>
            <w:vAlign w:val="bottom"/>
          </w:tcPr>
          <w:p>
            <w:pPr>
              <w:spacing w:after="0"/>
              <w:rPr>
                <w:sz w:val="17"/>
                <w:szCs w:val="17"/>
                <w:color w:val="auto"/>
              </w:rPr>
            </w:pPr>
          </w:p>
        </w:tc>
        <w:tc>
          <w:tcPr>
            <w:tcW w:w="27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3"/>
              </w:rPr>
              <w:t>8”</w:t>
            </w:r>
          </w:p>
        </w:tc>
        <w:tc>
          <w:tcPr>
            <w:tcW w:w="220" w:type="dxa"/>
            <w:vAlign w:val="bottom"/>
          </w:tcPr>
          <w:p>
            <w:pPr>
              <w:spacing w:after="0"/>
              <w:rPr>
                <w:sz w:val="17"/>
                <w:szCs w:val="17"/>
                <w:color w:val="auto"/>
              </w:rPr>
            </w:pPr>
          </w:p>
        </w:tc>
        <w:tc>
          <w:tcPr>
            <w:tcW w:w="26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0.35 / 0.18 / 0.15µm</w:t>
            </w: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Cheongju</w:t>
            </w: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8”</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 / 0.35 / 0.25µm</w:t>
            </w: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Gumi</w:t>
            </w: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8”</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 / 0.35µm</w:t>
            </w:r>
          </w:p>
        </w:tc>
      </w:tr>
      <w:tr>
        <w:trPr>
          <w:trHeight w:val="216"/>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Cheongju</w:t>
            </w: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6”</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 / 0.6 / 0.5µm</w:t>
            </w:r>
          </w:p>
        </w:tc>
      </w:tr>
      <w:tr>
        <w:trPr>
          <w:trHeight w:val="228"/>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2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Gumi</w:t>
            </w:r>
          </w:p>
        </w:tc>
        <w:tc>
          <w:tcPr>
            <w:tcW w:w="22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5”</w:t>
            </w:r>
          </w:p>
        </w:tc>
        <w:tc>
          <w:tcPr>
            <w:tcW w:w="2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1.2µm</w:t>
            </w:r>
          </w:p>
        </w:tc>
      </w:tr>
      <w:tr>
        <w:trPr>
          <w:trHeight w:val="365"/>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outsource most of our back-end manufacturing processes, including assembly, test and packaging to independent providers of these services.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Effective December 7, 2005, a proposal by the Company to reserve an additional 1,000,000 common units of the Company, for an aggregate of 7,490,864 common units of the Company, for issuance upon the exercise of Options or SARs granted or Restricted Unit awards offered under the MagnaChip Semiconductor LLC California Equity Incentive Plan and the MagnaChip Semiconductor LLC Equity Incentive Plan was approved, as permitted under the Company’s Third Amended and Restated Limited Liability Operating Company Agreement, by written consent of unitholders holding 41,840,446.51 common units of the Company constituting 78.88% of the then-outstanding common units of the Company.</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240" w:top="455" w:right="3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currently no established public trading market for our outstanding common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approximate number of record holders of our outstanding class of common equity as of March 1, 2006, was 176.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did not pay any dividends in fiscal year 2005. Our ability to pay dividends is restricted by certain covenants contained in our senior credit facilities, as well as certain restrictions contained in our indentures relating to our senior notes and our subordinated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Plan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Item 12 of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Securities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December 2005 and January 2006, certain of our subsidiary’s employees and former employees exercised options to acquire an aggregate of 9,062.5 of our common units at an aggregate purchase price of $21,663.13. Because the offering transaction took place outside the U.S. and none of the optionees were U.S. persons, these securities were exempt from registration under Regulation S of the Securities Act of 1933, as amended. On December 9, 2005, ISETEX, Inc., one of our consultants, exercised options to acquire 50,000 of our common units at a purchase price of $100,000.00. These securities were exempt from registration under Section 4(2) of the Securities Act of 1933, as amended, by reason of the fact that the offering was a limited private placement to one knowledgeable investor who agreed not to resell the securities to the public.</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Three months</w:t>
            </w:r>
          </w:p>
        </w:tc>
        <w:tc>
          <w:tcPr>
            <w:tcW w:w="380" w:type="dxa"/>
            <w:vAlign w:val="bottom"/>
          </w:tcPr>
          <w:p>
            <w:pPr>
              <w:spacing w:after="0"/>
              <w:rPr>
                <w:sz w:val="13"/>
                <w:szCs w:val="13"/>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5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3"/>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20" w:type="dxa"/>
            <w:vAlign w:val="bottom"/>
            <w:gridSpan w:val="3"/>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Pr>
          <w:p>
            <w:pPr>
              <w:spacing w:after="0"/>
              <w:rPr>
                <w:sz w:val="10"/>
                <w:szCs w:val="10"/>
                <w:color w:val="auto"/>
              </w:rPr>
            </w:pPr>
          </w:p>
        </w:tc>
        <w:tc>
          <w:tcPr>
            <w:tcW w:w="106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Borders>
              <w:right w:val="single" w:sz="8" w:color="auto"/>
            </w:tcBorders>
            <w:gridSpan w:val="5"/>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0"/>
              </w:rPr>
              <w:t>(Predecessor</w:t>
            </w:r>
          </w:p>
        </w:tc>
        <w:tc>
          <w:tcPr>
            <w:tcW w:w="1020" w:type="dxa"/>
            <w:vAlign w:val="bottom"/>
            <w:gridSpan w:val="2"/>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Company)</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2680" w:type="dxa"/>
            <w:vAlign w:val="bottom"/>
            <w:gridSpan w:val="7"/>
          </w:tcPr>
          <w:p>
            <w:pPr>
              <w:jc w:val="right"/>
              <w:ind w:right="46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2"/>
              </w:rPr>
              <w:t>millions of US dollars, except unit data)</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Related parties(1)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$ 260.7</w:t>
            </w: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$ 306.8</w:t>
            </w:r>
          </w:p>
        </w:tc>
        <w:tc>
          <w:tcPr>
            <w:tcW w:w="4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99"/>
              </w:rPr>
              <w:t>$ 396.6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677.8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440" w:type="dxa"/>
            <w:vAlign w:val="bottom"/>
          </w:tcPr>
          <w:p>
            <w:pPr>
              <w:spacing w:after="0"/>
              <w:rPr>
                <w:sz w:val="18"/>
                <w:szCs w:val="18"/>
                <w:color w:val="auto"/>
              </w:rPr>
            </w:pPr>
          </w:p>
        </w:tc>
        <w:tc>
          <w:tcPr>
            <w:tcW w:w="74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841.6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440" w:type="dxa"/>
            <w:vAlign w:val="bottom"/>
          </w:tcPr>
          <w:p>
            <w:pPr>
              <w:spacing w:after="0"/>
              <w:rPr>
                <w:sz w:val="18"/>
                <w:szCs w:val="18"/>
                <w:color w:val="auto"/>
              </w:rPr>
            </w:pPr>
          </w:p>
        </w:tc>
        <w:tc>
          <w:tcPr>
            <w:tcW w:w="74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768.9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440" w:type="dxa"/>
            <w:vAlign w:val="bottom"/>
          </w:tcPr>
          <w:p>
            <w:pPr>
              <w:spacing w:after="0"/>
              <w:rPr>
                <w:sz w:val="18"/>
                <w:szCs w:val="18"/>
                <w:color w:val="auto"/>
              </w:rPr>
            </w:pPr>
          </w:p>
        </w:tc>
        <w:tc>
          <w:tcPr>
            <w:tcW w:w="74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57.3</w:t>
            </w:r>
          </w:p>
        </w:tc>
        <w:tc>
          <w:tcPr>
            <w:tcW w:w="124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(77.0)</w:t>
            </w:r>
          </w:p>
        </w:tc>
        <w:tc>
          <w:tcPr>
            <w:tcW w:w="100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(139.6)</w:t>
            </w:r>
          </w:p>
        </w:tc>
        <w:tc>
          <w:tcPr>
            <w:tcW w:w="7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3"/>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vMerge w:val="continue"/>
          </w:tcPr>
          <w:p>
            <w:pPr>
              <w:spacing w:after="0"/>
              <w:rPr>
                <w:sz w:val="19"/>
                <w:szCs w:val="19"/>
                <w:color w:val="auto"/>
              </w:rPr>
            </w:pPr>
          </w:p>
        </w:tc>
        <w:tc>
          <w:tcPr>
            <w:tcW w:w="10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(37.8)</w:t>
            </w:r>
          </w:p>
        </w:tc>
        <w:tc>
          <w:tcPr>
            <w:tcW w:w="100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vMerge w:val="continue"/>
          </w:tcPr>
          <w:p>
            <w:pPr>
              <w:spacing w:after="0"/>
              <w:rPr>
                <w:sz w:val="19"/>
                <w:szCs w:val="19"/>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8"/>
                <w:szCs w:val="18"/>
                <w:color w:val="auto"/>
              </w:rPr>
            </w:pPr>
          </w:p>
        </w:tc>
        <w:tc>
          <w:tcPr>
            <w:tcW w:w="740" w:type="dxa"/>
            <w:vAlign w:val="bottom"/>
            <w:gridSpan w:val="3"/>
          </w:tcPr>
          <w:p>
            <w:pPr>
              <w:jc w:val="right"/>
              <w:ind w:right="98"/>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24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(35.3)</w:t>
            </w:r>
          </w:p>
        </w:tc>
        <w:tc>
          <w:tcPr>
            <w:tcW w:w="100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(36.9)</w:t>
            </w:r>
          </w:p>
        </w:tc>
        <w:tc>
          <w:tcPr>
            <w:tcW w:w="74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(113.7</w:t>
            </w:r>
          </w:p>
        </w:tc>
        <w:tc>
          <w:tcPr>
            <w:tcW w:w="460" w:type="dxa"/>
            <w:vAlign w:val="bottom"/>
          </w:tcPr>
          <w:p>
            <w:pPr>
              <w:jc w:val="right"/>
              <w:ind w:right="32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(178.3</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(156.3</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to preferred unitholders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common units</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9"/>
                <w:szCs w:val="19"/>
                <w:color w:val="auto"/>
              </w:rPr>
            </w:pPr>
          </w:p>
        </w:tc>
        <w:tc>
          <w:tcPr>
            <w:tcW w:w="10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7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unit—basic and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units—basic and 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line="20" w:lineRule="exact"/>
              <w:rPr>
                <w:sz w:val="1"/>
                <w:szCs w:val="1"/>
                <w:color w:val="auto"/>
              </w:rPr>
            </w:pPr>
          </w:p>
        </w:tc>
        <w:tc>
          <w:tcPr>
            <w:tcW w:w="102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vMerge w:val="restart"/>
          </w:tcPr>
          <w:p>
            <w:pPr>
              <w:jc w:val="right"/>
              <w:ind w:right="358"/>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line="20" w:lineRule="exact"/>
              <w:rPr>
                <w:sz w:val="1"/>
                <w:szCs w:val="1"/>
                <w:color w:val="auto"/>
              </w:rPr>
            </w:pPr>
          </w:p>
        </w:tc>
      </w:tr>
      <w:tr>
        <w:trPr>
          <w:trHeight w:val="210"/>
        </w:trPr>
        <w:tc>
          <w:tcPr>
            <w:tcW w:w="420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52,898,497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50,061,910</w:t>
            </w:r>
          </w:p>
        </w:tc>
        <w:tc>
          <w:tcPr>
            <w:tcW w:w="1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On October 6, 2004, MagnaChip Semiconductor LLC completed its acquisition of our business from Hynix. For accounting purposes and consistent with our reporting periods, we have used October 1, 2004 as the effective date of the Original Acquisition since the financial results from October 1, 2004 onwards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10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information contained in this table should be read in conjunction with “Item 7. Management’s discussion and analysis of financial condition and results of operations” and our historical financial statements and the accompanying notes thereto included elsewhere in this Form 10-K.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Three months</w:t>
            </w:r>
          </w:p>
        </w:tc>
        <w:tc>
          <w:tcPr>
            <w:tcW w:w="420" w:type="dxa"/>
            <w:vAlign w:val="bottom"/>
          </w:tcPr>
          <w:p>
            <w:pPr>
              <w:spacing w:after="0"/>
              <w:rPr>
                <w:sz w:val="13"/>
                <w:szCs w:val="13"/>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80" w:type="dxa"/>
            <w:vAlign w:val="bottom"/>
            <w:gridSpan w:val="3"/>
          </w:tcPr>
          <w:p>
            <w:pPr>
              <w:jc w:val="right"/>
              <w:ind w:right="360"/>
              <w:spacing w:after="0" w:line="152"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76"/>
              <w:spacing w:after="0" w:line="152"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80" w:type="dxa"/>
            <w:vAlign w:val="bottom"/>
            <w:gridSpan w:val="3"/>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2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20" w:type="dxa"/>
            <w:vAlign w:val="bottom"/>
          </w:tcPr>
          <w:p>
            <w:pPr>
              <w:spacing w:after="0"/>
              <w:rPr>
                <w:sz w:val="10"/>
                <w:szCs w:val="10"/>
                <w:color w:val="auto"/>
              </w:rPr>
            </w:pPr>
          </w:p>
        </w:tc>
        <w:tc>
          <w:tcPr>
            <w:tcW w:w="1260" w:type="dxa"/>
            <w:vAlign w:val="bottom"/>
            <w:gridSpan w:val="3"/>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Borders>
              <w:right w:val="single" w:sz="8" w:color="auto"/>
            </w:tcBorders>
            <w:gridSpan w:val="5"/>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8"/>
              </w:rPr>
              <w:t>(Predecessor</w:t>
            </w:r>
          </w:p>
        </w:tc>
        <w:tc>
          <w:tcPr>
            <w:tcW w:w="10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Company)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 millions of US dollars, except unit data)</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tcBorders>
              <w:right w:val="single" w:sz="8" w:color="auto"/>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86.6</w:t>
            </w:r>
          </w:p>
        </w:tc>
        <w:tc>
          <w:tcPr>
            <w:tcW w:w="3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653.8</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1,077.8</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2"/>
              </w:rPr>
              <w:t>1,299.5</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indebtedness(3)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units</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equity</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Unitholders’ equity</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exchange rate (KRW/USD)(4)</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tcBorders>
              <w:right w:val="single" w:sz="8" w:color="auto"/>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exchange rate</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1,163.3</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1,191.8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1,250.3</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2"/>
              </w:rPr>
              <w:t>1,292.0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End-of-period exchange rate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1,152.0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1,186.3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1,313.5</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440" w:hanging="452"/>
        <w:spacing w:after="0" w:line="25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wafer foundry contract manufacturing services to Hynix Semiconductor, Inc., Hynix Display Technology and other related parties during the predecessor company period when the Company was the System IC division within Hynix.</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calculated as current assets less current liabilities.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is calculated as long and short-term borrowings, including the current portion of long-term borrowings.</w:t>
      </w:r>
    </w:p>
    <w:p>
      <w:pPr>
        <w:spacing w:after="0" w:line="9" w:lineRule="exact"/>
        <w:rPr>
          <w:rFonts w:ascii="Times New Roman" w:cs="Times New Roman" w:eastAsia="Times New Roman" w:hAnsi="Times New Roman"/>
          <w:sz w:val="18"/>
          <w:szCs w:val="18"/>
          <w:color w:val="auto"/>
        </w:rPr>
      </w:pPr>
    </w:p>
    <w:p>
      <w:pPr>
        <w:ind w:left="460" w:right="20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majority of the Company’s revenue is incurred in KRW functional currency, conversion to US Dollar reporting currency is required at the end of each reporting period in order to follow the methodology prescribed in SFAS No. 52</w:t>
      </w:r>
      <w:r>
        <w:rPr>
          <w:rFonts w:ascii="Times New Roman" w:cs="Times New Roman" w:eastAsia="Times New Roman" w:hAnsi="Times New Roman"/>
          <w:sz w:val="18"/>
          <w:szCs w:val="18"/>
          <w:i w:val="1"/>
          <w:iCs w:val="1"/>
          <w:color w:val="auto"/>
        </w:rPr>
        <w:t>, Foreign Currency Translation</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 forward-looking statements within the meaning of the federal securities laws that involve risks and uncertainties. Our actual results may differ materially from those anticipated in these forward-looking statements as a result of certain factors set forth elsewhere in this Form 10-K and in prior Company public filings with the SEC. In addition, other factors have been or may be discussed from time to time in the Company’s SEC filings. These forward–looking statements are made based upon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audited consolidated financial statements and related notes included elsewhere in this Form 10-K.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We also provide wafer foundry services whereby we leverage our specialized process technologies and low cost manufacturing facilities to produce semiconductors for third parties using their product designs.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w:t>
      </w:r>
    </w:p>
    <w:p>
      <w:pPr>
        <w:spacing w:after="0" w:line="14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derive our net sales from products and services in three principal areas: CMOS imaging solutions, display solutions, and semiconductor manufacturing services.</w:t>
      </w:r>
    </w:p>
    <w:p>
      <w:pPr>
        <w:spacing w:after="0" w:line="37" w:lineRule="exact"/>
        <w:rPr>
          <w:sz w:val="20"/>
          <w:szCs w:val="20"/>
          <w:color w:val="auto"/>
        </w:rPr>
      </w:pPr>
    </w:p>
    <w:p>
      <w:pPr>
        <w:ind w:left="780" w:right="120" w:hanging="326"/>
        <w:spacing w:after="0" w:line="264"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CMOS imaging solutions: </w:t>
      </w:r>
      <w:r>
        <w:rPr>
          <w:rFonts w:ascii="Times New Roman" w:cs="Times New Roman" w:eastAsia="Times New Roman" w:hAnsi="Times New Roman"/>
          <w:sz w:val="18"/>
          <w:szCs w:val="18"/>
          <w:color w:val="auto"/>
        </w:rPr>
        <w:t>Our CMOS image sensor solutions are used in image-capture applications such as camera-equipped mobile handsets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computer cameras. Our highly integrated image sensors are designed to be cost-effective and to provide brighter, sharper, more colorful, and thus enhanced, image quality.</w:t>
      </w:r>
    </w:p>
    <w:p>
      <w:pPr>
        <w:spacing w:after="0" w:line="46" w:lineRule="exact"/>
        <w:rPr>
          <w:rFonts w:ascii="Times New Roman" w:cs="Times New Roman" w:eastAsia="Times New Roman" w:hAnsi="Times New Roman"/>
          <w:sz w:val="18"/>
          <w:szCs w:val="18"/>
          <w:color w:val="auto"/>
        </w:rPr>
      </w:pPr>
    </w:p>
    <w:p>
      <w:pPr>
        <w:ind w:left="780" w:right="20" w:hanging="326"/>
        <w:spacing w:after="0" w:line="264"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Display solutions: </w:t>
      </w:r>
      <w:r>
        <w:rPr>
          <w:rFonts w:ascii="Times New Roman" w:cs="Times New Roman" w:eastAsia="Times New Roman" w:hAnsi="Times New Roman"/>
          <w:sz w:val="18"/>
          <w:szCs w:val="18"/>
          <w:color w:val="auto"/>
        </w:rPr>
        <w:t>Our flat panel display drivers are used in several major types of large and small flat panel displays, including TFT-LCD, Color-STN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OLED displays. Our flat panel display solutions are used in applications such as mobile handsets, flat panel televisions, displays for portable and desktop computers, handheld gaming devices and PDAs.</w:t>
      </w:r>
    </w:p>
    <w:p>
      <w:pPr>
        <w:spacing w:after="0" w:line="46" w:lineRule="exact"/>
        <w:rPr>
          <w:rFonts w:ascii="Times New Roman" w:cs="Times New Roman" w:eastAsia="Times New Roman" w:hAnsi="Times New Roman"/>
          <w:sz w:val="18"/>
          <w:szCs w:val="18"/>
          <w:color w:val="auto"/>
        </w:rPr>
      </w:pPr>
    </w:p>
    <w:p>
      <w:pPr>
        <w:ind w:left="780" w:right="260" w:hanging="326"/>
        <w:spacing w:after="0" w:line="259"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Semiconductor manufacturing services: </w:t>
      </w:r>
      <w:r>
        <w:rPr>
          <w:rFonts w:ascii="Times New Roman" w:cs="Times New Roman" w:eastAsia="Times New Roman" w:hAnsi="Times New Roman"/>
          <w:sz w:val="18"/>
          <w:szCs w:val="18"/>
          <w:color w:val="auto"/>
        </w:rPr>
        <w:t>We use our process technology and manufacturing facilities to manufacture semiconductor wafers for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based on their designs. Our five fabs have a combined capacity of over 116,000 eight-inch equivalent wafers per month and are located in Cheongju and Gumi, Korea. Our fabs provide us with large scale, cost-effective and flexible capacity enabling us to rapidly scale to high volume to meet shifts in demand by our end customers.</w:t>
      </w:r>
    </w:p>
    <w:p>
      <w:pPr>
        <w:spacing w:after="0" w:line="13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Our business was named MagnaChip Semiconductor when it was acquired from Hynix Semiconductor Inc. on October 6, 2004, by CVC, Francisco Partners, CVC Asia Pacific, certain members of management and other investors, following discussions with Hynix that began in late 2001 and the execution of a definitive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June 2004. Previously, we were the System IC division within Hynix which, in 1999, had been formed from a merger between the Hyundai Electronics and LG Semiconductor System IC businesses and can trace its history back to the late 1970s. Although we were previously part of Hynix, our business had a history of operating autonomously within Hynix and had a separate global sales force and management structure.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 statements of operations include allocations of certain raw materials, other assets and accounts payable which our business has historically shared with Hynix, and allocations of certain manufacturing costs, general and administrative, sales and marketing, and other miscellaneous expenses. These allocations were made on a specifically identifiable basis or using the relative percentages, as compared to Hynix’s other businesses, of sales, headcount, raw material consumption or other reasonable methods. Hynix and MagnaChip considered these allocations to be a reasonable reflection of the utilization of services provided. Our expenses as a separate, stand alone company may be higher or lower than the amounts reflected in the consolidated statements of operations.</w:t>
      </w:r>
    </w:p>
    <w:p>
      <w:pPr>
        <w:spacing w:after="0" w:line="141"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historical carve-out periods presented. As part of the Original Acquisition, we did not acquire certain assets that were included in the carve-out financial statements and we assumed certain additional obligations that are not reflected in the carve-out financial statements. Accordingly, the carve-out financial statements should not be relied upon as being representative of our financial position or operating results had we operated on a stand alone basis, nor may they be representative of our financial position or operating results following the Original Acquisition.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2005 and December 31, 2004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5"/>
              </w:rPr>
              <w:t>Year ended December 31, 2004</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5"/>
              </w:rPr>
              <w:t>Three months</w:t>
            </w:r>
          </w:p>
        </w:tc>
        <w:tc>
          <w:tcPr>
            <w:tcW w:w="240" w:type="dxa"/>
            <w:vAlign w:val="bottom"/>
          </w:tcPr>
          <w:p>
            <w:pPr>
              <w:spacing w:after="0"/>
              <w:rPr>
                <w:sz w:val="11"/>
                <w:szCs w:val="11"/>
                <w:color w:val="auto"/>
              </w:rPr>
            </w:pPr>
          </w:p>
        </w:tc>
        <w:tc>
          <w:tcPr>
            <w:tcW w:w="100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7"/>
              </w:rPr>
              <w:t>Nine months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right"/>
              <w:ind w:right="632"/>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660" w:type="dxa"/>
            <w:vAlign w:val="bottom"/>
            <w:gridSpan w:val="4"/>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w w:val="97"/>
              </w:rPr>
              <w:t>December 31, 2005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140" w:type="dxa"/>
            <w:vAlign w:val="bottom"/>
          </w:tcPr>
          <w:p>
            <w:pPr>
              <w:spacing w:after="0"/>
              <w:rPr>
                <w:sz w:val="15"/>
                <w:szCs w:val="15"/>
                <w:color w:val="auto"/>
              </w:rPr>
            </w:pPr>
          </w:p>
        </w:tc>
        <w:tc>
          <w:tcPr>
            <w:tcW w:w="16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2005 vs. 2004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22"/>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5"/>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net sales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1"/>
              </w:rPr>
              <w:t>net sales</w:t>
            </w:r>
          </w:p>
        </w:tc>
        <w:tc>
          <w:tcPr>
            <w:tcW w:w="140" w:type="dxa"/>
            <w:vAlign w:val="bottom"/>
          </w:tcPr>
          <w:p>
            <w:pPr>
              <w:spacing w:after="0"/>
              <w:rPr>
                <w:sz w:val="14"/>
                <w:szCs w:val="14"/>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8"/>
              </w:rPr>
              <w:t>(Successor</w:t>
            </w:r>
          </w:p>
        </w:tc>
        <w:tc>
          <w:tcPr>
            <w:tcW w:w="60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88"/>
              </w:rPr>
              <w:t>Company)</w:t>
            </w: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(Predecessor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8"/>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 millions of US dollars)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020" w:type="dxa"/>
            <w:vAlign w:val="bottom"/>
            <w:gridSpan w:val="3"/>
          </w:tcPr>
          <w:p>
            <w:pPr>
              <w:jc w:val="right"/>
              <w:ind w:right="178"/>
              <w:spacing w:after="0"/>
              <w:rPr>
                <w:sz w:val="20"/>
                <w:szCs w:val="20"/>
                <w:color w:val="auto"/>
              </w:rPr>
            </w:pPr>
            <w:r>
              <w:rPr>
                <w:rFonts w:ascii="Times New Roman" w:cs="Times New Roman" w:eastAsia="Times New Roman" w:hAnsi="Times New Roman"/>
                <w:sz w:val="18"/>
                <w:szCs w:val="18"/>
                <w:color w:val="auto"/>
              </w:rPr>
              <w:t>$(163.8)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937.7</w:t>
            </w:r>
          </w:p>
        </w:tc>
        <w:tc>
          <w:tcPr>
            <w:tcW w:w="10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921.4</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84.9%</w:t>
            </w:r>
          </w:p>
        </w:tc>
        <w:tc>
          <w:tcPr>
            <w:tcW w:w="102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16.3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1,085.2</w:t>
            </w: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3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729.0</w:t>
            </w:r>
          </w:p>
        </w:tc>
        <w:tc>
          <w:tcPr>
            <w:tcW w:w="10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859.1</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79.2%</w:t>
            </w:r>
          </w:p>
        </w:tc>
        <w:tc>
          <w:tcPr>
            <w:tcW w:w="10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(130.1)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3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w:t>
            </w:r>
          </w:p>
        </w:tc>
        <w:tc>
          <w:tcPr>
            <w:tcW w:w="10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02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39.5</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c>
          <w:tcPr>
            <w:tcW w:w="10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97.8</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gridSpan w:val="3"/>
          </w:tcPr>
          <w:p>
            <w:pPr>
              <w:jc w:val="right"/>
              <w:ind w:right="238"/>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10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36.2</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w w:val="94"/>
              </w:rPr>
              <w:t>(231.2)%</w:t>
            </w:r>
          </w:p>
        </w:tc>
        <w:tc>
          <w:tcPr>
            <w:tcW w:w="0" w:type="dxa"/>
            <w:vAlign w:val="bottom"/>
          </w:tcPr>
          <w:p>
            <w:pPr>
              <w:spacing w:after="0" w:line="20" w:lineRule="exact"/>
              <w:rPr>
                <w:sz w:val="1"/>
                <w:szCs w:val="1"/>
                <w:color w:val="auto"/>
              </w:rPr>
            </w:pPr>
          </w:p>
        </w:tc>
      </w:tr>
      <w:tr>
        <w:trPr>
          <w:trHeight w:val="222"/>
        </w:trPr>
        <w:tc>
          <w:tcPr>
            <w:tcW w:w="3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(58.4)</w:t>
            </w:r>
          </w:p>
        </w:tc>
        <w:tc>
          <w:tcPr>
            <w:tcW w:w="10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(102.9)</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104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(22.8)</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10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gridSpan w:val="3"/>
          </w:tcPr>
          <w:p>
            <w:pPr>
              <w:jc w:val="right"/>
              <w:ind w:right="178"/>
              <w:spacing w:after="0"/>
              <w:rPr>
                <w:sz w:val="20"/>
                <w:szCs w:val="20"/>
                <w:color w:val="auto"/>
              </w:rPr>
            </w:pPr>
            <w:r>
              <w:rPr>
                <w:rFonts w:ascii="Times New Roman" w:cs="Times New Roman" w:eastAsia="Times New Roman" w:hAnsi="Times New Roman"/>
                <w:sz w:val="18"/>
                <w:szCs w:val="18"/>
                <w:color w:val="auto"/>
              </w:rPr>
              <w:t>(19.2)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0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3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(311.3)%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(100.9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(138.3</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(369.8)%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year ended December 31, 2005 were $937.7 million, a $147.5 million or 13.6% decrease from $1.1 billion in 2004,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$841.6 million for the nine months ended September 30, 2004 and $243.6 million for the three months ended December 31, 2004. The reduction from prior-year revenue was primarily due to a decrease of $133.4 million or 72.8% in our DRAM foundry business with Hynix. This reduction was due to our strategic decision to focus manufacturing capacity and processes on expanding CMOS image sensor capability, which should help improve prospects for increased profitability and growth in the long term. The effect of this decision was a reduction in available capacity to supply Hynix with memory products and lower sales.</w:t>
      </w:r>
    </w:p>
    <w:p>
      <w:pPr>
        <w:spacing w:after="0" w:line="14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Revenues from our core business in 2005 increased $17.0 million or 2.1% from $817.8 million in 2004, driven by an increase of $66.9 million or 25.8% from our display solution business, partially offset by decreases of $36.8 million in CMOS imaging solution and $13.1 million in semiconductor manufacturing services. The increase of revenue in our display solution business was mainly due to an increase in market demand. Revenue decreases in our imaging solution business and semiconductor manufacturing services were attributable to lower average sales prices and increased competition in the market. Our Application Processor revenue decreased 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$35.6 million or 43.1% as a result of the repositioning this product line, de-emphasizing optical storage device products to focus on consumer appliance and mobile device application areas.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sales to related parties during the year 2005 decreased by $163.8 million compared to 2004. Subsequent to the Original Acquisition date, all sales made to Hynix were classified as third party customer sales as the two companies are now separate and do not require related party revenue classification. Net sales to others in 2005 increased by $16.3 million or 1.8% compared to 2004.</w:t>
      </w:r>
    </w:p>
    <w:p>
      <w:pPr>
        <w:spacing w:after="0" w:line="13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was $729.0 million in 2005, a $130.1 million or 15.1% decrease from aggregate cost of sales of $859.1 million in 2004,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$654.6 million for the nine months ended September 30, 2004 and $204.5 million for the three months ended December 31, 2004. The decrease was primarily due to a lower revenue base coupled with a reduction in depreciation expenses associated with the application of purchase accounting from the Original Acquisition. Cost of sales as a percentage of net sales decreased by 1.5% to 77.7% in the current year from 79.2% in the prior year.</w:t>
      </w:r>
    </w:p>
    <w:p>
      <w:pPr>
        <w:spacing w:after="0" w:line="133"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$123.3 million or 13.1% of net sales in 2005.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a $39.5 million or 47.1% increase from a total of $83.8 million or 7.7% of net sales in 2004, which consisted of $54.0 million for the nine months ended September 30, 2004 and $29.8 million for the three months ended December 31, 2004. The increase in selling, general and administrative expenses was primarily attributable to amortization of intangible assets recorded upon the application of purchase accounting as a result of the Original Acquisition. We also recognized increased professional fees related to consulting and infrastructure build-out as well as additional warranty reserves to cover possible exposure of future claims from customers.</w:t>
      </w:r>
    </w:p>
    <w:p>
      <w:pPr>
        <w:spacing w:after="0" w:line="139"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 2005 were $107.6 million, a $9.8 million or 10.0% increase from $97.8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2004, which consisted of $75.7 million for the nine months ended September 30, 2004 and $22.1 million for the three months ended December 31, 2004. The increase in research and development expenses was mainly due to our reinforcement of research and development centers worldwide through our merger and acquisition and process development to support next generation products. As a percentage of net sales, research and development expense increased to 11.5% in 2005 from 9.0% in 2004.</w:t>
      </w:r>
    </w:p>
    <w:p>
      <w:pPr>
        <w:spacing w:after="0" w:line="134" w:lineRule="exact"/>
        <w:rPr>
          <w:sz w:val="20"/>
          <w:szCs w:val="20"/>
          <w:color w:val="auto"/>
        </w:rPr>
      </w:pPr>
    </w:p>
    <w:p>
      <w:pPr>
        <w:ind w:right="5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Restructuring and Impairment Charges</w:t>
      </w:r>
      <w:r>
        <w:rPr>
          <w:rFonts w:ascii="Times New Roman" w:cs="Times New Roman" w:eastAsia="Times New Roman" w:hAnsi="Times New Roman"/>
          <w:sz w:val="18"/>
          <w:szCs w:val="18"/>
          <w:color w:val="auto"/>
        </w:rPr>
        <w:t>. During the year ended December 31, 2005, the Company recorded a one-time charge of $36.2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and impairment charges associated with the Company’s initiative to focus on its core businesses and streamline the organization. The amount included $33.5 million for asset impairment and $2.7 million for restructuring.</w:t>
      </w:r>
    </w:p>
    <w:p>
      <w:pPr>
        <w:spacing w:after="0" w:line="12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Operating loss in 2005 was $58.4 million, a $102.9 million or 231.2% decrease from an operating income of $44.5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Operating loss as a percentage of net sales was 6.2% in 2005 compared to the operating income as a percentage of net sales of 4.1% in 2004. The operating loss in 2005 was primarily attributable to lower revenue base and higher operating expenses including one-time charges, partially offset by improved gross margins.</w:t>
      </w:r>
    </w:p>
    <w:p>
      <w:pPr>
        <w:spacing w:after="0" w:line="133" w:lineRule="exact"/>
        <w:rPr>
          <w:sz w:val="20"/>
          <w:szCs w:val="20"/>
          <w:color w:val="auto"/>
        </w:rPr>
      </w:pPr>
    </w:p>
    <w:p>
      <w:pPr>
        <w:jc w:val="both"/>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Interest Expense. </w:t>
      </w:r>
      <w:r>
        <w:rPr>
          <w:rFonts w:ascii="Times New Roman" w:cs="Times New Roman" w:eastAsia="Times New Roman" w:hAnsi="Times New Roman"/>
          <w:sz w:val="18"/>
          <w:szCs w:val="18"/>
          <w:color w:val="auto"/>
        </w:rPr>
        <w:t>Net interest expense was $57.2 million in 2005, a $22.8 million or 66.3% increase from aggregated interest expense of $34.4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2004, which consisted of $17.7 million for the nine months ended September 30, 2004 and $16.7 million for the three months ended December 31, 2004. The increase in net interest expense was primarily due to interest expenses incurred on the long-term debt of $750.0 million, which was issued in December 2004 and outstanding throughout the year 2005.</w:t>
      </w:r>
    </w:p>
    <w:p>
      <w:pPr>
        <w:spacing w:after="0" w:line="133" w:lineRule="exact"/>
        <w:rPr>
          <w:sz w:val="20"/>
          <w:szCs w:val="20"/>
          <w:color w:val="auto"/>
        </w:rPr>
      </w:pPr>
    </w:p>
    <w:p>
      <w:pPr>
        <w:ind w:right="3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$1.8 million in 2005, compared to $6.7 million for the nine months ended September 31, 2004 and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December 31, 2004, which on an aggregate basis totals $9.5 million for the year ended December 31, 2004. Income tax expense for the year ended December 31, 2005 was primarily attributable to $5.2 million of Korean withholding tax on the interest income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paid to our Korean subsidiary’s parent company. Income tax expense including this withholding tax was partially offset by the recognition of a deferred tax asset based on expected future utilization of the Company’s temporary difference.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2004 and December 31, 2003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8"/>
              </w:rPr>
              <w:t>Year ended December 31, 2004</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9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5"/>
              </w:rPr>
              <w:t>Three months</w:t>
            </w:r>
          </w:p>
        </w:tc>
        <w:tc>
          <w:tcPr>
            <w:tcW w:w="260" w:type="dxa"/>
            <w:vAlign w:val="bottom"/>
          </w:tcPr>
          <w:p>
            <w:pPr>
              <w:spacing w:after="0"/>
              <w:rPr>
                <w:sz w:val="11"/>
                <w:szCs w:val="11"/>
                <w:color w:val="auto"/>
              </w:rPr>
            </w:pPr>
          </w:p>
        </w:tc>
        <w:tc>
          <w:tcPr>
            <w:tcW w:w="1140" w:type="dxa"/>
            <w:vAlign w:val="bottom"/>
            <w:gridSpan w:val="3"/>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w w:val="94"/>
              </w:rPr>
              <w:t>Nine months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6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80" w:type="dxa"/>
            <w:vAlign w:val="bottom"/>
          </w:tcPr>
          <w:p>
            <w:pPr>
              <w:spacing w:after="0"/>
              <w:rPr>
                <w:sz w:val="12"/>
                <w:szCs w:val="12"/>
                <w:color w:val="auto"/>
              </w:rPr>
            </w:pPr>
          </w:p>
        </w:tc>
        <w:tc>
          <w:tcPr>
            <w:tcW w:w="1660" w:type="dxa"/>
            <w:vAlign w:val="bottom"/>
            <w:gridSpan w:val="4"/>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80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1680" w:type="dxa"/>
            <w:vAlign w:val="bottom"/>
            <w:gridSpan w:val="4"/>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140" w:type="dxa"/>
            <w:vAlign w:val="bottom"/>
          </w:tcPr>
          <w:p>
            <w:pPr>
              <w:spacing w:after="0"/>
              <w:rPr>
                <w:sz w:val="15"/>
                <w:szCs w:val="15"/>
                <w:color w:val="auto"/>
              </w:rPr>
            </w:pPr>
          </w:p>
        </w:tc>
        <w:tc>
          <w:tcPr>
            <w:tcW w:w="1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December 31, 2003</w:t>
            </w:r>
          </w:p>
        </w:tc>
        <w:tc>
          <w:tcPr>
            <w:tcW w:w="16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2004 vs. 2003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5"/>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5"/>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4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net sales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1"/>
              </w:rPr>
              <w:t>net sales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vMerge w:val="continue"/>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(Predecessor</w:t>
            </w:r>
          </w:p>
        </w:tc>
        <w:tc>
          <w:tcPr>
            <w:tcW w:w="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4"/>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(Predecessor</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2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Company)</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20" w:type="dxa"/>
            <w:vAlign w:val="bottom"/>
            <w:gridSpan w:val="6"/>
          </w:tcPr>
          <w:p>
            <w:pPr>
              <w:jc w:val="right"/>
              <w:ind w:right="55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(in millions of US dollars)</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lef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000" w:type="dxa"/>
            <w:vAlign w:val="bottom"/>
            <w:gridSpan w:val="3"/>
          </w:tcPr>
          <w:p>
            <w:pPr>
              <w:jc w:val="right"/>
              <w:ind w:right="238"/>
              <w:spacing w:after="0"/>
              <w:rPr>
                <w:sz w:val="20"/>
                <w:szCs w:val="20"/>
                <w:color w:val="auto"/>
              </w:rPr>
            </w:pPr>
            <w:r>
              <w:rPr>
                <w:rFonts w:ascii="Times New Roman" w:cs="Times New Roman" w:eastAsia="Times New Roman" w:hAnsi="Times New Roman"/>
                <w:sz w:val="18"/>
                <w:szCs w:val="18"/>
                <w:color w:val="auto"/>
              </w:rPr>
              <w:t>$ 260.7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31.4%</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4"/>
              </w:rPr>
              <w:t>$ (96.9)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243.6</w:t>
            </w:r>
          </w:p>
        </w:tc>
        <w:tc>
          <w:tcPr>
            <w:tcW w:w="2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84.9%</w:t>
            </w:r>
          </w:p>
        </w:tc>
        <w:tc>
          <w:tcPr>
            <w:tcW w:w="10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570.1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9"/>
                <w:szCs w:val="19"/>
                <w:color w:val="auto"/>
              </w:rPr>
            </w:pPr>
          </w:p>
        </w:tc>
        <w:tc>
          <w:tcPr>
            <w:tcW w:w="26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1,085.2</w:t>
            </w: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3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c>
          <w:tcPr>
            <w:tcW w:w="2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654.6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79.2%</w:t>
            </w:r>
          </w:p>
        </w:tc>
        <w:tc>
          <w:tcPr>
            <w:tcW w:w="10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752.5</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26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3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3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68.7</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000" w:type="dxa"/>
            <w:vAlign w:val="bottom"/>
            <w:gridSpan w:val="3"/>
          </w:tcPr>
          <w:p>
            <w:pPr>
              <w:jc w:val="right"/>
              <w:ind w:right="238"/>
              <w:spacing w:after="0"/>
              <w:rPr>
                <w:sz w:val="20"/>
                <w:szCs w:val="20"/>
                <w:color w:val="auto"/>
              </w:rPr>
            </w:pPr>
            <w:r>
              <w:rPr>
                <w:rFonts w:ascii="Times New Roman" w:cs="Times New Roman" w:eastAsia="Times New Roman" w:hAnsi="Times New Roman"/>
                <w:sz w:val="18"/>
                <w:szCs w:val="18"/>
                <w:color w:val="auto"/>
              </w:rPr>
              <w:t>86.6</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Borders>
              <w:lef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(77.0)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(37.8)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3"/>
          </w:tcPr>
          <w:p>
            <w:pPr>
              <w:jc w:val="right"/>
              <w:ind w:right="238"/>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2,450.0%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(112.3)</w:t>
            </w:r>
          </w:p>
        </w:tc>
        <w:tc>
          <w:tcPr>
            <w:tcW w:w="3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3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578.6%</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6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6"/>
              </w:rPr>
              <w:t>$</w:t>
            </w:r>
            <w:r>
              <w:rPr>
                <w:rFonts w:ascii="Times New Roman" w:cs="Times New Roman" w:eastAsia="Times New Roman" w:hAnsi="Times New Roman"/>
                <w:sz w:val="18"/>
                <w:szCs w:val="18"/>
                <w:color w:val="auto"/>
                <w:w w:val="86"/>
              </w:rPr>
              <w:t xml:space="preserve"> (113.7</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151.1</w:t>
            </w:r>
          </w:p>
        </w:tc>
        <w:tc>
          <w:tcPr>
            <w:tcW w:w="3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$841.6 million for the nine-month period ended September 30, 2004 and $243.6 million for the three-month period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2004, which on an aggregate basis totals $1.1 billion in 2004, a $254.4 million or 30.6% increase from $830.8 million in 2003. This increase in net sales was primarily attributable to expansion of the camera-equipped mobile handset market and the increased demand for flat panel displays. Revenues from the CMOS image sensor and display solution businesses increased 193.2% and 39.2%, respectively, in 2004 versus the prior year. Semiconductor manufacturing services also grew by 69%. These increases in our three largest product groups were offset by declining revenue in application processors and DRAM foundry revenue.</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sales to related parties were $163.8 million for the year ended December 31, 2004, a $96.9 million or 37.2% decrease from the prior year sale of $260.7 million. This decrease was largely due to the execution of our strategic plan to reduce our memory wafer production and realign capacity to address more profitable business opportunities.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Net sales to others were $677.8 million for the nine-month period ended September 30, 2004 and $243.6 million for the three-month period ended December 31, 2004, which on an aggregate basis totals $921.4 million for the year ended December 31, 2004, a $351.3 million or 61.6% increase from the prior year net sales to others of $570.1 million. This increase was largely attributable to increased demand for camera-equipped mobile handsets and an increase in flat panel display market share.</w:t>
      </w:r>
    </w:p>
    <w:p>
      <w:pPr>
        <w:spacing w:after="0" w:line="13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were $654.6 million for the nine-month period ended September 30, 2004 and $204.5 million for the three-month period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2004, which on an aggregate basis totals $859.1 million for the year ended December 31, 2004, a $106.6 million or 14.2% increase from the prior year cost of sales of $752.5 million. Cost of sales as a percentage of net sales decreased to 79.2% for the year ended December 31, 2004 compared to 90.6% for the year ended December 31, 2003. The decrease in cost of sales as a percentage of net revenue was primarily attributable to increased volume and factory utilization, as well as improved product yields, that drove improved per unit costs. Depreciation costs were reduced for the three-month period ended December 31, 2004 as a result of the valuation of assets using purchase accounting. Improvements in the cost of procuring raw materials were partially offset by increases in labor and outsourcing costs.</w:t>
      </w:r>
    </w:p>
    <w:p>
      <w:pPr>
        <w:spacing w:after="0" w:line="135"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$54.0 million for the nine-month period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2004 and $29.8 million for the three-month period ended December 31, 2004, which on an aggregate basis totals $83.8 million for the year ended December 31, 2004, a $15.1 million or 22.0% increase from the prior year amount of $68.7 million or 8.3% of net sales in the year ended December 31, 2003. The increase in SG&amp;A expenses for the year ended December 31, 2004 was primarily attributable to increases in payroll and bonus expenses, infrastructure costs, professional fees, option expenses and amortization of intangible assets due to purchase accounting.</w:t>
      </w:r>
    </w:p>
    <w:p>
      <w:pPr>
        <w:spacing w:after="0" w:line="134" w:lineRule="exact"/>
        <w:rPr>
          <w:sz w:val="20"/>
          <w:szCs w:val="20"/>
          <w:color w:val="auto"/>
        </w:rPr>
      </w:pPr>
    </w:p>
    <w:p>
      <w:pPr>
        <w:ind w:right="2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$75.7 million for the nine-month period ended September 30, 2004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$22.1 million for the three-month period ended December 31, 2004, which on an aggregate basis totals $97.8 million for the year ended December 31, 2004, a $11.2 million or 12.9% increase from $86.6 million in 2003. This increase in research and development expenses was primarily attributable to the increase in labor costs, development tools and maintenance contracts. Research and development expenses as a percentage of net sales decreased to 9.0% in 2004 from 10.4% in 2003.</w:t>
      </w:r>
    </w:p>
    <w:p>
      <w:pPr>
        <w:spacing w:after="0" w:line="134"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Operating Income (Loss). </w:t>
      </w:r>
      <w:r>
        <w:rPr>
          <w:rFonts w:ascii="Times New Roman" w:cs="Times New Roman" w:eastAsia="Times New Roman" w:hAnsi="Times New Roman"/>
          <w:sz w:val="16"/>
          <w:szCs w:val="16"/>
          <w:color w:val="auto"/>
        </w:rPr>
        <w:t>Aggregate operating income of $44.5 million for the year ended December 31, 2004 consisted of operating income of $57.3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nine-month period ended September 30, 2004 and operating loss of $12.8 million for the three-month period ended December 31, 2004, a $121.5 million or 157.8% increase from $77.0 million of operating loss in 2003. Operating income as a percentage of net sales increased to 4.1% for the year ended December 31, 2004 from operating loss as a percentage of net sales of 9.3% for the year ended December 31, 2003. The increase in operating income and operating income as a percentage of net sales was principally due to an improvement in net sales that helped absorb fixed costs and improvements in gross profit.</w:t>
      </w:r>
    </w:p>
    <w:p>
      <w:pPr>
        <w:spacing w:after="0" w:line="104"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Net Interest Expense. </w:t>
      </w:r>
      <w:r>
        <w:rPr>
          <w:rFonts w:ascii="Times New Roman" w:cs="Times New Roman" w:eastAsia="Times New Roman" w:hAnsi="Times New Roman"/>
          <w:sz w:val="16"/>
          <w:szCs w:val="16"/>
          <w:color w:val="auto"/>
        </w:rPr>
        <w:t>Net interest expense was $17.7 million for the nine-month period ended September 30, 2004 and $16.7 million for the three-month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ended December 31, 2004, which on an aggregate basis totals $34.4 million for the year ended December 31, 2004, a $3.4 million or 9.0% decrease from $37.8 million in 2003. Net interest expense for the year ended December 31, 2004 included the allocation of debt and related expense of $17.7 million on a carve-out basis as well as the interest expense on the bank loan and others of $16.2 million plus interest incurred on $750 million debt of $1.3 million.</w:t>
      </w:r>
    </w:p>
    <w:p>
      <w:pPr>
        <w:spacing w:after="0" w:line="100"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$2.8 million for the nine-month period ended September 30, 2004 and $6.7 million for the three-month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ended December 31, 2004, which on an aggregate basis totals $9.5 million for the year ended December 31, 2004, a $8.1 million increase from the income tax expense of $1.4 million in 2003. The increase was principally attributable to the effect of the business transfer that occurred in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fourth quarter of fiscal year 2004. The Company decided not to recognize deferred tax assets for its temporary tax differences due to its uncertainty of realization, and this led to higher income tax expense in 2004.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Our principal capital requirements are to fund working capital needs, meet required debt payments, including debt service payments on the notes and, if drawn upon, the senior credit facility, to invest in research and development and capital expenditures. We anticipate that operating cash flow, together with available borrowing capacity under our senior credit facility, will be sufficient to meet our working capital needs, our research and development and capital expenditures and service requirements on our debt obligations for the foreseeable future. As of December 31, 2005 we had total long-term debt outstanding of $750.0 million.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generated cash from operating activities of $103.6 million during the year 2005, which principally reflects the Company’s net loss of $100.9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by non-cash depreciation and amortization expenses of $202.9 million. Cash from operating activities was reduced by $225.9 million or 68.6%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$329.5 million in 2004, which consisted of $312.2 million for the nine months ended September 30, 2004 and $17.3 million for three months ended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The decrease in cash from operating activities between the two periods was primarily due to a 13.6% decrease in sales coupled with 47.1%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5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Our working capital balance as of December 31, 2005 was $141.4 million compared to $129.3 million as of December 31, 2004. The increase of $12.1 million in working capital balance was primarily attributable to a higher balance in cash and cash equivalents at December 31, 2005. We had lower capital expenditures towards the end of 2005 compared to 2004, which led to increases in cash and cash equivalents at December 31, 2005.</w:t>
      </w:r>
    </w:p>
    <w:p>
      <w:pPr>
        <w:spacing w:after="0" w:line="13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For investing activities, we used cash of approximately $68.7 million for the year 2005 compared to $611.3 million for the year 2004 which consisted of $85.3 million for the nine months ended September 30, 2004 and $526.0 million for the three months ended December 31, 2004. The decrease in cash used for investing activities was primarily due to higher cash spending in 2004 associated with the Original Acquisition compared to cash spending on the acquisitions of ISRON Corporation and IC Media Corporation in 2005.</w:t>
      </w:r>
    </w:p>
    <w:p>
      <w:pPr>
        <w:spacing w:after="0" w:line="136"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For financing activities, we used $12.8 million for the year ended December 31, 2005 and $216.8 million for the year ended December 31, 2004. In 2004, cash outflows of $226.8 million for the nine months ended September 30, 2004 was partially offset by cash inflows of $10.0 million for the three months ended December 31, 2004. The current year cash outlay was mainly due to repayment of short-term borrowings in the amount of $12.9 million. Cash outflow in 2004 is primarily due to the application of carve-out accounting, which assumed that cash flows from all other activities were used to repay any outstanding borrowings.</w:t>
      </w:r>
    </w:p>
    <w:p>
      <w:pPr>
        <w:spacing w:after="0" w:line="101" w:lineRule="exact"/>
        <w:rPr>
          <w:sz w:val="20"/>
          <w:szCs w:val="20"/>
          <w:color w:val="auto"/>
        </w:rPr>
      </w:pPr>
    </w:p>
    <w:p>
      <w:pPr>
        <w:ind w:right="3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For the year ended December 31, 2005, capital expenditures totaled $64.5 million compared to $110.2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2004. Capital expenditure in 2004 composed of $86.7 million for the nine months ended September 30, 2004 and $23.5 million for the three months ended December 31, 2004. The year over year decrease was a result of managing capital expenditure timing in order to better support the growth of business from new customers and to optimize return on investment.</w:t>
      </w:r>
    </w:p>
    <w:p>
      <w:pPr>
        <w:spacing w:after="0" w:line="133" w:lineRule="exact"/>
        <w:rPr>
          <w:sz w:val="20"/>
          <w:szCs w:val="20"/>
          <w:color w:val="auto"/>
        </w:rPr>
      </w:pPr>
    </w:p>
    <w:p>
      <w:pPr>
        <w:ind w:right="18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Future Financing Activities. </w:t>
      </w:r>
      <w:r>
        <w:rPr>
          <w:rFonts w:ascii="Times New Roman" w:cs="Times New Roman" w:eastAsia="Times New Roman" w:hAnsi="Times New Roman"/>
          <w:sz w:val="16"/>
          <w:szCs w:val="16"/>
          <w:color w:val="auto"/>
        </w:rPr>
        <w:t>Our primary future capital requirements on a recurring basis will be funding working capital needs, meeting required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payments and funding research and development and capital expenditures. Specifically, going forward, we expect to expand our research and development headcount and make investments in advanced software and hardware design tools that increase our design engineer productivity. In addition, we plan to add design centers in key geographical locations near our strategic customers. We anticipate that operating cash flows, together with available borrowings under our senior credit facility, will be sufficient to meet these capital requirements for the foreseeable future. We may from time to time incur additional debt.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may need to incur additional debt or issue equity to make strategic acquisitions of investments. However, we cannot assure you that such financing will be available to us on acceptable terms or that such financing will be available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Summarized in the table below are our obligations and commitments to make future payments under debt obligations and minimum lease payment obligations as of December 31,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Payments Due by Period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6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60" w:type="dxa"/>
            <w:vAlign w:val="bottom"/>
          </w:tcPr>
          <w:p>
            <w:pPr>
              <w:spacing w:after="0"/>
              <w:rPr>
                <w:sz w:val="10"/>
                <w:szCs w:val="10"/>
                <w:color w:val="auto"/>
              </w:rPr>
            </w:pPr>
          </w:p>
        </w:tc>
      </w:tr>
      <w:tr>
        <w:trPr>
          <w:trHeight w:val="165"/>
        </w:trPr>
        <w:tc>
          <w:tcPr>
            <w:tcW w:w="68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Thereafter</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expense</w:t>
            </w:r>
          </w:p>
        </w:tc>
        <w:tc>
          <w:tcPr>
            <w:tcW w:w="6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73"/>
              </w:rPr>
              <w:t>(in</w:t>
            </w:r>
          </w:p>
        </w:tc>
        <w:tc>
          <w:tcPr>
            <w:tcW w:w="136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6"/>
              </w:rPr>
              <w:t>millions of US Dollars)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Secured notes and subordinated notes(*)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750.0</w:t>
            </w:r>
          </w:p>
        </w:tc>
        <w:tc>
          <w:tcPr>
            <w:tcW w:w="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750.0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8"/>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interest obligations on revolving credit facility and notes.</w:t>
      </w:r>
    </w:p>
    <w:p>
      <w:pPr>
        <w:spacing w:after="0" w:line="171" w:lineRule="exact"/>
        <w:rPr>
          <w:sz w:val="20"/>
          <w:szCs w:val="20"/>
          <w:color w:val="auto"/>
        </w:rPr>
      </w:pPr>
    </w:p>
    <w:p>
      <w:pPr>
        <w:jc w:val="both"/>
        <w:ind w:right="280" w:firstLine="456"/>
        <w:spacing w:after="0" w:line="237" w:lineRule="auto"/>
        <w:rPr>
          <w:sz w:val="20"/>
          <w:szCs w:val="20"/>
          <w:color w:val="auto"/>
        </w:rPr>
      </w:pPr>
      <w:r>
        <w:rPr>
          <w:rFonts w:ascii="Times New Roman" w:cs="Times New Roman" w:eastAsia="Times New Roman" w:hAnsi="Times New Roman"/>
          <w:sz w:val="18"/>
          <w:szCs w:val="18"/>
          <w:color w:val="auto"/>
        </w:rPr>
        <w:t xml:space="preserve">The Floating Rate Second Priority Senior Secured Notes ($300 million) and Second Priority Senior Secured Notes ($200 million) mature in 2011, while Senior Subordinated Notes ($250 million) mature in 2014. Interest rates are 3 month LIBOR + 3.25%, 6 </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and 8%, respectively. These notes will be paid in full upon maturity.</w:t>
      </w:r>
    </w:p>
    <w:p>
      <w:pPr>
        <w:spacing w:after="0" w:line="152"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Unit/Stock-based Compensation Expense</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For options granted to employees on or after October 6, 2004, we record a compensation charge equal to the excess, if any, of the deemed fair value of the stock at the measurement date over the option exercise price, in accordance with Accounting Principles Board Opinion No. 25. </w:t>
      </w:r>
      <w:r>
        <w:rPr>
          <w:rFonts w:ascii="Times New Roman" w:cs="Times New Roman" w:eastAsia="Times New Roman" w:hAnsi="Times New Roman"/>
          <w:sz w:val="18"/>
          <w:szCs w:val="18"/>
          <w:i w:val="1"/>
          <w:iCs w:val="1"/>
          <w:color w:val="auto"/>
        </w:rPr>
        <w:t>Accounting for Stock Issued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Employees. </w:t>
      </w:r>
      <w:r>
        <w:rPr>
          <w:rFonts w:ascii="Times New Roman" w:cs="Times New Roman" w:eastAsia="Times New Roman" w:hAnsi="Times New Roman"/>
          <w:sz w:val="18"/>
          <w:szCs w:val="18"/>
          <w:color w:val="auto"/>
        </w:rPr>
        <w:t>All of the option grants during this period reflected an exercise price equal to or higher than the fair value, and therefore, no compensation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recorded. For details refer to “Note 14. Equity Incentive Plan” in “Item 8. Financial Statements and Supplementary Data.”</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Options were previously granted by Hynix to our employees and the related compensation costs are reflected in the historical financials. For the year ended December 31, 2003, and for nine months ended September 30, 2004, we recorded costs of $0.2 million and $3.3 million, respectively. However, none of these options were transferred as part of the Original Acquisition, and therefore, no additional future charges will be required related to these previously issued option grants. On the other hand, we have established new employee option plans and intend to make grants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Original Acquisition in October 2004, the Company issued a warrant to Hynix which enables Hynix to purchase 5,079,254 common units in the Company. The value of each unit issuable upon exercise of the warrant is $0.414, which was estimated using the Black-Scholes option pricing model. This warrant expires on the earlier to occur of October 6, 2006, and the date which is 45 days after the Company provides written notice to Hynix that the Company is filing a registration statement providing for a first public offering of its common equity interests. As of December 31, 2005, there had been no exercises of the warrant and the warrant remained outstanding.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On December 23, 2004, two of the Company’s subsidiaries, MagnaChip Semiconductor S.A. and MagnaChip Semiconductor Finance Company entered into a senior credit agreement with a syndicate of banks, financial institutions and other entities providing for a $100 million senior secured revolving credit facility. The undrawn portion of such new senior secured credit line amounted to $82,956 thousand and $86,295 thousand as of December 31, 2005 and 2004, respectively.</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Other than the senior credit facility,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0"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December 2004, FASB issued SFAS 123(R), </w:t>
      </w:r>
      <w:r>
        <w:rPr>
          <w:rFonts w:ascii="Times New Roman" w:cs="Times New Roman" w:eastAsia="Times New Roman" w:hAnsi="Times New Roman"/>
          <w:sz w:val="18"/>
          <w:szCs w:val="18"/>
          <w:i w:val="1"/>
          <w:iCs w:val="1"/>
          <w:color w:val="auto"/>
        </w:rPr>
        <w:t>Share-Based Payment (revised 2004)</w:t>
      </w:r>
      <w:r>
        <w:rPr>
          <w:rFonts w:ascii="Times New Roman" w:cs="Times New Roman" w:eastAsia="Times New Roman" w:hAnsi="Times New Roman"/>
          <w:sz w:val="18"/>
          <w:szCs w:val="18"/>
          <w:color w:val="auto"/>
        </w:rPr>
        <w:t>. This revision will affect current practice in a number of ways, including the elimination of the alternative to use the intrinsic value method of accounting from Accounting Principles Board (“APB”) Opinion No. 25 that was provided in FASB Statement No.123 as originally issued. Pursuant to this statement, companies are required to record stock option expenses in its financial statements based on a fair value methodology. This statement will become effective and impact the Company on January 1, 2006. The Company has determined there are no material impacts on its financial statements as a result of the adoption of this proposed FASB Statement.</w:t>
      </w:r>
    </w:p>
    <w:p>
      <w:pPr>
        <w:spacing w:after="0" w:line="134" w:lineRule="exact"/>
        <w:rPr>
          <w:sz w:val="20"/>
          <w:szCs w:val="20"/>
          <w:color w:val="auto"/>
        </w:rPr>
      </w:pPr>
    </w:p>
    <w:p>
      <w:pPr>
        <w:ind w:right="2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November 2004, the FASB issued SFAS No. 151, </w:t>
      </w:r>
      <w:r>
        <w:rPr>
          <w:rFonts w:ascii="Times New Roman" w:cs="Times New Roman" w:eastAsia="Times New Roman" w:hAnsi="Times New Roman"/>
          <w:sz w:val="18"/>
          <w:szCs w:val="18"/>
          <w:i w:val="1"/>
          <w:iCs w:val="1"/>
          <w:color w:val="auto"/>
        </w:rPr>
        <w:t>Inventory Costs,</w:t>
      </w:r>
      <w:r>
        <w:rPr>
          <w:rFonts w:ascii="Times New Roman" w:cs="Times New Roman" w:eastAsia="Times New Roman" w:hAnsi="Times New Roman"/>
          <w:sz w:val="18"/>
          <w:szCs w:val="18"/>
          <w:color w:val="auto"/>
        </w:rPr>
        <w:t xml:space="preserve"> an amendment of ARB No. 43, Chapter 4. This Statement amends the guidance in Accounting Research Bulletin (“ARB”) No. 43, Chapter 4, </w:t>
      </w:r>
      <w:r>
        <w:rPr>
          <w:rFonts w:ascii="Times New Roman" w:cs="Times New Roman" w:eastAsia="Times New Roman" w:hAnsi="Times New Roman"/>
          <w:sz w:val="18"/>
          <w:szCs w:val="18"/>
          <w:i w:val="1"/>
          <w:iCs w:val="1"/>
          <w:color w:val="auto"/>
        </w:rPr>
        <w:t>Inventory Pricing</w:t>
      </w:r>
      <w:r>
        <w:rPr>
          <w:rFonts w:ascii="Times New Roman" w:cs="Times New Roman" w:eastAsia="Times New Roman" w:hAnsi="Times New Roman"/>
          <w:sz w:val="18"/>
          <w:szCs w:val="18"/>
          <w:color w:val="auto"/>
        </w:rPr>
        <w:t>, to clarify the accounting for abnormal amounts of idle facility expense, freight, handling costs, and wasted material (spoilage), and requires that allocation of fixed production overheads to the costs of conversion be based on the normal capacity of the production facilities. The effective date for the Company was January 1, 2005, and there was no material impact on our financial statements resulting from this proposed FASB Statement.</w:t>
      </w:r>
    </w:p>
    <w:p>
      <w:pPr>
        <w:spacing w:after="0" w:line="13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May 2005, the FASB issued SFAS 154,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—a replacement of APB Opinion No. 20 and FASB Statement No. 3. This Statement supersedes APB Opinion No. 20,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and FASB Statement No. 3, </w:t>
      </w:r>
      <w:r>
        <w:rPr>
          <w:rFonts w:ascii="Times New Roman" w:cs="Times New Roman" w:eastAsia="Times New Roman" w:hAnsi="Times New Roman"/>
          <w:sz w:val="18"/>
          <w:szCs w:val="18"/>
          <w:i w:val="1"/>
          <w:iCs w:val="1"/>
          <w:color w:val="auto"/>
        </w:rPr>
        <w:t>Reporting Accounting Changes in Interim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and changes the requirements for the accounting and reporting for a change in accounting principle. This statement requires retrospective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impact on our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GAAP requires our management to make significant judgments and estimates that affect our financial position and results of operations. For a summary of our significant accounting policies, including the accounting policies discussed below, see Note 2 to the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Valuation</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revenue is derived from the sale of semiconductor products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 For certain distributors, standard products are sold to the distributors without rights to return products or stock rotation or price protection rights.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Generally we recognize revenue on shipment to the distributor or drop shipment to the end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five wafer fabrication facilities. In the future, we expect to rely, to some extent, on outside wafer foundries for additional capacity and advanced technologies.</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 that requires significant estimates of a variety of factors, including forecasted demand, returns and industry pricing assumptions. We record warranty liabilities for the estimated costs that may be incurred under our limited warranty. This warranty covers product defects based on compliance to our specifications and is normally applicable for twelve months from the date of purchase. These liabilities are accrued when revenues are recognized. Warranty costs include the costs to replace the defective product. Factors that affect our warranty liability include historical and anticipated rate of warranty claims on those repairs and cost per claim to satisfy our warranty obligation. As these factors are impacted by actual experience and future expectations, we periodically assess the adequacy of our recorded warranty liabilities and adjust the amounts as necessary.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Valuation</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market, using the average method, which approximates the first in, first out method. If net realizable value is less than cost at the balance sheet date, the carrying amount is reduced to the realizable value, and the difference is recognized as a loss on valuation of inventories. We estimate the net realizable value for such finished goods and work-in-progress based primarily upon the latest invoice prices and current market conditions.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As described above, in connection with the Acquisition and the application of purchase accounting, on October 1, 2004, we made adjustments to inventory to reflect fair value. As a result, the inventory and related reserves for historical periods presented on a carved-out basis, prior to October 1, 2004, are not representative of future levels of inventory and related reserves, after October 1, 2004.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Useful Lives of Tangible and Intangible Assets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review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 Our intellectual property assets represent rights under patents, trademarks and property use rights and are amortized over the periods of benefit, ranging up to 10 years, on a straight-line basis.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jc w:val="both"/>
        <w:ind w:right="120" w:firstLine="456"/>
        <w:spacing w:after="0" w:line="301" w:lineRule="auto"/>
        <w:rPr>
          <w:sz w:val="20"/>
          <w:szCs w:val="20"/>
          <w:color w:val="auto"/>
        </w:rPr>
      </w:pPr>
      <w:r>
        <w:rPr>
          <w:rFonts w:ascii="Times New Roman" w:cs="Times New Roman" w:eastAsia="Times New Roman" w:hAnsi="Times New Roman"/>
          <w:sz w:val="16"/>
          <w:szCs w:val="16"/>
          <w:color w:val="auto"/>
        </w:rPr>
        <w:t>Our success and future sales growth will depend, in part, on our ability to protect our intellectual property. We rely on a combination of patent, copyright, trademark and trade secret laws, as well as nondisclosure agreements and other methods to protect our proprietary technologies. We have approximately 12,500 registered and pending patents. However, we cannot assure you that any patent will be issued as a result of any applications or, if issued, that any claims allowed will be sufficiently broad to protect our technology. In addition, it is possible that existing or future patents may be challenged, invalidated or circumvented.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SFAS No. 109, Accounting for Income Taxes.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3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established valuation allowances for deferred tax assets at most of our subsidiaries since it is not probable that majority of deferred tax assets other than one subsidiary are realizable. The valuation allowance at this particular subsidiary was not set up since it is expected that the deferred tax assets at this subsidiary is deemed realizable based on the current prospect for its future taxable income.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and Litigation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subject to the possibility of losses from various contingencies. Considerable judgment is necessary to estimate the probability and amount of any loss from such contingencies. An accrual is made when it is probable that a liability has been incurred or an asset has been impaired and the amount of loss can be reasonably estimated. In such case, we accrue a liability and charges operations for the estimated costs of adjudication or settlement of asserted and unasserted claims existing as of the balance sheet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3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We have exposure to foreign currency exchange-rate fluctuations on net income from our subsidiaries denominated in currencies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2005 for our Korean subsidiary, a 10% devaluation of the Korean Won against the U.S. dollar would have resulted in a decrease of $6.0 million in our U.S. dollar financial instruments balance and cash balance.</w:t>
      </w:r>
    </w:p>
    <w:p>
      <w:pPr>
        <w:spacing w:after="0" w:line="139" w:lineRule="exact"/>
        <w:rPr>
          <w:sz w:val="20"/>
          <w:szCs w:val="20"/>
          <w:color w:val="auto"/>
        </w:rPr>
      </w:pPr>
    </w:p>
    <w:p>
      <w:pPr>
        <w:ind w:right="20" w:firstLine="45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The $200 million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Second Priority Senior Secured Notes due 2011 and the $250 million 8% Senior Subordinated Notes due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changes in fair value due to interest rate changes. If the market interest rate had decreased by 10% and all other variables were held constant from their levels at December 31, 2005, we estimate that we would have additional interest expense costs over the market rate of $2.7 million (360 days basis). Our net loss for the year ended December 31, 2005 would have increased by 2.7%. The fair value on these fixed rate notes would have decreased by $10.2 million or increased by $10.6 million with a 10% increase or decrease in the interest rate, respectively.</w:t>
      </w:r>
    </w:p>
    <w:p>
      <w:pPr>
        <w:spacing w:after="0" w:line="14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Cash Flow Interest Rate Risk</w:t>
      </w:r>
      <w:r>
        <w:rPr>
          <w:rFonts w:ascii="Times New Roman" w:cs="Times New Roman" w:eastAsia="Times New Roman" w:hAnsi="Times New Roman"/>
          <w:sz w:val="18"/>
          <w:szCs w:val="18"/>
          <w:color w:val="auto"/>
        </w:rPr>
        <w:t>. During the current year, the Company entered into an interest rate swap agreement to convert the variable interest rate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Floating Rate Second Priority Senior Secured Notes to a fixed interest rate for the periods to maturity date of June 2008. With this interest rate swap, cash flow interest rate risk was replaced with exposure to interest rate risk. For details, refer to “Note 9. Short-term and Long-term Borrowings” in “Item 8. Financial Statements and Supplementary Data.”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140" w:type="dxa"/>
            <w:vAlign w:val="bottom"/>
            <w:gridSpan w:val="10"/>
            <w:vMerge w:val="restart"/>
          </w:tcPr>
          <w:p>
            <w:pPr>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114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4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74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7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Statements of Operations (for the year ended December 31, 2005, the three months ended December 31, 2004 (successor company) and the nine months</w:t>
              </w:r>
            </w:hyperlink>
          </w:p>
        </w:tc>
        <w:tc>
          <w:tcPr>
            <w:tcW w:w="4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920" w:type="dxa"/>
            <w:vAlign w:val="bottom"/>
            <w:gridSpan w:val="9"/>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ended September 30, 2004 and the year ended December 31, 2003 (predecessor company))</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Balance Sheets (as of December 31, 2005 and 2004 (successor company))</w:t>
              </w:r>
            </w:hyperlink>
          </w:p>
        </w:tc>
        <w:tc>
          <w:tcPr>
            <w:tcW w:w="592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4"/>
        </w:trPr>
        <w:tc>
          <w:tcPr>
            <w:tcW w:w="11140" w:type="dxa"/>
            <w:vAlign w:val="bottom"/>
            <w:gridSpan w:val="10"/>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Statements of Changes in Unitholders’ Equity (for the year ended December 31, 2005, the three months ended December 31, 2004 (successor company)</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and the nine months ended September 30, 2004 and the year ended December 31, 2003 (predecessor company))</w:t>
              </w:r>
            </w:hyperlink>
          </w:p>
        </w:tc>
        <w:tc>
          <w:tcPr>
            <w:tcW w:w="4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0"/>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Statements of Cash Flows (for the year ended December 31, 2005, the three months ended December 31, 2004 (successor company) and the nine months</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5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ended September 30, 2004 and the year ended December 31, 2003 (predecessor company))</w:t>
              </w:r>
            </w:hyperlink>
          </w:p>
        </w:tc>
        <w:tc>
          <w:tcPr>
            <w:tcW w:w="3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0"/>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Notes to Consolidated Financial Statements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2"/>
          </w:tcPr>
          <w:p>
            <w:pPr>
              <w:spacing w:after="0"/>
              <w:rPr>
                <w:sz w:val="24"/>
                <w:szCs w:val="24"/>
                <w:color w:val="auto"/>
              </w:rPr>
            </w:pPr>
          </w:p>
        </w:tc>
        <w:tc>
          <w:tcPr>
            <w:tcW w:w="35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 Unitholders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MagnaChip Semiconductor LLC (Successor Company)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our opinion, the accompanying consolidated balance sheets and the related consolidated statements of operations, of changes in unitholders’ equity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cash flows present fairly, in all material respects, the financial position of MagnaChip Semiconductor LLC and its subsidiaries (the “Company”)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2005 and 2004, and the results of their operations and their cash flows for the year ended December 31, 2005 and for the three-month period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2004 (successor basis), in conformity with accounting principles generally accepted in the United States of America. These financial statements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responsibility of the Company’s management. Our responsibility is to express an opinion on these consolidated financial statements based on our audits. We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conducted our audits of these statements in accordance with the standards of the Public Company Accounting Oversight Board (United States). Those standards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that we plan and perform the audit to obtain reasonable assurance about whether the financial statements are free of material misstatement. An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examining, on a test basis, evidence supporting the amounts and disclosures in the consolidated financial statements, assessing the accounting principles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used and significant estimates made by management, and evaluating the overall financial statement presentation. We believe that our audits provide a reasonable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our opinion.</w:t>
      </w:r>
    </w:p>
    <w:p>
      <w:pPr>
        <w:spacing w:after="0" w:line="24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Samil PricewaterhouseCoopers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Seoul, Korea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24, 2006</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 Unitholders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MagnaChip Semiconductor LLC (Predecessor Company)</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our opinion, the accompanying consolidated (carve-out) statements of operations, of changes in owners’ equity and of cash flows present fairly, in all material respects, the results of operations and cash flows of MagnaChip Semiconductor LLC and its subsidiaries (Predecessor Company) (the “Company”) for the nine-month period ended September 30, 2004 and for the year ended December 31, 2003 (predecessor basis),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224"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Samil PricewaterhouseCoopers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Seoul, Korea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15, 2005</w:t>
      </w:r>
    </w:p>
    <w:p>
      <w:pPr>
        <w:spacing w:after="0" w:line="1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240" w:top="455" w:right="3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unit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Three months</w:t>
            </w:r>
          </w:p>
        </w:tc>
        <w:tc>
          <w:tcPr>
            <w:tcW w:w="500" w:type="dxa"/>
            <w:vAlign w:val="bottom"/>
          </w:tcPr>
          <w:p>
            <w:pPr>
              <w:spacing w:after="0"/>
              <w:rPr>
                <w:sz w:val="13"/>
                <w:szCs w:val="13"/>
                <w:color w:val="auto"/>
              </w:rPr>
            </w:pPr>
          </w:p>
        </w:tc>
        <w:tc>
          <w:tcPr>
            <w:tcW w:w="14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78"/>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980" w:type="dxa"/>
            <w:vAlign w:val="bottom"/>
            <w:gridSpan w:val="3"/>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gridSpan w:val="3"/>
          </w:tcPr>
          <w:p>
            <w:pPr>
              <w:jc w:val="center"/>
              <w:ind w:right="498"/>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right w:val="single" w:sz="8" w:color="auto"/>
            </w:tcBorders>
            <w:gridSpan w:val="5"/>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5"/>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163,760</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260,739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1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677,828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570,101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937,656</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14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841,588</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204,461</w:t>
            </w:r>
          </w:p>
        </w:tc>
        <w:tc>
          <w:tcPr>
            <w:tcW w:w="1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654,569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752,509</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208,657</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1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187,019</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86,575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57,380</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(57,236)</w:t>
            </w: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(17,749)</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30,437</w:t>
            </w:r>
          </w:p>
        </w:tc>
        <w:tc>
          <w:tcPr>
            <w:tcW w:w="1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(40,704)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1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(11,315)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(35,352)</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46,065</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(112,334)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(100,898</w:t>
            </w:r>
          </w:p>
        </w:tc>
        <w:tc>
          <w:tcPr>
            <w:tcW w:w="5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4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(113,723</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accrued on preferred units</w:t>
            </w:r>
          </w:p>
        </w:tc>
        <w:tc>
          <w:tcPr>
            <w:tcW w:w="1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5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40" w:type="dxa"/>
            <w:vAlign w:val="bottom"/>
            <w:tcBorders>
              <w:right w:val="single" w:sz="8" w:color="auto"/>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units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(110,826)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(19,253)</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unit—Basic and diluted</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(0.38)</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units—Basic and diluted</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52,898,497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50,061,910</w:t>
            </w:r>
          </w:p>
        </w:tc>
        <w:tc>
          <w:tcPr>
            <w:tcW w:w="1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unit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3"/>
                <w:szCs w:val="13"/>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7"/>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58,396</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112,053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86,592</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86,169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72,918</w:t>
            </w: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309,790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323,952</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191,389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211,987</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1,040,647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1,154,530</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Unitholders’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93,911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66,163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86,462</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31,413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Short-term borrowings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168,349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194,679</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50,714</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1,002,124</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Series A redeemable convertible preferred units; 60,000 units authorized, 50,091 units issued and 0 unit outstanding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December 31, 2005 and 2004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924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Series B redeemable convertible preferred units; 550,000 units authorized, 450,692 units issued and 93,997 units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outstanding at December 31, 2005 and 2004</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redeemable convertible preferred units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106,462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96,534</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Unitholders’ equity</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Common units; 65,000,000 units authorized, 53,091,570 units and 52,533,003 units issued and outstanding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December 31, 2005 and December 31, 2004,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53,092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52,533</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(130,092)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(19,266)</w:t>
            </w: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unitholders’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55,872</w:t>
            </w:r>
          </w:p>
        </w:tc>
        <w:tc>
          <w:tcPr>
            <w:tcW w:w="0" w:type="dxa"/>
            <w:vAlign w:val="bottom"/>
          </w:tcPr>
          <w:p>
            <w:pPr>
              <w:spacing w:after="0"/>
              <w:rPr>
                <w:sz w:val="1"/>
                <w:szCs w:val="1"/>
                <w:color w:val="auto"/>
              </w:rPr>
            </w:pPr>
          </w:p>
        </w:tc>
      </w:tr>
      <w:tr>
        <w:trPr>
          <w:trHeight w:val="223"/>
        </w:trPr>
        <w:tc>
          <w:tcPr>
            <w:tcW w:w="92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liabilities, redeemable convertible preferred units and unitholders’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1,040,647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1,154,530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Unitholders’ Equity and Owners’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unit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4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40" w:type="dxa"/>
            <w:vAlign w:val="bottom"/>
            <w:gridSpan w:val="5"/>
            <w:vMerge w:val="continue"/>
          </w:tcPr>
          <w:p>
            <w:pPr>
              <w:spacing w:after="0"/>
              <w:rPr>
                <w:sz w:val="13"/>
                <w:szCs w:val="13"/>
                <w:color w:val="auto"/>
              </w:rPr>
            </w:pPr>
          </w:p>
        </w:tc>
        <w:tc>
          <w:tcPr>
            <w:tcW w:w="6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420"/>
              <w:spacing w:after="0" w:line="152"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32"/>
              <w:spacing w:after="0" w:line="125" w:lineRule="exact"/>
              <w:rPr>
                <w:sz w:val="20"/>
                <w:szCs w:val="20"/>
                <w:color w:val="auto"/>
              </w:rPr>
            </w:pPr>
            <w:r>
              <w:rPr>
                <w:rFonts w:ascii="Times New Roman" w:cs="Times New Roman" w:eastAsia="Times New Roman" w:hAnsi="Times New Roman"/>
                <w:sz w:val="14"/>
                <w:szCs w:val="14"/>
                <w:b w:val="1"/>
                <w:bCs w:val="1"/>
                <w:color w:val="auto"/>
                <w:w w:val="92"/>
              </w:rPr>
              <w:t>Paid-In</w:t>
            </w:r>
          </w:p>
        </w:tc>
        <w:tc>
          <w:tcPr>
            <w:tcW w:w="180" w:type="dxa"/>
            <w:vAlign w:val="bottom"/>
          </w:tcPr>
          <w:p>
            <w:pPr>
              <w:spacing w:after="0"/>
              <w:rPr>
                <w:sz w:val="10"/>
                <w:szCs w:val="10"/>
                <w:color w:val="auto"/>
              </w:rPr>
            </w:pPr>
          </w:p>
        </w:tc>
        <w:tc>
          <w:tcPr>
            <w:tcW w:w="680" w:type="dxa"/>
            <w:vAlign w:val="bottom"/>
            <w:gridSpan w:val="2"/>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Owner’s</w:t>
            </w:r>
          </w:p>
        </w:tc>
        <w:tc>
          <w:tcPr>
            <w:tcW w:w="100" w:type="dxa"/>
            <w:vAlign w:val="bottom"/>
          </w:tcPr>
          <w:p>
            <w:pPr>
              <w:spacing w:after="0"/>
              <w:rPr>
                <w:sz w:val="10"/>
                <w:szCs w:val="10"/>
                <w:color w:val="auto"/>
              </w:rPr>
            </w:pPr>
          </w:p>
        </w:tc>
        <w:tc>
          <w:tcPr>
            <w:tcW w:w="9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Deferred Stock</w:t>
            </w:r>
          </w:p>
        </w:tc>
        <w:tc>
          <w:tcPr>
            <w:tcW w:w="160" w:type="dxa"/>
            <w:vAlign w:val="bottom"/>
          </w:tcPr>
          <w:p>
            <w:pPr>
              <w:spacing w:after="0"/>
              <w:rPr>
                <w:sz w:val="10"/>
                <w:szCs w:val="10"/>
                <w:color w:val="auto"/>
              </w:rPr>
            </w:pPr>
          </w:p>
        </w:tc>
        <w:tc>
          <w:tcPr>
            <w:tcW w:w="720" w:type="dxa"/>
            <w:vAlign w:val="bottom"/>
            <w:gridSpan w:val="2"/>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85"/>
              </w:rPr>
              <w:t>Retained</w:t>
            </w:r>
          </w:p>
        </w:tc>
        <w:tc>
          <w:tcPr>
            <w:tcW w:w="10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Income (loss)</w:t>
            </w:r>
          </w:p>
        </w:tc>
        <w:tc>
          <w:tcPr>
            <w:tcW w:w="1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2003</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$ 249,504</w:t>
            </w:r>
          </w:p>
        </w:tc>
        <w:tc>
          <w:tcPr>
            <w:tcW w:w="120" w:type="dxa"/>
            <w:vAlign w:val="bottom"/>
          </w:tcPr>
          <w:p>
            <w:pPr>
              <w:spacing w:after="0"/>
              <w:rPr>
                <w:sz w:val="12"/>
                <w:szCs w:val="12"/>
                <w:color w:val="auto"/>
              </w:rPr>
            </w:pPr>
          </w:p>
        </w:tc>
        <w:tc>
          <w:tcPr>
            <w:tcW w:w="4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2,189</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16,573</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268,266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 income (loss) :</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(113,723)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(113,723)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Total comprehensive loss</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94"/>
              </w:rPr>
              <w:t>(113,113)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stock compensation</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2003</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$ 135,781</w:t>
            </w:r>
          </w:p>
        </w:tc>
        <w:tc>
          <w:tcPr>
            <w:tcW w:w="120" w:type="dxa"/>
            <w:vAlign w:val="bottom"/>
          </w:tcPr>
          <w:p>
            <w:pPr>
              <w:spacing w:after="0"/>
              <w:rPr>
                <w:sz w:val="13"/>
                <w:szCs w:val="13"/>
                <w:color w:val="auto"/>
              </w:rPr>
            </w:pPr>
          </w:p>
        </w:tc>
        <w:tc>
          <w:tcPr>
            <w:tcW w:w="42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2,350</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17,183</w:t>
            </w:r>
          </w:p>
        </w:tc>
        <w:tc>
          <w:tcPr>
            <w:tcW w:w="14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155,314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Comprehensive income (loss) :</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4,842</w:t>
            </w: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Total comprehensive loss</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48,079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stock compensation</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3,324</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3,324</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2004</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$ 179,018</w:t>
            </w:r>
          </w:p>
        </w:tc>
        <w:tc>
          <w:tcPr>
            <w:tcW w:w="120" w:type="dxa"/>
            <w:vAlign w:val="bottom"/>
          </w:tcPr>
          <w:p>
            <w:pPr>
              <w:spacing w:after="0"/>
              <w:rPr>
                <w:sz w:val="13"/>
                <w:szCs w:val="13"/>
                <w:color w:val="auto"/>
              </w:rPr>
            </w:pPr>
          </w:p>
        </w:tc>
        <w:tc>
          <w:tcPr>
            <w:tcW w:w="42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5,674</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22,025</w:t>
            </w:r>
          </w:p>
        </w:tc>
        <w:tc>
          <w:tcPr>
            <w:tcW w:w="14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206,717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October 1, 2004</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49,713,286</w:t>
            </w:r>
          </w:p>
        </w:tc>
        <w:tc>
          <w:tcPr>
            <w:tcW w:w="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3"/>
              </w:rPr>
              <w:t>49,713</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common units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363,627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unit options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2,456,090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2,456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warrants in connection with Original Acquisition</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accumulated accrued dividends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(10,891)</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accrued on Series B redeemable convertible preferred units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(5,825)</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comprehensive income</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14,796</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2004</w:t>
            </w: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1"/>
              </w:rPr>
              <w:t>52,533,003</w:t>
            </w:r>
          </w:p>
        </w:tc>
        <w:tc>
          <w:tcPr>
            <w:tcW w:w="28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w w:val="93"/>
              </w:rPr>
              <w:t>52,533</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2,100</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(19,266)</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20,505</w:t>
            </w:r>
          </w:p>
        </w:tc>
        <w:tc>
          <w:tcPr>
            <w:tcW w:w="14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Issuance of common units</w:t>
            </w:r>
          </w:p>
        </w:tc>
        <w:tc>
          <w:tcPr>
            <w:tcW w:w="60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504,317</w:t>
            </w:r>
          </w:p>
        </w:tc>
        <w:tc>
          <w:tcPr>
            <w:tcW w:w="280" w:type="dxa"/>
            <w:vAlign w:val="bottom"/>
            <w:gridSpan w:val="2"/>
            <w:shd w:val="clear" w:color="auto" w:fill="CCEEFF"/>
          </w:tcPr>
          <w:p>
            <w:pPr>
              <w:ind w:left="1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ind w:left="180"/>
              <w:spacing w:after="0" w:line="143" w:lineRule="exact"/>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 unit options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accrued on Series B redeemable convertible preferred units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(9,928)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4"/>
              </w:rPr>
              <w:t>(100,898)</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(100,898)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Fair valuation of derivatives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3,308</w:t>
            </w: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(93,056)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2005</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53,091,570</w:t>
            </w:r>
          </w:p>
        </w:tc>
        <w:tc>
          <w:tcPr>
            <w:tcW w:w="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3"/>
              </w:rPr>
              <w:t>53,092</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4"/>
              </w:rPr>
              <w:t>(130,092)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28,347</w:t>
            </w: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Nine months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6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Borders>
              <w:right w:val="single" w:sz="8" w:color="auto"/>
            </w:tcBorders>
            <w:gridSpan w:val="6"/>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6"/>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5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(100,898)</w:t>
            </w:r>
          </w:p>
        </w:tc>
        <w:tc>
          <w:tcPr>
            <w:tcW w:w="5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(5,825)</w:t>
            </w:r>
          </w:p>
        </w:tc>
        <w:tc>
          <w:tcPr>
            <w:tcW w:w="6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43,237</w:t>
            </w:r>
          </w:p>
        </w:tc>
        <w:tc>
          <w:tcPr>
            <w:tcW w:w="380" w:type="dxa"/>
            <w:vAlign w:val="bottom"/>
          </w:tcPr>
          <w:p>
            <w:pPr>
              <w:spacing w:after="0"/>
              <w:rPr>
                <w:sz w:val="12"/>
                <w:szCs w:val="12"/>
                <w:color w:val="auto"/>
              </w:rPr>
            </w:pPr>
          </w:p>
        </w:tc>
        <w:tc>
          <w:tcPr>
            <w:tcW w:w="5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(113,723)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202,929</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45,855</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266,862</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338,513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Provision for severance benefits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16,583</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3,397</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15,353</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3,432</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4,411</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(gain) on foreign currency translation, net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(15,880)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(33,263)</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(3,811)</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plant and equipment, net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Impairment charges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33,576</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 compensation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3,324</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3,138</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(25,812)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(43,270)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(7,067)</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36,513</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(18,070)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62,821</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(56,917)</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(12,935)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24,928</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(33,061)</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(5,719)</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accounts payable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(66,069)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81,509</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18,329</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(5,184)</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17,711</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(6,009)</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(1,177)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9,842</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Payment of severance benefits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(13,831)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(2,898)</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(6,602)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0" w:type="dxa"/>
            <w:vAlign w:val="bottom"/>
          </w:tcPr>
          <w:p>
            <w:pPr>
              <w:spacing w:after="0"/>
              <w:rPr>
                <w:sz w:val="1"/>
                <w:szCs w:val="1"/>
                <w:color w:val="auto"/>
              </w:rPr>
            </w:pPr>
          </w:p>
        </w:tc>
      </w:tr>
      <w:tr>
        <w:trPr>
          <w:trHeight w:val="163"/>
        </w:trPr>
        <w:tc>
          <w:tcPr>
            <w:tcW w:w="5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103,647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17,285</w:t>
            </w:r>
          </w:p>
        </w:tc>
        <w:tc>
          <w:tcPr>
            <w:tcW w:w="12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312,171</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182,076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 of plant, property and equipment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(62,334)</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(23,346)</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(84,595)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Purchases of intangible assets, net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(2,174)</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(2,128)</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Acquisition of business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(16,369)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(488,152)</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(increase) in restricted cash</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10,307</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(68,692)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(525,983)</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(85,331)</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(21,481)</w:t>
            </w:r>
          </w:p>
        </w:tc>
        <w:tc>
          <w:tcPr>
            <w:tcW w:w="0" w:type="dxa"/>
            <w:vAlign w:val="bottom"/>
          </w:tcPr>
          <w:p>
            <w:pPr>
              <w:spacing w:after="0"/>
              <w:rPr>
                <w:sz w:val="1"/>
                <w:szCs w:val="1"/>
                <w:color w:val="auto"/>
              </w:rPr>
            </w:pPr>
          </w:p>
        </w:tc>
      </w:tr>
      <w:tr>
        <w:trPr>
          <w:trHeight w:val="169"/>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issuance of Senior Secured and Subordinated Notes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long-term borrowings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45,867</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short-term borrowings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 of common units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2,820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 of redeemable convertible preferred units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3,636</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Repayment of short-term borrowings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(12,883)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(46,978)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Repayment of long-term borrowings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(347,718)</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(179,862)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(186,591)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Redemption of redeemable convertible preferred units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(406,786)</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Payment of preferred dividends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(10,891)</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Debt issuance costs paid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(27,635)</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(12,849)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9,997</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color w:val="auto"/>
              </w:rPr>
              <w:t>(226,840)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(160,595)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5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10,217</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23,558</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(488,484)</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5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5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Beginning of the period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58,396</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546,880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in cash and cash equivalents from changes of consolidated subsidiaries</w:t>
            </w:r>
          </w:p>
        </w:tc>
        <w:tc>
          <w:tcPr>
            <w:tcW w:w="5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4,620</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End of the period</w:t>
            </w:r>
          </w:p>
        </w:tc>
        <w:tc>
          <w:tcPr>
            <w:tcW w:w="720" w:type="dxa"/>
            <w:vAlign w:val="bottom"/>
            <w:gridSpan w:val="2"/>
          </w:tcPr>
          <w:p>
            <w:pPr>
              <w:ind w:left="5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86,574</w:t>
            </w:r>
          </w:p>
        </w:tc>
        <w:tc>
          <w:tcPr>
            <w:tcW w:w="380" w:type="dxa"/>
            <w:vAlign w:val="bottom"/>
          </w:tcPr>
          <w:p>
            <w:pPr>
              <w:spacing w:after="0"/>
              <w:rPr>
                <w:sz w:val="13"/>
                <w:szCs w:val="13"/>
                <w:color w:val="auto"/>
              </w:rPr>
            </w:pPr>
          </w:p>
        </w:tc>
        <w:tc>
          <w:tcPr>
            <w:tcW w:w="5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58,396</w:t>
            </w:r>
          </w:p>
        </w:tc>
        <w:tc>
          <w:tcPr>
            <w:tcW w:w="66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52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7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53,373</w:t>
            </w:r>
          </w:p>
        </w:tc>
        <w:tc>
          <w:tcPr>
            <w:tcW w:w="380" w:type="dxa"/>
            <w:vAlign w:val="bottom"/>
          </w:tcPr>
          <w:p>
            <w:pPr>
              <w:spacing w:after="0"/>
              <w:rPr>
                <w:sz w:val="12"/>
                <w:szCs w:val="12"/>
                <w:color w:val="auto"/>
              </w:rPr>
            </w:pPr>
          </w:p>
        </w:tc>
        <w:tc>
          <w:tcPr>
            <w:tcW w:w="5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11,862</w:t>
            </w:r>
          </w:p>
        </w:tc>
        <w:tc>
          <w:tcPr>
            <w:tcW w:w="6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17,791</w:t>
            </w:r>
          </w:p>
        </w:tc>
        <w:tc>
          <w:tcPr>
            <w:tcW w:w="380" w:type="dxa"/>
            <w:vAlign w:val="bottom"/>
          </w:tcPr>
          <w:p>
            <w:pPr>
              <w:spacing w:after="0"/>
              <w:rPr>
                <w:sz w:val="12"/>
                <w:szCs w:val="12"/>
                <w:color w:val="auto"/>
              </w:rPr>
            </w:pPr>
          </w:p>
        </w:tc>
        <w:tc>
          <w:tcPr>
            <w:tcW w:w="5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2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Cash paid for income taxes</w:t>
            </w:r>
          </w:p>
        </w:tc>
        <w:tc>
          <w:tcPr>
            <w:tcW w:w="720" w:type="dxa"/>
            <w:vAlign w:val="bottom"/>
            <w:gridSpan w:val="2"/>
            <w:shd w:val="clear" w:color="auto" w:fill="CCEEFF"/>
          </w:tcPr>
          <w:p>
            <w:pPr>
              <w:ind w:left="5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15,370</w:t>
            </w:r>
          </w:p>
        </w:tc>
        <w:tc>
          <w:tcPr>
            <w:tcW w:w="3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gridSpan w:val="2"/>
            <w:shd w:val="clear" w:color="auto" w:fill="CCEEFF"/>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76</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2,828</w:t>
            </w:r>
          </w:p>
        </w:tc>
        <w:tc>
          <w:tcPr>
            <w:tcW w:w="3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1,389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57" w:lineRule="exact"/>
        <w:rPr>
          <w:sz w:val="20"/>
          <w:szCs w:val="20"/>
          <w:color w:val="auto"/>
        </w:rPr>
      </w:pPr>
    </w:p>
    <w:p>
      <w:pPr>
        <w:ind w:right="10320" w:firstLine="8"/>
        <w:spacing w:after="0" w:line="388" w:lineRule="auto"/>
        <w:tabs>
          <w:tab w:leader="none" w:pos="17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The Company</w:t>
      </w:r>
    </w:p>
    <w:p>
      <w:pPr>
        <w:spacing w:after="0" w:line="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MagnaChip Semiconductor LLC was created on November 26, 2003 and was capitalized on September 10, 2004, with the issuance of 60,822 common units for total cash and stock consideration of $61 thousand. It was created with the sole purpose of acquiring the non-memory business (the “Business”) of Hynix Semiconductor, Inc (“Hynix”), which acquisition was completed with effect from October 1, 2004 (the “Original Acquisition”).</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September 23, 2004, the Company issued 49,727 Series A redeemable convertible preferred units and 447,420 series B redeemable convertible preferred units for a total cash consideration of $49,727 thousand and $447,420 thousand, respectively. During the period from November 26, 2003 through October 1, 2004, MagnaChip Semiconductor LLC owned no assets or liabilities, other than the cash raised from its equity offerings in preparation for the Original Acquisition and the stock of its holding company and acquisition subsidiaries. In addition, during this period, MagnaChip Semiconductor LLC had no operations other than interest income from the cash totaling $22 thousand, and various bank fees and administrative expenses incurred in connection with its formation and the formation of its subsidiaries totaling $35 thousand. The accumulated other comprehensive income of $116 thousand was generated by the translation of the portion of the assets described above in its two consolidated subsidiaries at October 1, 2004, MagnaChip Semiconductor S.A. and MagnaChip Semiconductor B.V. At October 1, 2004, MagnaChip Semiconductor S.A. and MagnaChip Semiconductor B.V. were holding companies, with no significant operations, assets or liabilities other than holding cash raised in the equity offerings described above.</w:t>
      </w:r>
    </w:p>
    <w:p>
      <w:pPr>
        <w:spacing w:after="0" w:line="14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MagnaChip Semiconductor LLC and its subsidiaries (successor company) (the “Company”) is a designer, developer and manufacturer of mixed-signal and digital multimedia semiconductors addressing the convergence of consumer electronics and communications devices. The Company has five wafer fabrication facilities located in Cheongju and Gumi in the Republic of Korea.</w:t>
      </w:r>
    </w:p>
    <w:p>
      <w:pPr>
        <w:spacing w:after="0" w:line="211" w:lineRule="exact"/>
        <w:rPr>
          <w:sz w:val="20"/>
          <w:szCs w:val="20"/>
          <w:color w:val="auto"/>
        </w:rPr>
      </w:pPr>
    </w:p>
    <w:p>
      <w:pPr>
        <w:ind w:right="7920" w:firstLine="8"/>
        <w:spacing w:after="0" w:line="345" w:lineRule="auto"/>
        <w:tabs>
          <w:tab w:leader="none" w:pos="17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consolidated financial statements are presented in accordance with accounting principles generally accepted in the United States of America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Significant accounting policies followed by the Company in the preparation of the accompanying financial statements are summarized below.</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For the periods as of and prior to September 30, 2004, the accompanying consolidated financial statements are presented on a carve-out basis reflecting the assets, liabilities, revenues, expenses and changes in owner’s equity and cash flows that were directly attributable to the Business of Hynix Semiconductor, Inc. (predecessor company), which was purchased on October 6, 2004. The Company has used October 1, 2004, as the effective date of the Original Acquisition since the financial results from October 1, 2004 onwards accrue to its benefit.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2"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including its wholly-owned subsidiaries. All significant intercompany transactions and balances are eliminated in consolidation.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amounts reported in the accompanying financial statements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6"/>
          <w:szCs w:val="16"/>
          <w:color w:val="auto"/>
        </w:rPr>
        <w:t>disclosures. The most significant estimates and assumptions relate to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assessed in accordance with Statements of Financial Accounting Standards (“SFAS”) 52, </w:t>
      </w: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 the functional currency of each of its subsidiaries in Luxembourg, the Netherlands and the United Kingdom and has designated the 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SFAS No. 52.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 in the statement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an original maturity date of three months or less. Restricted cash includes amounts placed in deposits at Korean banks, subject to certain withdrawal restraints for government grants, other payables and checking accounts plus amounts pledged as collateral for the obligations under our senior secured revolving credit facility and our Second Priority Senior Secured Notes.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reserves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2"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 years</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Building related structures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- 20 years</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 years</w:t>
            </w: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others</w:t>
            </w:r>
          </w:p>
        </w:tc>
        <w:tc>
          <w:tcPr>
            <w:tcW w:w="3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35"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Routine maintenance and repairs are charged to expense as incurred. Expenditures that enhance the value or significantly extend the useful lives of the related assets are capitalized.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 costs incurred during the construction period of assets are capitalized as part of the related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0" w:lineRule="exact"/>
        <w:rPr>
          <w:sz w:val="20"/>
          <w:szCs w:val="20"/>
          <w:color w:val="auto"/>
        </w:rPr>
      </w:pPr>
    </w:p>
    <w:p>
      <w:pPr>
        <w:ind w:right="1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The Company recognizes restructuring charges in accordance with Statements of Financial Accounting Standards (“SFAS”) 146, </w:t>
      </w:r>
      <w:r>
        <w:rPr>
          <w:rFonts w:ascii="Times New Roman" w:cs="Times New Roman" w:eastAsia="Times New Roman" w:hAnsi="Times New Roman"/>
          <w:sz w:val="18"/>
          <w:szCs w:val="18"/>
          <w:i w:val="1"/>
          <w:iCs w:val="1"/>
          <w:color w:val="auto"/>
        </w:rPr>
        <w:t>Accounting for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Associated with Exit or Disposal Activities. </w:t>
      </w:r>
      <w:r>
        <w:rPr>
          <w:rFonts w:ascii="Times New Roman" w:cs="Times New Roman" w:eastAsia="Times New Roman" w:hAnsi="Times New Roman"/>
          <w:sz w:val="18"/>
          <w:szCs w:val="18"/>
          <w:color w:val="auto"/>
        </w:rPr>
        <w:t>Certain costs and expenses related to exit or disposal activities are recorded as restructuring charges when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those costs and expenses are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Transactions</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w:t>
      </w:r>
    </w:p>
    <w:p>
      <w:pPr>
        <w:spacing w:after="0" w:line="92"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(“SOP”) No. 98-1, </w:t>
      </w:r>
      <w:r>
        <w:rPr>
          <w:rFonts w:ascii="Times New Roman" w:cs="Times New Roman" w:eastAsia="Times New Roman" w:hAnsi="Times New Roman"/>
          <w:sz w:val="18"/>
          <w:szCs w:val="18"/>
          <w:i w:val="1"/>
          <w:iCs w:val="1"/>
          <w:color w:val="auto"/>
        </w:rPr>
        <w:t>Accounting for the Costs of Computer Software Developed or Obtained for Internal Use</w:t>
      </w:r>
      <w:r>
        <w:rPr>
          <w:rFonts w:ascii="Times New Roman" w:cs="Times New Roman" w:eastAsia="Times New Roman" w:hAnsi="Times New Roman"/>
          <w:sz w:val="18"/>
          <w:szCs w:val="18"/>
          <w:color w:val="auto"/>
        </w:rPr>
        <w:t>. Depreciation is calculated on a straight line basis over five years.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Intangible assets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Disclosures of Financial Instruments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Carrying amounts of accounts receivable and accounts payable approximate fair value due to the short maturity of these financial instruments.</w:t>
      </w:r>
    </w:p>
    <w:p>
      <w:pPr>
        <w:spacing w:after="0" w:line="13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estimated fair value of the Company’s debt was $738.8 million and $750.0 million as of December 31, 2005 and 2004,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Severance Benefits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Employees and executive officers with one or more years of service are entitled to receive a lump-sum payment upon termination of their employment with the Company, based on their length of employment and rate of pay at the time of termination. The accrual for the severance liability approximates the amount that would be payable assuming all eligible employees and executive officers were to terminate their employment at the balance sheet date.</w:t>
      </w:r>
    </w:p>
    <w:p>
      <w:pPr>
        <w:spacing w:after="0" w:line="132"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generally recognized upon delivery of the product at the end-customer’s location when the risks and rewards of ownership have passed to the customer. Revenue is deferred from sales to distributors until the product is ultimately sold to the end-customer.</w:t>
      </w:r>
    </w:p>
    <w:p>
      <w:pPr>
        <w:spacing w:after="0" w:line="13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All amounts billed to a customer related to shipping and handling are classified as sales while all costs incurred by the Company for shipping and handling are classified as selling expenses. The amounts charged to</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selling expenses are $1,867 thousand for the year ended December 31, 2005, $412 thousand for the three-month period ended December 31, 2004 (successor company), $1,394 thousand for the nine-month period ended September 30, 2004 and $1,456 thousand the year ended December 31, 2003 (predecessor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Company’s primary objective for holding derivative financial instruments is to manage cash flow risk inherent in debts with variable interest rates. The company recognizes all derivative financial instruments at fair value as either assets or liabilities and reports changes in the fair value of those instruments in earnings or other comprehensive income depending on whether they meet the criteria for designation as hedging transactions under Statements of Financial Accounting Standards (“SFAS”)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as amended.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expense was approximately $310 thousand for the year ended December 31, 2005, $173 thousand for the three-month period ended December 31, 2004 (successor company), $71 thousand for the nine-month period ended September 30, 2004, and $112 thousand for the year ended December 31, 2003 (predecessor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92"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The Company records warranty liabilities for the estimated costs that may be incurred under its basic limited warranty included in other current liabilities. This warranty covers defective products and is normally applicable for 12 months from the date of purchase and these liabilities are accrued when product revenues are recognized. Warranty costs include the costs to replace the defective product. Factors that affect the Company’s warranty liability include historical and anticipated rates of warranty claims on those repairs and cost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2"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employee salaries, contractor fees, building costs, utilities, and administrative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Grants received from the Korean government to assist with specific research and development activities are recognized in the statement of operations as a credit to research and development expenses, in the period in which the related expense is incurred, to the extent that they are non-refundable. Such grants recognized as a reduction of research and development expenses were $1,908 thousand for the year ended December 31, 2005, $3,265 thousand for the three-month period ended December 31, 2004 (successor company) and $214 thousand and $575 thousand for the nine-month period ended September 30, 2004 and the year ended December 31, 2003 (predecessor company), respectively.</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2005, the Company decided to suspend the government sponsored R&amp;D projects. This resulted in $1.4 million of refund of the grants received from the government. As the R&amp;D projects were mostly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related to Application Processor business, the Company recognized this liability as a restructuring charge during the fourth quarter of 2004 in conjunction with the agreement to sell our Application Processor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Licensed Patents and Technologies</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payments,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90"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color w:val="auto"/>
        </w:rPr>
        <w:t xml:space="preserve">The Company considered the provisions of Statements of Financial Accounting Standards (“SFAS”) 131, </w:t>
      </w:r>
      <w:r>
        <w:rPr>
          <w:rFonts w:ascii="Times New Roman" w:cs="Times New Roman" w:eastAsia="Times New Roman" w:hAnsi="Times New Roman"/>
          <w:sz w:val="18"/>
          <w:szCs w:val="18"/>
          <w:i w:val="1"/>
          <w:iCs w:val="1"/>
          <w:color w:val="auto"/>
        </w:rPr>
        <w:t>Disclosures about Segments of an Enterprise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Information</w:t>
      </w:r>
      <w:r>
        <w:rPr>
          <w:rFonts w:ascii="Times New Roman" w:cs="Times New Roman" w:eastAsia="Times New Roman" w:hAnsi="Times New Roman"/>
          <w:sz w:val="18"/>
          <w:szCs w:val="18"/>
          <w:color w:val="auto"/>
        </w:rPr>
        <w:t>, in determining operating and reportable segments. As a result, the Company has determined that it operates in one segment,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Unit-Based Compensation (Successor Company)</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Employee equity compensation plans are accounted for using the intrinsic value method prescribed by Accounting Principles Board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Under this method, the Company’s grants of options to purchase common units were granted at the exercise price equal to or higher than the fair market value of the underlying unit on the date of grant. As the exercise prices for all option grants were in excess of the fair value of the underlying units on the respective grant dates as determined by management, no compensation cost was recorded for the year ended December 31, 2005 and for the three months ended December 31, 2004.</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utilizes the Black-Scholes option valuation model to value options for pro forma presentation of income as if the fair value-based accounting method in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had been used to account for unit-based compensation. For this pro forma presentation the Company utilizes the expense recognition model prescribed in FIN 28, </w:t>
      </w:r>
      <w:r>
        <w:rPr>
          <w:rFonts w:ascii="Times New Roman" w:cs="Times New Roman" w:eastAsia="Times New Roman" w:hAnsi="Times New Roman"/>
          <w:sz w:val="18"/>
          <w:szCs w:val="18"/>
          <w:i w:val="1"/>
          <w:iCs w:val="1"/>
          <w:color w:val="auto"/>
        </w:rPr>
        <w:t>Accounting for Stock Appreciation Rights and other Variable Stock Option or Award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 interpretation of APB opinions No. 15 and 25 </w:t>
      </w:r>
      <w:r>
        <w:rPr>
          <w:rFonts w:ascii="Times New Roman" w:cs="Times New Roman" w:eastAsia="Times New Roman" w:hAnsi="Times New Roman"/>
          <w:sz w:val="18"/>
          <w:szCs w:val="18"/>
          <w:color w:val="auto"/>
        </w:rPr>
        <w:t>and recognizes forfeitures when they occur. The Company’s adjusted net income (loss) would have decreased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 forma amounts indicated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4"/>
              </w:rPr>
              <w:t>Nine months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jc w:val="right"/>
              <w:ind w:right="35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32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gridSpan w:val="3"/>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1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5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right w:val="single" w:sz="8" w:color="auto"/>
            </w:tcBorders>
            <w:gridSpan w:val="6"/>
          </w:tcPr>
          <w:p>
            <w:pPr>
              <w:jc w:val="right"/>
              <w:ind w:right="518"/>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5"/>
          </w:tcPr>
          <w:p>
            <w:pPr>
              <w:jc w:val="right"/>
              <w:ind w:right="558"/>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net income (loss)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(100,898)</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43,237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(113,723)</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Add: Amortization of non-cash deferred unit compensation expense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determined under the intrinsic value method as reported in net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3,324</w:t>
            </w:r>
          </w:p>
        </w:tc>
        <w:tc>
          <w:tcPr>
            <w:tcW w:w="140" w:type="dxa"/>
            <w:vAlign w:val="bottom"/>
          </w:tcPr>
          <w:p>
            <w:pPr>
              <w:spacing w:after="0"/>
              <w:rPr>
                <w:sz w:val="19"/>
                <w:szCs w:val="19"/>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4"/>
        </w:trPr>
        <w:tc>
          <w:tcPr>
            <w:tcW w:w="54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Deduct: Total unit-based employee compensation expense determined</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 the fair value method for all awards, net of tax</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(5,614)</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(loss)</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(101,309</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(118,897</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loss per unit</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20" w:firstLine="456"/>
        <w:spacing w:after="0" w:line="339" w:lineRule="auto"/>
        <w:rPr>
          <w:sz w:val="20"/>
          <w:szCs w:val="20"/>
          <w:color w:val="auto"/>
        </w:rPr>
      </w:pPr>
      <w:r>
        <w:rPr>
          <w:rFonts w:ascii="Times New Roman" w:cs="Times New Roman" w:eastAsia="Times New Roman" w:hAnsi="Times New Roman"/>
          <w:sz w:val="16"/>
          <w:szCs w:val="16"/>
          <w:color w:val="auto"/>
        </w:rPr>
        <w:t>For options granted in 2005, the weighted average fair value of options granted at market value was $0.34 and the weighted average fair value of options granted with exercise prices higher than market value was $0.14. In 2004, all options were granted at market value and the weighted average fair value was $0.38.</w:t>
      </w:r>
    </w:p>
    <w:p>
      <w:pPr>
        <w:spacing w:after="0" w:line="74"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each option grant in 2005, 2004 and 2003 was estimated on the date of grant using the Black-Scholes option-pricing model based on the following set of assumptions (average-weight):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5"/>
              </w:rPr>
              <w:t>Three months</w:t>
            </w:r>
          </w:p>
        </w:tc>
        <w:tc>
          <w:tcPr>
            <w:tcW w:w="14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49"/>
        </w:trPr>
        <w:tc>
          <w:tcPr>
            <w:tcW w:w="594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c>
          <w:tcPr>
            <w:tcW w:w="14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Year ended</w:t>
            </w:r>
          </w:p>
        </w:tc>
      </w:tr>
      <w:tr>
        <w:trPr>
          <w:trHeight w:val="149"/>
        </w:trPr>
        <w:tc>
          <w:tcPr>
            <w:tcW w:w="5940" w:type="dxa"/>
            <w:vAlign w:val="bottom"/>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79"/>
        </w:trPr>
        <w:tc>
          <w:tcPr>
            <w:tcW w:w="59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6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6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6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2440" w:type="dxa"/>
            <w:vAlign w:val="bottom"/>
            <w:tcBorders>
              <w:right w:val="single" w:sz="8" w:color="auto"/>
            </w:tcBorders>
            <w:gridSpan w:val="4"/>
          </w:tcPr>
          <w:p>
            <w:pPr>
              <w:jc w:val="right"/>
              <w:ind w:right="68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500" w:type="dxa"/>
            <w:vAlign w:val="bottom"/>
          </w:tcPr>
          <w:p>
            <w:pPr>
              <w:spacing w:after="0"/>
              <w:rPr>
                <w:sz w:val="12"/>
                <w:szCs w:val="12"/>
                <w:color w:val="auto"/>
              </w:rPr>
            </w:pPr>
          </w:p>
        </w:tc>
        <w:tc>
          <w:tcPr>
            <w:tcW w:w="2540" w:type="dxa"/>
            <w:vAlign w:val="bottom"/>
            <w:gridSpan w:val="4"/>
          </w:tcPr>
          <w:p>
            <w:pPr>
              <w:jc w:val="right"/>
              <w:ind w:right="720"/>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 Years</w:t>
            </w: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 Years</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3.5 Years</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 Years</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57.8%</w:t>
            </w:r>
          </w:p>
        </w:tc>
        <w:tc>
          <w:tcPr>
            <w:tcW w:w="98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50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144.5%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 (Predecessor Company)</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Stock options under employee stock plans prior to the Original Acquisition were accounted for using the intrinsic value method prescribed by Accounting Principles Board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As part of the presentation of the Business on a carve-out basis, stock compensation was allocated to the Business based on the employees that historically have worked in the Business. The compensation cost for the Business was $3,324 and $161 thousand for the nine-month period ended September 30, 2004 and for the year ended December 31, 2003,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Unit</w:t>
      </w:r>
    </w:p>
    <w:p>
      <w:pPr>
        <w:spacing w:after="0" w:line="90" w:lineRule="exact"/>
        <w:rPr>
          <w:sz w:val="20"/>
          <w:szCs w:val="20"/>
          <w:color w:val="auto"/>
        </w:rPr>
      </w:pPr>
    </w:p>
    <w:p>
      <w:pPr>
        <w:ind w:right="60" w:firstLine="456"/>
        <w:spacing w:after="0" w:line="302" w:lineRule="auto"/>
        <w:rPr>
          <w:sz w:val="20"/>
          <w:szCs w:val="20"/>
          <w:color w:val="auto"/>
        </w:rPr>
      </w:pPr>
      <w:r>
        <w:rPr>
          <w:rFonts w:ascii="Times New Roman" w:cs="Times New Roman" w:eastAsia="Times New Roman" w:hAnsi="Times New Roman"/>
          <w:sz w:val="16"/>
          <w:szCs w:val="16"/>
          <w:color w:val="auto"/>
        </w:rPr>
        <w:t xml:space="preserve">In accordance with SFAS No. 128, </w:t>
      </w:r>
      <w:r>
        <w:rPr>
          <w:rFonts w:ascii="Times New Roman" w:cs="Times New Roman" w:eastAsia="Times New Roman" w:hAnsi="Times New Roman"/>
          <w:sz w:val="16"/>
          <w:szCs w:val="16"/>
          <w:i w:val="1"/>
          <w:iCs w:val="1"/>
          <w:color w:val="auto"/>
        </w:rPr>
        <w:t>Earnings Per Share</w:t>
      </w:r>
      <w:r>
        <w:rPr>
          <w:rFonts w:ascii="Times New Roman" w:cs="Times New Roman" w:eastAsia="Times New Roman" w:hAnsi="Times New Roman"/>
          <w:sz w:val="16"/>
          <w:szCs w:val="16"/>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to purchase common units and warrants to purchase common units. Diluted earnings per unit reflect the dilution of potential common units outstanding during the period. In determining the hypothetical units repurchased, the Company uses the average unit price for the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which are subject to local income taxes in those markets.</w:t>
      </w:r>
    </w:p>
    <w:p>
      <w:pPr>
        <w:spacing w:after="0" w:line="13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0"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December 2004, FASB issued SFAS 123(R), </w:t>
      </w:r>
      <w:r>
        <w:rPr>
          <w:rFonts w:ascii="Times New Roman" w:cs="Times New Roman" w:eastAsia="Times New Roman" w:hAnsi="Times New Roman"/>
          <w:sz w:val="18"/>
          <w:szCs w:val="18"/>
          <w:i w:val="1"/>
          <w:iCs w:val="1"/>
          <w:color w:val="auto"/>
        </w:rPr>
        <w:t>Share-Based Payment (revised 2004)</w:t>
      </w:r>
      <w:r>
        <w:rPr>
          <w:rFonts w:ascii="Times New Roman" w:cs="Times New Roman" w:eastAsia="Times New Roman" w:hAnsi="Times New Roman"/>
          <w:sz w:val="18"/>
          <w:szCs w:val="18"/>
          <w:color w:val="auto"/>
        </w:rPr>
        <w:t>. This revision will affect current practice in a number of ways, including the elimination of the alternative to use the intrinsic value method of accounting from Accounting Principles Board (“APB”) Opinion No. 25 that was provided in FASB Statement No.123 as originally issued. Pursuant to this statement, companies are required to record stock option expense in its financial statements based on a fair value methodology. This statement became effective and began impacting the Company on January 1, 2006. The Company has determined that there are no material impacts as a result of the adoption of this FASB Statement on its financial statements.</w:t>
      </w:r>
    </w:p>
    <w:p>
      <w:pPr>
        <w:spacing w:after="0" w:line="134" w:lineRule="exact"/>
        <w:rPr>
          <w:sz w:val="20"/>
          <w:szCs w:val="20"/>
          <w:color w:val="auto"/>
        </w:rPr>
      </w:pPr>
    </w:p>
    <w:p>
      <w:pPr>
        <w:ind w:right="40" w:firstLine="456"/>
        <w:spacing w:after="0" w:line="297" w:lineRule="auto"/>
        <w:rPr>
          <w:sz w:val="20"/>
          <w:szCs w:val="20"/>
          <w:color w:val="auto"/>
        </w:rPr>
      </w:pPr>
      <w:r>
        <w:rPr>
          <w:rFonts w:ascii="Times New Roman" w:cs="Times New Roman" w:eastAsia="Times New Roman" w:hAnsi="Times New Roman"/>
          <w:sz w:val="16"/>
          <w:szCs w:val="16"/>
          <w:color w:val="auto"/>
        </w:rPr>
        <w:t>In November 2004, the FASB issued SFAS No. 151</w:t>
      </w:r>
      <w:r>
        <w:rPr>
          <w:rFonts w:ascii="Times New Roman" w:cs="Times New Roman" w:eastAsia="Times New Roman" w:hAnsi="Times New Roman"/>
          <w:sz w:val="16"/>
          <w:szCs w:val="16"/>
          <w:i w:val="1"/>
          <w:iCs w:val="1"/>
          <w:color w:val="auto"/>
        </w:rPr>
        <w:t>, Inventory Costs</w:t>
      </w:r>
      <w:r>
        <w:rPr>
          <w:rFonts w:ascii="Times New Roman" w:cs="Times New Roman" w:eastAsia="Times New Roman" w:hAnsi="Times New Roman"/>
          <w:sz w:val="16"/>
          <w:szCs w:val="16"/>
          <w:color w:val="auto"/>
        </w:rPr>
        <w:t>, an amendment of ARB No. 43, Chapter 4. This Statement amends the guidance in Accounting Research Bulletin (“ARB”) No. 43, Chapter 4, Inventory Pricing, to clarify the accounting for abnormal amounts of idle facility expense, freight, handling costs, and wasted material (spoilage), and requires that allocation of fixed production overheads to the costs of conversion be based on the normal capacity of the production facilities. SFAS 151 applies to fiscal years beginning after June 2005, however, earlier application is permitted. In the fourth quarter of 2005, the Company recognized $8.1 million of expense related to the under-utilization of a fabrication facility in accordance with the provision of SFAS 151.</w:t>
      </w:r>
    </w:p>
    <w:p>
      <w:pPr>
        <w:spacing w:after="0" w:line="10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May 2005, the FASB issued SFAS 154, </w:t>
      </w:r>
      <w:r>
        <w:rPr>
          <w:rFonts w:ascii="Times New Roman" w:cs="Times New Roman" w:eastAsia="Times New Roman" w:hAnsi="Times New Roman"/>
          <w:sz w:val="18"/>
          <w:szCs w:val="18"/>
          <w:i w:val="1"/>
          <w:iCs w:val="1"/>
          <w:color w:val="auto"/>
        </w:rPr>
        <w:t>Accounting Changes and Error Corrections—a replacement of APB Opinion No. 20 and FASB Statement No. 3</w:t>
      </w:r>
      <w:r>
        <w:rPr>
          <w:rFonts w:ascii="Times New Roman" w:cs="Times New Roman" w:eastAsia="Times New Roman" w:hAnsi="Times New Roman"/>
          <w:sz w:val="18"/>
          <w:szCs w:val="18"/>
          <w:color w:val="auto"/>
        </w:rPr>
        <w:t xml:space="preserve">. This Statement supersedes APB Opinion No. 20,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and FASB Statement No. 3, </w:t>
      </w:r>
      <w:r>
        <w:rPr>
          <w:rFonts w:ascii="Times New Roman" w:cs="Times New Roman" w:eastAsia="Times New Roman" w:hAnsi="Times New Roman"/>
          <w:sz w:val="18"/>
          <w:szCs w:val="18"/>
          <w:i w:val="1"/>
          <w:iCs w:val="1"/>
          <w:color w:val="auto"/>
        </w:rPr>
        <w:t>Reporting Accounting Changes in Interim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and changes the requirements for the accounting and reporting for a change in accounting principle. This statement requires retrospective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impact on our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Original Acquisition</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October 6, 2004, the Company completed its purchase of the Business, as outlined in the Business Transfer Agreement, as amended (the “BTA”) from Hynix, for cash, liabilities assumed, plus a warrant to purchase 5,079,254 common equity interests in the Company, valued by independent valuation. In October 2005, the Company agreed to pay Hynix an additional $6,238 thousand in cash as a working capital settlement payment. This additional amount, which was paid in full subsequently in October 2005, was included as part of the purchase consideration and therefore acquisition costs of related assets were subsequently adjusted.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 summary of purchase consideration including such subsequent working capital settlement as well as assets and liabilities acquired is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Loan assumed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Warrant to purchase common units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assets and liabilities 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(173,517)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(755,618)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Non-current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Intangible assets acquired in connection with this acquisition are included in non-current assets and summarized as below:</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Acquisition cost</w:t>
            </w:r>
          </w:p>
        </w:tc>
        <w:tc>
          <w:tcPr>
            <w:tcW w:w="980" w:type="dxa"/>
            <w:vAlign w:val="bottom"/>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amortization period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174,134</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206,598</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 years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At the date of the Original Acquisition, the Company obtained an independent valuation of the acquired property, plant and equipment and the acquired intangible assets, to ascertain the fair value of these assets, and in addition, applied adjustments to the book value of the other assets and liabilities transferred from Hynix to calculate the total fair value of the assets and liabilities acquired. The Company also re-assessed the remaining useful lives of the acquired property, plant and equipment, and commenced depreciation on a straight-line basis, using the remaining useful lives of the acquired property, plant and equipment and acquired intangibles.</w:t>
      </w:r>
    </w:p>
    <w:p>
      <w:pPr>
        <w:spacing w:after="0" w:line="1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aggregate fair values obtained exceeded total purchase consideration of $763,378 thousand, and this difference was applied to the Company’s intangible and non-current tangible assets on a pro-rata basis, such that the adjusted fair value of the assets and liabilities acquired equaled the total purchase consideration, with no residual negative goodwill.</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240" w:top="455" w:right="5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receivable as of December 31, 2005 and 2004 consist of the following: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2005</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ind w:left="3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(Successor Company)</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gridSpan w:val="2"/>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return reserve</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Low yield compensation reserve</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(2,666)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112,053</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 Company recognized bad debt expenses amounting to $229 thousand for the year ended December 31, 2005, $340 thousand for the three-month period ended December 31, 2004 (successor company) and $57 thousand and $11 thousand for the nine-month period ended September 30, 2004 and the year ended December 31, 2003 (predecessor company), respectively. The Company also reserved for cash return and low yield compensation in the amount of $12,878 thousand for the year ended December 31, 2005, $5,920 thousand for the three-month period ended December 31, 2004 (successor company) and $6,325 thousand and $376 thousand for the nine-month period ended September 30, 2004 and the year ended December 31, 2003 (predecessor company),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as of December 31, 2005 and 2004 comprise the following: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7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r>
      <w:tr>
        <w:trPr>
          <w:trHeight w:val="142"/>
        </w:trPr>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5"/>
          </w:tcPr>
          <w:p>
            <w:pPr>
              <w:ind w:left="4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(Successor Company)</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28,414</w:t>
            </w: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28,431</w:t>
            </w:r>
          </w:p>
        </w:tc>
        <w:tc>
          <w:tcPr>
            <w:tcW w:w="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 and work-in-process</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60,095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55,563</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6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Materials in-transit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(7,612)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86,169</w:t>
            </w:r>
          </w:p>
        </w:tc>
        <w:tc>
          <w:tcPr>
            <w:tcW w:w="6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 Company recognized a loss on valuation of inventories amounting to $2,816 thousand for the year ended December 31, 2005, $5,956 thousand for the three-month period ended December 31, 2004 (successor company) and $7,728 thousand and $454 thousand for the nine-month period ended September 30, 2004 and the year ended December 31, 2003 (predecessor company), respectively. In addition, the Company wrote off $1,627 thousand of damaged inventories during the year ended December 31, 2005, $384 thousand for the three-month period ended December 31, 2004 (successor company) and $7,923 thousand and $25,503 thousand for the nine-month period ended September 30, 2004 and the year ended December 31, 2003 (predecessor company),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as of December 31, 2005 and 2004 comprise the following: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8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7"/>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(Successor Company)</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related structures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149,236</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143,007</w:t>
            </w:r>
          </w:p>
        </w:tc>
        <w:tc>
          <w:tcPr>
            <w:tcW w:w="6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508,428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437,973</w:t>
            </w:r>
          </w:p>
        </w:tc>
        <w:tc>
          <w:tcPr>
            <w:tcW w:w="6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others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33,337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60" w:type="dxa"/>
            <w:vAlign w:val="bottom"/>
            <w:shd w:val="clear" w:color="auto" w:fill="CCEEFF"/>
          </w:tcPr>
          <w:p>
            <w:pPr>
              <w:spacing w:after="0"/>
              <w:rPr>
                <w:sz w:val="18"/>
                <w:szCs w:val="18"/>
                <w:color w:val="auto"/>
              </w:rPr>
            </w:pPr>
          </w:p>
        </w:tc>
      </w:tr>
      <w:tr>
        <w:trPr>
          <w:trHeight w:val="222"/>
        </w:trPr>
        <w:tc>
          <w:tcPr>
            <w:tcW w:w="8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602,017</w:t>
            </w:r>
          </w:p>
        </w:tc>
        <w:tc>
          <w:tcPr>
            <w:tcW w:w="60" w:type="dxa"/>
            <w:vAlign w:val="bottom"/>
          </w:tcPr>
          <w:p>
            <w:pPr>
              <w:spacing w:after="0"/>
              <w:rPr>
                <w:sz w:val="19"/>
                <w:szCs w:val="19"/>
                <w:color w:val="auto"/>
              </w:rPr>
            </w:pPr>
          </w:p>
        </w:tc>
      </w:tr>
      <w:tr>
        <w:trPr>
          <w:trHeight w:val="217"/>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(218,745)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(36,265)</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6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in-progress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60" w:type="dxa"/>
            <w:vAlign w:val="bottom"/>
            <w:shd w:val="clear" w:color="auto" w:fill="CCEEFF"/>
          </w:tcPr>
          <w:p>
            <w:pPr>
              <w:spacing w:after="0"/>
              <w:rPr>
                <w:sz w:val="18"/>
                <w:szCs w:val="18"/>
                <w:color w:val="auto"/>
              </w:rPr>
            </w:pPr>
          </w:p>
        </w:tc>
      </w:tr>
      <w:tr>
        <w:trPr>
          <w:trHeight w:val="22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485,077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581,636</w:t>
            </w:r>
          </w:p>
        </w:tc>
        <w:tc>
          <w:tcPr>
            <w:tcW w:w="6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Aggregate depreciation expenses totaled $157,678 thousand for the year ended December 31, 2005, $34,421 thousand for the three-month period ended December 31, 2004 (successor company) and $261,640 thousand and $329,462 thousand for the nine-month period ended September 30, 2004 and the year ended December 31, 2003 (predecessor company), respectively. In addition, capitalized interest costs totaled $144 thousand for the year ended December 31, 2005, $53 thousand for the three-month period ended December 31, 2004 (successor company) and $334 thousand and $152 thousand for the nine-month period ended September 30, 2004 and the year ended December 31, 2003 (predecessor company), respectively.</w:t>
      </w:r>
    </w:p>
    <w:p>
      <w:pPr>
        <w:spacing w:after="0" w:line="13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Property, plant and equipment are pledged as collateral for our senior secured revolving credit facility and our Second Priority Senior Secured Notes to a maximum of $780 million as of December 31, 2005.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at December 31, 2005 and 2004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8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r>
      <w:tr>
        <w:trPr>
          <w:trHeight w:val="142"/>
        </w:trPr>
        <w:tc>
          <w:tcPr>
            <w:tcW w:w="8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7"/>
          </w:tcPr>
          <w:p>
            <w:pPr>
              <w:jc w:val="right"/>
              <w:ind w:right="64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26,991</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6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211,946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188,808</w:t>
            </w:r>
          </w:p>
        </w:tc>
        <w:tc>
          <w:tcPr>
            <w:tcW w:w="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15,095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(73,953)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191,389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211,987</w:t>
            </w:r>
          </w:p>
        </w:tc>
        <w:tc>
          <w:tcPr>
            <w:tcW w:w="6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Aggregate amortization expenses for intangible assets totaled $45,251 thousand for the year ended December 31, 2005, $11,434 thousand for the three-month period ended December 31, 2004 (successor company) and $5,222 thousand and $9,051 thousand for the nine-month period ended September 30, 2004 and the year ended December 31, 2003 (predecessor company), respectively. The estimated aggregate amortization expense of intangible assets for the next five years is $31,839 thousand in 2006, $31,810 thousand in 2007, $28,958 thousand in 2008, $20,568 thousand in 2009 and $18,923 thousand in 2010.</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Intangible assets are pledged as collateral for our senior secured revolving credit facility and our Second Priority Senior Secured Notes as of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Warranties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accrued warranty liabilities for each period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4"/>
              </w:rPr>
              <w:t>Nine months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58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44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3"/>
          </w:tcPr>
          <w:p>
            <w:pPr>
              <w:ind w:left="420"/>
              <w:spacing w:after="0" w:line="143" w:lineRule="exact"/>
              <w:rPr>
                <w:sz w:val="20"/>
                <w:szCs w:val="20"/>
                <w:color w:val="auto"/>
              </w:rPr>
            </w:pPr>
            <w:r>
              <w:rPr>
                <w:rFonts w:ascii="Times New Roman" w:cs="Times New Roman" w:eastAsia="Times New Roman" w:hAnsi="Times New Roman"/>
                <w:sz w:val="14"/>
                <w:szCs w:val="14"/>
                <w:b w:val="1"/>
                <w:bCs w:val="1"/>
                <w:color w:val="auto"/>
                <w:w w:val="94"/>
              </w:rPr>
              <w:t>(Successor Company)</w:t>
            </w:r>
          </w:p>
        </w:tc>
        <w:tc>
          <w:tcPr>
            <w:tcW w:w="5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5"/>
          </w:tcPr>
          <w:p>
            <w:pPr>
              <w:jc w:val="right"/>
              <w:ind w:right="700"/>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1,448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tcBorders>
              <w:right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 (reduction) to warranty reserve</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1,362</w:t>
            </w:r>
          </w:p>
        </w:tc>
        <w:tc>
          <w:tcPr>
            <w:tcW w:w="2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4,103</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made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(2,265)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Borders>
              <w:right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Short-Term and Long-Term Borrowings</w:t>
      </w:r>
    </w:p>
    <w:p>
      <w:pPr>
        <w:spacing w:after="0" w:line="92" w:lineRule="exact"/>
        <w:rPr>
          <w:sz w:val="20"/>
          <w:szCs w:val="20"/>
          <w:color w:val="auto"/>
        </w:rPr>
      </w:pPr>
    </w:p>
    <w:p>
      <w:pPr>
        <w:jc w:val="both"/>
        <w:ind w:right="120" w:firstLine="456"/>
        <w:spacing w:after="0" w:line="339" w:lineRule="auto"/>
        <w:rPr>
          <w:sz w:val="20"/>
          <w:szCs w:val="20"/>
          <w:color w:val="auto"/>
        </w:rPr>
      </w:pPr>
      <w:r>
        <w:rPr>
          <w:rFonts w:ascii="Times New Roman" w:cs="Times New Roman" w:eastAsia="Times New Roman" w:hAnsi="Times New Roman"/>
          <w:sz w:val="16"/>
          <w:szCs w:val="16"/>
          <w:color w:val="auto"/>
        </w:rPr>
        <w:t>On October 6, as part of the terms of Original Acquisition, the Company assumed $285,807 thousand of debt held by Hynix. This debt was comprised of $91,015 thousand in a 7.0% term loan due 2009 and $194,792 thousand in a 7.5% term loan due 2011. This debt remained outstanding until December 24, 2004.</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23, 2004, two of the Company’s subsidiaries, MagnaChip Semiconductor S.A. and MagnaChip Semiconductor Finance Company issued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 million aggregate principal amount of Second Priority Senior Secured Notes consisting of $300 million aggregate principal amount of Floating Rate Second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Priority Senior Secured Notes and $200 million aggregate principal amount of 6 </w:t>
      </w: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7"/>
          <w:szCs w:val="17"/>
          <w:color w:val="auto"/>
        </w:rPr>
        <w:t>% Second Priority Senior Secured Notes. At the same time, such subsidiaries</w:t>
      </w:r>
    </w:p>
    <w:p>
      <w:pPr>
        <w:spacing w:after="0"/>
        <w:rPr>
          <w:sz w:val="20"/>
          <w:szCs w:val="20"/>
          <w:color w:val="auto"/>
        </w:rPr>
      </w:pPr>
      <w:r>
        <w:rPr>
          <w:rFonts w:ascii="Times New Roman" w:cs="Times New Roman" w:eastAsia="Times New Roman" w:hAnsi="Times New Roman"/>
          <w:sz w:val="18"/>
          <w:szCs w:val="18"/>
          <w:color w:val="auto"/>
        </w:rPr>
        <w:t>issued $250 million aggregate principal amount of 8% Senior Subordinated Notes.</w:t>
      </w:r>
    </w:p>
    <w:p>
      <w:pPr>
        <w:spacing w:after="0" w:line="15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Concurrently with the issuance of the Second Priority Senior Secured Notes, the Company entered into a new senior credit agreement with a syndicate of banks, financial institutions and other entities providing for a $100 million senior secured revolving credit facility. Interest is charged at current rates when drawn upon.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short-term borrowings as of December 31, 2005 and 2004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2005</w:t>
            </w:r>
          </w:p>
        </w:tc>
        <w:tc>
          <w:tcPr>
            <w:tcW w:w="4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36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Annual interest</w:t>
            </w:r>
          </w:p>
        </w:tc>
        <w:tc>
          <w:tcPr>
            <w:tcW w:w="640" w:type="dxa"/>
            <w:vAlign w:val="bottom"/>
          </w:tcPr>
          <w:p>
            <w:pPr>
              <w:spacing w:after="0"/>
              <w:rPr>
                <w:sz w:val="10"/>
                <w:szCs w:val="10"/>
                <w:color w:val="auto"/>
              </w:rPr>
            </w:pPr>
          </w:p>
        </w:tc>
        <w:tc>
          <w:tcPr>
            <w:tcW w:w="6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620" w:type="dxa"/>
            <w:vAlign w:val="bottom"/>
          </w:tcPr>
          <w:p>
            <w:pPr>
              <w:spacing w:after="0"/>
              <w:rPr>
                <w:sz w:val="10"/>
                <w:szCs w:val="10"/>
                <w:color w:val="auto"/>
              </w:rPr>
            </w:pPr>
          </w:p>
        </w:tc>
        <w:tc>
          <w:tcPr>
            <w:tcW w:w="1520" w:type="dxa"/>
            <w:vAlign w:val="bottom"/>
            <w:gridSpan w:val="2"/>
          </w:tcPr>
          <w:p>
            <w:pPr>
              <w:jc w:val="right"/>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Annual interest</w:t>
            </w:r>
          </w:p>
        </w:tc>
        <w:tc>
          <w:tcPr>
            <w:tcW w:w="6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Amount of</w:t>
            </w:r>
          </w:p>
        </w:tc>
        <w:tc>
          <w:tcPr>
            <w:tcW w:w="20" w:type="dxa"/>
            <w:vAlign w:val="bottom"/>
          </w:tcPr>
          <w:p>
            <w:pPr>
              <w:spacing w:after="0"/>
              <w:rPr>
                <w:sz w:val="10"/>
                <w:szCs w:val="10"/>
                <w:color w:val="auto"/>
              </w:rPr>
            </w:pPr>
          </w:p>
        </w:tc>
      </w:tr>
      <w:tr>
        <w:trPr>
          <w:trHeight w:val="165"/>
        </w:trPr>
        <w:tc>
          <w:tcPr>
            <w:tcW w:w="3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rate (%)</w:t>
            </w:r>
          </w:p>
        </w:tc>
        <w:tc>
          <w:tcPr>
            <w:tcW w:w="64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principal</w:t>
            </w:r>
          </w:p>
        </w:tc>
        <w:tc>
          <w:tcPr>
            <w:tcW w:w="620" w:type="dxa"/>
            <w:vAlign w:val="bottom"/>
          </w:tcPr>
          <w:p>
            <w:pPr>
              <w:spacing w:after="0"/>
              <w:rPr>
                <w:sz w:val="14"/>
                <w:szCs w:val="14"/>
                <w:color w:val="auto"/>
              </w:rPr>
            </w:pP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rate (%)</w:t>
            </w:r>
          </w:p>
        </w:tc>
        <w:tc>
          <w:tcPr>
            <w:tcW w:w="6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 w:type="dxa"/>
            <w:vAlign w:val="bottom"/>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2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1.05 ~ 1.55</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18"/>
                <w:szCs w:val="18"/>
                <w:color w:val="auto"/>
              </w:rPr>
            </w:pPr>
          </w:p>
        </w:tc>
      </w:tr>
      <w:tr>
        <w:trPr>
          <w:trHeight w:val="363"/>
        </w:trPr>
        <w:tc>
          <w:tcPr>
            <w:tcW w:w="3680" w:type="dxa"/>
            <w:vAlign w:val="bottom"/>
          </w:tcPr>
          <w:p>
            <w:pPr>
              <w:spacing w:after="0"/>
              <w:rPr>
                <w:sz w:val="24"/>
                <w:szCs w:val="24"/>
                <w:color w:val="auto"/>
              </w:rPr>
            </w:pPr>
          </w:p>
        </w:tc>
        <w:tc>
          <w:tcPr>
            <w:tcW w:w="28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long-term borrowings as of December 31, 2005 and 2004 are presented as below:</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Maturity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Annual interest</w:t>
      </w:r>
      <w:r>
        <w:rPr>
          <w:sz w:val="20"/>
          <w:szCs w:val="20"/>
          <w:color w:val="auto"/>
        </w:rPr>
        <w:tab/>
      </w:r>
      <w:r>
        <w:rPr>
          <w:rFonts w:ascii="Times New Roman" w:cs="Times New Roman" w:eastAsia="Times New Roman" w:hAnsi="Times New Roman"/>
          <w:sz w:val="12"/>
          <w:szCs w:val="12"/>
          <w:b w:val="1"/>
          <w:bCs w:val="1"/>
          <w:color w:val="auto"/>
        </w:rPr>
        <w:t>Amount of</w:t>
      </w:r>
    </w:p>
    <w:p>
      <w:pPr>
        <w:spacing w:after="0" w:line="5" w:lineRule="exact"/>
        <w:rPr>
          <w:sz w:val="20"/>
          <w:szCs w:val="20"/>
          <w:color w:val="auto"/>
        </w:rPr>
      </w:pPr>
    </w:p>
    <w:p>
      <w:pPr>
        <w:ind w:left="200"/>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rate (%)</w:t>
      </w:r>
      <w:r>
        <w:rPr>
          <w:sz w:val="20"/>
          <w:szCs w:val="20"/>
          <w:color w:val="auto"/>
        </w:rPr>
        <w:tab/>
      </w:r>
      <w:r>
        <w:rPr>
          <w:rFonts w:ascii="Times New Roman" w:cs="Times New Roman" w:eastAsia="Times New Roman" w:hAnsi="Times New Roman"/>
          <w:sz w:val="12"/>
          <w:szCs w:val="12"/>
          <w:b w:val="1"/>
          <w:bCs w:val="1"/>
          <w:color w:val="auto"/>
        </w:rPr>
        <w:t>principal</w:t>
      </w:r>
    </w:p>
    <w:p>
      <w:pPr>
        <w:spacing w:after="0" w:line="1" w:lineRule="exact"/>
        <w:rPr>
          <w:sz w:val="20"/>
          <w:szCs w:val="20"/>
          <w:color w:val="auto"/>
        </w:rPr>
      </w:pPr>
    </w:p>
    <w:p>
      <w:pPr>
        <w:sectPr>
          <w:pgSz w:w="11900" w:h="16838" w:orient="portrait"/>
          <w:cols w:equalWidth="0" w:num="2">
            <w:col w:w="8460" w:space="640"/>
            <w:col w:w="232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78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3 month LIBOR +</w:t>
            </w: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Floating Rate Second Priority Senior Secured Notes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2011</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3.250</w:t>
            </w:r>
          </w:p>
        </w:tc>
        <w:tc>
          <w:tcPr>
            <w:tcW w:w="4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20"/>
                <w:szCs w:val="20"/>
                <w:color w:val="auto"/>
              </w:rPr>
            </w:pPr>
          </w:p>
        </w:tc>
      </w:tr>
      <w:tr>
        <w:trPr>
          <w:trHeight w:val="216"/>
        </w:trPr>
        <w:tc>
          <w:tcPr>
            <w:tcW w:w="7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Second Priority Senior Secured Notes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 Senior Subordinated Notes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8"/>
                <w:szCs w:val="18"/>
                <w:color w:val="auto"/>
              </w:rPr>
            </w:pPr>
          </w:p>
        </w:tc>
      </w:tr>
      <w:tr>
        <w:trPr>
          <w:trHeight w:val="223"/>
        </w:trPr>
        <w:tc>
          <w:tcPr>
            <w:tcW w:w="7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 w:type="dxa"/>
            <w:vAlign w:val="bottom"/>
            <w:tcBorders>
              <w:bottom w:val="single" w:sz="8" w:color="auto"/>
            </w:tcBorders>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senior secured revolving credit facility and Second Priority Senior Secured Notes are collateralized by substantially all of the assets of the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notes will be paid in full upon maturity.</w:t>
      </w:r>
    </w:p>
    <w:p>
      <w:pPr>
        <w:spacing w:after="0" w:line="15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 There is no breach of covenants as of December 31, 2005.</w:t>
      </w:r>
    </w:p>
    <w:p>
      <w:pPr>
        <w:spacing w:after="0" w:line="10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Borrowings under the senior secured credit facility are subject to significant conditions, including compliance with financial ratios and the absence of any material adverse change.</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and all of its subsidiaries as of December 31, 2005, except for MagnaChip Semiconductor (Shanghai) Company Limited, jointly and severally guarantee each series of the Second Priority Senior Secured Notes on a second priority senior secured basis. The Company and its subsidiaries as of December 31, 2005, except for MagnaChip Semiconductor Ltd. (Korea) (“MSK”) and MagnaChip Semiconductor (Shanghai) Company Limited, jointly and severally guarantee the Senior Subordinated Notes on an unsecured, senior subordinated basis. In addition, the Company and each of its current and future direct and indirect subsidiaries (subject to certain exceptions) will be guarantors of senior secured credit facility and Second Priority Senior Secured Notes and Senior Subordinated Notes.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December 24, 2004, the Company prepaid the assumed loan from Hynix held by Korean creditors of $249,375 thousand, whereby the obligations of the Company with the respect to these loans held by the Korean creditors have been discharged in full. However, the loans held by Korean banks, which purchased all rights, benefits and interests from foreign creditors, totaling $98,343 thousand were not repaid but offset against its bank deposits held due to restrictions applied by the Foreign Exchange Transactions Act of the Republic of Korea. This loan was repaid on October 7, 2005.</w:t>
      </w:r>
    </w:p>
    <w:p>
      <w:pPr>
        <w:spacing w:after="0" w:line="13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notes and obtaining of the credit facility, the Company capitalized certain costs and fees, which are being amortized using the effective interest method or straight-line method over their respective terms, 2009 to 2014. Amortization costs, which were included in interest expense in the accompanying statements of operations, amounted to $3,432 thousand and $ 167 thousand for the year ended December 31, 2005 and the three-month period ended December 31, 2004, respectively. The remaining capitalized costs as of December 31, 2005 and 2004 were $25,113 thousand and $27,812 thousand, respectively. In addition, in connection with the repayment of the assumed debt from Hynix, the Company wrote off $4,084 thousand of previously capitalized financing fees for the three-month period ended December 31, 2004. These amounts have all been included in interest expense in the accompanying statement of operations.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Effective June 27, 2005, the Company entered into an interest rate swap agreement (the “Swap”) that converted the variable interest rate based on the 3-month London Inter-bank Offering Rate (“LIBOR”) plus 3.25% to fixed interest rate on the Company’s Floating Rate Second Priority Senior Secured Notes (the “Notes”). This Swap will be in effect until 15 June, 2008.</w:t>
      </w:r>
    </w:p>
    <w:p>
      <w:pPr>
        <w:spacing w:after="0" w:line="130" w:lineRule="exact"/>
        <w:rPr>
          <w:sz w:val="20"/>
          <w:szCs w:val="20"/>
          <w:color w:val="auto"/>
        </w:rPr>
      </w:pPr>
    </w:p>
    <w:p>
      <w:pPr>
        <w:jc w:val="both"/>
        <w:ind w:right="100" w:firstLine="456"/>
        <w:spacing w:after="0" w:line="264" w:lineRule="auto"/>
        <w:rPr>
          <w:sz w:val="20"/>
          <w:szCs w:val="20"/>
          <w:color w:val="auto"/>
        </w:rPr>
      </w:pPr>
      <w:r>
        <w:rPr>
          <w:rFonts w:ascii="Times New Roman" w:cs="Times New Roman" w:eastAsia="Times New Roman" w:hAnsi="Times New Roman"/>
          <w:sz w:val="18"/>
          <w:szCs w:val="18"/>
          <w:color w:val="auto"/>
        </w:rPr>
        <w:t xml:space="preserve">The Swap qualifies as a cash flow hedge under SFAS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fully effective during the year ended December 31, 2005.</w:t>
      </w:r>
    </w:p>
    <w:p>
      <w:pPr>
        <w:spacing w:after="0" w:line="12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2005, the Company recorded total changes in the fair value of the Swap amounting to $4,534 thousand as other comprehensive income in the accompanying consolidated financial statements. As a part of the total changes in fair value, the Company has recognized interest expense of $550 thousand which is the difference between the fixed and variable 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Severance Benefits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accrued severance benefits for each period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5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4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40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Borders>
              <w:right w:val="single" w:sz="8" w:color="auto"/>
            </w:tcBorders>
            <w:gridSpan w:val="5"/>
          </w:tcPr>
          <w:p>
            <w:pPr>
              <w:jc w:val="right"/>
              <w:ind w:right="64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5"/>
          </w:tcPr>
          <w:p>
            <w:pPr>
              <w:jc w:val="right"/>
              <w:ind w:right="680"/>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52,925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0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40,015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16,583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15,352</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from acquired company</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1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(13,831)</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(6,837)</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1,473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56,967</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52,925</w:t>
            </w:r>
          </w:p>
        </w:tc>
        <w:tc>
          <w:tcPr>
            <w:tcW w:w="10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50,003</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contributions to the National Pension Fund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group severance insurance plan</w:t>
            </w:r>
          </w:p>
        </w:tc>
        <w:tc>
          <w:tcPr>
            <w:tcW w:w="1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50,714</w:t>
            </w:r>
          </w:p>
        </w:tc>
        <w:tc>
          <w:tcPr>
            <w:tcW w:w="10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47,497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severance benefits are funded approximately 3.24% and 4.18% as of December 31, 2005 and 2004, respectively, through severance insurance deposit for payment of severance benefits, and the account is deducted from accrued severance benefits.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Company expects to pay the following future benefits to its employees upon their normal retirement ages: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28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Severance benefit</w:t>
            </w: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 – 2008</w:t>
            </w:r>
          </w:p>
        </w:tc>
        <w:tc>
          <w:tcPr>
            <w:tcW w:w="6120" w:type="dxa"/>
            <w:vAlign w:val="bottom"/>
            <w:gridSpan w:val="2"/>
            <w:shd w:val="clear" w:color="auto" w:fill="CCEEFF"/>
          </w:tcPr>
          <w:p>
            <w:pPr>
              <w:ind w:left="57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5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5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2011 – 2015</w:t>
            </w:r>
          </w:p>
        </w:tc>
        <w:tc>
          <w:tcPr>
            <w:tcW w:w="5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350"/>
        </w:trPr>
        <w:tc>
          <w:tcPr>
            <w:tcW w:w="2800" w:type="dxa"/>
            <w:vAlign w:val="bottom"/>
          </w:tcPr>
          <w:p>
            <w:pPr>
              <w:spacing w:after="0"/>
              <w:rPr>
                <w:sz w:val="24"/>
                <w:szCs w:val="24"/>
                <w:color w:val="auto"/>
              </w:rPr>
            </w:pPr>
          </w:p>
        </w:tc>
        <w:tc>
          <w:tcPr>
            <w:tcW w:w="5760" w:type="dxa"/>
            <w:vAlign w:val="bottom"/>
          </w:tcPr>
          <w:p>
            <w:pPr>
              <w:jc w:val="right"/>
              <w:ind w:right="3592"/>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Convertible Preferred Unit</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issued 49,727 units as Series A redeemable convertible preferred unit (the “Series A”) and 447,420 units as Series B redeemable convertible preferred unit (the “Series B”) on September 23, 2004 and additionally issued 364 units of Series A and 3,272 units of Series B on November 30, 2004, respectively. All of Series A were redeemed by cash on December 27, 2004 and parts of Series B were redeemed by cash on December 15, 2004 and December 27, 2004.</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Changes in Series A and B redeemable convertible preferred units for the year ended December 31, 2005 and the three-month period ended December 31, 2004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540" w:type="dxa"/>
            <w:vAlign w:val="bottom"/>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9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7740" w:type="dxa"/>
            <w:vAlign w:val="bottom"/>
          </w:tcPr>
          <w:p>
            <w:pPr>
              <w:spacing w:after="0"/>
              <w:rPr>
                <w:sz w:val="14"/>
                <w:szCs w:val="14"/>
                <w:color w:val="auto"/>
              </w:rPr>
            </w:pPr>
          </w:p>
        </w:tc>
        <w:tc>
          <w:tcPr>
            <w:tcW w:w="154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2005</w:t>
            </w:r>
          </w:p>
        </w:tc>
        <w:tc>
          <w:tcPr>
            <w:tcW w:w="20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80" w:type="dxa"/>
            <w:vAlign w:val="bottom"/>
          </w:tcPr>
          <w:p>
            <w:pPr>
              <w:spacing w:after="0"/>
              <w:rPr>
                <w:sz w:val="14"/>
                <w:szCs w:val="14"/>
                <w:color w:val="auto"/>
              </w:rPr>
            </w:pPr>
          </w:p>
        </w:tc>
      </w:tr>
      <w:tr>
        <w:trPr>
          <w:trHeight w:val="125"/>
        </w:trPr>
        <w:tc>
          <w:tcPr>
            <w:tcW w:w="7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jc w:val="right"/>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5"/>
        </w:trPr>
        <w:tc>
          <w:tcPr>
            <w:tcW w:w="7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2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Amounts</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Beginning of period</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49,727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49,727</w:t>
            </w:r>
          </w:p>
        </w:tc>
      </w:tr>
      <w:tr>
        <w:trPr>
          <w:trHeight w:val="216"/>
        </w:trPr>
        <w:tc>
          <w:tcPr>
            <w:tcW w:w="7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Issuance</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Redemption</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(51,907)</w:t>
            </w:r>
          </w:p>
        </w:tc>
      </w:tr>
      <w:tr>
        <w:trPr>
          <w:trHeight w:val="216"/>
        </w:trPr>
        <w:tc>
          <w:tcPr>
            <w:tcW w:w="7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Accrual of preferred dividends</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1,816</w:t>
            </w:r>
          </w:p>
        </w:tc>
      </w:tr>
      <w:tr>
        <w:trPr>
          <w:trHeight w:val="223"/>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End of period</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Beginning of period</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93,997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447,420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447,420</w:t>
            </w:r>
          </w:p>
        </w:tc>
      </w:tr>
      <w:tr>
        <w:trPr>
          <w:trHeight w:val="216"/>
        </w:trPr>
        <w:tc>
          <w:tcPr>
            <w:tcW w:w="7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Issuance</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3,272</w:t>
            </w:r>
          </w:p>
        </w:tc>
      </w:tr>
      <w:tr>
        <w:trPr>
          <w:trHeight w:val="216"/>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Redemption</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(356,695)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(365,770)</w:t>
            </w:r>
          </w:p>
        </w:tc>
      </w:tr>
      <w:tr>
        <w:trPr>
          <w:trHeight w:val="216"/>
        </w:trPr>
        <w:tc>
          <w:tcPr>
            <w:tcW w:w="7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Accrual of preferred dividends</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11,612</w:t>
            </w:r>
          </w:p>
        </w:tc>
      </w:tr>
      <w:tr>
        <w:trPr>
          <w:trHeight w:val="223"/>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End of period</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93,997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106,462</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8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There were no Series A units outstanding as of December 31, 2005, and the Series B units outstanding as of December 31, 2005 are presented between liabilities and unitholders’ equity in the accompanying balance sheets as they contain characteristics of both liabilities and equity according to the SEC’s Accounting Series Release No. 268, </w:t>
      </w:r>
      <w:r>
        <w:rPr>
          <w:rFonts w:ascii="Times New Roman" w:cs="Times New Roman" w:eastAsia="Times New Roman" w:hAnsi="Times New Roman"/>
          <w:sz w:val="18"/>
          <w:szCs w:val="18"/>
          <w:i w:val="1"/>
          <w:iCs w:val="1"/>
          <w:color w:val="auto"/>
        </w:rPr>
        <w:t>Presentation in Financial Statements of “Redeemable Preferred Stock”</w:t>
      </w:r>
      <w:r>
        <w:rPr>
          <w:rFonts w:ascii="Times New Roman" w:cs="Times New Roman" w:eastAsia="Times New Roman" w:hAnsi="Times New Roman"/>
          <w:sz w:val="18"/>
          <w:szCs w:val="18"/>
          <w:color w:val="auto"/>
        </w:rPr>
        <w:t xml:space="preserve"> and EITF Topic D-98</w:t>
      </w:r>
      <w:r>
        <w:rPr>
          <w:rFonts w:ascii="Times New Roman" w:cs="Times New Roman" w:eastAsia="Times New Roman" w:hAnsi="Times New Roman"/>
          <w:sz w:val="18"/>
          <w:szCs w:val="18"/>
          <w:i w:val="1"/>
          <w:iCs w:val="1"/>
          <w:color w:val="auto"/>
        </w:rPr>
        <w:t>, Classification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Redeemable Securities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outstanding Series B units are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is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the event of liquidation, the holders of Series B are entitled to receive, out of the assets of the Company legally available for distribution to its members, whether from capital, surplus or earnings, an amount equal to the Series B original issue price in cash per unit plus an amount equal to full cumulative dividends accrued and unpaid thereon to the date of final distribution respectively, and no more. If the net assets of the Company are insufficient to pay the holders of all outstanding Series B and of any units ranking on a parity with the Series B, the full amounts to which they respectively shall be entitled, such assets, or the proceeds thereof, shall be distributed ratably among the holders of the Series B and any units ranking on a parity with the Series B in accordance with the amounts which would be payable on such distribution if the amount to which the holders of the Series B and any units ranking on a parity with the Series B are entitled were paid in full.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As provided in Company Operating Agreement, the holders of Series B shall not be entitled to vote on any matter submitted to a vote of the Members, and not be entitled to notice of any meeting of Members.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94" w:lineRule="exact"/>
        <w:rPr>
          <w:sz w:val="20"/>
          <w:szCs w:val="20"/>
          <w:color w:val="auto"/>
        </w:rPr>
      </w:pPr>
    </w:p>
    <w:p>
      <w:pPr>
        <w:jc w:val="both"/>
        <w:ind w:firstLine="456"/>
        <w:spacing w:after="0" w:line="237" w:lineRule="auto"/>
        <w:rPr>
          <w:sz w:val="20"/>
          <w:szCs w:val="20"/>
          <w:color w:val="auto"/>
        </w:rPr>
      </w:pPr>
      <w:r>
        <w:rPr>
          <w:rFonts w:ascii="Times New Roman" w:cs="Times New Roman" w:eastAsia="Times New Roman" w:hAnsi="Times New Roman"/>
          <w:sz w:val="18"/>
          <w:szCs w:val="18"/>
          <w:color w:val="auto"/>
        </w:rPr>
        <w:t>If any outstanding Series B remain outstanding on the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anniversary after issuance of the Series B, then the holders of a majority of the then outstanding Series B shall have the right to elect to have the Company redeem all outstanding Series B from funds legally available, at a price per unit equal to $1,000 plus an amount per unit equal to full cumulative dividends accrued and unpaid thereon to the redemption date.</w:t>
      </w:r>
    </w:p>
    <w:p>
      <w:pPr>
        <w:spacing w:after="0" w:line="15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Also the Series B may be redeemed from funds legally available, in whole or in part, at the election of the Company, expressed by resolution of the board of directors, at any time and from time to time at a price of $1,000 per unit plus any cumulative dividends accrued and unpaid.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Original Acquisition, the Company issued a warrant, which is recorded as additional paid in capital, to Hynix, which enables Hynix to purchase 5,079,254 common units of the Company. The value of each warrant to purchase one common unit is $ 0.414, which was estimated using the Black-Scholes option pricing model using the following assumptions: fair value of $1.00 per unit; exercise price of $1.00 per unit; risk free rate of interest of 2.50%; volatility of 86%; dividend rate of 0%; and term of 2 years. This warrant is still outstanding as of December 31, 2005 and expires on the earlier to occur of October 6, 2006, and the date which is 45 days after the Company provides written notice to Hynix that the Company is filing a registration statement providing for a first public offering of its common equity interests.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Option Plan (Predecessor Company)</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Hynix formed its stock option plan in 1999 and granted stock options to employees and directors. On July 13, 2003, all outstanding options were cancelled and replaced with new option grants as a result of an equity</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455" w:right="2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restructuring including a stock split. Since the replacement ratio did not match the stock split ratio of 21:1, the new options were accounted for as the variable awards.</w:t>
      </w:r>
    </w:p>
    <w:p>
      <w:pPr>
        <w:spacing w:after="0" w:line="12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On March 26, 2004, the stock option plan was modified and the vesting period was reduced from three to two years. As of September 30, 2004, 982,395 options were outstanding. However, none of these options were transferred as part of the Original Acquisition.</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number and weighted-average exercise prices of options for the nine-month period ended September 30, 2004 and the year ended December 31, 2003 are as follows: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Weighted average</w:t>
            </w: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r>
      <w:tr>
        <w:trPr>
          <w:trHeight w:val="179"/>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tcPr>
          <w:p>
            <w:pPr>
              <w:spacing w:after="0"/>
              <w:rPr>
                <w:sz w:val="15"/>
                <w:szCs w:val="15"/>
                <w:color w:val="auto"/>
              </w:rPr>
            </w:pPr>
          </w:p>
        </w:tc>
        <w:tc>
          <w:tcPr>
            <w:tcW w:w="76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gridSpan w:val="2"/>
          </w:tcPr>
          <w:p>
            <w:pPr>
              <w:jc w:val="right"/>
              <w:ind w:right="272"/>
              <w:spacing w:after="0" w:line="143" w:lineRule="exact"/>
              <w:rPr>
                <w:sz w:val="20"/>
                <w:szCs w:val="20"/>
                <w:color w:val="auto"/>
              </w:rPr>
            </w:pPr>
            <w:r>
              <w:rPr>
                <w:rFonts w:ascii="Times New Roman" w:cs="Times New Roman" w:eastAsia="Times New Roman" w:hAnsi="Times New Roman"/>
                <w:sz w:val="14"/>
                <w:szCs w:val="14"/>
                <w:b w:val="1"/>
                <w:bCs w:val="1"/>
                <w:color w:val="auto"/>
                <w:w w:val="89"/>
              </w:rPr>
              <w:t>(Predecessor Company)</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2003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1,565,800</w:t>
            </w:r>
          </w:p>
        </w:tc>
        <w:tc>
          <w:tcPr>
            <w:tcW w:w="164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1,130,115</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291,895</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1,357,500</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22"/>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2003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1,046,520</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64,125</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2004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982,395</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As of September 30, 2004 and December 31, 2003, the weighted-average remaining contractual life of outstanding stock options was 5.7 years and 2.5 years, respectively. However, no options were exercisable as of September 30, 2004 and December 31, 2003.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Incentive Plans (Successor Company)</w:t>
      </w:r>
    </w:p>
    <w:p>
      <w:pPr>
        <w:spacing w:after="0" w:line="92"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company adopted two equity incentive plans effective October 6, 2004 and March 21, 2005, respectively, which are administered by a Committee designated by the board of directors. Employees, consultants and non-employee directors are eligible for the grant of options to purchase the Company’s common units or restricted common units subject to terms and conditions determined by the Committee. The terms of options in no event exceed ten years from the date of grant. As of December 31, 2005, an aggregate maximum of 7,490,864 common units was authorized and reserved for all future and outstanding grants of options.</w:t>
      </w:r>
    </w:p>
    <w:p>
      <w:pPr>
        <w:spacing w:after="0" w:line="10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October 6, 2004, the Company granted 2,456,090 fully-vested and immediately exercisable options to purchase its restricted common units to certain members of management at the exercise price of $1 per unit. In addition, at the same date, the Company issued 1,146,178 options to purchase its common units to certain members of management and employees at the exercise price of $1 per unit, with a vesting term of 25% of the units on September 30, 2005 and 6.25% of the units on the last day of each calendar quarter thereafter.</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2005, the Company granted 3,174,562 options to purchase its common units or restricted common units at exercise prices ranging from $1 to $3 per unit. These options generally vest and become exercisable in periodic installments, 25% of the options on the first anniversary of the grant date or the date of employment, whichever is later, and 6.25% of the units on the last day of each calendar quarter thereafter.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Restricted units are issued upon the exercise of certain options to purchase restricted common units. Restricted units issued are subject to restrictions which generally lapse in installments over a four-year period.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unit option and restricted unit activities for the year ended December 31, 2005 and for the three months ended December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6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2"/>
              </w:rPr>
              <w:t>restricted units</w:t>
            </w:r>
          </w:p>
        </w:tc>
        <w:tc>
          <w:tcPr>
            <w:tcW w:w="32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price of options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1, 2004</w:t>
            </w: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2,456,090</w:t>
            </w:r>
          </w:p>
        </w:tc>
        <w:tc>
          <w:tcPr>
            <w:tcW w:w="6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3,602,268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w w:val="97"/>
              </w:rPr>
              <w:t>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2,456,090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7"/>
              </w:rPr>
              <w:t>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from restriction</w:t>
            </w: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378"/>
              <w:spacing w:after="0"/>
              <w:rPr>
                <w:sz w:val="20"/>
                <w:szCs w:val="20"/>
                <w:color w:val="auto"/>
              </w:rPr>
            </w:pPr>
            <w:r>
              <w:rPr>
                <w:rFonts w:ascii="Times New Roman" w:cs="Times New Roman" w:eastAsia="Times New Roman" w:hAnsi="Times New Roman"/>
                <w:sz w:val="18"/>
                <w:szCs w:val="18"/>
                <w:color w:val="auto"/>
                <w:w w:val="99"/>
              </w:rPr>
              <w:t>n/a</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Outstanding at December 31, 2004</w:t>
            </w:r>
          </w:p>
        </w:tc>
        <w:tc>
          <w:tcPr>
            <w:tcW w:w="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2,456,090</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1,146,178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97"/>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3,174,562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7"/>
              </w:rPr>
              <w:t>1.8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54,250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left="494"/>
              <w:spacing w:after="0"/>
              <w:rPr>
                <w:sz w:val="20"/>
                <w:szCs w:val="20"/>
                <w:color w:val="auto"/>
              </w:rPr>
            </w:pPr>
            <w:r>
              <w:rPr>
                <w:rFonts w:ascii="Times New Roman" w:cs="Times New Roman" w:eastAsia="Times New Roman" w:hAnsi="Times New Roman"/>
                <w:sz w:val="18"/>
                <w:szCs w:val="18"/>
                <w:color w:val="auto"/>
                <w:w w:val="97"/>
              </w:rPr>
              <w:t>2.1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485,847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7"/>
              </w:rPr>
              <w:t>1.6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Released from restriction</w:t>
            </w: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780,028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378"/>
              <w:spacing w:after="0"/>
              <w:rPr>
                <w:sz w:val="20"/>
                <w:szCs w:val="20"/>
                <w:color w:val="auto"/>
              </w:rPr>
            </w:pPr>
            <w:r>
              <w:rPr>
                <w:rFonts w:ascii="Times New Roman" w:cs="Times New Roman" w:eastAsia="Times New Roman" w:hAnsi="Times New Roman"/>
                <w:sz w:val="18"/>
                <w:szCs w:val="18"/>
                <w:color w:val="auto"/>
                <w:w w:val="99"/>
              </w:rPr>
              <w:t>n/a</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2005</w:t>
            </w: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1,726,062</w:t>
            </w:r>
          </w:p>
        </w:tc>
        <w:tc>
          <w:tcPr>
            <w:tcW w:w="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3,780,643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7"/>
              </w:rPr>
              <w:t>1.6</w:t>
            </w: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Exercisable at December 31, 2004</w:t>
            </w: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2005</w:t>
            </w: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870,880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7"/>
              </w:rPr>
              <w:t>1.6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color w:val="auto"/>
              </w:rPr>
              <w:t>The following summarizes information about options outstanding at December 31, 2005: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0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Options exercisable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Weighted average</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0" w:type="dxa"/>
            <w:vAlign w:val="bottom"/>
            <w:gridSpan w:val="2"/>
          </w:tcPr>
          <w:p>
            <w:pPr>
              <w:jc w:val="center"/>
              <w:ind w:right="18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0" w:type="dxa"/>
            <w:vAlign w:val="bottom"/>
          </w:tcPr>
          <w:p>
            <w:pPr>
              <w:spacing w:after="0"/>
              <w:rPr>
                <w:sz w:val="1"/>
                <w:szCs w:val="1"/>
                <w:color w:val="auto"/>
              </w:rPr>
            </w:pPr>
          </w:p>
        </w:tc>
      </w:tr>
      <w:tr>
        <w:trPr>
          <w:trHeight w:val="172"/>
        </w:trPr>
        <w:tc>
          <w:tcPr>
            <w:tcW w:w="4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0" w:type="dxa"/>
            <w:vAlign w:val="bottom"/>
            <w:gridSpan w:val="2"/>
          </w:tcPr>
          <w:p>
            <w:pPr>
              <w:jc w:val="center"/>
              <w:ind w:right="1832"/>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contractual life</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tcBorders>
              <w:top w:val="single" w:sz="8" w:color="auto"/>
            </w:tcBorders>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2,108,001</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Years</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 Years</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c>
          <w:tcPr>
            <w:tcW w:w="19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679,978</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 Years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1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747,664</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 Years</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3,780,643</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 Years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Impairment Charges</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2005, the Company recorded $36,234 thousand of restructuring and impairment charges which included $33,576 thousand for asset impairment and $2,658 thousand for restructuring.</w:t>
      </w:r>
    </w:p>
    <w:p>
      <w:pPr>
        <w:spacing w:after="0" w:line="120"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In the second quarter of 2005, the Company made a strategic decision to outsource some of the manufacturing processes specifically for packaging and testing. As a result, the Company recognized $7,996 thousand of impairment charges on certain long-lived assets. Additionally, on December 12, 2005, the Company’s Board decided to divest the Company’s Application Processor business in order to focus its business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on image sensors, display drivers, and foundry services. Based on such decision, the Company identified and segregated related tangible and intangible assets of $8,540 thousand as “held-for-sale” and stopped depreciating and amortizing from December 12, 2005. As a result, the Company recognized impairment charges of $25,580 thousand for the carrying value the assets during the fourth quarter of 2005.</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during the current year, the Company took a total of $2.7 million of restructuring charges which included early retirement costs and other costs associated with the sale of Application Processor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 Expenses</w:t>
      </w:r>
    </w:p>
    <w:p>
      <w:pPr>
        <w:spacing w:after="0" w:line="9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Company’s income tax expenses are composed of domestic and foreign income taxes depending on the relevant tax jurisdiction. For the Predecessor Company “Domestic” refers to the income before taxes, current income taxes and deferred income taxes generated or incurred in Korea. For the Successor Company, however, it refers to the income before taxes, current income taxes and deferred income taxes generated or incurred in the US, in which the ultimate parent of the Company resides.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tax expense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60" w:type="dxa"/>
            <w:vAlign w:val="bottom"/>
            <w:gridSpan w:val="3"/>
          </w:tcPr>
          <w:p>
            <w:pPr>
              <w:jc w:val="center"/>
              <w:ind w:right="598"/>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160" w:type="dxa"/>
            <w:vAlign w:val="bottom"/>
          </w:tcPr>
          <w:p>
            <w:pPr>
              <w:spacing w:after="0"/>
              <w:rPr>
                <w:sz w:val="12"/>
                <w:szCs w:val="12"/>
                <w:color w:val="auto"/>
              </w:rPr>
            </w:pPr>
          </w:p>
        </w:tc>
        <w:tc>
          <w:tcPr>
            <w:tcW w:w="1320" w:type="dxa"/>
            <w:vAlign w:val="bottom"/>
            <w:gridSpan w:val="2"/>
          </w:tcPr>
          <w:p>
            <w:pPr>
              <w:jc w:val="right"/>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320" w:type="dxa"/>
            <w:vAlign w:val="bottom"/>
          </w:tcPr>
          <w:p>
            <w:pPr>
              <w:spacing w:after="0"/>
              <w:rPr>
                <w:sz w:val="12"/>
                <w:szCs w:val="12"/>
                <w:color w:val="auto"/>
              </w:rPr>
            </w:pPr>
          </w:p>
        </w:tc>
        <w:tc>
          <w:tcPr>
            <w:tcW w:w="860" w:type="dxa"/>
            <w:vAlign w:val="bottom"/>
            <w:gridSpan w:val="3"/>
          </w:tcPr>
          <w:p>
            <w:pPr>
              <w:jc w:val="right"/>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60" w:type="dxa"/>
            <w:vAlign w:val="bottom"/>
            <w:gridSpan w:val="3"/>
          </w:tcPr>
          <w:p>
            <w:pPr>
              <w:jc w:val="center"/>
              <w:ind w:right="598"/>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jc w:val="right"/>
              <w:ind w:right="118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160" w:type="dxa"/>
            <w:vAlign w:val="bottom"/>
          </w:tcPr>
          <w:p>
            <w:pPr>
              <w:spacing w:after="0"/>
              <w:rPr>
                <w:sz w:val="12"/>
                <w:szCs w:val="12"/>
                <w:color w:val="auto"/>
              </w:rPr>
            </w:pPr>
          </w:p>
        </w:tc>
        <w:tc>
          <w:tcPr>
            <w:tcW w:w="2200" w:type="dxa"/>
            <w:vAlign w:val="bottom"/>
            <w:gridSpan w:val="6"/>
          </w:tcPr>
          <w:p>
            <w:pPr>
              <w:jc w:val="right"/>
              <w:ind w:right="438"/>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2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(3,528)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48,660</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(91,795)</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(95,554)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(2,236)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(20,539)</w:t>
            </w: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(99,082</w:t>
            </w:r>
          </w:p>
        </w:tc>
        <w:tc>
          <w:tcPr>
            <w:tcW w:w="68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2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expenses</w:t>
            </w:r>
          </w:p>
        </w:tc>
        <w:tc>
          <w:tcPr>
            <w:tcW w:w="2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2,828</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ultimate parent of the Company is a limited liability company, a non-taxable entity for US tax purposes and thus the statutory income tax rate shall be zero. A substantial portion of the income tax expenses above is incurred from MSK, which is the principal operating entity within the Company. The statutory income tax rate of MSK, including tax surcharges, applicable to the Company was approximately 27.5% in 2005, which was reduced from 29.7% in 2004 in accordance with the Corporate Income Tax Law as amended on December 31, 2003.</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income tax rate used to calculate the tax provision by the Predecessor Company was the statutory income tax rate of Korea, which was 29.7%. For the Successor Company, the statutory income tax rate is zero as its ultimate parent is a non-taxable US entity. The provision for domestic and foreign income taxes incurred is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different from the amount calculated by applying the statutory tax rate to the net income before income taxes. The significant items causing this difference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60" w:type="dxa"/>
            <w:vAlign w:val="bottom"/>
          </w:tcPr>
          <w:p>
            <w:pPr>
              <w:spacing w:after="0"/>
              <w:rPr>
                <w:sz w:val="13"/>
                <w:szCs w:val="13"/>
                <w:color w:val="auto"/>
              </w:rPr>
            </w:pPr>
          </w:p>
        </w:tc>
        <w:tc>
          <w:tcPr>
            <w:tcW w:w="154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20" w:type="dxa"/>
            <w:vAlign w:val="bottom"/>
            <w:gridSpan w:val="3"/>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9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2"/>
                <w:szCs w:val="12"/>
                <w:color w:val="auto"/>
              </w:rPr>
            </w:pPr>
          </w:p>
        </w:tc>
        <w:tc>
          <w:tcPr>
            <w:tcW w:w="154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2005</w:t>
            </w: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Borders>
              <w:right w:val="single" w:sz="8" w:color="auto"/>
            </w:tcBorders>
            <w:gridSpan w:val="5"/>
          </w:tcPr>
          <w:p>
            <w:pPr>
              <w:jc w:val="right"/>
              <w:ind w:right="64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5"/>
          </w:tcPr>
          <w:p>
            <w:pPr>
              <w:jc w:val="right"/>
              <w:ind w:right="660"/>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computed at statutory rate</w:t>
            </w:r>
          </w:p>
        </w:tc>
        <w:tc>
          <w:tcPr>
            <w:tcW w:w="180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statutory tax rate</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(5,088)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8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(818)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overseas tax rate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(27,745)</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Exemption</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(10,387)</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statutory income taxes</w:t>
            </w:r>
          </w:p>
        </w:tc>
        <w:tc>
          <w:tcPr>
            <w:tcW w:w="180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composition of net deferred income tax assets (liabilities) at December 31, 2005 and 2004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2005</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ind w:left="4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(Successor Company)</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32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4,949</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Product warranties</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Severance benefits</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4,679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equipments</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33,749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NOL carry-forwards</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9,990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5,708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11,520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(38,391)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36,635</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consideration</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23,927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24,419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 (liabilities)</w:t>
            </w:r>
          </w:p>
        </w:tc>
        <w:tc>
          <w:tcPr>
            <w:tcW w:w="4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140" w:type="dxa"/>
            <w:vAlign w:val="bottom"/>
            <w:vMerge w:val="restart"/>
          </w:tcPr>
          <w:p>
            <w:pPr>
              <w:jc w:val="right"/>
              <w:ind w:right="2472"/>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Changes in valuation allowance for deferred tax assets for the year ended December 31, 2005 and for three months ended December 31, 2004 are as follows: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8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79"/>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2005</w:t>
            </w: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ind w:left="4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(Successor Company)</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Transferred from acquired company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to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w:t>
            </w:r>
          </w:p>
        </w:tc>
        <w:tc>
          <w:tcPr>
            <w:tcW w:w="8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0" w:type="dxa"/>
            <w:vAlign w:val="bottom"/>
          </w:tcPr>
          <w:p>
            <w:pPr>
              <w:spacing w:after="0"/>
              <w:rPr>
                <w:sz w:val="18"/>
                <w:szCs w:val="18"/>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8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book and tax losses, management determined that it was more likely than not, that the Company would realize its deferred tax assets to the amount of $12,216 thousand as of December 31, 2005 and zero as of December 31, 2004. Accordingly, the Company recorded a valuation allowance of $38,391 thousand and $ 8,700 thousand on its net deferred tax assets for 2005 and 2004, respectively.</w:t>
      </w:r>
    </w:p>
    <w:p>
      <w:pPr>
        <w:spacing w:after="0" w:line="13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At December 31, 2005, the Company had approximately $41,380 thousand of net operating loss carry-forwards available to offset future taxable income, which expires in varying amounts starting from 2006.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Geographic and Segment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operates in one business segment, the manufacture and sale of semiconductor products.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net sales by region, based on the location of the customer: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0"/>
              </w:rPr>
              <w:t>Three months</w:t>
            </w:r>
          </w:p>
        </w:tc>
        <w:tc>
          <w:tcPr>
            <w:tcW w:w="56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Nine months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9"/>
        </w:trPr>
        <w:tc>
          <w:tcPr>
            <w:tcW w:w="3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900" w:type="dxa"/>
            <w:vAlign w:val="bottom"/>
            <w:gridSpan w:val="2"/>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3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44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5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38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2003</w:t>
            </w:r>
          </w:p>
        </w:tc>
      </w:tr>
      <w:tr>
        <w:trPr>
          <w:trHeight w:val="142"/>
        </w:trPr>
        <w:tc>
          <w:tcPr>
            <w:tcW w:w="3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Borders>
              <w:right w:val="single" w:sz="8" w:color="auto"/>
            </w:tcBorders>
            <w:gridSpan w:val="4"/>
          </w:tcPr>
          <w:p>
            <w:pPr>
              <w:jc w:val="right"/>
              <w:ind w:right="337"/>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tcPr>
          <w:p>
            <w:pPr>
              <w:jc w:val="right"/>
              <w:ind w:right="375"/>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940" w:type="dxa"/>
            <w:vAlign w:val="bottom"/>
            <w:gridSpan w:val="2"/>
            <w:shd w:val="clear" w:color="auto" w:fill="CCEEFF"/>
          </w:tcPr>
          <w:p>
            <w:pPr>
              <w:ind w:left="2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512,366</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455,616</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498,051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251,173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152,217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129,795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29,476</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21,298</w:t>
            </w:r>
          </w:p>
        </w:tc>
      </w:tr>
      <w:tr>
        <w:trPr>
          <w:trHeight w:val="25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937,656</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841,588</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830,840</w:t>
            </w:r>
          </w:p>
        </w:tc>
      </w:tr>
      <w:tr>
        <w:trPr>
          <w:trHeight w:val="20"/>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-25400</wp:posOffset>
            </wp:positionV>
            <wp:extent cx="88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Over 99% of the Company’ property, plant and equipment are located in Korea as of December 31, 2005.</w:t>
      </w:r>
    </w:p>
    <w:p>
      <w:pPr>
        <w:spacing w:after="0" w:line="17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Net sales from the Company’s top ten largest customers accounted for 63%, 62%, 63%, and 65%, for the year ended December 31, 2005, three months ended December 31, 2004, nine months ended September 30, 2004, and year ended December 31, 2003,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net sales by product for each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Nine months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9"/>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900" w:type="dxa"/>
            <w:vAlign w:val="bottom"/>
            <w:gridSpan w:val="2"/>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4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4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4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2003</w:t>
            </w:r>
          </w:p>
        </w:tc>
      </w:tr>
      <w:tr>
        <w:trPr>
          <w:trHeight w:val="142"/>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Borders>
              <w:right w:val="single" w:sz="8" w:color="auto"/>
            </w:tcBorders>
            <w:gridSpan w:val="4"/>
          </w:tcPr>
          <w:p>
            <w:pPr>
              <w:jc w:val="right"/>
              <w:ind w:right="337"/>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tcPr>
          <w:p>
            <w:pPr>
              <w:jc w:val="right"/>
              <w:ind w:right="375"/>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r>
      <w:tr>
        <w:trPr>
          <w:trHeight w:val="24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Solution Products</w:t>
            </w:r>
          </w:p>
        </w:tc>
        <w:tc>
          <w:tcPr>
            <w:tcW w:w="1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Flat panel display driver</w:t>
            </w:r>
          </w:p>
        </w:tc>
        <w:tc>
          <w:tcPr>
            <w:tcW w:w="21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326,027</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60,352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198,823</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186,251</w:t>
            </w:r>
          </w:p>
        </w:tc>
      </w:tr>
      <w:tr>
        <w:trPr>
          <w:trHeight w:val="21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CMOS Image Sensor</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68,253</w:t>
            </w: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Application Processors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104,491</w:t>
            </w:r>
          </w:p>
        </w:tc>
      </w:tr>
      <w:tr>
        <w:trPr>
          <w:trHeight w:val="24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Manufacturing Service</w:t>
            </w:r>
          </w:p>
        </w:tc>
        <w:tc>
          <w:tcPr>
            <w:tcW w:w="1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16"/>
        </w:trPr>
        <w:tc>
          <w:tcPr>
            <w:tcW w:w="4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Memory</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259,678</w:t>
            </w:r>
          </w:p>
        </w:tc>
      </w:tr>
      <w:tr>
        <w:trPr>
          <w:trHeight w:val="216"/>
        </w:trPr>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Non-memory</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88,295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212,167</w:t>
            </w:r>
          </w:p>
        </w:tc>
      </w:tr>
      <w:tr>
        <w:trPr>
          <w:trHeight w:val="25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16"/>
        </w:trPr>
        <w:tc>
          <w:tcPr>
            <w:tcW w:w="46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937,656</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243,582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841,588</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830,840</w:t>
            </w:r>
          </w:p>
        </w:tc>
      </w:tr>
      <w:tr>
        <w:trPr>
          <w:trHeight w:val="20"/>
        </w:trPr>
        <w:tc>
          <w:tcPr>
            <w:tcW w:w="4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8660" w:firstLine="8"/>
        <w:spacing w:after="0" w:line="388" w:lineRule="auto"/>
        <w:tabs>
          <w:tab w:leader="none" w:pos="263"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color w:val="auto"/>
        </w:rPr>
        <w:t>Operating Agreements with Hynix</w:t>
      </w:r>
    </w:p>
    <w:p>
      <w:pPr>
        <w:spacing w:after="0" w:line="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Original Acquisition, the Company entered into several definitive agreements with Hynix regarding key materials, campus facilities, research and development equipment and information technology, factory automation and wafer foundry services. The Company also agreed to provide certain utilities and infrastructure support services to Hynix. The obligation to provide services under these agreements generally lasts for one to five years from the closing of Original Acquisition. The obligation to provide certain services lasts indefinitely.</w:t>
      </w:r>
    </w:p>
    <w:p>
      <w:pPr>
        <w:spacing w:after="0" w:line="136"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In addition, the Company entered into a water foundry services agreement with Hynix under which the Company agreed to sell and Hynix agreed to purchase a certain monthly minimum quantity of DRAM semiconductors until August 31, 2005. Hynix and the Company agreed to extend the wafer foundry arrangement until November 10, 2005. The Company and Hynix also entered into a photo mask supply agreement under which Hynix agreed to supply the Company with up to a certain maximum quantity of photo masks.</w:t>
      </w:r>
    </w:p>
    <w:p>
      <w:pPr>
        <w:spacing w:after="0" w:line="136"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The Company also entered into a non-exclusive cross license with Hynix which provides the Company with access to certain of Hynix’s intellectual property for use in the manufacture and sale of non-memory semiconductor products.</w:t>
      </w:r>
    </w:p>
    <w:p>
      <w:pPr>
        <w:spacing w:after="0" w:line="120"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6"/>
          <w:szCs w:val="16"/>
          <w:color w:val="auto"/>
        </w:rPr>
        <w:t>Upon the closing of the Original Acquisition, MagnaChip Korea and Hynix also entered into four lease agreements. Under one agreement, MagnaChip Korea leases from Hynix certain exclusive-use space plus common- and joint-use space in several buildings, primarily warehouses, in Cheongju, Korea. Under another agreement, Hynix leases from MagnaChip Korea certain exclusive-use space plus certain common- and joint-use space in three buildings in Cheongju, Korea. These two leases are generally for an initial term of 20 years plus an indefinite number of renewal terms of 10 years each. Each of the leases is cancelable upon 90 days’ notice by the lessee. Under the third agreement, MagnaChip Korea leased from Hynix exclusive-use space plus certain common-use space in a building in Icheon, Korea, although this lease was terminated on November 15, 2005. Under the final agreement, the Company leases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leases land, office building and equipments under various operating lease agreements that expire through 2034. Rental expenses were approximately $13,913 thousand for the year ended December 31, 2005, $2,910 thousand for the three-month period ended December 31, 2004 (successor company) and $2,318 thousand and $1,556 thousand for the nine-month period ended September 30, 2004 and the year ended December 31, 2003 (predecessor company), respectively.</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36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w w:val="97"/>
              </w:rPr>
              <w:t>As of December 31, 2005, the minimum aggregate rental payments due under non-cancelable lease contracts are as follows: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900" w:type="dxa"/>
            <w:vAlign w:val="bottom"/>
            <w:shd w:val="clear" w:color="auto" w:fill="CCEEFF"/>
          </w:tcPr>
          <w:p>
            <w:pPr>
              <w:jc w:val="right"/>
              <w:ind w:right="8452"/>
              <w:spacing w:after="0"/>
              <w:rPr>
                <w:sz w:val="20"/>
                <w:szCs w:val="20"/>
                <w:color w:val="auto"/>
              </w:rPr>
            </w:pPr>
            <w:r>
              <w:rPr>
                <w:rFonts w:ascii="Times New Roman" w:cs="Times New Roman" w:eastAsia="Times New Roman" w:hAnsi="Times New Roman"/>
                <w:sz w:val="18"/>
                <w:szCs w:val="18"/>
                <w:color w:val="auto"/>
                <w:w w:val="94"/>
              </w:rPr>
              <w:t>2006</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tcPr>
          <w:p>
            <w:pPr>
              <w:jc w:val="right"/>
              <w:ind w:right="8452"/>
              <w:spacing w:after="0"/>
              <w:rPr>
                <w:sz w:val="20"/>
                <w:szCs w:val="20"/>
                <w:color w:val="auto"/>
              </w:rPr>
            </w:pPr>
            <w:r>
              <w:rPr>
                <w:rFonts w:ascii="Times New Roman" w:cs="Times New Roman" w:eastAsia="Times New Roman" w:hAnsi="Times New Roman"/>
                <w:sz w:val="18"/>
                <w:szCs w:val="18"/>
                <w:color w:val="auto"/>
                <w:w w:val="94"/>
              </w:rPr>
              <w:t>2007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shd w:val="clear" w:color="auto" w:fill="CCEEFF"/>
          </w:tcPr>
          <w:p>
            <w:pPr>
              <w:jc w:val="right"/>
              <w:ind w:right="8452"/>
              <w:spacing w:after="0"/>
              <w:rPr>
                <w:sz w:val="20"/>
                <w:szCs w:val="20"/>
                <w:color w:val="auto"/>
              </w:rPr>
            </w:pPr>
            <w:r>
              <w:rPr>
                <w:rFonts w:ascii="Times New Roman" w:cs="Times New Roman" w:eastAsia="Times New Roman" w:hAnsi="Times New Roman"/>
                <w:sz w:val="18"/>
                <w:szCs w:val="18"/>
                <w:color w:val="auto"/>
                <w:w w:val="94"/>
              </w:rPr>
              <w:t>2008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tcPr>
          <w:p>
            <w:pPr>
              <w:jc w:val="right"/>
              <w:ind w:right="8452"/>
              <w:spacing w:after="0"/>
              <w:rPr>
                <w:sz w:val="20"/>
                <w:szCs w:val="20"/>
                <w:color w:val="auto"/>
              </w:rPr>
            </w:pPr>
            <w:r>
              <w:rPr>
                <w:rFonts w:ascii="Times New Roman" w:cs="Times New Roman" w:eastAsia="Times New Roman" w:hAnsi="Times New Roman"/>
                <w:sz w:val="18"/>
                <w:szCs w:val="18"/>
                <w:color w:val="auto"/>
                <w:w w:val="94"/>
              </w:rPr>
              <w:t>2009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shd w:val="clear" w:color="auto" w:fill="CCEEFF"/>
          </w:tcPr>
          <w:p>
            <w:pPr>
              <w:jc w:val="right"/>
              <w:ind w:right="8452"/>
              <w:spacing w:after="0"/>
              <w:rPr>
                <w:sz w:val="20"/>
                <w:szCs w:val="20"/>
                <w:color w:val="auto"/>
              </w:rPr>
            </w:pPr>
            <w:r>
              <w:rPr>
                <w:rFonts w:ascii="Times New Roman" w:cs="Times New Roman" w:eastAsia="Times New Roman" w:hAnsi="Times New Roman"/>
                <w:sz w:val="18"/>
                <w:szCs w:val="18"/>
                <w:color w:val="auto"/>
                <w:w w:val="94"/>
              </w:rPr>
              <w:t>2010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Agreements</w:t>
      </w:r>
    </w:p>
    <w:p>
      <w:pPr>
        <w:spacing w:after="0" w:line="94"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An advisory agreement was entered into as of October 6, 2004 by and between the Company and advisors including CVC Management LLC (“CVC Management”), CVC Capital Partners Asia Limited (“CVC Capital”) and Francisco Partners Management LLC (“Francisco Partners”). The Company is to pay each of CVC Management and Francisco Partners an annual advisory fee the 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initial term of 10 years, subject to termination by either party upon written notice 90 days prior to the expiration of the initial term or any extension thereof. During the year ended December 31, 2005 and the three-month period ended December 31, 2004 (successor company), the Company accrued $3,545 thousand and $890 thousand of accrued expenses under these agreements, respectively, which is included in selling, general and administrative expenses in the accompanying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Undrawn line of credit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undrawn portion of the new senior secured credit line was $82,956 thousand and $86,295 thousand as of December 31, 2005 and 2004, respectively.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Guarantee</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2005 and 2004, the Company has provided guarantees for bank loans that employees borrowed to participate in the issuance of new shares of Hynix in 1999. Outstanding balance of guarantees for payments provided by the Company amounted to approximately $304 thousand and $4,846 thousand, as of December 31, 2005 and 2004,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Funds related to Citigroup Venture Capital (“CVC”), Francisco Partners and CVC Asia Pacific own 33.8%, 33.8% and 18.2%, respectively, of the common units, and 35.9%, 35.9% and 19.3%, respectively, of the Series B</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units outstanding at December 31, 2005. Refer to “Item 12. Security Ownership of Certain Beneficial Owners and Management and Related Stockholder Matters” for details of ownership of each party.</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Hyundai Display Technology, Hyundai Information Technology and Hyundai ASTEC were all subsidiaries of Hynix. As a result of Original Acquisition, these companies were all excluded from related parties of the Company.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Transactions between the Company and its related parties are as follows: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Hynix</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Hyundai Display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Other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Hynix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Hyundai Information Technology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Hyundai ASTEC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Other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Fee</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Citigroup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Francisco Partners</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CVC Asia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Loans to employees as of December 31, 2005 and 2004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Short-term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Long-term loans</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0" w:type="dxa"/>
            <w:vAlign w:val="bottom"/>
          </w:tcPr>
          <w:p>
            <w:pPr>
              <w:spacing w:after="0"/>
              <w:rPr>
                <w:sz w:val="1"/>
                <w:szCs w:val="1"/>
                <w:color w:val="auto"/>
              </w:rPr>
            </w:pPr>
          </w:p>
        </w:tc>
      </w:tr>
      <w:tr>
        <w:trPr>
          <w:trHeight w:val="149"/>
        </w:trPr>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0" w:type="dxa"/>
            <w:vAlign w:val="bottom"/>
          </w:tcPr>
          <w:p>
            <w:pPr>
              <w:spacing w:after="0"/>
              <w:rPr>
                <w:sz w:val="12"/>
                <w:szCs w:val="12"/>
                <w:color w:val="auto"/>
              </w:rPr>
            </w:pPr>
          </w:p>
        </w:tc>
        <w:tc>
          <w:tcPr>
            <w:tcW w:w="940" w:type="dxa"/>
            <w:vAlign w:val="bottom"/>
            <w:gridSpan w:val="5"/>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8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9"/>
        </w:trPr>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2060" w:type="dxa"/>
            <w:vAlign w:val="bottom"/>
            <w:tcBorders>
              <w:right w:val="single" w:sz="8" w:color="auto"/>
            </w:tcBorders>
            <w:gridSpan w:val="7"/>
          </w:tcPr>
          <w:p>
            <w:pPr>
              <w:jc w:val="right"/>
              <w:ind w:right="422"/>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7"/>
          </w:tcPr>
          <w:p>
            <w:pPr>
              <w:jc w:val="right"/>
              <w:ind w:right="540"/>
              <w:spacing w:after="0" w:line="143" w:lineRule="exact"/>
              <w:rPr>
                <w:sz w:val="20"/>
                <w:szCs w:val="20"/>
                <w:color w:val="auto"/>
              </w:rPr>
            </w:pPr>
            <w:r>
              <w:rPr>
                <w:rFonts w:ascii="Times New Roman" w:cs="Times New Roman" w:eastAsia="Times New Roman" w:hAnsi="Times New Roman"/>
                <w:sz w:val="14"/>
                <w:szCs w:val="14"/>
                <w:b w:val="1"/>
                <w:bCs w:val="1"/>
                <w:color w:val="auto"/>
              </w:rPr>
              <w:t>(Predecessor Company)</w:t>
            </w:r>
          </w:p>
        </w:tc>
        <w:tc>
          <w:tcPr>
            <w:tcW w:w="0" w:type="dxa"/>
            <w:vAlign w:val="bottom"/>
          </w:tcPr>
          <w:p>
            <w:pPr>
              <w:spacing w:after="0"/>
              <w:rPr>
                <w:sz w:val="1"/>
                <w:szCs w:val="1"/>
                <w:color w:val="auto"/>
              </w:rPr>
            </w:pPr>
          </w:p>
        </w:tc>
      </w:tr>
      <w:tr>
        <w:trPr>
          <w:trHeight w:val="445"/>
        </w:trPr>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163,760</w:t>
            </w:r>
          </w:p>
        </w:tc>
        <w:tc>
          <w:tcPr>
            <w:tcW w:w="780" w:type="dxa"/>
            <w:vAlign w:val="bottom"/>
            <w:gridSpan w:val="3"/>
          </w:tcPr>
          <w:p>
            <w:pPr>
              <w:jc w:val="center"/>
              <w:ind w:left="41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259,678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2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260,739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11,999</w:t>
            </w:r>
          </w:p>
        </w:tc>
        <w:tc>
          <w:tcPr>
            <w:tcW w:w="780" w:type="dxa"/>
            <w:vAlign w:val="bottom"/>
            <w:gridSpan w:val="3"/>
          </w:tcPr>
          <w:p>
            <w:pPr>
              <w:jc w:val="center"/>
              <w:ind w:left="41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42,857</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22,132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64,705</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c>
          <w:tcPr>
            <w:tcW w:w="76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6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78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c>
          <w:tcPr>
            <w:tcW w:w="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0" w:type="dxa"/>
            <w:vAlign w:val="bottom"/>
          </w:tcPr>
          <w:p>
            <w:pPr>
              <w:spacing w:after="0"/>
              <w:rPr>
                <w:sz w:val="21"/>
                <w:szCs w:val="21"/>
                <w:color w:val="auto"/>
              </w:rPr>
            </w:pPr>
          </w:p>
        </w:tc>
        <w:tc>
          <w:tcPr>
            <w:tcW w:w="7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890</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8"/>
        </w:trPr>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rPr>
                <w:sz w:val="11"/>
                <w:szCs w:val="11"/>
                <w:color w:val="auto"/>
              </w:rPr>
            </w:pPr>
          </w:p>
        </w:tc>
        <w:tc>
          <w:tcPr>
            <w:tcW w:w="10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78"/>
              </w:rPr>
              <w:t>(Successor Company)</w:t>
            </w:r>
          </w:p>
        </w:tc>
        <w:tc>
          <w:tcPr>
            <w:tcW w:w="540" w:type="dxa"/>
            <w:vAlign w:val="bottom"/>
            <w:tcBorders>
              <w:top w:val="single" w:sz="8" w:color="auto"/>
            </w:tcBorders>
            <w:gridSpan w:val="2"/>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88"/>
              </w:rPr>
              <w:t>124</w:t>
            </w: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193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00" w:space="360"/>
            <w:col w:w="5260"/>
          </w:cols>
          <w:pgMar w:left="240" w:top="455" w:right="2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Earnings per Unit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net loss attributable to common unitholders per common unit.</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2005</w:t>
            </w: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tcPr>
          <w:p>
            <w:pPr>
              <w:jc w:val="right"/>
              <w:ind w:right="72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(100,898)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to preferred stockholders</w:t>
            </w:r>
          </w:p>
        </w:tc>
        <w:tc>
          <w:tcPr>
            <w:tcW w:w="10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(110,826)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Weighted-average common units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52,898,497</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50,061,910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unit—basic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following outstanding redeemable convertible preferred unit issued, stock-options granted and warrants issued to Hynix were excluded from the computation of diluted net loss per unit as they had antidilutive effects: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9"/>
        </w:trPr>
        <w:tc>
          <w:tcPr>
            <w:tcW w:w="8060" w:type="dxa"/>
            <w:vAlign w:val="bottom"/>
          </w:tcPr>
          <w:p>
            <w:pPr>
              <w:spacing w:after="0"/>
              <w:rPr>
                <w:sz w:val="15"/>
                <w:szCs w:val="15"/>
                <w:color w:val="auto"/>
              </w:rPr>
            </w:pPr>
          </w:p>
        </w:tc>
        <w:tc>
          <w:tcPr>
            <w:tcW w:w="9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20" w:type="dxa"/>
            <w:vAlign w:val="bottom"/>
          </w:tcPr>
          <w:p>
            <w:pPr>
              <w:spacing w:after="0"/>
              <w:rPr>
                <w:sz w:val="15"/>
                <w:szCs w:val="15"/>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2004</w:t>
            </w:r>
          </w:p>
        </w:tc>
      </w:tr>
      <w:tr>
        <w:trPr>
          <w:trHeight w:val="142"/>
        </w:trPr>
        <w:tc>
          <w:tcPr>
            <w:tcW w:w="8060" w:type="dxa"/>
            <w:vAlign w:val="bottom"/>
          </w:tcPr>
          <w:p>
            <w:pPr>
              <w:spacing w:after="0"/>
              <w:rPr>
                <w:sz w:val="12"/>
                <w:szCs w:val="12"/>
                <w:color w:val="auto"/>
              </w:rPr>
            </w:pPr>
          </w:p>
        </w:tc>
        <w:tc>
          <w:tcPr>
            <w:tcW w:w="2440" w:type="dxa"/>
            <w:vAlign w:val="bottom"/>
            <w:gridSpan w:val="3"/>
          </w:tcPr>
          <w:p>
            <w:pPr>
              <w:jc w:val="right"/>
              <w:ind w:right="520"/>
              <w:spacing w:after="0" w:line="143" w:lineRule="exact"/>
              <w:rPr>
                <w:sz w:val="20"/>
                <w:szCs w:val="20"/>
                <w:color w:val="auto"/>
              </w:rPr>
            </w:pPr>
            <w:r>
              <w:rPr>
                <w:rFonts w:ascii="Times New Roman" w:cs="Times New Roman" w:eastAsia="Times New Roman" w:hAnsi="Times New Roman"/>
                <w:sz w:val="14"/>
                <w:szCs w:val="14"/>
                <w:b w:val="1"/>
                <w:bCs w:val="1"/>
                <w:color w:val="auto"/>
              </w:rPr>
              <w:t>(Successor Company)</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units</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93,997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93,997</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3,780,643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1,146,178</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5,079,254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5,079,254</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On January 31, 2006, the Company completed the sale of the Company’s application processor business to ABOV Semiconductor Co., Ltd. The Company transferred certain employees, tangible assets and intangible assets related to the application processor business. As part of this transaction, the Company acquired approximately 3% of the then-outstanding equity of ABOV Semiconductor Co., Ltd.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Condensed Consolidating Financial Statements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Below are the condensed consolidating balance sheets as of December 31, 2005 and 2004 and condensed consolidating statements of operations and of cash flows for the year ended December 31, 2005 and the three-month period ended December 31, 2004 (successor company) of those entities that guarantee the Senior Subordinated Notes, those that do not, MagnaChip Semiconductor LLC, and the co-issuers.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Consolidating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Company &amp;</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MagnaChip</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1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22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Eliminations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209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net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receivables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110,944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484,019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(38,942)</w:t>
            </w: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(130,945)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inter-company loans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774,199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(1,395,510)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783,351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992,826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914,595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(1,711,103)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Unitholders’ equity</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8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74,003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accounts payable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191,590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(1,395,510)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753,741</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(1,578,849)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Consolidating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Company &amp;</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MagnaChip</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LLC</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2"/>
              </w:rPr>
              <w:t>(Parent)</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Guarantors</w:t>
            </w: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2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A redeemable convertible preferred units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Series B redeemable convertible preferred unites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106,462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redeemable convertible preferred units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106,462</w:t>
            </w:r>
          </w:p>
        </w:tc>
        <w:tc>
          <w:tcPr>
            <w:tcW w:w="2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53,092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102,986</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58,364</w:t>
            </w:r>
          </w:p>
        </w:tc>
        <w:tc>
          <w:tcPr>
            <w:tcW w:w="16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(200,355)</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71,989</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(228,228)</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(130,092)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(102,930)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(99,666)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(172,038)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374,634</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(78,305)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unitholders’ equity</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(46,484)</w:t>
            </w:r>
          </w:p>
        </w:tc>
        <w:tc>
          <w:tcPr>
            <w:tcW w:w="2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119,799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(132,254)</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Total liabilities, redeemable convertible preferred units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unitholders’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60,978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783,351</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$ 992,826</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$ 914,595</w:t>
            </w:r>
          </w:p>
        </w:tc>
        <w:tc>
          <w:tcPr>
            <w:tcW w:w="1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(1,711,103)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$ 1,040,647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Consolidating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Company &amp;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MagnaChip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10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w w:val="96"/>
              </w:rPr>
              <w:t>Eliminations</w:t>
            </w: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(55,257)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(36,317)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inter company loans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116,409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(350,998)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Long-term inter company loans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(1,414,796)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867,184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(1,875,451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(55,257)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accounts payable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(36,317)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(8,650)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(106,133)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(1,416,771)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751,381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(1,522,904)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Consolidating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Company &amp;</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MagnaChip</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4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120" w:type="dxa"/>
            <w:vAlign w:val="bottom"/>
          </w:tcPr>
          <w:p>
            <w:pPr>
              <w:spacing w:after="0"/>
              <w:rPr>
                <w:sz w:val="12"/>
                <w:szCs w:val="12"/>
                <w:color w:val="auto"/>
              </w:rPr>
            </w:pPr>
          </w:p>
        </w:tc>
        <w:tc>
          <w:tcPr>
            <w:tcW w:w="11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12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Guarantors</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A redeemable convertible preferred units</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Series B redeemable convertible preferred unites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redeemable convertible preferred units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102,986</w:t>
            </w:r>
          </w:p>
        </w:tc>
        <w:tc>
          <w:tcPr>
            <w:tcW w:w="16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38,845</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(142,092)</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155,212</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29,370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(185,609)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(8,715)</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(9,420)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(18,784)</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36,919</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20,720</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20,540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(61,765)</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unitholders’ equity</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2"/>
              </w:rPr>
              <w:t>205,357</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3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(352,547)</w:t>
            </w:r>
          </w:p>
        </w:tc>
        <w:tc>
          <w:tcPr>
            <w:tcW w:w="2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Total liabilities, redeemable convertible preferred units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and unitholders’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153,568</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867,184</w:t>
            </w: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$ 1,103,670</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$ 905,559</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 (1,875,451)</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$ 1,154,530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Semiconductor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Company &amp;</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MagnaChip</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Semiconductor</w:t>
            </w:r>
          </w:p>
        </w:tc>
        <w:tc>
          <w:tcPr>
            <w:tcW w:w="3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Semiconductor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9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(Co-Issuers)</w:t>
            </w:r>
          </w:p>
        </w:tc>
        <w:tc>
          <w:tcPr>
            <w:tcW w:w="4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Guarantors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Eliminations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$ 914,445</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$ 431,339</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(408,128)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(401,514)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728,999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208,657</w:t>
            </w:r>
          </w:p>
        </w:tc>
        <w:tc>
          <w:tcPr>
            <w:tcW w:w="0" w:type="dxa"/>
            <w:vAlign w:val="bottom"/>
          </w:tcPr>
          <w:p>
            <w:pPr>
              <w:spacing w:after="0"/>
              <w:rPr>
                <w:sz w:val="1"/>
                <w:szCs w:val="1"/>
                <w:color w:val="auto"/>
              </w:rPr>
            </w:pPr>
          </w:p>
        </w:tc>
      </w:tr>
      <w:tr>
        <w:trPr>
          <w:trHeight w:val="22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1,876</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impairment charge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(1,876)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(54,277)</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(58,378)</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4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Income (loss) before income taxes, equity in earnings (loss)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related equity investment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(15,607)</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(89,854)</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(99,082)</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163</w:t>
            </w:r>
          </w:p>
        </w:tc>
        <w:tc>
          <w:tcPr>
            <w:tcW w:w="4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Income (loss) before equity in earnings (loss) of related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(15,770)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(89,854)</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5,097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(100,898)</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(loss) of related investment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(78,445)</w:t>
            </w:r>
          </w:p>
        </w:tc>
        <w:tc>
          <w:tcPr>
            <w:tcW w:w="4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(100,898)</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(94,215)</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 (89,854)</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(81,888)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(100,898)</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(110,826)</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(94,215)</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 (89,854)</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(81,888)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Semiconductor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92"/>
              </w:rPr>
              <w:t>MagnaChip</w:t>
            </w:r>
          </w:p>
        </w:tc>
        <w:tc>
          <w:tcPr>
            <w:tcW w:w="220" w:type="dxa"/>
            <w:vAlign w:val="bottom"/>
          </w:tcPr>
          <w:p>
            <w:pPr>
              <w:spacing w:after="0"/>
              <w:rPr>
                <w:sz w:val="12"/>
                <w:szCs w:val="12"/>
                <w:color w:val="auto"/>
              </w:rPr>
            </w:pPr>
          </w:p>
        </w:tc>
        <w:tc>
          <w:tcPr>
            <w:tcW w:w="1380" w:type="dxa"/>
            <w:vAlign w:val="bottom"/>
            <w:gridSpan w:val="3"/>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Company &amp;</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600"/>
              <w:spacing w:after="0" w:line="139" w:lineRule="exact"/>
              <w:rPr>
                <w:sz w:val="20"/>
                <w:szCs w:val="20"/>
                <w:color w:val="auto"/>
              </w:rPr>
            </w:pPr>
            <w:r>
              <w:rPr>
                <w:rFonts w:ascii="Times New Roman" w:cs="Times New Roman" w:eastAsia="Times New Roman" w:hAnsi="Times New Roman"/>
                <w:sz w:val="14"/>
                <w:szCs w:val="14"/>
                <w:b w:val="1"/>
                <w:bCs w:val="1"/>
                <w:color w:val="auto"/>
                <w:w w:val="94"/>
              </w:rPr>
              <w:t>MagnaChip</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Semiconductor</w:t>
            </w:r>
          </w:p>
        </w:tc>
        <w:tc>
          <w:tcPr>
            <w:tcW w:w="2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Semiconductor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98"/>
              <w:spacing w:after="0" w:line="149" w:lineRule="exact"/>
              <w:rPr>
                <w:sz w:val="20"/>
                <w:szCs w:val="20"/>
                <w:color w:val="auto"/>
              </w:rPr>
            </w:pPr>
            <w:r>
              <w:rPr>
                <w:rFonts w:ascii="Times New Roman" w:cs="Times New Roman" w:eastAsia="Times New Roman" w:hAnsi="Times New Roman"/>
                <w:sz w:val="14"/>
                <w:szCs w:val="14"/>
                <w:b w:val="1"/>
                <w:bCs w:val="1"/>
                <w:color w:val="auto"/>
              </w:rPr>
              <w:t>LLC</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S.A.</w:t>
            </w:r>
          </w:p>
        </w:tc>
        <w:tc>
          <w:tcPr>
            <w:tcW w:w="100" w:type="dxa"/>
            <w:vAlign w:val="bottom"/>
          </w:tcPr>
          <w:p>
            <w:pPr>
              <w:spacing w:after="0"/>
              <w:rPr>
                <w:sz w:val="12"/>
                <w:szCs w:val="12"/>
                <w:color w:val="auto"/>
              </w:rPr>
            </w:pPr>
          </w:p>
        </w:tc>
        <w:tc>
          <w:tcPr>
            <w:tcW w:w="860" w:type="dxa"/>
            <w:vAlign w:val="bottom"/>
            <w:gridSpan w:val="2"/>
          </w:tcPr>
          <w:p>
            <w:pPr>
              <w:jc w:val="right"/>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5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Guarantors</w:t>
            </w:r>
          </w:p>
        </w:tc>
        <w:tc>
          <w:tcPr>
            <w:tcW w:w="280" w:type="dxa"/>
            <w:vAlign w:val="bottom"/>
          </w:tcPr>
          <w:p>
            <w:pPr>
              <w:spacing w:after="0"/>
              <w:rPr>
                <w:sz w:val="15"/>
                <w:szCs w:val="15"/>
                <w:color w:val="auto"/>
              </w:rPr>
            </w:pPr>
          </w:p>
        </w:tc>
        <w:tc>
          <w:tcPr>
            <w:tcW w:w="116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5"/>
              </w:rPr>
              <w:t>241,149</w:t>
            </w:r>
          </w:p>
        </w:tc>
        <w:tc>
          <w:tcPr>
            <w:tcW w:w="116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$ 116,639</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(114,206)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203,089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114,063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(112,691)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2,576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(11,172)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(8,732)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 equity in earnings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of related equity 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(3,315)</w:t>
            </w:r>
          </w:p>
        </w:tc>
        <w:tc>
          <w:tcPr>
            <w:tcW w:w="1160" w:type="dxa"/>
            <w:vAlign w:val="bottom"/>
            <w:gridSpan w:val="3"/>
          </w:tcPr>
          <w:p>
            <w:pPr>
              <w:jc w:val="right"/>
              <w:ind w:right="138"/>
              <w:spacing w:after="0"/>
              <w:rPr>
                <w:sz w:val="20"/>
                <w:szCs w:val="20"/>
                <w:color w:val="auto"/>
              </w:rPr>
            </w:pPr>
            <w:r>
              <w:rPr>
                <w:rFonts w:ascii="Times New Roman" w:cs="Times New Roman" w:eastAsia="Times New Roman" w:hAnsi="Times New Roman"/>
                <w:sz w:val="18"/>
                <w:szCs w:val="18"/>
                <w:color w:val="auto"/>
              </w:rPr>
              <w:t>(8,744)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equity in earnings (loss) of</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(9,420)</w:t>
            </w:r>
          </w:p>
        </w:tc>
        <w:tc>
          <w:tcPr>
            <w:tcW w:w="1160" w:type="dxa"/>
            <w:vAlign w:val="bottom"/>
            <w:gridSpan w:val="3"/>
          </w:tcPr>
          <w:p>
            <w:pPr>
              <w:jc w:val="right"/>
              <w:ind w:right="138"/>
              <w:spacing w:after="0"/>
              <w:rPr>
                <w:sz w:val="20"/>
                <w:szCs w:val="20"/>
                <w:color w:val="auto"/>
              </w:rPr>
            </w:pPr>
            <w:r>
              <w:rPr>
                <w:rFonts w:ascii="Times New Roman" w:cs="Times New Roman" w:eastAsia="Times New Roman" w:hAnsi="Times New Roman"/>
                <w:sz w:val="18"/>
                <w:szCs w:val="18"/>
                <w:color w:val="auto"/>
              </w:rPr>
              <w:t>(9,364)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of related investment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(8,411)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(9,420)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(18,784</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accrued on preferred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13,428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(18,784</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tcPr>
          <w:p>
            <w:pPr>
              <w:jc w:val="right"/>
              <w:ind w:right="598"/>
              <w:spacing w:after="0"/>
              <w:rPr>
                <w:sz w:val="20"/>
                <w:szCs w:val="20"/>
                <w:color w:val="auto"/>
              </w:rPr>
            </w:pPr>
            <w:r>
              <w:rPr>
                <w:rFonts w:ascii="Times New Roman" w:cs="Times New Roman" w:eastAsia="Times New Roman" w:hAnsi="Times New Roman"/>
                <w:sz w:val="18"/>
                <w:szCs w:val="18"/>
                <w:color w:val="auto"/>
              </w:rPr>
              <w:t>69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Consolidating 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MagnaChip</w:t>
            </w:r>
          </w:p>
        </w:tc>
        <w:tc>
          <w:tcPr>
            <w:tcW w:w="3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Company &amp;</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4"/>
              </w:rPr>
              <w:t>MagnaChip</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3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3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1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3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Eliminations</w:t>
            </w:r>
          </w:p>
        </w:tc>
        <w:tc>
          <w:tcPr>
            <w:tcW w:w="18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(100,898)</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(94,215)</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(89,854)</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(81,888)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$ 265,957</w:t>
            </w:r>
          </w:p>
        </w:tc>
        <w:tc>
          <w:tcPr>
            <w:tcW w:w="2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(100,898)</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196,669</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6,260</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202,929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16,486</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16,583</w:t>
            </w: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(gain) on foreign currency translation, net</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21,841</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(16,288)</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(15,880)</w:t>
            </w:r>
          </w:p>
        </w:tc>
        <w:tc>
          <w:tcPr>
            <w:tcW w:w="0" w:type="dxa"/>
            <w:vAlign w:val="bottom"/>
          </w:tcPr>
          <w:p>
            <w:pPr>
              <w:spacing w:after="0"/>
              <w:rPr>
                <w:sz w:val="1"/>
                <w:szCs w:val="1"/>
                <w:color w:val="auto"/>
              </w:rPr>
            </w:pPr>
          </w:p>
        </w:tc>
      </w:tr>
      <w:tr>
        <w:trPr>
          <w:trHeight w:val="202"/>
        </w:trPr>
        <w:tc>
          <w:tcPr>
            <w:tcW w:w="424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Loss (gain) on disposal of property, plant and</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equipment, net</w:t>
            </w:r>
          </w:p>
        </w:tc>
        <w:tc>
          <w:tcPr>
            <w:tcW w:w="4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(830)</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 charges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33,576</w:t>
            </w: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(earnings) of related investment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100,364</w:t>
            </w:r>
          </w:p>
        </w:tc>
        <w:tc>
          <w:tcPr>
            <w:tcW w:w="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86,985</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(265,794)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(31,412)</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(25,812)</w:t>
            </w: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(3,312)</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receivables</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826</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63,970</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(19,536)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62,821</w:t>
            </w: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(12,935)</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(12,935)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29,438</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14,906</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(19,416)</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24,928</w:t>
            </w: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accounts payable</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188</w:t>
            </w:r>
          </w:p>
        </w:tc>
        <w:tc>
          <w:tcPr>
            <w:tcW w:w="2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(62,561)</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14,267</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(17,802)</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(66,069)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2,011</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(5,591)</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17,549</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(19,153)</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(16,505)</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1,878</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163</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(4,968)</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(13,820)</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(13,831)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(31,266)</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31,936</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(2,682)</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4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70</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Consolidating 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22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Company &amp;</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MagnaChip</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22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9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1"/>
              </w:rPr>
              <w:t>Guarantors</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plant, property and equipment</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(62,113)</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business</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(14,499)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short-term inter-company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long-term inter-company loans</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(1,009)</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 short-term inter-company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3,650</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(17,650)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5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(14,000)</w:t>
            </w: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common units</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issuance costs paid</w:t>
            </w:r>
          </w:p>
        </w:tc>
        <w:tc>
          <w:tcPr>
            <w:tcW w:w="10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(378)</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628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(2,360)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w:t>
            </w:r>
          </w:p>
        </w:tc>
        <w:tc>
          <w:tcPr>
            <w:tcW w:w="2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3,201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29,671</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increase in cash and cash equivalents from</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of consolidated subsidiaries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209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841</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$ 63,435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$ 22,089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86,574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656"/>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Consolidating 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MagnaChip</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280" w:type="dxa"/>
            <w:vAlign w:val="bottom"/>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Company &amp;</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MagnaChip</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280" w:type="dxa"/>
            <w:vAlign w:val="bottom"/>
          </w:tcPr>
          <w:p>
            <w:pPr>
              <w:spacing w:after="0"/>
              <w:rPr>
                <w:sz w:val="12"/>
                <w:szCs w:val="12"/>
                <w:color w:val="auto"/>
              </w:rPr>
            </w:pP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9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(Co-Issuers)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1"/>
              </w:rPr>
              <w:t>Guarantors</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Eliminations</w:t>
            </w: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(8,693)</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  (9,420)</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(18,784)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36,897</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(5,825)</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45,847</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152</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(gain) on foreign currency translation,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(7,914)</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(32,733)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0" w:type="dxa"/>
            <w:vAlign w:val="bottom"/>
          </w:tcPr>
          <w:p>
            <w:pPr>
              <w:spacing w:after="0"/>
              <w:rPr>
                <w:sz w:val="1"/>
                <w:szCs w:val="1"/>
                <w:color w:val="auto"/>
              </w:rPr>
            </w:pPr>
          </w:p>
        </w:tc>
      </w:tr>
      <w:tr>
        <w:trPr>
          <w:trHeight w:val="202"/>
        </w:trPr>
        <w:tc>
          <w:tcPr>
            <w:tcW w:w="444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Loss (gain) on disposal of property, plant and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equipment, net</w:t>
            </w: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(earnings) of related investment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Others</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(55,968)</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(42,559)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55,257</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(810)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(55,266)</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(56,917)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(34,196)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56,392</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(55,257)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accounts payable</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189</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121,181</w:t>
            </w:r>
          </w:p>
        </w:tc>
        <w:tc>
          <w:tcPr>
            <w:tcW w:w="2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(7,428)</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(5,909)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(5,909)</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(4,194)</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(2,898)</w:t>
            </w: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unit data)</w:t>
      </w:r>
    </w:p>
    <w:p>
      <w:pPr>
        <w:spacing w:after="0" w:line="14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Consolidating 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2004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4"/>
              </w:rPr>
              <w:t>MagnaChip</w:t>
            </w:r>
          </w:p>
        </w:tc>
        <w:tc>
          <w:tcPr>
            <w:tcW w:w="136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Company &amp;</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580"/>
              <w:spacing w:after="0" w:line="139" w:lineRule="exact"/>
              <w:rPr>
                <w:sz w:val="20"/>
                <w:szCs w:val="20"/>
                <w:color w:val="auto"/>
              </w:rPr>
            </w:pPr>
            <w:r>
              <w:rPr>
                <w:rFonts w:ascii="Times New Roman" w:cs="Times New Roman" w:eastAsia="Times New Roman" w:hAnsi="Times New Roman"/>
                <w:sz w:val="14"/>
                <w:szCs w:val="14"/>
                <w:b w:val="1"/>
                <w:bCs w:val="1"/>
                <w:color w:val="auto"/>
                <w:w w:val="94"/>
              </w:rPr>
              <w:t>MagnaChip</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3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Semiconductor</w:t>
            </w:r>
          </w:p>
        </w:tc>
        <w:tc>
          <w:tcPr>
            <w:tcW w:w="13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Semiconductor</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LLC</w:t>
            </w:r>
          </w:p>
        </w:tc>
        <w:tc>
          <w:tcPr>
            <w:tcW w:w="8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S.A.</w:t>
            </w:r>
          </w:p>
        </w:tc>
        <w:tc>
          <w:tcPr>
            <w:tcW w:w="10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(Parent)</w:t>
            </w:r>
          </w:p>
        </w:tc>
        <w:tc>
          <w:tcPr>
            <w:tcW w:w="8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2"/>
              </w:rPr>
              <w:t>(Co-Issuers)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2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plant, property and equipment</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(23,261)</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intangible assets, net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of business</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(488,152)</w:t>
            </w: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 (purchase) of related investment</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20,723</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(26,026)</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(194,015)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(increase) of intercompany loans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291,824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(398,250)</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(619,991)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(2,033)</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312,547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(424,276)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(525,897)</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(814,092)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925,735</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(525,983)</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Proceeds from issuance of Senior Secured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and Subordinated Notes</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750,000</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41,000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tcPr>
          <w:p>
            <w:pPr>
              <w:spacing w:after="0"/>
              <w:rPr>
                <w:sz w:val="18"/>
                <w:szCs w:val="18"/>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50,212</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663,878</w:t>
            </w: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669,396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(1,287,407)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Issuance of common units</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1,429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203,208</w:t>
            </w:r>
          </w:p>
        </w:tc>
        <w:tc>
          <w:tcPr>
            <w:tcW w:w="260" w:type="dxa"/>
            <w:vAlign w:val="bottom"/>
          </w:tcPr>
          <w:p>
            <w:pPr>
              <w:spacing w:after="0"/>
              <w:rPr>
                <w:sz w:val="18"/>
                <w:szCs w:val="18"/>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26,351</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(230,988)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Issuance of redeemable convertible preferred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units</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(332,824)</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(321,030)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 of long-term borrowings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(347,718)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Redemption of redeemable convertible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preferred units</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(406,786)</w:t>
            </w:r>
          </w:p>
        </w:tc>
        <w:tc>
          <w:tcPr>
            <w:tcW w:w="8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(406,786)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(10,891)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issuance costs paid</w:t>
            </w:r>
          </w:p>
        </w:tc>
        <w:tc>
          <w:tcPr>
            <w:tcW w:w="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(22,020)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(5,615)</w:t>
            </w:r>
          </w:p>
        </w:tc>
        <w:tc>
          <w:tcPr>
            <w:tcW w:w="2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(22,476)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(411,221)</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415,109</w:t>
            </w:r>
          </w:p>
        </w:tc>
        <w:tc>
          <w:tcPr>
            <w:tcW w:w="4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514,458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424,929</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rates on cash and cash</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6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increase (decrease) in cash and cash</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equivalents</w:t>
            </w:r>
          </w:p>
        </w:tc>
        <w:tc>
          <w:tcPr>
            <w:tcW w:w="8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(127,597)</w:t>
            </w:r>
          </w:p>
        </w:tc>
        <w:tc>
          <w:tcPr>
            <w:tcW w:w="8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(10,443)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260" w:type="dxa"/>
            <w:vAlign w:val="bottom"/>
          </w:tcPr>
          <w:p>
            <w:pPr>
              <w:spacing w:after="0"/>
              <w:rPr>
                <w:sz w:val="20"/>
                <w:szCs w:val="20"/>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(380,106)</w:t>
            </w:r>
          </w:p>
        </w:tc>
        <w:tc>
          <w:tcPr>
            <w:tcW w:w="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403,244</w:t>
            </w:r>
          </w:p>
        </w:tc>
        <w:tc>
          <w:tcPr>
            <w:tcW w:w="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29,671</w:t>
            </w:r>
          </w:p>
        </w:tc>
        <w:tc>
          <w:tcPr>
            <w:tcW w:w="2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23,138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2"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 Management necessarily applies its judgment in evaluating the cost-benefit relationship of possible controls and procedures.</w:t>
      </w:r>
    </w:p>
    <w:p>
      <w:pPr>
        <w:spacing w:after="0" w:line="11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Based upon that evaluation, our CEO and our CFO concluded that our disclosure controls and procedures were effective as of the end of the period covered by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92" w:lineRule="exact"/>
        <w:rPr>
          <w:sz w:val="20"/>
          <w:szCs w:val="20"/>
          <w:color w:val="auto"/>
        </w:rPr>
      </w:pPr>
    </w:p>
    <w:p>
      <w:pPr>
        <w:jc w:val="both"/>
        <w:ind w:right="100" w:firstLine="456"/>
        <w:spacing w:after="0" w:line="287" w:lineRule="auto"/>
        <w:rPr>
          <w:sz w:val="20"/>
          <w:szCs w:val="20"/>
          <w:color w:val="auto"/>
        </w:rPr>
      </w:pPr>
      <w:r>
        <w:rPr>
          <w:rFonts w:ascii="Times New Roman" w:cs="Times New Roman" w:eastAsia="Times New Roman" w:hAnsi="Times New Roman"/>
          <w:sz w:val="16"/>
          <w:szCs w:val="16"/>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Our internal control over financial reporting is designed to provide reasonable assurance regarding the reliability of our financial reporting and preparation of financial statements for external purposes in accordance with generally accepted accounting principles. Because of its inherent limitations, internal control over financial reporting may not prevent or detect misstatements.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of the Registrant.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is a list of the current directors and executive officers of MagnaChip:</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6"/>
                <w:szCs w:val="16"/>
                <w:color w:val="auto"/>
              </w:rPr>
            </w:pPr>
          </w:p>
        </w:tc>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2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Dr. Youm Huh</w:t>
            </w:r>
          </w:p>
        </w:tc>
        <w:tc>
          <w:tcPr>
            <w:tcW w:w="22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6"/>
                <w:szCs w:val="16"/>
                <w:color w:val="auto"/>
              </w:rPr>
            </w:pPr>
          </w:p>
        </w:tc>
        <w:tc>
          <w:tcPr>
            <w:tcW w:w="7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Robert J. Krakauer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Strategic Operations, Chief Financial Officer and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Chan Hee Lee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Manager, Semiconductor Manufacturing Services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Tae Young Hwang</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Manufacturing Operations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Jason Hartlove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Imaging Solutions Division</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Dong Chun Kim</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Global Sales, Asia Pacific</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Hak Sung Kim</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Administrative Officer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Dale Lindly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Victoria Miller Nam</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Strategic Planning</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John McFarland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Jerry M. Baker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Dipanjan Deb</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Armando Geday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Roy Kuan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Phokion Potamianos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Paul C. Schorr IV</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David F. Thomas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48"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Dr. Youm Huh, Chief Executive Officer, President and Director. </w:t>
      </w:r>
      <w:r>
        <w:rPr>
          <w:rFonts w:ascii="Times New Roman" w:cs="Times New Roman" w:eastAsia="Times New Roman" w:hAnsi="Times New Roman"/>
          <w:sz w:val="18"/>
          <w:szCs w:val="18"/>
          <w:color w:val="auto"/>
        </w:rPr>
        <w:t>Dr. Huh became our Chief Executive Officer, President and Director in October 2004.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led our business when it was a division of Hynix, serving in the position of Executive Vice President and General Manager of System IC from July 2002 until September 2004. From 1998 until 2002, Dr. Huh served as Senior Vice President and General Manager of Hyundai Electronics’ System IC Business Division, which would subsequently become the System IC division of Hynix. He has also held various research positions at Stanford University, including serving as Principal Researcher at Stanford Computer Systems Laboratory and Stanford University’s Center for Integrated Systems. Dr. Huh received a B.S. in electronics engineering from Seoul National University, Korea, a master’s degree in electrical and electronics engineering from Korea Advanced Institute of Science &amp; Technology and a Ph.D. in electrical engineering from Stanford University.</w:t>
      </w:r>
    </w:p>
    <w:p>
      <w:pPr>
        <w:spacing w:after="0" w:line="135"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Robert J. Krakauer, Executive Vice President of Strategic Operations, Chief Financial Officer and Director. </w:t>
      </w:r>
      <w:r>
        <w:rPr>
          <w:rFonts w:ascii="Times New Roman" w:cs="Times New Roman" w:eastAsia="Times New Roman" w:hAnsi="Times New Roman"/>
          <w:sz w:val="16"/>
          <w:szCs w:val="16"/>
          <w:color w:val="auto"/>
        </w:rPr>
        <w:t>Mr. Krakauer became our Executive Vice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President of Strategic Operations, Chief Financial Officer and Director in October 2004. From 2003 to 2004, Mr. Krakauer served as Executive Vice President of Corporate Operations and Chief Financial Officer for ChipPAC, Ltd. (now STATS ChipPAC, Ltd.),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 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13"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Chan Hee Lee, Executive Vice President and General Manager, Semiconductor Manufacturing Services</w:t>
      </w:r>
      <w:r>
        <w:rPr>
          <w:rFonts w:ascii="Times New Roman" w:cs="Times New Roman" w:eastAsia="Times New Roman" w:hAnsi="Times New Roman"/>
          <w:sz w:val="18"/>
          <w:szCs w:val="18"/>
          <w:color w:val="auto"/>
        </w:rPr>
        <w:t>. Mr. Lee became our Executive Vice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Manager, Semiconductor Manufacturing Services in September 2005, after serving as Executive Vice President of Product Lines since October 2004. Previously, Mr. Lee had been employed by Hynix as Vice President and General Manager of Semiconductor Manufacturing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Services and Digital Driver IC, Business Division from 1999 until September 2004. Mr. Lee holds a bachelor of science degree in electronics from Kyungbuk National University.</w:t>
      </w:r>
    </w:p>
    <w:p>
      <w:pPr>
        <w:spacing w:after="0" w:line="11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Tae Young Hwang, Executive Vice President of Manufacturing Operations. </w:t>
      </w:r>
      <w:r>
        <w:rPr>
          <w:rFonts w:ascii="Times New Roman" w:cs="Times New Roman" w:eastAsia="Times New Roman" w:hAnsi="Times New Roman"/>
          <w:sz w:val="18"/>
          <w:szCs w:val="18"/>
          <w:color w:val="auto"/>
        </w:rPr>
        <w:t>Mr. Hwang became our Executive Vice President of Manufacturing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2004. Prior to that time, Mr. Hwang served as Hynix’s Senior Vice President of Manufacturing Operations of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133" w:lineRule="exact"/>
        <w:rPr>
          <w:sz w:val="20"/>
          <w:szCs w:val="20"/>
          <w:color w:val="auto"/>
        </w:rPr>
      </w:pPr>
    </w:p>
    <w:p>
      <w:pPr>
        <w:ind w:right="3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Jason Hartlove, Senior Vice President and General Manager, Imaging Solutions Division</w:t>
      </w:r>
      <w:r>
        <w:rPr>
          <w:rFonts w:ascii="Times New Roman" w:cs="Times New Roman" w:eastAsia="Times New Roman" w:hAnsi="Times New Roman"/>
          <w:sz w:val="16"/>
          <w:szCs w:val="16"/>
          <w:color w:val="auto"/>
        </w:rPr>
        <w:t>. Mr. Hartlove became our Senior Vice President and General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Manager, Imaging Solutions Division, in May 2005. Previously, he was Business Unit Manager and Vice President and General Manager for Agilent Technologies from 2000 until 2005. Mr. Hartlove holds a bachelor of science degree in electrical engineering from the University of California, Los Angeles.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Dong Chun Kim, Senior Vice President, Global Sales, Asia Pacific</w:t>
      </w:r>
      <w:r>
        <w:rPr>
          <w:rFonts w:ascii="Times New Roman" w:cs="Times New Roman" w:eastAsia="Times New Roman" w:hAnsi="Times New Roman"/>
          <w:sz w:val="16"/>
          <w:szCs w:val="16"/>
          <w:color w:val="auto"/>
        </w:rPr>
        <w:t>. Mr. Kim became our Senior Vice President for Global Sales, Asia Pacific in October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Previously, he was Hynix’s Vice President of the Sales Divisions of Display Driver IC, CMOS Image Sensor and Microcontroller Unit from 2000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Mr. Kim holds a bachelor’s degree in inorganic material engineering from Hanyang University.</w:t>
      </w:r>
    </w:p>
    <w:p>
      <w:pPr>
        <w:spacing w:after="0" w:line="157"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Hak Sung Kim, Senior Vice President, Chief Administrative Officer. </w:t>
      </w:r>
      <w:r>
        <w:rPr>
          <w:rFonts w:ascii="Times New Roman" w:cs="Times New Roman" w:eastAsia="Times New Roman" w:hAnsi="Times New Roman"/>
          <w:sz w:val="18"/>
          <w:szCs w:val="18"/>
          <w:color w:val="auto"/>
        </w:rPr>
        <w:t>Mr. Kim became our Senior Vice President and Chief Administrative Officer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2004. Prior to his employment with us, he had served as Vice President, Strategic Planning Team for Hynix’s System IC division from June 2002 until September 2004. Previously, he served with Hynix as Director of the DRAM Business Department from February 2001 until June 2001 and in the memory sales group of Hynix Semiconductor of America, Inc. prior to January 2001 and as Head of Strategic Planning from July 2001 until May 2002. Mr. Kim holds a bachelor’s degree in business administration from Yonsei University.</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Dale Lindly, Senior Vice President and Chief Accounting Officer. </w:t>
      </w:r>
      <w:r>
        <w:rPr>
          <w:rFonts w:ascii="Times New Roman" w:cs="Times New Roman" w:eastAsia="Times New Roman" w:hAnsi="Times New Roman"/>
          <w:sz w:val="18"/>
          <w:szCs w:val="18"/>
          <w:color w:val="auto"/>
        </w:rPr>
        <w:t>Mr. Lindly became our Senior Vice President and Chief Accounting Officer in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Prior to his employment with us, he had served as IC Media Corporation’s Chief Financial Officer, Vice President, Finance and Administration from March 2003 until April 2005. From May 2001 to March 2003, Mr. Lindly was Vice President and Chief Financial Officer of Morphics Technology, Inc. Previously, he served as Vice President and Chief Financial Officer of Tioga Technologies, Inc. from July 2000 to May 2001. Mr. Lindly holds a bachelor’s degree in accounting from San Jose State University.</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Victoria Miller Nam, Senior Vice President of Strategic Planning</w:t>
      </w:r>
      <w:r>
        <w:rPr>
          <w:rFonts w:ascii="Times New Roman" w:cs="Times New Roman" w:eastAsia="Times New Roman" w:hAnsi="Times New Roman"/>
          <w:sz w:val="18"/>
          <w:szCs w:val="18"/>
          <w:color w:val="auto"/>
        </w:rPr>
        <w:t>. Ms. Miller Nam became our Senior Vice President of Strategic Planning in October</w:t>
      </w:r>
    </w:p>
    <w:p>
      <w:pPr>
        <w:spacing w:after="0" w:line="23"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6"/>
          <w:szCs w:val="16"/>
          <w:color w:val="auto"/>
        </w:rPr>
        <w:t xml:space="preserve">2004. Prior to joining our company, Ms. Miller Nam worked in consulting with McKinsey &amp; Company in the Los Angeles and Seoul offices from 1994 until 2003, when she left as a Partner to found and run a consulting business from 2003 until 2004. Earlier in her career, Ms. Miller Nam worked for Kidder, Peabody &amp; Co. Incorporated, in the corporate finance department, in New York. Ms. Miller Nam holds a bachelor of arts degree, </w:t>
      </w:r>
      <w:r>
        <w:rPr>
          <w:rFonts w:ascii="Times New Roman" w:cs="Times New Roman" w:eastAsia="Times New Roman" w:hAnsi="Times New Roman"/>
          <w:sz w:val="16"/>
          <w:szCs w:val="16"/>
          <w:i w:val="1"/>
          <w:iCs w:val="1"/>
          <w:color w:val="auto"/>
        </w:rPr>
        <w:t>magna cum laude</w:t>
      </w:r>
      <w:r>
        <w:rPr>
          <w:rFonts w:ascii="Times New Roman" w:cs="Times New Roman" w:eastAsia="Times New Roman" w:hAnsi="Times New Roman"/>
          <w:sz w:val="16"/>
          <w:szCs w:val="16"/>
          <w:color w:val="auto"/>
        </w:rPr>
        <w:t>, in international relations from Brown University, where she was elected to Phi Beta Kappa, and a masters in business administration from Harvard Business School.</w:t>
      </w:r>
    </w:p>
    <w:p>
      <w:pPr>
        <w:spacing w:after="0" w:line="10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John McFarland, Vice President, General Counsel and Secretary</w:t>
      </w:r>
      <w:r>
        <w:rPr>
          <w:rFonts w:ascii="Times New Roman" w:cs="Times New Roman" w:eastAsia="Times New Roman" w:hAnsi="Times New Roman"/>
          <w:sz w:val="18"/>
          <w:szCs w:val="18"/>
          <w:color w:val="auto"/>
        </w:rPr>
        <w:t>. Mr. McFarland became our Vice President, General Counsel and Secretary in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Prior to joining our company, Mr. McFarland served as a foreign legal consultant at Bae, Kim &amp; Lee from August 2003 to November 2004 and an associate at Wilson Sonsini Goodrich &amp; Rosati, P.C., from August 2000 to July 2003.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Jerry M. Baker, Chairman of the Board of Directors. </w:t>
      </w:r>
      <w:r>
        <w:rPr>
          <w:rFonts w:ascii="Times New Roman" w:cs="Times New Roman" w:eastAsia="Times New Roman" w:hAnsi="Times New Roman"/>
          <w:sz w:val="18"/>
          <w:szCs w:val="18"/>
          <w:color w:val="auto"/>
        </w:rPr>
        <w:t>Mr. Baker has been Chairman of the Board of Directors since October 2004. From 2000 until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Baker served as Executive Vice President, Global Operations for Fairchild Semiconductor International, Inc. Previously, Mr. Baker had been Executive Vice President and General Manager, Discrete Power and Signal Technologies Group, since December 1996. Prior to that position, he spent more than 24 years in a variety of engineering and management positions within National Semiconductor, the most recent of which was Vice President and General Manager, Discrete Products Division.</w:t>
      </w:r>
    </w:p>
    <w:p>
      <w:pPr>
        <w:spacing w:after="0" w:line="13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Dipanjan Deb, Director. </w:t>
      </w:r>
      <w:r>
        <w:rPr>
          <w:rFonts w:ascii="Times New Roman" w:cs="Times New Roman" w:eastAsia="Times New Roman" w:hAnsi="Times New Roman"/>
          <w:sz w:val="18"/>
          <w:szCs w:val="18"/>
          <w:color w:val="auto"/>
        </w:rPr>
        <w:t>Mr. Deb has been a director since September 2004. He is a founder and Managing Partner of Francisco Partners and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since its 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SMART Modular Technologies, Inc., and Ultra Clean Holdings, Inc.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Armando Geday, Director. </w:t>
      </w:r>
      <w:r>
        <w:rPr>
          <w:rFonts w:ascii="Times New Roman" w:cs="Times New Roman" w:eastAsia="Times New Roman" w:hAnsi="Times New Roman"/>
          <w:sz w:val="18"/>
          <w:szCs w:val="18"/>
          <w:color w:val="auto"/>
        </w:rPr>
        <w:t>Mr. Geday has been a director since January 2006. He has served as Chief Executive Officer of Telesen, Inc. since January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Telesen, Mr. Geday was Chief Executive Officer of Conexant systems from November 2003 to November 2004. From April 1997 to December 2001, Mr. Geday was President and CEO of GlobeSpan, and from December 2001 to February 2004, Mr. Geday served as the Chief Executive Officer of Globespanvirata. Earlier in his career, Mr. Geday was Vice President and General Manager of the Multimedia Communications Division of Rockwell Semiconductor Systems and held various technical marketing and engineering positions at Harris Semiconductor and MERET Inc. Mr. Geday holds a bachelor of science degree in electrical engineering from the Florida Institute of Technology.</w:t>
      </w:r>
    </w:p>
    <w:p>
      <w:pPr>
        <w:spacing w:after="0" w:line="139" w:lineRule="exact"/>
        <w:rPr>
          <w:sz w:val="20"/>
          <w:szCs w:val="20"/>
          <w:color w:val="auto"/>
        </w:rPr>
      </w:pPr>
    </w:p>
    <w:p>
      <w:pPr>
        <w:ind w:right="4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Roy Kuan, Director. </w:t>
      </w:r>
      <w:r>
        <w:rPr>
          <w:rFonts w:ascii="Times New Roman" w:cs="Times New Roman" w:eastAsia="Times New Roman" w:hAnsi="Times New Roman"/>
          <w:sz w:val="18"/>
          <w:szCs w:val="18"/>
          <w:color w:val="auto"/>
        </w:rPr>
        <w:t>Mr. Kuan has been a director since September 2004. He serves as Managing Director of CVC Asia Pacific Limited, where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since 1999. Prior to that Mr. Kuan worked at Citicorp’s Asia private equity unit from 1996 until 1999. Mr. Kuan holds a bachelor of arts degree in economics from Georgetown University and a masters in business administration with a finance concentration from the Wharton School at the University of Pennsylvania.</w:t>
      </w:r>
    </w:p>
    <w:p>
      <w:pPr>
        <w:spacing w:after="0" w:line="133"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Phokion Potamianos, Director. </w:t>
      </w:r>
      <w:r>
        <w:rPr>
          <w:rFonts w:ascii="Times New Roman" w:cs="Times New Roman" w:eastAsia="Times New Roman" w:hAnsi="Times New Roman"/>
          <w:sz w:val="18"/>
          <w:szCs w:val="18"/>
          <w:color w:val="auto"/>
        </w:rPr>
        <w:t>Mr. Potamianos has been a director since March 2005. He has been a Principal with Francisco Partners since March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Francisco Partners, Mr. Potamianos was the head of the UBS global semiconductor investment banking group, and a member of Donaldson Lufkin &amp; Jenrette’s investment banking group. Earlier in his career, Mr. Potamianos was an Institutional Investor ranked research analyst at Donaldson, Lufkin &amp; Jenrette. Mr. Potamianos holds a B.A. from American University and received his Masters of Science (Economics) from the London School of Economics and Political Science.</w:t>
      </w:r>
    </w:p>
    <w:p>
      <w:pPr>
        <w:spacing w:after="0" w:line="134"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Paul C. Schorr IV, Director. </w:t>
      </w:r>
      <w:r>
        <w:rPr>
          <w:rFonts w:ascii="Times New Roman" w:cs="Times New Roman" w:eastAsia="Times New Roman" w:hAnsi="Times New Roman"/>
          <w:sz w:val="18"/>
          <w:szCs w:val="18"/>
          <w:color w:val="auto"/>
        </w:rPr>
        <w:t>Mr. Schorr has been a director since September 2004. He has been a Senior Managing Director at Blackstone Group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2005. Prior to that, he was a Managing Partner of CVC from December 2001. Mr. Schorr joined CVC in 1996, after working as an Engagement Manager with McKinsey &amp; Company, Inc. Mr. Schorr received his B.S.F.S.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xml:space="preserve"> from Georgetown University’s School of Foreign Service and his masters in business administration with distinction from Harvard Business School. He is also a director of AMI Semiconductor Inc. and Worldspan Technologies, Inc.</w:t>
      </w:r>
    </w:p>
    <w:p>
      <w:pPr>
        <w:spacing w:after="0" w:line="134"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David F. Thomas, Director. </w:t>
      </w:r>
      <w:r>
        <w:rPr>
          <w:rFonts w:ascii="Times New Roman" w:cs="Times New Roman" w:eastAsia="Times New Roman" w:hAnsi="Times New Roman"/>
          <w:sz w:val="18"/>
          <w:szCs w:val="18"/>
          <w:color w:val="auto"/>
        </w:rPr>
        <w:t>Mr. Thomas has been a director since October 2004. Mr. Thomas is the President of CVC. He joined CVC in 1980.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held various positions with Citibank’s Transportation Finance and Acquisition Finance Groups. Prior to joining Citibank, Mr. Thomas was a certified public accountant with Arthur Andersen &amp; Co. Mr. Thomas received degrees in finance and accounting from the University of Akron. He is a director of Network Communications, Inc. and Worldspan Technologies,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securityholders’ agreement among CVC, Francisco Partners, CVC Asia Pacific and the other securityholders of MagnaChip provides that the board of directors will consist of eight members, including two designees of CVC, two designees of Francisco Partners, one designee of CVC Asia Pacific, the Chief Executive Officer, the Chief Financial Officer and one additional member jointly designated by CVC and Francisco Partners, provided that the unitholders are permitted to elect additional directors designated as set forth in the securityholders’ agreement. These rights of designation will expire when the initial ownership of these equity sponsors falls below defined ownership thresholds. Pursuant to the securityholders’ agreement, the board of directors may not take certain significant actions without the approval of each of CVC and Francisco Partners.</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Effective January 19, 2006, Armando Geday was elected to the board of directors of the Company to serve at the discretion of the unitholders of the Company until his successor is duly elected and qualified. Mr. Geday serves as an additional designee of Francisco Partners, meaning that the board of directors consists of nine members as of the filing date of this report. Mr. Baker serves as the designee of CVC, leaving open the directorship of a joint designee of CVC and Francisco Partners.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9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performs the functions of an audit committee, reviewing the financial statements and accounting practices of MagnaChip and its subsidiaries and selecting the independent auditors. The Board has not yet made a determination as to whether the Company has an audit committee financial expert serving on its audit committee. The Board intends to review whether there is an audit committee financial expert during the fiscal year ending December 31, 2006.</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current members of the compensation committee are Messrs. Deb and Schorr. The compensation committee makes determinations concerning salaries and incentive compensation for officers and employees and oversees administration of our employee benefit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directors, officers, and employees. We will provide a copy of our Code of Business Conduct and Ethics without charge to any person upon written request made to our Vice President, General Counsel and Secretary.</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240" w:top="455" w:right="3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business was acquired from Hynix on October 6, 2004. The following table sets forth certain information concerning the compensation earned during the years ended December 31, 2005, and December 31, 2004, by the Chief Executive Officer and those of the four most highly compensated executive officers other than the Chief Executive Officer, or our named executive officers, who were executive officers on December 31, 2005.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Long Term Compensation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4"/>
          </w:tcPr>
          <w:p>
            <w:pPr>
              <w:jc w:val="right"/>
              <w:ind w:right="900"/>
              <w:spacing w:after="0" w:line="142" w:lineRule="exact"/>
              <w:rPr>
                <w:sz w:val="20"/>
                <w:szCs w:val="20"/>
                <w:color w:val="auto"/>
              </w:rPr>
            </w:pPr>
            <w:r>
              <w:rPr>
                <w:rFonts w:ascii="Times New Roman" w:cs="Times New Roman" w:eastAsia="Times New Roman" w:hAnsi="Times New Roman"/>
                <w:sz w:val="14"/>
                <w:szCs w:val="14"/>
                <w:b w:val="1"/>
                <w:bCs w:val="1"/>
                <w:color w:val="auto"/>
              </w:rPr>
              <w:t>Awards</w:t>
            </w:r>
          </w:p>
        </w:tc>
        <w:tc>
          <w:tcPr>
            <w:tcW w:w="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Payouts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3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right"/>
              <w:ind w:right="1020"/>
              <w:spacing w:after="0" w:line="152" w:lineRule="exact"/>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Restricted</w:t>
            </w:r>
          </w:p>
        </w:tc>
        <w:tc>
          <w:tcPr>
            <w:tcW w:w="340" w:type="dxa"/>
            <w:vAlign w:val="bottom"/>
          </w:tcPr>
          <w:p>
            <w:pPr>
              <w:spacing w:after="0"/>
              <w:rPr>
                <w:sz w:val="13"/>
                <w:szCs w:val="13"/>
                <w:color w:val="auto"/>
              </w:rPr>
            </w:pPr>
          </w:p>
        </w:tc>
        <w:tc>
          <w:tcPr>
            <w:tcW w:w="96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w:t>
            </w: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LTIP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62"/>
        </w:trPr>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1"/>
              </w:rPr>
              <w:t>Year</w:t>
            </w:r>
          </w:p>
        </w:tc>
        <w:tc>
          <w:tcPr>
            <w:tcW w:w="3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8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3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SARs (1)</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payouts</w:t>
            </w:r>
          </w:p>
        </w:tc>
        <w:tc>
          <w:tcPr>
            <w:tcW w:w="3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1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Dr. Youm Huh</w:t>
            </w:r>
          </w:p>
        </w:tc>
        <w:tc>
          <w:tcPr>
            <w:tcW w:w="6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2005</w:t>
            </w:r>
          </w:p>
        </w:tc>
        <w:tc>
          <w:tcPr>
            <w:tcW w:w="840" w:type="dxa"/>
            <w:vAlign w:val="bottom"/>
            <w:gridSpan w:val="2"/>
            <w:shd w:val="clear" w:color="auto" w:fill="CCEEFF"/>
          </w:tcPr>
          <w:p>
            <w:pPr>
              <w:ind w:left="320"/>
              <w:spacing w:after="0" w:line="136" w:lineRule="exact"/>
              <w:rPr>
                <w:sz w:val="20"/>
                <w:szCs w:val="20"/>
                <w:color w:val="auto"/>
              </w:rPr>
            </w:pPr>
            <w:r>
              <w:rPr>
                <w:rFonts w:ascii="Times New Roman" w:cs="Times New Roman" w:eastAsia="Times New Roman" w:hAnsi="Times New Roman"/>
                <w:sz w:val="14"/>
                <w:szCs w:val="14"/>
                <w:color w:val="auto"/>
                <w:w w:val="95"/>
              </w:rPr>
              <w:t>$405,776</w:t>
            </w:r>
          </w:p>
        </w:tc>
        <w:tc>
          <w:tcPr>
            <w:tcW w:w="2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5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640"/>
              <w:spacing w:after="0" w:line="136" w:lineRule="exact"/>
              <w:rPr>
                <w:sz w:val="20"/>
                <w:szCs w:val="20"/>
                <w:color w:val="auto"/>
              </w:rPr>
            </w:pPr>
            <w:r>
              <w:rPr>
                <w:rFonts w:ascii="Times New Roman" w:cs="Times New Roman" w:eastAsia="Times New Roman" w:hAnsi="Times New Roman"/>
                <w:sz w:val="14"/>
                <w:szCs w:val="14"/>
                <w:color w:val="auto"/>
              </w:rPr>
              <w:t>25,359(2)</w:t>
            </w:r>
          </w:p>
        </w:tc>
        <w:tc>
          <w:tcPr>
            <w:tcW w:w="58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340"/>
              <w:spacing w:after="0" w:line="136" w:lineRule="exact"/>
              <w:rPr>
                <w:sz w:val="20"/>
                <w:szCs w:val="20"/>
                <w:color w:val="auto"/>
              </w:rPr>
            </w:pPr>
            <w:r>
              <w:rPr>
                <w:rFonts w:ascii="Times New Roman" w:cs="Times New Roman" w:eastAsia="Times New Roman" w:hAnsi="Times New Roman"/>
                <w:sz w:val="14"/>
                <w:szCs w:val="14"/>
                <w:color w:val="auto"/>
              </w:rPr>
              <w:t>1,091,595</w:t>
            </w:r>
          </w:p>
        </w:tc>
        <w:tc>
          <w:tcPr>
            <w:tcW w:w="4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80"/>
              <w:spacing w:after="0" w:line="136" w:lineRule="exact"/>
              <w:rPr>
                <w:sz w:val="20"/>
                <w:szCs w:val="20"/>
                <w:color w:val="auto"/>
              </w:rPr>
            </w:pPr>
            <w:r>
              <w:rPr>
                <w:rFonts w:ascii="Times New Roman" w:cs="Times New Roman" w:eastAsia="Times New Roman" w:hAnsi="Times New Roman"/>
                <w:sz w:val="14"/>
                <w:szCs w:val="14"/>
                <w:color w:val="auto"/>
              </w:rPr>
              <w:t>23,949(3)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President and</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108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$273,644(4)</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3"/>
              </w:rPr>
              <w:t>123,174(5)</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506,229(6)</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1,693,231(7)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Chief Executive Officer</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Jerry Baker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95"/>
              </w:rPr>
              <w:t>$405,776</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99</w:t>
            </w:r>
          </w:p>
        </w:tc>
        <w:tc>
          <w:tcPr>
            <w:tcW w:w="58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545,798</w:t>
            </w:r>
          </w:p>
        </w:tc>
        <w:tc>
          <w:tcPr>
            <w:tcW w:w="440" w:type="dxa"/>
            <w:vAlign w:val="bottom"/>
          </w:tcPr>
          <w:p>
            <w:pPr>
              <w:spacing w:after="0"/>
              <w:rPr>
                <w:sz w:val="21"/>
                <w:szCs w:val="21"/>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21,225(8)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Executive Chairman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$240,705(9)</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w w:val="92"/>
              </w:rPr>
              <w:t>102,108</w:t>
            </w:r>
          </w:p>
        </w:tc>
        <w:tc>
          <w:tcPr>
            <w:tcW w:w="120" w:type="dxa"/>
            <w:vAlign w:val="bottom"/>
          </w:tcPr>
          <w:p>
            <w:pPr>
              <w:spacing w:after="0"/>
              <w:rPr>
                <w:sz w:val="15"/>
                <w:szCs w:val="15"/>
                <w:color w:val="auto"/>
              </w:rPr>
            </w:pPr>
          </w:p>
        </w:tc>
        <w:tc>
          <w:tcPr>
            <w:tcW w:w="14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1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Robert J. Krakauer</w:t>
            </w:r>
          </w:p>
        </w:tc>
        <w:tc>
          <w:tcPr>
            <w:tcW w:w="6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2005</w:t>
            </w:r>
          </w:p>
        </w:tc>
        <w:tc>
          <w:tcPr>
            <w:tcW w:w="840" w:type="dxa"/>
            <w:vAlign w:val="bottom"/>
            <w:gridSpan w:val="2"/>
            <w:shd w:val="clear" w:color="auto" w:fill="CCEEFF"/>
          </w:tcPr>
          <w:p>
            <w:pPr>
              <w:ind w:left="320"/>
              <w:spacing w:after="0" w:line="136" w:lineRule="exact"/>
              <w:rPr>
                <w:sz w:val="20"/>
                <w:szCs w:val="20"/>
                <w:color w:val="auto"/>
              </w:rPr>
            </w:pPr>
            <w:r>
              <w:rPr>
                <w:rFonts w:ascii="Times New Roman" w:cs="Times New Roman" w:eastAsia="Times New Roman" w:hAnsi="Times New Roman"/>
                <w:sz w:val="14"/>
                <w:szCs w:val="14"/>
                <w:color w:val="auto"/>
                <w:w w:val="95"/>
              </w:rPr>
              <w:t>$380,415</w:t>
            </w:r>
          </w:p>
        </w:tc>
        <w:tc>
          <w:tcPr>
            <w:tcW w:w="2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940" w:type="dxa"/>
            <w:vAlign w:val="bottom"/>
            <w:gridSpan w:val="2"/>
            <w:shd w:val="clear" w:color="auto" w:fill="CCEEFF"/>
          </w:tcPr>
          <w:p>
            <w:pPr>
              <w:jc w:val="right"/>
              <w:ind w:right="5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560"/>
              <w:spacing w:after="0" w:line="136" w:lineRule="exact"/>
              <w:rPr>
                <w:sz w:val="20"/>
                <w:szCs w:val="20"/>
                <w:color w:val="auto"/>
              </w:rPr>
            </w:pPr>
            <w:r>
              <w:rPr>
                <w:rFonts w:ascii="Times New Roman" w:cs="Times New Roman" w:eastAsia="Times New Roman" w:hAnsi="Times New Roman"/>
                <w:sz w:val="14"/>
                <w:szCs w:val="14"/>
                <w:color w:val="auto"/>
              </w:rPr>
              <w:t>107,397(10)</w:t>
            </w:r>
          </w:p>
        </w:tc>
        <w:tc>
          <w:tcPr>
            <w:tcW w:w="58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340"/>
              <w:spacing w:after="0" w:line="136" w:lineRule="exact"/>
              <w:rPr>
                <w:sz w:val="20"/>
                <w:szCs w:val="20"/>
                <w:color w:val="auto"/>
              </w:rPr>
            </w:pPr>
            <w:r>
              <w:rPr>
                <w:rFonts w:ascii="Times New Roman" w:cs="Times New Roman" w:eastAsia="Times New Roman" w:hAnsi="Times New Roman"/>
                <w:sz w:val="14"/>
                <w:szCs w:val="14"/>
                <w:color w:val="auto"/>
              </w:rPr>
              <w:t>682,247</w:t>
            </w:r>
          </w:p>
        </w:tc>
        <w:tc>
          <w:tcPr>
            <w:tcW w:w="4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16,088(11)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108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97"/>
              </w:rPr>
              <w:t>$237,250(12)</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72,419</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494,431(13)(14)</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1,058,270(15)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Strategic Operations and</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Chief Financial Officer</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Victoria Miller Nam</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95"/>
              </w:rPr>
              <w:t>$304,332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5,814(16)</w:t>
            </w:r>
          </w:p>
        </w:tc>
        <w:tc>
          <w:tcPr>
            <w:tcW w:w="58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136,450</w:t>
            </w:r>
          </w:p>
        </w:tc>
        <w:tc>
          <w:tcPr>
            <w:tcW w:w="440" w:type="dxa"/>
            <w:vAlign w:val="bottom"/>
          </w:tcPr>
          <w:p>
            <w:pPr>
              <w:spacing w:after="0"/>
              <w:rPr>
                <w:sz w:val="21"/>
                <w:szCs w:val="21"/>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15,828(17)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108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w w:val="97"/>
              </w:rPr>
              <w:t>$438,443(18)</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38,290</w:t>
            </w:r>
          </w:p>
        </w:tc>
        <w:tc>
          <w:tcPr>
            <w:tcW w:w="120" w:type="dxa"/>
            <w:vAlign w:val="bottom"/>
          </w:tcPr>
          <w:p>
            <w:pPr>
              <w:spacing w:after="0"/>
              <w:rPr>
                <w:sz w:val="12"/>
                <w:szCs w:val="12"/>
                <w:color w:val="auto"/>
              </w:rPr>
            </w:pPr>
          </w:p>
        </w:tc>
        <w:tc>
          <w:tcPr>
            <w:tcW w:w="146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Strategic Planning</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14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Dale Lindly</w:t>
            </w:r>
          </w:p>
        </w:tc>
        <w:tc>
          <w:tcPr>
            <w:tcW w:w="60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2005</w:t>
            </w:r>
          </w:p>
        </w:tc>
        <w:tc>
          <w:tcPr>
            <w:tcW w:w="840" w:type="dxa"/>
            <w:vAlign w:val="bottom"/>
            <w:gridSpan w:val="2"/>
            <w:shd w:val="clear" w:color="auto" w:fill="CCEEFF"/>
          </w:tcPr>
          <w:p>
            <w:pPr>
              <w:ind w:left="320"/>
              <w:spacing w:after="0" w:line="136" w:lineRule="exact"/>
              <w:rPr>
                <w:sz w:val="20"/>
                <w:szCs w:val="20"/>
                <w:color w:val="auto"/>
              </w:rPr>
            </w:pPr>
            <w:r>
              <w:rPr>
                <w:rFonts w:ascii="Times New Roman" w:cs="Times New Roman" w:eastAsia="Times New Roman" w:hAnsi="Times New Roman"/>
                <w:sz w:val="14"/>
                <w:szCs w:val="14"/>
                <w:color w:val="auto"/>
                <w:w w:val="95"/>
              </w:rPr>
              <w:t>$135,525</w:t>
            </w:r>
          </w:p>
        </w:tc>
        <w:tc>
          <w:tcPr>
            <w:tcW w:w="24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500"/>
              <w:spacing w:after="0" w:line="136" w:lineRule="exact"/>
              <w:rPr>
                <w:sz w:val="20"/>
                <w:szCs w:val="20"/>
                <w:color w:val="auto"/>
              </w:rPr>
            </w:pPr>
            <w:r>
              <w:rPr>
                <w:rFonts w:ascii="Times New Roman" w:cs="Times New Roman" w:eastAsia="Times New Roman" w:hAnsi="Times New Roman"/>
                <w:sz w:val="14"/>
                <w:szCs w:val="14"/>
                <w:color w:val="auto"/>
                <w:w w:val="92"/>
              </w:rPr>
              <w:t>100,000</w:t>
            </w:r>
          </w:p>
        </w:tc>
        <w:tc>
          <w:tcPr>
            <w:tcW w:w="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560"/>
              <w:spacing w:after="0" w:line="136" w:lineRule="exact"/>
              <w:rPr>
                <w:sz w:val="20"/>
                <w:szCs w:val="20"/>
                <w:color w:val="auto"/>
              </w:rPr>
            </w:pPr>
            <w:r>
              <w:rPr>
                <w:rFonts w:ascii="Times New Roman" w:cs="Times New Roman" w:eastAsia="Times New Roman" w:hAnsi="Times New Roman"/>
                <w:sz w:val="14"/>
                <w:szCs w:val="14"/>
                <w:color w:val="auto"/>
              </w:rPr>
              <w:t>51,954(19)</w:t>
            </w: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22,462(20)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 Controller</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14"/>
          <w:szCs w:val="14"/>
          <w:color w:val="auto"/>
        </w:rPr>
        <w:t>Note: Amounts set forth in the above table that were originally paid in Korean Won have been converted into US dollars at the exchange rate as of December 31, 2005 equal to US$1 = KRW1,010.00 for the fiscal year 2005, and as of December 31, 2004 equal to US$1 = KRW1,035.10 for the fiscal year 2004.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Footnotes:</w:t>
      </w:r>
    </w:p>
    <w:p>
      <w:pPr>
        <w:spacing w:after="0" w:line="2" w:lineRule="exact"/>
        <w:rPr>
          <w:sz w:val="20"/>
          <w:szCs w:val="20"/>
          <w:color w:val="auto"/>
        </w:rPr>
      </w:pPr>
    </w:p>
    <w:p>
      <w:pPr>
        <w:ind w:left="340" w:right="12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Hynix granted Dr. Huh 90,000 options to purchase Hynix stock. Upon completion of the Original Acquisition, 85% of the options granted to Dr. Huh were surrendered. Dr. Huh exercised 15% of those to purchase 13,500 common stock of Hynix at a price of KRW5,000 per share on June 29, 2005. Such exercised options are not reflected in this table.</w:t>
      </w:r>
    </w:p>
    <w:p>
      <w:pPr>
        <w:ind w:left="340" w:right="50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personal benefits paid to Dr. Huh: (a) $17,737 for reimbursement of use of a car; and (b) $7,622 for other personal benefits (including reimbursement of tuition expenses for Dr. Huh’s children).</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$23,949 for insurance premiums paid during the fiscal year 2005 for the benefit of Dr. Huh.</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$166,459 of salary paid to Dr. Huh by Hynix and $107,185 of salary paid to Dr. Huh by us.</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$26,616 bonus paid to Dr. Huh by Hynix and $96,558 bonus paid to Dr. Huh by us.</w:t>
      </w:r>
    </w:p>
    <w:p>
      <w:pPr>
        <w:ind w:left="340" w:right="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$483,045 for a key money deposit for Dr. Huh’s apartment lease during the period from October 8, 2004 through November 10, 2006, which shall be returned to us at the end of the lease term, and (b) $23,184 for other personal benefits (including the reimbursement of tuition expenses for Dr. Huh’s children and the use of a car).</w:t>
      </w:r>
    </w:p>
    <w:p>
      <w:pPr>
        <w:ind w:left="340" w:right="12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Huh exercised his options to purchase 1,091,595 restricted common units of MagnaChip LLC at a price of $1.00 per unit on November 30, 2004. In connection with the exercise, Dr. Huh was entitled to a bonus of $1,083,668 to pay the exercise price of a portion of the options and an additional payment of $609,563 to cover U.S. federal income tax withholding related to such bonus.</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$21,225 for insurance premiums paid during the fiscal year 2005 for the benefit of Mr. Baker.</w:t>
      </w:r>
    </w:p>
    <w:p>
      <w:pPr>
        <w:ind w:left="340" w:right="22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Baker was not an employee of our company prior to the Original Acquisition. However, this amount includes $140,000 in fees paid to Mr. Baker for consulting services rendered in connection with matters related to the Original Acquisition. Also includes $100,705 in salary paid by us to Mr. Baker.</w:t>
      </w:r>
    </w:p>
    <w:p>
      <w:pPr>
        <w:ind w:left="340" w:right="46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personal benefits paid to Mr. Krakauer: (a) $56,000 for reimbursement of tuition expenses for Mr. Krakauer’s children; and (b) $51,397 for other personal benefits (including reimbursement of use of cars, home leave flights, club fees and living expenses).</w:t>
      </w: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$16,088 for insurance premiums paid during the fiscal year 2005 for the benefit of Mr. Krakauer.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340" w:right="100" w:hanging="332"/>
        <w:spacing w:after="0" w:line="23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Krakauer was not an employee of our company prior to the Original Acquisition. However, this amount includes $100,481 in fees paid to Mr. Krakauer for consulting services rendered in connection with matters related to the Original Acquisition. Also includes $136,769 in salary paid by us to Mr. Krakauer.</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personal benefits paid to Mr. Krakauer for consulting services rendered in connection with matters related to the Original Acquisition: (a) $324,606 for prepayment of</w:t>
      </w:r>
    </w:p>
    <w:p>
      <w:pPr>
        <w:ind w:left="340" w:right="50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Krakauer’s housing expenses for two years; and (b) $135,450 for other personal benefits (including reimbursement of tuition expenses for Mr. Krakauer’s children, use of cars, housing search expenses, home leave flights, club fees and living expenses).</w:t>
      </w:r>
    </w:p>
    <w:p>
      <w:pPr>
        <w:ind w:left="340" w:hanging="332"/>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$34,375 of personal benefits paid by us to Mr. Krakauer (including the use of cars, home leave flights, club fees and living expenses).</w:t>
      </w:r>
    </w:p>
    <w:p>
      <w:pPr>
        <w:ind w:left="340" w:right="40" w:hanging="332"/>
        <w:spacing w:after="0" w:line="258" w:lineRule="auto"/>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Krakauer exercised his options to purchase 682,247 restricted common units of MagnaChip LLC at a price of $1.00 per unit on November 30, 2004. In connection with the exercise, Mr. Krakauer was entitled to a bonus of $677,293 to pay the exercise price of a portion of the options and an additional payment of $380,977 to cover U.S. federal income tax withholding related to such bonus.</w:t>
      </w:r>
    </w:p>
    <w:p>
      <w:pPr>
        <w:ind w:left="340" w:hanging="332"/>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personal benefits paid to Ms. Miller Nam: (a) $5,388 for use of a car; and (b) $426 for other personal benefits.</w:t>
      </w:r>
    </w:p>
    <w:p>
      <w:pPr>
        <w:ind w:left="340" w:hanging="332"/>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$15,828 for insurance premiums paid during the fiscal year 2005 for the benefit of Ms. Miller Nam.</w:t>
      </w:r>
    </w:p>
    <w:p>
      <w:pPr>
        <w:ind w:left="340" w:right="340" w:hanging="332"/>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Miller Nam was not an employee of our company prior to the Original Acquisition. However, this amount includes $358,055 in fees paid to Ms. Miller Nam’s consulting company for consulting services rendered in connection with matters related to the Original Acquisition. Also includes $80,388 in salary paid by us to Ms. Miller Nam.</w:t>
      </w:r>
    </w:p>
    <w:p>
      <w:pPr>
        <w:ind w:left="340" w:right="260" w:hanging="332"/>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personal benefits paid to Mr. Lindly: (a) $50,632 for monthly rent for Mr. Lindly’s housing lease (including $5,346 for a key money deposit during the period from June 6, 2005 through June 6, 2006, which deposit shall be returned to us at the end of the lease term); and (b) $1,322 for the use of a car.</w:t>
      </w: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$22,462 for insurance premiums paid during the fiscal year 2005 for the benefit of Mr. Lindly.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Agreements</w:t>
      </w:r>
    </w:p>
    <w:p>
      <w:pPr>
        <w:spacing w:after="0" w:line="90"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Dr. Youm Huh. </w:t>
      </w:r>
      <w:r>
        <w:rPr>
          <w:rFonts w:ascii="Times New Roman" w:cs="Times New Roman" w:eastAsia="Times New Roman" w:hAnsi="Times New Roman"/>
          <w:sz w:val="16"/>
          <w:szCs w:val="16"/>
          <w:color w:val="auto"/>
        </w:rPr>
        <w:t>Dr. Huh serves as the President and Chief Executive Officer of MagnaChip with an initial base salary of $400,000 per year and with a target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incentive bonus opportunity of 100% of his base salary. Dr. Huh is entitled to customary employee benefits including the cost of housing accommodations and expenses. The term of the service agreement extends for four years from October 6, 2004, with such initial term automatically extending for additional two-year periods unless written notice is given by either party prior to the termination date. In accordance with the terms of his service agreement, Dr. Huh was granted 1,091,595 immediately exercisable options for restricted common units of MagnaChip at a price of $1.00 per unit. Dr. Huh exercised his options on November 30, 2004. In connection with the exercise, Dr. Huh was entitled to a bonus of $1,083,668 to pay the exercise price of a portion of the options and an additional payment of $609,563 to cover U.S. federal income tax withholding related to such bonus. All units acquired by Dr. Huh upon exercise of the options described above are subject to forfeiture or to repurchase by MagnaChip upon Dr. Huh’s termination of employment. If Dr. Huh’s employment is terminated without cause or if he resigns for good reason, Dr. Huh is entitled to receive his base salary for twelve months, payment of the annual incentive bonus for the year in which the termination occurs, twelve months’ accelerated vesting on outstanding equity awards and continued participation in our benefit plans for twelve months. If such termination occurs in connection with a change in control, Dr. Huh is entitled to receive his base salary for two years, payment of the annual incentive bonus for the year in which the termination occurs, two years’ accelerated vesting on outstanding equity awards and continued participation in our benefit plans for two years. In the event of his termination as a result of death or disability, Dr. Huh (or his beneficiaries) will be entitled to receive payment of all salary and benefits accrued up to the date of termination and a prorated portion of the annual incentive bonus for the year in which the termination occurs. If</w:t>
      </w:r>
    </w:p>
    <w:p>
      <w:pPr>
        <w:spacing w:after="0" w:line="189"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6"/>
          <w:szCs w:val="16"/>
          <w:color w:val="auto"/>
        </w:rPr>
        <w:t>Dr. Huh’s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and non-solicitation covenants lasting two and three years, respectively, from the date of termination of employment and confidentiality covenants of unlimited duration.</w:t>
      </w:r>
    </w:p>
    <w:p>
      <w:pPr>
        <w:spacing w:after="0" w:line="101"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Jerry Baker. </w:t>
      </w:r>
      <w:r>
        <w:rPr>
          <w:rFonts w:ascii="Times New Roman" w:cs="Times New Roman" w:eastAsia="Times New Roman" w:hAnsi="Times New Roman"/>
          <w:sz w:val="18"/>
          <w:szCs w:val="18"/>
          <w:color w:val="auto"/>
        </w:rPr>
        <w:t>From October 6, 2004, to December 31, 2005, Mr. Baker served as the Executive Chairman of the board of directors of MagnaChip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annual base salary of $400,000 per year and with a target annual incentive bonus opportunity of 100% of his base salary. In addition, Mr. Baker’s air travel expenses (from his home in the United States) and home office expenses were paid by MagnaChip. Mr. Baker was granted 545,798 immediately exercisable options for restricted common units of MagnaChip at a price of $1.00 per unit. Mr. Baker exercised his options on December 30, 2004.</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80"/>
          </w:cols>
          <w:pgMar w:left="240" w:top="455"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Robert Krakauer. </w:t>
      </w:r>
      <w:r>
        <w:rPr>
          <w:rFonts w:ascii="Times New Roman" w:cs="Times New Roman" w:eastAsia="Times New Roman" w:hAnsi="Times New Roman"/>
          <w:sz w:val="16"/>
          <w:szCs w:val="16"/>
          <w:color w:val="auto"/>
        </w:rPr>
        <w:t>Mr. Krakauer serves as Executive Vice President of Strategic Operations and Chief Financial Officer of MagnaChip with an initial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salary of $375,000 per year and with a target annual incentive bonus opportunity of 80% of his base salary. Mr. Krakauer is entitled to customary employee benefits and, for so long as his place of business is located in Korea, expatriate/repatriation benefits, including relocation expenses, tax equalization payments, cost of housing accommodations and expenses. The term of the service agreement extends for three years from October 6, 2004, with such initial term automatically extending for additional one-year periods unless written notice is given by either party prior to the termination date. In accordance with the terms of his service agreement, Mr. Krakauer was granted 682,247 immediately exercisable options for restricted common units of MagnaChip at a price of $1.00 per unit. Mr. Krakauer exercised his options on November 30, 2004. In connection with the exercise, Mr. Krakauer was entitled to a bonus of $677,293 to pay the exercise price of a portion of the options and an additional payment of $380,977 to cover U.S. federal income tax withholding related to such bonus. All units acquired by Mr. Krakauer upon exercise of the options are subject to forfeiture or to repurchase by MagnaChip upon Mr. Krakauer’s termination of employment. If</w:t>
      </w:r>
    </w:p>
    <w:p>
      <w:pPr>
        <w:spacing w:after="0" w:line="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Mr. Krakauer’s employment is terminated without cause or if he resigns for good reason, Mr. Krakauer is entitled to receive his base salary for twelve months, payment of a prorated portion of the annual incentive bonus for the year in which the termination occurs and continued participation in our benefit plans for twelve months.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w:t>
      </w:r>
    </w:p>
    <w:p>
      <w:pPr>
        <w:spacing w:after="0" w:line="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Krakauer’s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36"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Victoria Miller Nam. </w:t>
      </w:r>
      <w:r>
        <w:rPr>
          <w:rFonts w:ascii="Times New Roman" w:cs="Times New Roman" w:eastAsia="Times New Roman" w:hAnsi="Times New Roman"/>
          <w:sz w:val="16"/>
          <w:szCs w:val="16"/>
          <w:color w:val="auto"/>
        </w:rPr>
        <w:t>Ms. Miller Nam serves as the Senior Vice President of Strategic Planning of MagnaChip with an initial base salary of $300,000 per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year and with a target annual incentive bonus opportunity of 50% of her base salary. Ms. Miller Nam is entitled to customary employee benefits. The term of the service agreement extends for three years from December 29, 2004, with such initial term automatically extending for additional one-year periods unless written notice is given by either party prior to the termination date. Ms. Miller Nam was granted 136,450 immediately exercisable options for restricted common units of MagnaChip at a price of $1.00 per unit. Ms. Miller Nam exercised her options on November 30, 2004. If Ms. Miller Nam’s service is terminated without cause or if she resigns for good reason, Ms. Miller Nam will be entitled to receive her base salary for six months, payment of the annual incentive bonus in a prorated amount based on the number of days she was actually employed by us, continued participation in our benefit plans for six months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 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337"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Dale Lindly. </w:t>
      </w:r>
      <w:r>
        <w:rPr>
          <w:rFonts w:ascii="Times New Roman" w:cs="Times New Roman" w:eastAsia="Times New Roman" w:hAnsi="Times New Roman"/>
          <w:sz w:val="18"/>
          <w:szCs w:val="18"/>
          <w:color w:val="auto"/>
        </w:rPr>
        <w:t>Mr. Lindly serves as Senior Vice President and Chief Accounting Officer of MagnaChip with an initial base salary of $200,000 per year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target annual incentive bonus opportunity of 50% of his base salary, such bonus guaranteed his first year of service. Mr. Lindly is entitled to customary employee benefits and, for so long as his place of business is located in Korea, expatriate/repatriation benefits, including relocation expenses, tax equalization payments, cost of housing accommodations and expenses. The term of the service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6"/>
          <w:szCs w:val="16"/>
          <w:color w:val="auto"/>
        </w:rPr>
        <w:t>agreement extends for three years from April 14, 2005, with the initial term automatically extending for additional one-year periods unless written notice is given by either party prior to the termination date. In accordance with the terms of his service agreement, Mr. Lindly received options to purchase 75,000 common units of MagnaChip at a price of $1.00 per unit. Twenty-five percent of Mr. Lindly’s options vest on the first anniversary of his service date and an additional 6.25% of the options vest on the last day of each calendar quarter thereafter. If Mr. Lindly’s employment is terminated without cause or if he resigns for good reason,</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Mr. Lindly is entitled to receive his base salary for six months, the payment of a prorated portion of the annual incentive bonus for the year in which the termination occurs and continued participation in our benefit plans for six months. In the event of his termination as a result of death or disability, Mr. Lindly (or his beneficiaries) will be entitled to receive payment of all salary and benefits accrued up to the date of termination and a prorated portion of the annual incentive bonus for the year in which the termination occurs. If Mr. Lindly’s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April 14, 2008, non-solicitation covenants lasting two years from the date of termination of employment and confidentiality covenants of unlimited duration.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Option/SAR Grants</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for the year ended December 31, 2005 with respect to grants of options to purchase units of MagnaChip granted to each of the named executive officers.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Potential realizable</w:t>
            </w:r>
          </w:p>
        </w:tc>
      </w:tr>
      <w:tr>
        <w:trPr>
          <w:trHeight w:val="149"/>
        </w:trPr>
        <w:tc>
          <w:tcPr>
            <w:tcW w:w="1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value at assumed</w:t>
            </w:r>
          </w:p>
        </w:tc>
      </w:tr>
      <w:tr>
        <w:trPr>
          <w:trHeight w:val="149"/>
        </w:trPr>
        <w:tc>
          <w:tcPr>
            <w:tcW w:w="1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annual rates of</w:t>
            </w:r>
          </w:p>
        </w:tc>
      </w:tr>
      <w:tr>
        <w:trPr>
          <w:trHeight w:val="149"/>
        </w:trPr>
        <w:tc>
          <w:tcPr>
            <w:tcW w:w="1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unit price</w:t>
            </w:r>
          </w:p>
        </w:tc>
      </w:tr>
      <w:tr>
        <w:trPr>
          <w:trHeight w:val="149"/>
        </w:trPr>
        <w:tc>
          <w:tcPr>
            <w:tcW w:w="1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appreciation for</w:t>
            </w:r>
          </w:p>
        </w:tc>
      </w:tr>
      <w:tr>
        <w:trPr>
          <w:trHeight w:val="179"/>
        </w:trPr>
        <w:tc>
          <w:tcPr>
            <w:tcW w:w="11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Individual Grants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option term (1)</w:t>
            </w:r>
          </w:p>
        </w:tc>
      </w:tr>
      <w:tr>
        <w:trPr>
          <w:trHeight w:val="125"/>
        </w:trPr>
        <w:tc>
          <w:tcPr>
            <w:tcW w:w="11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Percent of</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or base</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granted to</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per</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employees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option</w:t>
            </w:r>
          </w:p>
        </w:tc>
        <w:tc>
          <w:tcPr>
            <w:tcW w:w="220" w:type="dxa"/>
            <w:vAlign w:val="bottom"/>
          </w:tcPr>
          <w:p>
            <w:pPr>
              <w:spacing w:after="0"/>
              <w:rPr>
                <w:sz w:val="14"/>
                <w:szCs w:val="14"/>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5%</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4"/>
                <w:szCs w:val="14"/>
                <w:color w:val="auto"/>
              </w:rPr>
            </w:pPr>
          </w:p>
        </w:tc>
      </w:tr>
      <w:tr>
        <w:trPr>
          <w:trHeight w:val="195"/>
        </w:trPr>
        <w:tc>
          <w:tcPr>
            <w:tcW w:w="54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Dale Lindly</w:t>
            </w:r>
          </w:p>
        </w:tc>
        <w:tc>
          <w:tcPr>
            <w:tcW w:w="780" w:type="dxa"/>
            <w:vAlign w:val="bottom"/>
            <w:gridSpan w:val="2"/>
            <w:shd w:val="clear" w:color="auto" w:fill="CCEEFF"/>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75,000</w:t>
            </w:r>
          </w:p>
        </w:tc>
        <w:tc>
          <w:tcPr>
            <w:tcW w:w="1180" w:type="dxa"/>
            <w:vAlign w:val="bottom"/>
            <w:gridSpan w:val="3"/>
            <w:shd w:val="clear" w:color="auto" w:fill="CCEEFF"/>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2.6%</w:t>
            </w:r>
          </w:p>
        </w:tc>
        <w:tc>
          <w:tcPr>
            <w:tcW w:w="940" w:type="dxa"/>
            <w:vAlign w:val="bottom"/>
            <w:gridSpan w:val="3"/>
            <w:shd w:val="clear" w:color="auto" w:fill="CCEEFF"/>
          </w:tcPr>
          <w:p>
            <w:pPr>
              <w:jc w:val="center"/>
              <w:ind w:right="100"/>
              <w:spacing w:after="0" w:line="195" w:lineRule="exact"/>
              <w:rPr>
                <w:sz w:val="20"/>
                <w:szCs w:val="20"/>
                <w:color w:val="auto"/>
              </w:rPr>
            </w:pPr>
            <w:r>
              <w:rPr>
                <w:rFonts w:ascii="Times New Roman" w:cs="Times New Roman" w:eastAsia="Times New Roman" w:hAnsi="Times New Roman"/>
                <w:sz w:val="18"/>
                <w:szCs w:val="18"/>
                <w:color w:val="auto"/>
              </w:rPr>
              <w:t>$   1.00</w:t>
            </w:r>
          </w:p>
        </w:tc>
        <w:tc>
          <w:tcPr>
            <w:tcW w:w="1460" w:type="dxa"/>
            <w:vAlign w:val="bottom"/>
            <w:gridSpan w:val="2"/>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April 14, 2015</w:t>
            </w:r>
          </w:p>
        </w:tc>
        <w:tc>
          <w:tcPr>
            <w:tcW w:w="6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122,167</w:t>
            </w:r>
          </w:p>
        </w:tc>
        <w:tc>
          <w:tcPr>
            <w:tcW w:w="92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194,531</w:t>
            </w:r>
          </w:p>
        </w:tc>
        <w:tc>
          <w:tcPr>
            <w:tcW w:w="20" w:type="dxa"/>
            <w:vAlign w:val="bottom"/>
          </w:tcPr>
          <w:p>
            <w:pPr>
              <w:spacing w:after="0"/>
              <w:rPr>
                <w:sz w:val="16"/>
                <w:szCs w:val="16"/>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Footnote:</w:t>
      </w:r>
    </w:p>
    <w:p>
      <w:pPr>
        <w:spacing w:after="0" w:line="2" w:lineRule="exact"/>
        <w:rPr>
          <w:sz w:val="20"/>
          <w:szCs w:val="20"/>
          <w:color w:val="auto"/>
        </w:rPr>
      </w:pPr>
    </w:p>
    <w:p>
      <w:pPr>
        <w:jc w:val="both"/>
        <w:ind w:left="340" w:right="40" w:hanging="332"/>
        <w:spacing w:after="0" w:line="227"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2005. The potential realizable value is calculated based on the term of the option at its time of grant. It is calculated assuming that the fair market value of MagnaChip’s common units on the date of grant appreciates at the indicated annual rate compounded annually for the entire term of the option and that the option is exercised and sold on the last day of its term for the appreciated unit price. The fair market value of our common units on the date of grant was $1.00 per unit.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Unit Subscription Agreements</w:t>
      </w:r>
    </w:p>
    <w:p>
      <w:pPr>
        <w:spacing w:after="0" w:line="9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On December 30, 2004, Mr. Baker exercised the options granted pursuant to his option agreement and entered into a restricted unit subscription agreement with MagnaChip. On November 30, 2004, Dr. Huh and Mr. Krakauer exercised the options granted pursuant to their option agreements, paying the exercise price of the options with a special bonus, and entered into restricted unit subscription agreements with MagnaChip. Also on November 30, 2004, Ms. Miller Nam exercised the options granted pursuant to her option agreement and entered into a restricted unit subscription agreement with MagnaChip. Under these restricted unit subscription agreements, restrictions on the units lapse as to 25% of the units on September 30, 2005 and as to 6.25% of the units on the last day of each calendar quarter thereafter, subject to the officer’s continuous employment with MagnaChip. The restrictions lapse as to all restricted units held by Dr. Huh upon a change in control after which Dr. Huh no longer serves as the Chief Executive Officer of MagnaChip and as to all restricted units held by Mr. Krakauer upon a change in control after which Mr. Krakauer no longer serves as the Chief Financial Officer of MagnaChip. The restricted unit subscription agreements provide that the units are nontransferable and shall be subject to forfeiture upon termination of the officer’s employment. Upon termination, MagnaChip may repurchase any units for which the restrictions have not lapsed for $1.00, if termination is for cause (as defined 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agreement), or for fair market value, if termination is for any other reason. The officers have the right to vote the restricted units and to receive cash dividends, provided that dividends payable in units or other securities shall have the same status as restricted units.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In our fiscal year ended December 31, 2005, directors did not receive compensation for service on our board of directors. Starting in January 2006, Jerry Baker and Armando Geday each receive $50,000 per annum for service on our board of directors. As compensation for his service as a director on our board of directors, effective January 19, 2006, Armando Geday received options to acquire 175,000 of our common units at a purchase price of $1.04 per unit pursuant to the MagnaChip Semiconductor LLC Equity Incentive Plan. No other directors currently receive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None of our executive officers currently serves, or in the past has served, on our compensation committee or as a member of the board of directors or compensation committee of any entity that has one or more executive officers serving on the board or compensation committee of MagnaChip.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COMPENSATION COMMITTEE REPORT ON EXECUTIVE COMPENSATION</w:t>
      </w:r>
    </w:p>
    <w:p>
      <w:pPr>
        <w:spacing w:after="0" w:line="92"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compensation committee makes determinations regarding executive compensation in accordance with the terms of the respective service agreements between us and our executive officers. All compensation amounts payable to executive officers which are related to target levels of corporate performance are to be awarded in accordance with the terms of such service agreements.</w:t>
      </w:r>
    </w:p>
    <w:p>
      <w:pPr>
        <w:spacing w:after="0" w:line="211" w:lineRule="exact"/>
        <w:rPr>
          <w:sz w:val="20"/>
          <w:szCs w:val="20"/>
          <w:color w:val="auto"/>
        </w:rPr>
      </w:pPr>
    </w:p>
    <w:p>
      <w:pPr>
        <w:ind w:right="3100"/>
        <w:spacing w:after="0" w:line="397"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Securities Authorized for Issuance Under Equity Compensation Plans </w:t>
      </w:r>
      <w:r>
        <w:rPr>
          <w:rFonts w:ascii="Times New Roman" w:cs="Times New Roman" w:eastAsia="Times New Roman" w:hAnsi="Times New Roman"/>
          <w:sz w:val="18"/>
          <w:szCs w:val="18"/>
          <w:color w:val="auto"/>
        </w:rPr>
        <w:t>As of December 31, 2005:</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 remaining</w:t>
            </w:r>
          </w:p>
        </w:tc>
        <w:tc>
          <w:tcPr>
            <w:tcW w:w="0" w:type="dxa"/>
            <w:vAlign w:val="bottom"/>
          </w:tcPr>
          <w:p>
            <w:pPr>
              <w:spacing w:after="0"/>
              <w:rPr>
                <w:sz w:val="1"/>
                <w:szCs w:val="1"/>
                <w:color w:val="auto"/>
              </w:rPr>
            </w:pPr>
          </w:p>
        </w:tc>
      </w:tr>
      <w:tr>
        <w:trPr>
          <w:trHeight w:val="138"/>
        </w:trPr>
        <w:tc>
          <w:tcPr>
            <w:tcW w:w="3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940" w:type="dxa"/>
            <w:vAlign w:val="bottom"/>
            <w:gridSpan w:val="2"/>
          </w:tcPr>
          <w:p>
            <w:pPr>
              <w:jc w:val="center"/>
              <w:ind w:right="20"/>
              <w:spacing w:after="0" w:line="139" w:lineRule="exact"/>
              <w:rPr>
                <w:sz w:val="20"/>
                <w:szCs w:val="20"/>
                <w:color w:val="auto"/>
              </w:rPr>
            </w:pPr>
            <w:r>
              <w:rPr>
                <w:rFonts w:ascii="Times New Roman" w:cs="Times New Roman" w:eastAsia="Times New Roman" w:hAnsi="Times New Roman"/>
                <w:sz w:val="14"/>
                <w:szCs w:val="14"/>
                <w:b w:val="1"/>
                <w:bCs w:val="1"/>
                <w:color w:val="auto"/>
                <w:w w:val="96"/>
              </w:rPr>
              <w:t>available for future issuance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securities to be issued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 price of</w:t>
            </w:r>
          </w:p>
        </w:tc>
        <w:tc>
          <w:tcPr>
            <w:tcW w:w="1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 compensation plans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upon exercise of outstanding</w:t>
            </w:r>
          </w:p>
        </w:tc>
        <w:tc>
          <w:tcPr>
            <w:tcW w:w="560" w:type="dxa"/>
            <w:vAlign w:val="bottom"/>
          </w:tcPr>
          <w:p>
            <w:pPr>
              <w:spacing w:after="0"/>
              <w:rPr>
                <w:sz w:val="12"/>
                <w:szCs w:val="12"/>
                <w:color w:val="auto"/>
              </w:rPr>
            </w:pPr>
          </w:p>
        </w:tc>
        <w:tc>
          <w:tcPr>
            <w:tcW w:w="2300" w:type="dxa"/>
            <w:vAlign w:val="bottom"/>
            <w:gridSpan w:val="3"/>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1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(excluding securities reflected in</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120" w:type="dxa"/>
            <w:vAlign w:val="bottom"/>
          </w:tcPr>
          <w:p>
            <w:pPr>
              <w:spacing w:after="0"/>
              <w:rPr>
                <w:sz w:val="14"/>
                <w:szCs w:val="14"/>
                <w:color w:val="auto"/>
              </w:rPr>
            </w:pPr>
          </w:p>
        </w:tc>
        <w:tc>
          <w:tcPr>
            <w:tcW w:w="24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options, warrants and rights</w:t>
            </w:r>
          </w:p>
        </w:tc>
        <w:tc>
          <w:tcPr>
            <w:tcW w:w="560" w:type="dxa"/>
            <w:vAlign w:val="bottom"/>
          </w:tcPr>
          <w:p>
            <w:pPr>
              <w:spacing w:after="0"/>
              <w:rPr>
                <w:sz w:val="14"/>
                <w:szCs w:val="14"/>
                <w:color w:val="auto"/>
              </w:rPr>
            </w:pPr>
          </w:p>
        </w:tc>
        <w:tc>
          <w:tcPr>
            <w:tcW w:w="230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1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column (a))</w:t>
            </w:r>
          </w:p>
        </w:tc>
        <w:tc>
          <w:tcPr>
            <w:tcW w:w="0" w:type="dxa"/>
            <w:vAlign w:val="bottom"/>
          </w:tcPr>
          <w:p>
            <w:pPr>
              <w:spacing w:after="0"/>
              <w:rPr>
                <w:sz w:val="1"/>
                <w:szCs w:val="1"/>
                <w:color w:val="auto"/>
              </w:rPr>
            </w:pPr>
          </w:p>
        </w:tc>
      </w:tr>
      <w:tr>
        <w:trPr>
          <w:trHeight w:val="149"/>
        </w:trPr>
        <w:tc>
          <w:tcPr>
            <w:tcW w:w="304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9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140" w:type="dxa"/>
            <w:vAlign w:val="bottom"/>
          </w:tcPr>
          <w:p>
            <w:pPr>
              <w:spacing w:after="0"/>
              <w:rPr>
                <w:sz w:val="12"/>
                <w:szCs w:val="12"/>
                <w:color w:val="auto"/>
              </w:rPr>
            </w:pPr>
          </w:p>
        </w:tc>
        <w:tc>
          <w:tcPr>
            <w:tcW w:w="19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holders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3,869,642.5000</w:t>
            </w:r>
          </w:p>
        </w:tc>
        <w:tc>
          <w:tcPr>
            <w:tcW w:w="5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1.54</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1,110,881.5000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1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security holders</w:t>
            </w:r>
          </w:p>
        </w:tc>
        <w:tc>
          <w:tcPr>
            <w:tcW w:w="1120" w:type="dxa"/>
            <w:vAlign w:val="bottom"/>
          </w:tcPr>
          <w:p>
            <w:pPr>
              <w:spacing w:after="0"/>
              <w:rPr>
                <w:sz w:val="19"/>
                <w:szCs w:val="19"/>
                <w:color w:val="auto"/>
              </w:rPr>
            </w:pPr>
          </w:p>
        </w:tc>
        <w:tc>
          <w:tcPr>
            <w:tcW w:w="2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MagnaChip Semiconductor LLC California Equity Incentive Plan and the MagnaChip Semiconductor LLC Equity Incentive Plan each provide for the award of nonstatutory options, unit appreciation rights, or SARs, and restricted unit awards to employees, consultants or non-employee directors of MagnaChip and its subsidiaries. Subject to adjustment in the event of certain corporate transactions or events, the maximum aggregate number of MagnaChip units that are available for grant under both plans is 7,490,864, all of which may be granted under either plan. As of March 1, 2006, options to purchase 3,816,267.5 units were outstanding under the plans and options to purchase 1,147,256.5 units were available for future grant under the plans. Units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subject to awards that expire, are forfeited or otherwise terminate will again be available for grant under the plans. The plans are administered by the board of directors.</w:t>
      </w:r>
    </w:p>
    <w:p>
      <w:pPr>
        <w:spacing w:after="0" w:line="12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board of directors will determine the number of options granted to each participant, the exercise price of each option, the duration of the options (not to exceed ten years), vesting provisions and all other terms and conditions of such options. Unless otherwise determined by the board of directors, the exercise price of each option is required to be not less than the fair market value of the underlying common units subject to the option on the date of grant. The plans provide for payment of the exercise price of options in the form of cash or, subject to the discretion of the compensation committee, MagnaChip units. The plans provide that upon a termination of the option-holder’s employment or service with MagnaChip or its subsidiaries, unless otherwise determined by the compensation committee at or after grant, the exercise period for vested options will be limited, provided that vested options will be cancelled immediately upon a termination for cause.</w:t>
      </w:r>
    </w:p>
    <w:p>
      <w:pPr>
        <w:spacing w:after="0" w:line="141"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may elect to grant SARs to plan participants and may determine the number of common units subject to the award, the duration of the SARs (not to exceed ten years), vesting provisions and all other terms and conditions of such SARs. In no event may the base price of a SAR be less than the fair market value of the common units subject to the award on the date of grant. A termination of service or employment of the recipient will have the same effect on SARs granted under the plans as on options.</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board of directors will determine the number of restricted units offered to each participant in the plans, the purchase price of the units, the period the units are unvested and subject to forfeiture, the effect of a termination of the recipient’s employment or service and all other terms and conditions applicable to the restricted units.</w:t>
      </w:r>
    </w:p>
    <w:p>
      <w:pPr>
        <w:spacing w:after="0" w:line="132"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The plans provide that upon a change in control or certain other corporate transactions, the board of directors may, on a holder by holder basis, accelerate the vesting of outstanding options, SARs or restricted units, cancel any unexercised outstanding awards in whole or in part, and/or take actions to ensure that such awards shall be honored or assumed by the successor employer or take such other reasonable actions as the board of directors shall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MagnaChip as of March 1, 2006, by (i) each person or entity known to us to beneficially own more than 5% of any class of outstanding securities of MagnaChip, (ii) each member of the board of directors of MagnaChip, (iii) each named executive officer of MagnaChip and (iv) all of the members of the board of directors and executive officers of MagnaChip as a group. As of March 1, 2006, MagnaChip’s outstanding securities consisted of 53,108,568.672 common units and 93,997.4364 Series B preferred units. The table does not include common units issuable upon conversion of Series B preferred units.</w:t>
      </w:r>
    </w:p>
    <w:p>
      <w:pPr>
        <w:spacing w:after="0" w:line="13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amounts and percentages of common units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Except as indicated by footnote, the persons named in the table below have sole voting and investment power with respect to all units shown as beneficially owned by them.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Series B Preferred Units</w:t>
            </w:r>
          </w:p>
        </w:tc>
        <w:tc>
          <w:tcPr>
            <w:tcW w:w="0" w:type="dxa"/>
            <w:vAlign w:val="bottom"/>
          </w:tcPr>
          <w:p>
            <w:pPr>
              <w:spacing w:after="0"/>
              <w:rPr>
                <w:sz w:val="1"/>
                <w:szCs w:val="1"/>
                <w:color w:val="auto"/>
              </w:rPr>
            </w:pPr>
          </w:p>
        </w:tc>
      </w:tr>
      <w:tr>
        <w:trPr>
          <w:trHeight w:val="149"/>
        </w:trPr>
        <w:tc>
          <w:tcPr>
            <w:tcW w:w="7140" w:type="dxa"/>
            <w:vAlign w:val="bottom"/>
            <w:gridSpan w:val="4"/>
            <w:vMerge w:val="continue"/>
          </w:tcPr>
          <w:p>
            <w:pPr>
              <w:spacing w:after="0"/>
              <w:rPr>
                <w:sz w:val="12"/>
                <w:szCs w:val="12"/>
                <w:color w:val="auto"/>
              </w:rPr>
            </w:pPr>
          </w:p>
        </w:tc>
        <w:tc>
          <w:tcPr>
            <w:tcW w:w="1520" w:type="dxa"/>
            <w:vAlign w:val="bottom"/>
            <w:tcBorders>
              <w:top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480" w:type="dxa"/>
            <w:vAlign w:val="bottom"/>
          </w:tcPr>
          <w:p>
            <w:pPr>
              <w:spacing w:after="0"/>
              <w:rPr>
                <w:sz w:val="12"/>
                <w:szCs w:val="12"/>
                <w:color w:val="auto"/>
              </w:rPr>
            </w:pPr>
          </w:p>
        </w:tc>
        <w:tc>
          <w:tcPr>
            <w:tcW w:w="122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Securityholders:</w:t>
            </w:r>
          </w:p>
        </w:tc>
        <w:tc>
          <w:tcPr>
            <w:tcW w:w="3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CVC(1)</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95"/>
              </w:rPr>
              <w:t>17,962,521.9300</w:t>
            </w:r>
          </w:p>
        </w:tc>
        <w:tc>
          <w:tcPr>
            <w:tcW w:w="340" w:type="dxa"/>
            <w:vAlign w:val="bottom"/>
          </w:tcPr>
          <w:p>
            <w:pPr>
              <w:spacing w:after="0"/>
              <w:rPr>
                <w:sz w:val="17"/>
                <w:szCs w:val="17"/>
                <w:color w:val="auto"/>
              </w:rPr>
            </w:pPr>
          </w:p>
        </w:tc>
        <w:tc>
          <w:tcPr>
            <w:tcW w:w="94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33.8%</w:t>
            </w:r>
          </w:p>
        </w:tc>
        <w:tc>
          <w:tcPr>
            <w:tcW w:w="122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w w:val="95"/>
              </w:rPr>
              <w:t>33,716.7546</w:t>
            </w:r>
          </w:p>
        </w:tc>
        <w:tc>
          <w:tcPr>
            <w:tcW w:w="6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 Citigroup Venture Capital Equity Partners, L.P.</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399 Park Avenue, 14th Floor</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New York, NY 10022</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Francisco Partners(2)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17,962,521.9200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33,716.7547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 Francisco Partners, L.P.</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Sand Hill Road, Suite 280</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Menlo Park, CA 94025</w:t>
            </w: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CVC Asia Pacific(3)</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9,659,710.5600</w:t>
            </w:r>
          </w:p>
        </w:tc>
        <w:tc>
          <w:tcPr>
            <w:tcW w:w="340" w:type="dxa"/>
            <w:vAlign w:val="bottom"/>
          </w:tcPr>
          <w:p>
            <w:pPr>
              <w:spacing w:after="0"/>
              <w:rPr>
                <w:sz w:val="17"/>
                <w:szCs w:val="17"/>
                <w:color w:val="auto"/>
              </w:rPr>
            </w:pPr>
          </w:p>
        </w:tc>
        <w:tc>
          <w:tcPr>
            <w:tcW w:w="94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18.2%</w:t>
            </w:r>
          </w:p>
        </w:tc>
        <w:tc>
          <w:tcPr>
            <w:tcW w:w="122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w w:val="95"/>
              </w:rPr>
              <w:t>18,131.8699</w:t>
            </w:r>
          </w:p>
        </w:tc>
        <w:tc>
          <w:tcPr>
            <w:tcW w:w="6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 CVC Capital Partners Asia Limited</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22 Grenville Street</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 Helier, Jersey JE4 8PX</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Channel Islands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Hynix Semiconductor Inc.(4)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5,079,254.0000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Hynix Youngdong Bldg. 17th F.</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891 Daechi-dong, Kangnam-ku</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Seoul, 135-738, Korea</w:t>
            </w: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Peninsula Investment Pte. Ltd.</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3,636,271.0700</w:t>
            </w:r>
          </w:p>
        </w:tc>
        <w:tc>
          <w:tcPr>
            <w:tcW w:w="340" w:type="dxa"/>
            <w:vAlign w:val="bottom"/>
          </w:tcPr>
          <w:p>
            <w:pPr>
              <w:spacing w:after="0"/>
              <w:rPr>
                <w:sz w:val="17"/>
                <w:szCs w:val="17"/>
                <w:color w:val="auto"/>
              </w:rPr>
            </w:pPr>
          </w:p>
        </w:tc>
        <w:tc>
          <w:tcPr>
            <w:tcW w:w="94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6,825.5041</w:t>
            </w:r>
          </w:p>
        </w:tc>
        <w:tc>
          <w:tcPr>
            <w:tcW w:w="6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255 Shoreline Drive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Suite 600</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Redwood City, CA 94065</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Jerry M. Baker(5)(6)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682,158.1600</w:t>
            </w:r>
          </w:p>
        </w:tc>
        <w:tc>
          <w:tcPr>
            <w:tcW w:w="3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255.9564</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Dipanjan Deb(2)(7)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17,962,521.9200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33,716.7547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Armando Geday</w:t>
            </w: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Youm Huh(5)(8)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1,182,501.7800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170.6376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J. Krakauer(5)(9)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773,153.7700</w:t>
            </w:r>
          </w:p>
        </w:tc>
        <w:tc>
          <w:tcPr>
            <w:tcW w:w="3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170.6375</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Kuan(3)(10)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9,659,710.5600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18,131.8699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Dale Lindly(5)(11)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3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Miller Nam(5)(12)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181,903.3800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85.3188</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Phokion Potamianos(2)(7)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17,962,521.9200</w:t>
            </w:r>
          </w:p>
        </w:tc>
        <w:tc>
          <w:tcPr>
            <w:tcW w:w="3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33,716.7547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C. Schorr IV(13)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36,362.72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68.2551</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F. Thomas(1)(14)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18,035,247.3400</w:t>
            </w:r>
          </w:p>
        </w:tc>
        <w:tc>
          <w:tcPr>
            <w:tcW w:w="3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33,853.2646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 (17 persons):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48,850,571.3800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89.6%</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86,452.6946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9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Less than one percent.</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Footnotes: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right="14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17,630,628.4200 common units held by Citigroup Venture Capital Equity Partners, L.P., 156,381.7100 common units held by CVC Executive Fund LLC and 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w:t>
      </w:r>
    </w:p>
    <w:p>
      <w:pPr>
        <w:spacing w:after="0" w:line="1" w:lineRule="exact"/>
        <w:rPr>
          <w:rFonts w:ascii="Times New Roman" w:cs="Times New Roman" w:eastAsia="Times New Roman" w:hAnsi="Times New Roman"/>
          <w:sz w:val="18"/>
          <w:szCs w:val="18"/>
          <w:color w:val="auto"/>
        </w:rPr>
      </w:pPr>
    </w:p>
    <w:p>
      <w:pPr>
        <w:jc w:val="both"/>
        <w:ind w:left="460" w:right="680" w:hanging="452"/>
        <w:spacing w:after="0" w:line="281"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16,941,762.2000 common units held by Francisco Partners, L.P., 83,423.4000 common units held by Francisco Partners Fund A, L.P., 909,067.7600 common units held by FP-MagnaChip Co-Invest, LLC and 28,268.5600 common units held by FP Annual Fund Investors, LLC and</w:t>
      </w:r>
    </w:p>
    <w:p>
      <w:pPr>
        <w:spacing w:after="0" w:line="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31,800.7261 Series B</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color w:val="auto"/>
        </w:rPr>
        <w:t>preferred units held by Francisco Partners, L.P., 156.5909 Series B preferred units held by Francisco Partners Fund A, L.P., 1,706.3760 Series B preferred units held by FP-MagnaChip Co-Invest, LLC and 53.0617 Series B preferred units held by FP Annual Fund Investors, LLC.</w:t>
      </w:r>
    </w:p>
    <w:p>
      <w:pPr>
        <w:spacing w:after="0" w:line="1" w:lineRule="exact"/>
        <w:rPr>
          <w:sz w:val="20"/>
          <w:szCs w:val="20"/>
          <w:color w:val="auto"/>
        </w:rPr>
      </w:pPr>
    </w:p>
    <w:p>
      <w:pPr>
        <w:ind w:left="460" w:right="40" w:hanging="452"/>
        <w:spacing w:after="0" w:line="25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3,219,903.5200 common units held by CVC Capital Partners Asia Pacific L.P., 4,048,152.3700 common units held by CVC Capital Partners Asia Pacific II L.P., 781,702.9100 common units held by CVC Capital Partners Asia Pacific II Parallel Fund—A, L.P. and 1,609,951.7600 common units held by Asia Investors LLC and (b) 6,043.9566 Series B preferred units held by CVC Capital Partners Asia Pacific L.P., 7,598.6306 Series B preferred units held by CVC Capital Partners Asia Pacific II L.P., 1,467.3043 Series B preferred units held by CVC Capital Partners Asia Pacific II Parallel Fund— A, L.P. and 3,021.9784 Series B preferred units held by Asia Investors LLC. Asia Investors LLC co-invests alongside of CVC Capital Partners Asia Pacific L.P., but is not a subsidiary of CVC Capital Partners.</w:t>
      </w:r>
    </w:p>
    <w:p>
      <w:pPr>
        <w:spacing w:after="0" w:line="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warrant exercisable within 60 days for 5,079,254.0000 common units.</w:t>
      </w:r>
    </w:p>
    <w:p>
      <w:pPr>
        <w:spacing w:after="0" w:line="9" w:lineRule="exact"/>
        <w:rPr>
          <w:rFonts w:ascii="Times New Roman" w:cs="Times New Roman" w:eastAsia="Times New Roman" w:hAnsi="Times New Roman"/>
          <w:sz w:val="18"/>
          <w:szCs w:val="18"/>
          <w:color w:val="auto"/>
        </w:rPr>
      </w:pPr>
    </w:p>
    <w:p>
      <w:pPr>
        <w:ind w:left="460" w:right="30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Mr. Baker, Dr. Huh, Mr. Krakauer, Mr. Lindly, and Ms. Miller Nam is c/o MagnaChip Semiconductor, Ltd., 1 Hyangjeong-dong, Hungduk-gu, Cheongju-si, 361-725, Korea.</w:t>
      </w:r>
    </w:p>
    <w:p>
      <w:pPr>
        <w:ind w:left="460" w:hanging="452"/>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136,360.1600 common units held by the Baker Family Revocable Trust and 375,236,125.0000 restricted common units held by Mr. Baker and</w:t>
      </w:r>
    </w:p>
    <w:p>
      <w:pPr>
        <w:spacing w:after="0" w:line="32" w:lineRule="exact"/>
        <w:rPr>
          <w:rFonts w:ascii="Times New Roman" w:cs="Times New Roman" w:eastAsia="Times New Roman" w:hAnsi="Times New Roman"/>
          <w:sz w:val="16"/>
          <w:szCs w:val="16"/>
          <w:color w:val="auto"/>
        </w:rPr>
      </w:pPr>
    </w:p>
    <w:p>
      <w:pPr>
        <w:ind w:left="460" w:right="80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255.9564 Series B preferred units held by the Baker Family Revocable Trust. Restricted common units are subject to a right of repurchase by MagnaChip.</w:t>
      </w:r>
    </w:p>
    <w:p>
      <w:pPr>
        <w:ind w:left="460" w:right="3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Mr. Deb and Mr. Potamianos is a member of management of Francisco Partners, L.P. and disclaims beneficial ownership of the units held by Francisco Partners, L.P., Francisco Partners Fund A, L.P., FP-MagnaChip Co-Invest, LLC and FP Annual Fund Investors, LLC. The address of each of Mr. Deb and Mr. Potamianos is c/o Francisco Partners, L.P., 2882 Sand Hill Road, Suite 280, Menlo Park, CA 94025.</w:t>
      </w:r>
    </w:p>
    <w:p>
      <w:pPr>
        <w:spacing w:after="0" w:line="1" w:lineRule="exact"/>
        <w:rPr>
          <w:rFonts w:ascii="Times New Roman" w:cs="Times New Roman" w:eastAsia="Times New Roman" w:hAnsi="Times New Roman"/>
          <w:sz w:val="18"/>
          <w:szCs w:val="18"/>
          <w:color w:val="auto"/>
        </w:rPr>
      </w:pPr>
    </w:p>
    <w:p>
      <w:pPr>
        <w:ind w:left="460" w:right="8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90,906.7800 common units and 750,471.5625 restricted common units. Restricted common units are subject to a right of repurchase by MagnaChip.</w:t>
      </w:r>
    </w:p>
    <w:p>
      <w:pPr>
        <w:ind w:left="460" w:right="1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54,544.0600 common units held jointly by Mr. Krakauer and his spouse, Theresa Krakauer, for which Mr. Krakauer shares voting and investment power with Theresa Krakauer, (b) 36,362.7100 common units held by the Krakauer Family Partnership, for which Mr. Krakauer shares voting and investment power with Theresa Krakauer and (c) 469,044.8125 restricted common units. Restricted common units are subject to a right of repurchase by MagnaChip.</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Kuan is a member of management of CVC Asia Pacific Limited, an investment advisor to the general partners of CVC Capital Partners Asia Pacific L.P., CVC Capital Partners Asia Pacific II L.P. and CVC Capital Partners Asia Pacific II Parallel Fund—A, L.P. and to Asia Investors LLC. Mr. Kuan disclaims beneficial ownership of the units held by these entities. The address of Mr. Kuan is c/o CVC Capital Partners Asia II Limited, 22 Grenville Street, St. Helier, Jersey JE4 8PX, Channel Islands.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2006, Mr. Lindly will vest the right to exercise an option to purchase 18,750 common units of MagnaChip.</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93,809.375 restricted common units that are subject to a right of repurchase by MagnaChip.</w:t>
      </w:r>
    </w:p>
    <w:p>
      <w:pPr>
        <w:spacing w:after="0" w:line="9"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29,544.7100 common units held by BG Partners LP and 6,818.0100 common units held by BG/CVC-1 and (b) 55.4573 Series B preferred units held by BG Partners LP and 12.7978 Series B preferred units held by BG/CVC-1. The address of Mr. Schorr is c/o The Blackstone Group, 345 Park Avenue, New York, NY 10154.</w:t>
      </w:r>
    </w:p>
    <w:p>
      <w:pPr>
        <w:spacing w:after="0" w:line="1" w:lineRule="exact"/>
        <w:rPr>
          <w:rFonts w:ascii="Times New Roman" w:cs="Times New Roman" w:eastAsia="Times New Roman" w:hAnsi="Times New Roman"/>
          <w:sz w:val="18"/>
          <w:szCs w:val="18"/>
          <w:color w:val="auto"/>
        </w:rPr>
      </w:pPr>
    </w:p>
    <w:p>
      <w:pPr>
        <w:ind w:left="460" w:right="620" w:hanging="452"/>
        <w:spacing w:after="0" w:line="25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Thomas is a member of management of Citigroup Venture Capital Equity Partners, L.P. and disclaims beneficial ownership of the units held by Citigroup Venture Capital Equity Partners, L.P., CVC Executive Fund LLC and CVC/SSB Employee Fund, L.P. The address of Mr. Thomas is c/o Citigroup Venture Capital Equity Partners, L.P., 399 Park Avenue, 14th Floor, New York, NY 10022.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ORIGINAL ACQUISITION</w:t>
      </w:r>
    </w:p>
    <w:p>
      <w:pPr>
        <w:spacing w:after="0" w:line="9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June 2004, MagnaChip Korea entered into a business transfer agreement to purchase certain assets and assume certain liabilities of the System IC business of Hynix, which we refer to as the “Original Acquisition” in this report. The Original Acquisition closed on October 6, 2004. In connection with the Original Acquisition, MagnaChip Korea and certain of our other subsidiaries entered into definitive agreements with Hynix regarding key raw materials, campus facilities, research and development equipment, and information technology, factory automation and back office support services. MagnaChip Korea also agreed to provide certain utilities and infrastructure support services to Hynix. The obligation to provide services under these agreements generally lasts for one to five years from the closing of the Original Acquisition. The obligation to provide certain services lasts indefinitely.</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MagnaChip Korea entered into a wafer foundry services agreement with Hynix under which MagnaChip Korea agreed to sell and Hynix agreed to purchase a certain monthly minimum quantity of 0.18µm DRAM semiconductors until August 31, 2005; this arrangement was terminated on November 10, 2005. MagnaChip Korea and Hynix also entered into a photo mask supply agreement under which Hynix agreed to supply MagnaChip Korea with up to a certain maximum quantity of photo masks. This agreement is for two years from the closing of the Original Acquisition plus an additional year at MagnaChip Korea’s option.</w:t>
      </w:r>
    </w:p>
    <w:p>
      <w:pPr>
        <w:spacing w:after="0" w:line="13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In connection with the Original Acquisition, MagnaChip Korea also entered into a royalty-free non-exclusive cross license with Hynix which provides us with access to certain of Hynix’s intellectual property for use in the manufacture and sale of non-memory semiconductor products and provides Hynix with access to the intellectual property we acquired from Hynix. This cross license is subject to the non-competition provisions of the business transfer agreement, pursuant to which Hynix agreed not to engage in most aspects of the non-memory semiconductor business and MagnaChip Korea agreed not to engage in most aspects of the memory semiconductor business. Generally, these non-competition provisions last for three years from the closing of the Original Acquisition. Under a trademark license agreement, Hynix also granted to MagnaChip Korea a limited license to certain trademarks of Hynix embedded in our products.</w:t>
      </w:r>
    </w:p>
    <w:p>
      <w:pPr>
        <w:spacing w:after="0" w:line="11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Upon the closing of the Original Acquisition, MagnaChip Korea and Hynix also entered into four lease agreements. Under one agreement, MagnaChip Korea leases from Hynix approximately 11,352 square meters of exclusive-use space plus certain common- and joint-use space in several buildings, primarily warehouses, in Cheongju, Korea. Under another agreement, Hynix leases from MagnaChip Korea approximately 8,921 square meters of exclusive-use space plus certain common- and joint-use space in three buildings in Cheongju, Korea. These two leases are generally for an initial term of 20 years plus an indefinite number of renewal terms of 10 years each. Each of the leases is cancelable upon 90 days’ notice by the lessee. Under the third agreement, MagnaChip Korea leased from Hynix approximately 1,439 square meters of exclusive-use space plus certain common-use space in a building in Icheon, Korea, although this lease was terminated on November 15, 2005. Under the final agreement, the Company leases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AGREEMENTS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Original Acquisition, and the related equity financing, MagnaChip Korea and MagnaChip entered into advisory agreements with each of CVC Management LLC, Francisco Partners Management, LLC and CVC Capital Partners Asia Limited, which are related to CVC, Francisco Partners and CVC Asia Pacific, respectively, pursuant to which each may provide financial, advisory and consulting services to MagnaChip Korea and MagnaChip. Under such agreements, each of CVC Management, Francisco Partners Management and CVC Capital Partners Asia is entitled to receive fees billed at such firm’s customary rates for actual time spent performing such services plus reimbursement for out-of-pocket expenses or, at such firm’s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 and upon certain conditions, an annual advisory fee, the amount of which is the greater of a fixed dollar amount or a percentage of the annual consolidated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of MagnaChip Korea and MagnaChip for the last twelve months, plus out-of-pocket expenses, for the remaining term of the advisory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advisory fees under the agreements are as follows: CVC Management and Francisco Partners Management are each entitled to the 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$1,379,163.42 or 0.14777% of annual consolidated revenue and CVC Capital Partners Asia is entitled to the greater of $741,673.15 or 0.07946% of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revenue. There are no minimum levels of service required to be provided pursuant to the advisory agreements. Each advisory agreement has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term of ten years from the date of the Original Acquisition, subject to termination by either party upon written notice 90 days prior to the expiration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term or any extension thereof. Each advisory agreement includes customary indemnification provisions in favor of each of CVC Management, Francisco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Management and CVC Capital Partners Asia.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UBS</w:t>
      </w:r>
    </w:p>
    <w:p>
      <w:pPr>
        <w:spacing w:after="0" w:line="9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Phokion Potamianos has been a director of MagnaChip and a Principal with Francisco Partners since March 2005. Prior to joining Francisco Partners, Mr. Potamianos was the head of the UBS global semiconductor investment banking group. During Mr. Potamianos’ tenure at UBS, UBS Securities LLC acted as an initial purchaser in connection with the offer and sale of our Second Priority Senior Secured Notes and our Senior Subordinated Notes in December 2004. Concurrently with the issuance of the Notes, we entered into a $100 million senior secured revolving credit facility with a syndicate of banks, financial institutions and other entities including UBS Loan Finance LLC as lenders, UBS Securities LLC as arranger, and UBS AG, Stamford Branch, as administrative agent and priority lien collateral agent.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Samil PricewaterhouseCoopers and its affiliates. Audit related fees paid in 2005 were for assurance services provided by Samil PricewaterhouseCoopers associated with S-4 filing. Audit related fees paid to Samil PricewaterhouseCoopers during the three months ended December 31, 2004 were mainly for assurance services related to our notes offering. Tax services provided by Samil PricewaterhouseCoopers in 2005 were primarily related to transfer price study for the inter-company transactions. During the three months ended December 31, 2004, tax services rendered by Samil PricewaterhouseCoopers were mainly related to the Original Acquisition.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r>
      <w:tr>
        <w:trPr>
          <w:trHeight w:val="152"/>
        </w:trPr>
        <w:tc>
          <w:tcPr>
            <w:tcW w:w="45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159"/>
              <w:spacing w:after="0" w:line="152" w:lineRule="exact"/>
              <w:rPr>
                <w:sz w:val="20"/>
                <w:szCs w:val="20"/>
                <w:color w:val="auto"/>
              </w:rPr>
            </w:pPr>
            <w:r>
              <w:rPr>
                <w:rFonts w:ascii="Times New Roman" w:cs="Times New Roman" w:eastAsia="Times New Roman" w:hAnsi="Times New Roman"/>
                <w:sz w:val="14"/>
                <w:szCs w:val="14"/>
                <w:b w:val="1"/>
                <w:bCs w:val="1"/>
                <w:color w:val="auto"/>
                <w:w w:val="94"/>
              </w:rPr>
              <w:t>ended</w:t>
            </w:r>
          </w:p>
        </w:tc>
      </w:tr>
      <w:tr>
        <w:trPr>
          <w:trHeight w:val="149"/>
        </w:trPr>
        <w:tc>
          <w:tcPr>
            <w:tcW w:w="45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76"/>
        </w:trPr>
        <w:tc>
          <w:tcPr>
            <w:tcW w:w="45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2005</w:t>
            </w:r>
          </w:p>
        </w:tc>
        <w:tc>
          <w:tcPr>
            <w:tcW w:w="1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2004</w:t>
            </w:r>
          </w:p>
        </w:tc>
      </w:tr>
      <w:tr>
        <w:trPr>
          <w:trHeight w:val="142"/>
        </w:trPr>
        <w:tc>
          <w:tcPr>
            <w:tcW w:w="45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w:t>
            </w: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7"/>
              </w:rPr>
              <w:t>millions of US dollars)</w:t>
            </w:r>
          </w:p>
        </w:tc>
        <w:tc>
          <w:tcPr>
            <w:tcW w:w="60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4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and procedure for approval of audit and permitted non-audit services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All audit, audit-related and tax services were pre-approved by the Company’s board of directors (serving as the Audit Committee), which concluded that the provision of such services by Samil PricewaterhouseCoopers and its affiliates was compatible with the maintenance of that firm’s independence in the conduct of its auditing functions. The Audit Committee’s Outside Auditor Independence Policy provides for pre-approval of specifically described audit, audit-related, non-audit related and tax services by the Committee on an annual basis. Individual engagements must be separately approved. The policy also requires specific approval by the Committee if total fees for audit-related and tax services would exceed total fees for audit services in any fiscal year. The policy authorizes the Committee to delegate to one or more of its members pre-approval authority with respect to permitted services that will be ratified by the entire Audit Committee at a future committee meeting in accordance with requirements of the SEC. In 2004 and 2005, the Audit Committee followed these guidelines in approving all services rendered by Samil PricewaterhouseCoopers and its affiliates.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 and Reports on Form 8-K</w:t>
      </w:r>
    </w:p>
    <w:p>
      <w:pPr>
        <w:spacing w:after="0" w:line="92" w:lineRule="exact"/>
        <w:rPr>
          <w:sz w:val="20"/>
          <w:szCs w:val="20"/>
          <w:color w:val="auto"/>
        </w:rPr>
      </w:pPr>
    </w:p>
    <w:p>
      <w:pPr>
        <w:ind w:left="700" w:hanging="23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90"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Consolidated Financial Statements under Item 8.</w:t>
      </w:r>
    </w:p>
    <w:p>
      <w:pPr>
        <w:spacing w:after="0" w:line="90" w:lineRule="exact"/>
        <w:rPr>
          <w:rFonts w:ascii="Times New Roman" w:cs="Times New Roman" w:eastAsia="Times New Roman" w:hAnsi="Times New Roman"/>
          <w:sz w:val="18"/>
          <w:szCs w:val="18"/>
          <w:color w:val="auto"/>
        </w:rPr>
      </w:pPr>
    </w:p>
    <w:p>
      <w:pPr>
        <w:ind w:left="460" w:right="360" w:firstLine="443"/>
        <w:spacing w:after="0" w:line="275" w:lineRule="auto"/>
        <w:tabs>
          <w:tab w:leader="none" w:pos="10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38"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6"/>
          <w:szCs w:val="16"/>
          <w:color w:val="auto"/>
        </w:rPr>
        <w:t>Business Transfer Agreement, dated as of June 12, 2004, between Hynix Semiconductor Inc. and MagnaChip Semiconductor, Ltd. (Korea)†</w:t>
      </w:r>
    </w:p>
    <w:p>
      <w:pPr>
        <w:spacing w:after="0" w:line="117" w:lineRule="exact"/>
        <w:rPr>
          <w:sz w:val="20"/>
          <w:szCs w:val="20"/>
          <w:color w:val="auto"/>
        </w:rPr>
      </w:pPr>
    </w:p>
    <w:p>
      <w:pPr>
        <w:ind w:left="920" w:hanging="786"/>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First Amendment to Business Transfer Agreement, dated as of October 6, 2004, between Hynix Semiconductor Inc. and MagnaChip Semiconductor, Ltd. (Korea)†</w:t>
      </w:r>
    </w:p>
    <w:p>
      <w:pPr>
        <w:spacing w:after="0" w:line="66"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Certificate of Formation of MagnaChip Semiconductor LLC (formerly System Semiconductor Holding LLC)†</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Certificate of Amendment to Certificate of Formation of MagnaChip Semiconductor LLC†</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color w:val="auto"/>
        </w:rPr>
        <w:t>Third Amended and Restated Limited Liability Company Operating Agreement of MagnaChip Semiconductor LLC†</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color w:val="auto"/>
        </w:rPr>
        <w:t>Articles of Incorporation of MagnaChip Semiconductor S.A.†</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6"/>
          <w:szCs w:val="16"/>
          <w:color w:val="auto"/>
        </w:rPr>
        <w:t>Certificate of Incorporation of MagnaChip Semiconductor Finance Company†</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6"/>
          <w:szCs w:val="16"/>
          <w:color w:val="auto"/>
        </w:rPr>
        <w:t>Bylaws of MagnaChip Semiconductor Finance Company†</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6"/>
          <w:szCs w:val="16"/>
          <w:color w:val="auto"/>
        </w:rPr>
        <w:t>Certificate of Formation for MagnaChip Semiconductor SA Holdings LLC†</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6"/>
          <w:szCs w:val="16"/>
          <w:color w:val="auto"/>
        </w:rPr>
        <w:t>Limited Liability Company Agreement of MagnaChip Semiconductor SA Holdings LLC†</w:t>
      </w:r>
    </w:p>
    <w:p>
      <w:pPr>
        <w:spacing w:after="0" w:line="117"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6"/>
          <w:szCs w:val="16"/>
          <w:color w:val="auto"/>
        </w:rPr>
        <w:t>Deed of Amendment to the Articles of Association of MagnaChip Semiconductor B.V. (English translation)†</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Articles of Incorporation of MagnaChip Semiconductor, Ltd. (Korea)†</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6"/>
          <w:szCs w:val="16"/>
          <w:color w:val="auto"/>
        </w:rPr>
        <w:t>Memorandum of Association of MagnaChip Semiconductor Ltd. (Hong Kong)†</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6"/>
          <w:szCs w:val="16"/>
          <w:color w:val="auto"/>
        </w:rPr>
        <w:t>Articles of Association of MagnaChip Semiconductor Ltd. (Hong Kong)†</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6"/>
          <w:szCs w:val="16"/>
          <w:color w:val="auto"/>
        </w:rPr>
        <w:t>Memorandum of Association of MagnaChip Semiconductor Ltd. (United Kingdom)†</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6"/>
          <w:szCs w:val="16"/>
          <w:color w:val="auto"/>
        </w:rPr>
        <w:t>Articles of Association of MagnaChip Semiconductor Ltd. (United Kingdom)†</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6"/>
          <w:szCs w:val="16"/>
          <w:color w:val="auto"/>
        </w:rPr>
        <w:t>Articles of Incorporation of MagnaChip Semiconductor Ltd. (Taiwan) (English translation)†</w:t>
      </w:r>
    </w:p>
    <w:p>
      <w:pPr>
        <w:spacing w:after="0" w:line="117" w:lineRule="exact"/>
        <w:rPr>
          <w:sz w:val="20"/>
          <w:szCs w:val="20"/>
          <w:color w:val="auto"/>
        </w:rPr>
      </w:pPr>
    </w:p>
    <w:p>
      <w:pPr>
        <w:jc w:val="center"/>
        <w:ind w:right="-59"/>
        <w:spacing w:after="0"/>
        <w:tabs>
          <w:tab w:leader="none" w:pos="54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6"/>
          <w:szCs w:val="16"/>
          <w:color w:val="auto"/>
        </w:rPr>
        <w:t>Merger Agreement by and between ISRON Corporation and MagnaChip Semiconductor Inc. dated December 21, 2005, as amended on February 22,</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2006, including Articles of Incorporation of MagnaChip Semiconductor Inc. (formerly ISRON Corporation) (Japan) (English translation)</w:t>
      </w:r>
    </w:p>
    <w:p>
      <w:pPr>
        <w:spacing w:after="0" w:line="105"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Bylaws of MagnaChip Semiconductor, Inc. (formerly IC Media Corporation)†</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Certificate of Amendment to the Bylaws of MagnaChip Semiconductor, Inc. (formerly IC Media Corporation)†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455" w:right="2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6"/>
          <w:szCs w:val="16"/>
          <w:color w:val="auto"/>
        </w:rPr>
        <w:t>Certificate of Amendment to the Bylaws of MagnaChip Semiconductor, Inc. (formerly IC Media Corporation)†</w:t>
      </w:r>
    </w:p>
    <w:p>
      <w:pPr>
        <w:spacing w:after="0" w:line="117"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6"/>
          <w:szCs w:val="16"/>
          <w:color w:val="auto"/>
        </w:rPr>
        <w:t>Memorandum of Association of IC Media International Corporation†</w:t>
      </w:r>
    </w:p>
    <w:p>
      <w:pPr>
        <w:spacing w:after="0" w:line="117"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6"/>
          <w:szCs w:val="16"/>
          <w:color w:val="auto"/>
        </w:rPr>
        <w:t>Articles of Association of IC Media International Corporation†</w:t>
      </w:r>
    </w:p>
    <w:p>
      <w:pPr>
        <w:spacing w:after="0" w:line="117"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6"/>
          <w:szCs w:val="16"/>
          <w:color w:val="auto"/>
        </w:rPr>
        <w:t>Memorandum of Association of MagnaChip Semiconductor Holding Company Limited (formerly IC Media Holding Company Limited)†</w:t>
      </w:r>
    </w:p>
    <w:p>
      <w:pPr>
        <w:spacing w:after="0" w:line="117"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3.27</w:t>
      </w:r>
      <w:r>
        <w:rPr>
          <w:sz w:val="20"/>
          <w:szCs w:val="20"/>
          <w:color w:val="auto"/>
        </w:rPr>
        <w:tab/>
      </w:r>
      <w:r>
        <w:rPr>
          <w:rFonts w:ascii="Times New Roman" w:cs="Times New Roman" w:eastAsia="Times New Roman" w:hAnsi="Times New Roman"/>
          <w:sz w:val="16"/>
          <w:szCs w:val="16"/>
          <w:color w:val="auto"/>
        </w:rPr>
        <w:t>Articles of Association of MagnaChip Semiconductor Holding Company Limited (formerly IC Media Holding Company Limited)†</w:t>
      </w:r>
    </w:p>
    <w:p>
      <w:pPr>
        <w:spacing w:after="0" w:line="117" w:lineRule="exact"/>
        <w:rPr>
          <w:sz w:val="20"/>
          <w:szCs w:val="20"/>
          <w:color w:val="auto"/>
        </w:rPr>
      </w:pPr>
    </w:p>
    <w:p>
      <w:pPr>
        <w:ind w:left="1160" w:hanging="995"/>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3.27.a</w:t>
      </w:r>
      <w:r>
        <w:rPr>
          <w:sz w:val="20"/>
          <w:szCs w:val="20"/>
          <w:color w:val="auto"/>
        </w:rPr>
        <w:tab/>
      </w:r>
      <w:r>
        <w:rPr>
          <w:rFonts w:ascii="Times New Roman" w:cs="Times New Roman" w:eastAsia="Times New Roman" w:hAnsi="Times New Roman"/>
          <w:sz w:val="18"/>
          <w:szCs w:val="18"/>
          <w:color w:val="auto"/>
        </w:rPr>
        <w:t>Amendment to Memorandum and Articles of Association of MagnaChip Semiconductor Holding Company Limited (formerly IC Media Holding Company Limited)</w:t>
      </w:r>
    </w:p>
    <w:p>
      <w:pPr>
        <w:spacing w:after="0" w:line="66" w:lineRule="exact"/>
        <w:rPr>
          <w:sz w:val="20"/>
          <w:szCs w:val="20"/>
          <w:color w:val="auto"/>
        </w:rPr>
      </w:pPr>
    </w:p>
    <w:p>
      <w:pPr>
        <w:ind w:left="280"/>
        <w:spacing w:after="0"/>
        <w:tabs>
          <w:tab w:leader="none" w:pos="1140" w:val="left"/>
        </w:tabs>
        <w:rPr>
          <w:sz w:val="20"/>
          <w:szCs w:val="20"/>
          <w:color w:val="auto"/>
        </w:rPr>
      </w:pPr>
      <w:r>
        <w:rPr>
          <w:rFonts w:ascii="Times New Roman" w:cs="Times New Roman" w:eastAsia="Times New Roman" w:hAnsi="Times New Roman"/>
          <w:sz w:val="18"/>
          <w:szCs w:val="18"/>
          <w:color w:val="auto"/>
        </w:rPr>
        <w:t>3.28</w:t>
      </w:r>
      <w:r>
        <w:rPr>
          <w:sz w:val="20"/>
          <w:szCs w:val="20"/>
          <w:color w:val="auto"/>
        </w:rPr>
        <w:tab/>
      </w:r>
      <w:r>
        <w:rPr>
          <w:rFonts w:ascii="Times New Roman" w:cs="Times New Roman" w:eastAsia="Times New Roman" w:hAnsi="Times New Roman"/>
          <w:sz w:val="16"/>
          <w:szCs w:val="16"/>
          <w:color w:val="auto"/>
        </w:rPr>
        <w:t>Articles of Incorporation of IC Media Technology Corporation (English translation)†</w:t>
      </w:r>
    </w:p>
    <w:p>
      <w:pPr>
        <w:spacing w:after="0" w:line="117" w:lineRule="exact"/>
        <w:rPr>
          <w:sz w:val="20"/>
          <w:szCs w:val="20"/>
          <w:color w:val="auto"/>
        </w:rPr>
      </w:pPr>
    </w:p>
    <w:p>
      <w:pPr>
        <w:jc w:val="right"/>
        <w:ind w:left="280" w:right="220"/>
        <w:spacing w:after="0" w:line="275" w:lineRule="auto"/>
        <w:rPr>
          <w:sz w:val="20"/>
          <w:szCs w:val="20"/>
          <w:color w:val="auto"/>
        </w:rPr>
      </w:pPr>
      <w:r>
        <w:rPr>
          <w:rFonts w:ascii="Times New Roman" w:cs="Times New Roman" w:eastAsia="Times New Roman" w:hAnsi="Times New Roman"/>
          <w:sz w:val="18"/>
          <w:szCs w:val="18"/>
          <w:color w:val="auto"/>
        </w:rPr>
        <w:t>3.29      Agreement and Plan of Merger by and between IC Media Corporation and MagnaChip Semiconductor, Inc., including Amended and Restated Articles of Incorporation, as filed with the State of California Secretary of State on November 17, 2005, and as corrected on February 6, 2006</w:t>
      </w:r>
    </w:p>
    <w:p>
      <w:pPr>
        <w:spacing w:after="0" w:line="66" w:lineRule="exact"/>
        <w:rPr>
          <w:sz w:val="20"/>
          <w:szCs w:val="20"/>
          <w:color w:val="auto"/>
        </w:rPr>
      </w:pPr>
    </w:p>
    <w:p>
      <w:pPr>
        <w:ind w:left="1160" w:right="60" w:hanging="786"/>
        <w:spacing w:after="0" w:line="272" w:lineRule="auto"/>
        <w:tabs>
          <w:tab w:leader="none" w:pos="11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Indenture, dated as of December 23, 2004, among MagnaChip Semiconductor S.A., MagnaChip Semiconductor Finance Company, the guarantors as named therein and The Bank of New York, as trustee for the Floating Rate Second Priority Senior Secured Notes due 2011 and the 6 </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Second Priority Senior Secured Notes due 2011.†</w:t>
      </w: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6"/>
          <w:szCs w:val="16"/>
          <w:color w:val="auto"/>
        </w:rPr>
        <w:t>Form of Floating Rate Second Priority Senior Secured Notes due 2011 and related guarantees (included in Exhibit 4.1)†</w:t>
      </w:r>
    </w:p>
    <w:p>
      <w:pPr>
        <w:spacing w:after="0" w:line="117"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 xml:space="preserve">Form of 6 </w:t>
      </w: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7"/>
          <w:szCs w:val="17"/>
          <w:color w:val="auto"/>
        </w:rPr>
        <w:t>% Second Priority Senior Secured Notes due 2011 and related guarantees (included in Exhibit 4.1)†</w:t>
      </w:r>
    </w:p>
    <w:p>
      <w:pPr>
        <w:spacing w:after="0" w:line="83" w:lineRule="exact"/>
        <w:rPr>
          <w:sz w:val="20"/>
          <w:szCs w:val="20"/>
          <w:color w:val="auto"/>
        </w:rPr>
      </w:pPr>
    </w:p>
    <w:p>
      <w:pPr>
        <w:ind w:left="1160" w:right="300" w:hanging="786"/>
        <w:spacing w:after="0" w:line="262" w:lineRule="auto"/>
        <w:tabs>
          <w:tab w:leader="none" w:pos="11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Registration Rights Agreement, dated as of December 23, 2004, by and among MagnaChip Semiconductor S.A., MagnaChip Semiconductor Finance Company, the guarantors named therein, UBS Securities LLC, Citigroup Global Markets Inc., Goldman, Sachs &amp; Co., J.P. Morgan Securities Inc. and Deutsche Bank Securities Inc.†</w:t>
      </w:r>
    </w:p>
    <w:p>
      <w:pPr>
        <w:spacing w:after="0" w:line="78" w:lineRule="exact"/>
        <w:rPr>
          <w:sz w:val="20"/>
          <w:szCs w:val="20"/>
          <w:color w:val="auto"/>
        </w:rPr>
      </w:pPr>
    </w:p>
    <w:p>
      <w:pPr>
        <w:ind w:left="1160" w:right="720" w:hanging="786"/>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Indenture, dated as of December 23, 2004, among MagnaChip Semiconductor S.A., MagnaChip Semiconductor Finance Company, the guarantors as named therein and The Bank of New York, as trustee for the 8% Senior Subordinated Notes due 2014.†</w:t>
      </w:r>
    </w:p>
    <w:p>
      <w:pPr>
        <w:spacing w:after="0" w:line="66"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6"/>
          <w:szCs w:val="16"/>
          <w:color w:val="auto"/>
        </w:rPr>
        <w:t>Form 8% Senior Subordinated Notes due 2014 and related guarantees (included in Exhibit 4.5)†</w:t>
      </w:r>
    </w:p>
    <w:p>
      <w:pPr>
        <w:spacing w:after="0" w:line="117" w:lineRule="exact"/>
        <w:rPr>
          <w:sz w:val="20"/>
          <w:szCs w:val="20"/>
          <w:color w:val="auto"/>
        </w:rPr>
      </w:pPr>
    </w:p>
    <w:p>
      <w:pPr>
        <w:ind w:left="1160" w:right="300" w:hanging="786"/>
        <w:spacing w:after="0" w:line="262" w:lineRule="auto"/>
        <w:tabs>
          <w:tab w:leader="none" w:pos="11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Registration Rights Agreement, dated as of December 23, 2004, by and among MagnaChip Semiconductor S.A., MagnaChip Semiconductor Finance Company, the guarantors named therein, UBS Securities LLC, Citigroup Global Markets Inc., Goldman, Sachs &amp; Co., J.P. Morgan Securities Inc. and Deutsche Bank Securities Inc.†</w:t>
      </w:r>
    </w:p>
    <w:p>
      <w:pPr>
        <w:spacing w:after="0" w:line="78" w:lineRule="exact"/>
        <w:rPr>
          <w:sz w:val="20"/>
          <w:szCs w:val="20"/>
          <w:color w:val="auto"/>
        </w:rPr>
      </w:pPr>
    </w:p>
    <w:p>
      <w:pPr>
        <w:ind w:left="1160" w:right="200" w:hanging="873"/>
        <w:spacing w:after="0" w:line="339" w:lineRule="auto"/>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6"/>
          <w:szCs w:val="16"/>
          <w:color w:val="auto"/>
        </w:rPr>
        <w:t>Purchase Agreement, dated as of December 16, 2004, among MagnaChip Semiconductor S.A., MagnaChip Semiconductor Finance Company, UBS Securities LLC, Citigroup Global Markets Inc., Goldman, Sachs &amp; Co., J.P. Morgan Securities Inc. and Deutsche Bank Securities Inc.†</w:t>
      </w:r>
    </w:p>
    <w:p>
      <w:pPr>
        <w:spacing w:after="0" w:line="20" w:lineRule="exact"/>
        <w:rPr>
          <w:sz w:val="20"/>
          <w:szCs w:val="20"/>
          <w:color w:val="auto"/>
        </w:rPr>
      </w:pPr>
    </w:p>
    <w:p>
      <w:pPr>
        <w:jc w:val="both"/>
        <w:ind w:left="1160" w:right="120" w:hanging="873"/>
        <w:spacing w:after="0" w:line="262" w:lineRule="auto"/>
        <w:tabs>
          <w:tab w:leader="none" w:pos="11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Credit Agreement, dated as of December 23, 2004, among MagnaChip Semiconductor S.A., MagnaChip Semiconductor Finance Company, the guarantors named therein, the lenders named therein, UBS Securities LLC, Korea Exchange Bank, UBS AG, Stamford Branch and UBS Loan Finance LLC.†</w:t>
      </w:r>
    </w:p>
    <w:p>
      <w:pPr>
        <w:spacing w:after="0" w:line="78" w:lineRule="exact"/>
        <w:rPr>
          <w:sz w:val="20"/>
          <w:szCs w:val="20"/>
          <w:color w:val="auto"/>
        </w:rPr>
      </w:pPr>
    </w:p>
    <w:p>
      <w:pPr>
        <w:ind w:left="1160" w:right="120" w:hanging="995"/>
        <w:spacing w:after="0" w:line="262" w:lineRule="auto"/>
        <w:tabs>
          <w:tab w:leader="none" w:pos="1140" w:val="left"/>
        </w:tabs>
        <w:rPr>
          <w:sz w:val="20"/>
          <w:szCs w:val="20"/>
          <w:color w:val="auto"/>
        </w:rPr>
      </w:pPr>
      <w:r>
        <w:rPr>
          <w:rFonts w:ascii="Times New Roman" w:cs="Times New Roman" w:eastAsia="Times New Roman" w:hAnsi="Times New Roman"/>
          <w:sz w:val="18"/>
          <w:szCs w:val="18"/>
          <w:color w:val="auto"/>
        </w:rPr>
        <w:t>10.3.a</w:t>
      </w:r>
      <w:r>
        <w:rPr>
          <w:sz w:val="20"/>
          <w:szCs w:val="20"/>
          <w:color w:val="auto"/>
        </w:rPr>
        <w:tab/>
      </w:r>
      <w:r>
        <w:rPr>
          <w:rFonts w:ascii="Times New Roman" w:cs="Times New Roman" w:eastAsia="Times New Roman" w:hAnsi="Times New Roman"/>
          <w:sz w:val="18"/>
          <w:szCs w:val="18"/>
          <w:color w:val="auto"/>
        </w:rPr>
        <w:t>First Amendment to Credit Agreement and Waiver, dated as of May 6, 2005, to the Credit Agreement, dated as of December 23, 2004, among MagnaChip Semiconductor S.A., MagnaChip Semiconductor Finance Company, the guarantors named therein, the lenders named therein, UBS Securities LLC, Korea Exchange Bank, UBS AG, Stamford Branch and UBS Loan Finance LLC.†</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60"/>
          </w:cols>
          <w:pgMar w:left="240" w:top="455" w:right="2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60" w:right="40" w:hanging="884"/>
        <w:spacing w:after="0" w:line="262" w:lineRule="auto"/>
        <w:tabs>
          <w:tab w:leader="none" w:pos="1140" w:val="left"/>
        </w:tabs>
        <w:rPr>
          <w:sz w:val="20"/>
          <w:szCs w:val="20"/>
          <w:color w:val="auto"/>
        </w:rPr>
      </w:pPr>
      <w:r>
        <w:rPr>
          <w:rFonts w:ascii="Times New Roman" w:cs="Times New Roman" w:eastAsia="Times New Roman" w:hAnsi="Times New Roman"/>
          <w:sz w:val="18"/>
          <w:szCs w:val="18"/>
          <w:color w:val="auto"/>
        </w:rPr>
        <w:t>10.3.b</w:t>
      </w:r>
      <w:r>
        <w:rPr>
          <w:sz w:val="20"/>
          <w:szCs w:val="20"/>
          <w:color w:val="auto"/>
        </w:rPr>
        <w:tab/>
      </w:r>
      <w:r>
        <w:rPr>
          <w:rFonts w:ascii="Times New Roman" w:cs="Times New Roman" w:eastAsia="Times New Roman" w:hAnsi="Times New Roman"/>
          <w:sz w:val="18"/>
          <w:szCs w:val="18"/>
          <w:color w:val="auto"/>
        </w:rPr>
        <w:t>Second Amendment to Credit Agreement and Waiver dated as of June 21, 2005, to the Credit Agreement, dated as of December 23, 2004, among MagnaChip Semiconductor S.A., MagnaChip Semiconductor Finance Company, the guarantors named therein, the lenders named therein, UBS Securities LLC, Korea Exchange Bank, UBS AG, Stamford Branch and UBS Loan Finance LLC.†</w:t>
      </w:r>
    </w:p>
    <w:p>
      <w:pPr>
        <w:spacing w:after="0" w:line="78" w:lineRule="exact"/>
        <w:rPr>
          <w:sz w:val="20"/>
          <w:szCs w:val="20"/>
          <w:color w:val="auto"/>
        </w:rPr>
      </w:pPr>
    </w:p>
    <w:p>
      <w:pPr>
        <w:ind w:left="1160" w:hanging="874"/>
        <w:spacing w:after="0" w:line="262" w:lineRule="auto"/>
        <w:tabs>
          <w:tab w:leader="none" w:pos="1140" w:val="left"/>
        </w:tabs>
        <w:rPr>
          <w:sz w:val="20"/>
          <w:szCs w:val="20"/>
          <w:color w:val="auto"/>
        </w:rPr>
      </w:pPr>
      <w:r>
        <w:rPr>
          <w:rFonts w:ascii="Times New Roman" w:cs="Times New Roman" w:eastAsia="Times New Roman" w:hAnsi="Times New Roman"/>
          <w:sz w:val="18"/>
          <w:szCs w:val="18"/>
          <w:color w:val="auto"/>
        </w:rPr>
        <w:t>10.3.c</w:t>
      </w:r>
      <w:r>
        <w:rPr>
          <w:sz w:val="20"/>
          <w:szCs w:val="20"/>
          <w:color w:val="auto"/>
        </w:rPr>
        <w:tab/>
      </w:r>
      <w:r>
        <w:rPr>
          <w:rFonts w:ascii="Times New Roman" w:cs="Times New Roman" w:eastAsia="Times New Roman" w:hAnsi="Times New Roman"/>
          <w:sz w:val="18"/>
          <w:szCs w:val="18"/>
          <w:color w:val="auto"/>
        </w:rPr>
        <w:t>Third Amendment to Credit Agreement dated as of March 27, 2005, to the Credit Agreement, dated as of December 23, 2004, among MagnaChip Semiconductor S.A., MagnaChip Semiconductor Finance Company, the guarantors named therein, the lenders named therein, UBS Securities LLC, Korea Exchange Bank, UBS AG, Stamford Branch and UBS Loan Finance LLC.</w:t>
      </w:r>
    </w:p>
    <w:p>
      <w:pPr>
        <w:spacing w:after="0" w:line="78" w:lineRule="exact"/>
        <w:rPr>
          <w:sz w:val="20"/>
          <w:szCs w:val="20"/>
          <w:color w:val="auto"/>
        </w:rPr>
      </w:pPr>
    </w:p>
    <w:p>
      <w:pPr>
        <w:ind w:left="1160" w:right="180" w:hanging="752"/>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Intercreditor Agreement dated as of December 23, 2004 among MagnaChip Semiconductor Finance Company, the other Pledgors party thereto, UBS AG, Stamford Branch, The Bank of New York and U.S. Bank National Association†</w:t>
      </w:r>
    </w:p>
    <w:p>
      <w:pPr>
        <w:spacing w:after="0" w:line="66" w:lineRule="exact"/>
        <w:rPr>
          <w:sz w:val="20"/>
          <w:szCs w:val="20"/>
          <w:color w:val="auto"/>
        </w:rPr>
      </w:pPr>
    </w:p>
    <w:p>
      <w:pPr>
        <w:ind w:left="400"/>
        <w:spacing w:after="0"/>
        <w:tabs>
          <w:tab w:leader="none" w:pos="11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color w:val="auto"/>
        </w:rPr>
        <w:t>Second Amended and Restated Securityholders Agreement of MagnaChip Semiconductor LLC†</w:t>
      </w:r>
    </w:p>
    <w:p>
      <w:pPr>
        <w:spacing w:after="0" w:line="117" w:lineRule="exact"/>
        <w:rPr>
          <w:sz w:val="20"/>
          <w:szCs w:val="20"/>
          <w:color w:val="auto"/>
        </w:rPr>
      </w:pPr>
    </w:p>
    <w:p>
      <w:pPr>
        <w:ind w:left="400"/>
        <w:spacing w:after="0"/>
        <w:tabs>
          <w:tab w:leader="none" w:pos="11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6"/>
          <w:szCs w:val="16"/>
          <w:color w:val="auto"/>
        </w:rPr>
        <w:t>Warrant held by Hynix Semiconductor Inc. to purchase common units of MagnaChip Semiconductor LLC†</w:t>
      </w:r>
    </w:p>
    <w:p>
      <w:pPr>
        <w:spacing w:after="0" w:line="117" w:lineRule="exact"/>
        <w:rPr>
          <w:sz w:val="20"/>
          <w:szCs w:val="20"/>
          <w:color w:val="auto"/>
        </w:rPr>
      </w:pPr>
    </w:p>
    <w:p>
      <w:pPr>
        <w:ind w:left="1160" w:right="1120" w:hanging="752"/>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Intellectual Property License Agreement, dated as of October 6, 2004, by and between Hynix Semiconductor Inc. and MagnaChip Semiconductor, Ltd. (Korea)†</w:t>
      </w:r>
    </w:p>
    <w:p>
      <w:pPr>
        <w:spacing w:after="0" w:line="66" w:lineRule="exact"/>
        <w:rPr>
          <w:sz w:val="20"/>
          <w:szCs w:val="20"/>
          <w:color w:val="auto"/>
        </w:rPr>
      </w:pPr>
    </w:p>
    <w:p>
      <w:pPr>
        <w:ind w:left="1160" w:right="320" w:hanging="752"/>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Trademark License Agreement, dated as of October 6, 2004, by and between Hynix Semiconductor Inc. and MagnaChip Semiconductor, Ltd. (Korea)†</w:t>
      </w:r>
    </w:p>
    <w:p>
      <w:pPr>
        <w:spacing w:after="0" w:line="66" w:lineRule="exact"/>
        <w:rPr>
          <w:sz w:val="20"/>
          <w:szCs w:val="20"/>
          <w:color w:val="auto"/>
        </w:rPr>
      </w:pPr>
    </w:p>
    <w:p>
      <w:pPr>
        <w:ind w:left="1160" w:right="940" w:hanging="752"/>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Building Lease Agreement for Warehouses, dated as of October 6, 2004, by and between Hynix Semiconductor Inc. and MagnaChip Semiconductor, Ltd. (Korea)†</w:t>
      </w:r>
    </w:p>
    <w:p>
      <w:pPr>
        <w:spacing w:after="0" w:line="66" w:lineRule="exact"/>
        <w:rPr>
          <w:sz w:val="20"/>
          <w:szCs w:val="20"/>
          <w:color w:val="auto"/>
        </w:rPr>
      </w:pPr>
    </w:p>
    <w:p>
      <w:pPr>
        <w:ind w:left="1160" w:right="120" w:hanging="874"/>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10.9.a</w:t>
      </w:r>
      <w:r>
        <w:rPr>
          <w:sz w:val="20"/>
          <w:szCs w:val="20"/>
          <w:color w:val="auto"/>
        </w:rPr>
        <w:tab/>
      </w:r>
      <w:r>
        <w:rPr>
          <w:rFonts w:ascii="Times New Roman" w:cs="Times New Roman" w:eastAsia="Times New Roman" w:hAnsi="Times New Roman"/>
          <w:sz w:val="18"/>
          <w:szCs w:val="18"/>
          <w:color w:val="auto"/>
        </w:rPr>
        <w:t>First Amendment to Building Lease Agreement for Warehouses, dated as of December 30, 2005, by and between Hynix Semiconductor Inc. and MagnaChip Semiconductor, Ltd. (Korea)</w:t>
      </w:r>
    </w:p>
    <w:p>
      <w:pPr>
        <w:spacing w:after="0" w:line="66" w:lineRule="exact"/>
        <w:rPr>
          <w:sz w:val="20"/>
          <w:szCs w:val="20"/>
          <w:color w:val="auto"/>
        </w:rPr>
      </w:pPr>
    </w:p>
    <w:p>
      <w:pPr>
        <w:ind w:left="1160" w:right="88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Building Lease Agreement for M4 Building, dated as of October 6, 2004, by and between Hynix Semiconductor Inc. and MagnaChip Semiconductor, Ltd. (Korea)**†</w:t>
      </w:r>
    </w:p>
    <w:p>
      <w:pPr>
        <w:spacing w:after="0" w:line="66" w:lineRule="exact"/>
        <w:rPr>
          <w:sz w:val="20"/>
          <w:szCs w:val="20"/>
          <w:color w:val="auto"/>
        </w:rPr>
      </w:pPr>
    </w:p>
    <w:p>
      <w:pPr>
        <w:ind w:left="1160" w:right="100" w:hanging="833"/>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Building Lease Agreement for R, C1 and C2 Buildings, dated as of October 6, 2004, by and between Hynix Semiconductor Inc. and MagnaChip Semiconductor, Ltd. (Korea)†</w:t>
      </w:r>
    </w:p>
    <w:p>
      <w:pPr>
        <w:spacing w:after="0" w:line="66" w:lineRule="exact"/>
        <w:rPr>
          <w:sz w:val="20"/>
          <w:szCs w:val="20"/>
          <w:color w:val="auto"/>
        </w:rPr>
      </w:pPr>
    </w:p>
    <w:p>
      <w:pPr>
        <w:ind w:left="1160" w:right="1000" w:hanging="955"/>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10.11.a</w:t>
      </w:r>
      <w:r>
        <w:rPr>
          <w:sz w:val="20"/>
          <w:szCs w:val="20"/>
          <w:color w:val="auto"/>
        </w:rPr>
        <w:tab/>
      </w:r>
      <w:r>
        <w:rPr>
          <w:rFonts w:ascii="Times New Roman" w:cs="Times New Roman" w:eastAsia="Times New Roman" w:hAnsi="Times New Roman"/>
          <w:sz w:val="18"/>
          <w:szCs w:val="18"/>
          <w:color w:val="auto"/>
        </w:rPr>
        <w:t>First Amendment to Building Lease Agreement for R, C1 and C2 Buildings, dated as of December 30, 2005, by and between Hynix Semiconductor Inc. and MagnaChip Semiconductor, Ltd. (Korea)</w:t>
      </w:r>
    </w:p>
    <w:p>
      <w:pPr>
        <w:spacing w:after="0" w:line="66" w:lineRule="exact"/>
        <w:rPr>
          <w:sz w:val="20"/>
          <w:szCs w:val="20"/>
          <w:color w:val="auto"/>
        </w:rPr>
      </w:pPr>
    </w:p>
    <w:p>
      <w:pPr>
        <w:ind w:left="1160" w:right="16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Land Lease and Easement Agreement, dated as of October 6, 2004, by and between Hynix Semiconductor Inc. and MagnaChip Semiconductor, Ltd. (Korea)**†</w:t>
      </w:r>
    </w:p>
    <w:p>
      <w:pPr>
        <w:spacing w:after="0" w:line="66" w:lineRule="exact"/>
        <w:rPr>
          <w:sz w:val="20"/>
          <w:szCs w:val="20"/>
          <w:color w:val="auto"/>
        </w:rPr>
      </w:pPr>
    </w:p>
    <w:p>
      <w:pPr>
        <w:ind w:left="1160" w:right="480" w:hanging="961"/>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10.12.a</w:t>
      </w:r>
      <w:r>
        <w:rPr>
          <w:sz w:val="20"/>
          <w:szCs w:val="20"/>
          <w:color w:val="auto"/>
        </w:rPr>
        <w:tab/>
      </w:r>
      <w:r>
        <w:rPr>
          <w:rFonts w:ascii="Times New Roman" w:cs="Times New Roman" w:eastAsia="Times New Roman" w:hAnsi="Times New Roman"/>
          <w:sz w:val="18"/>
          <w:szCs w:val="18"/>
          <w:color w:val="auto"/>
        </w:rPr>
        <w:t>First Amendment to Land Lease and Easement Agreement, dated as of December 30, 2005, by and between Hynix Semiconductor Inc. and MagnaChip Semiconductor, Ltd. (Korea)</w:t>
      </w:r>
    </w:p>
    <w:p>
      <w:pPr>
        <w:spacing w:after="0" w:line="66" w:lineRule="exact"/>
        <w:rPr>
          <w:sz w:val="20"/>
          <w:szCs w:val="20"/>
          <w:color w:val="auto"/>
        </w:rPr>
      </w:pPr>
    </w:p>
    <w:p>
      <w:pPr>
        <w:ind w:left="1160" w:right="4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Wafer Foundry Service Agreement, dated as of October 6, 2004, by and between Hynix Semiconductor Inc. and MagnaChip Semiconductor, Ltd. (Korea)**†</w:t>
      </w:r>
    </w:p>
    <w:p>
      <w:pPr>
        <w:spacing w:after="0" w:line="66" w:lineRule="exact"/>
        <w:rPr>
          <w:sz w:val="20"/>
          <w:szCs w:val="20"/>
          <w:color w:val="auto"/>
        </w:rPr>
      </w:pPr>
    </w:p>
    <w:p>
      <w:pPr>
        <w:ind w:left="1160" w:right="64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Wafer Mask Production and Supply Agreement, dated as of October 6, 2004, by and between Hynix Semiconductor Inc. and MagnaChip Semiconductor, Ltd. (Korea)**†</w:t>
      </w:r>
    </w:p>
    <w:p>
      <w:pPr>
        <w:spacing w:after="0" w:line="66" w:lineRule="exact"/>
        <w:rPr>
          <w:sz w:val="20"/>
          <w:szCs w:val="20"/>
          <w:color w:val="auto"/>
        </w:rPr>
      </w:pPr>
    </w:p>
    <w:p>
      <w:pPr>
        <w:ind w:left="1160" w:right="160" w:hanging="961"/>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10.14.a</w:t>
      </w:r>
      <w:r>
        <w:rPr>
          <w:sz w:val="20"/>
          <w:szCs w:val="20"/>
          <w:color w:val="auto"/>
        </w:rPr>
        <w:tab/>
      </w:r>
      <w:r>
        <w:rPr>
          <w:rFonts w:ascii="Times New Roman" w:cs="Times New Roman" w:eastAsia="Times New Roman" w:hAnsi="Times New Roman"/>
          <w:sz w:val="18"/>
          <w:szCs w:val="18"/>
          <w:color w:val="auto"/>
        </w:rPr>
        <w:t>First Amendment to Wafer Mask Production and Supply Agreement, dated as of December 30,2005, by and between Hynix Semiconductor Inc. and MagnaChip Semiconductor, Ltd. (Korea)***</w:t>
      </w:r>
    </w:p>
    <w:p>
      <w:pPr>
        <w:spacing w:after="0" w:line="66" w:lineRule="exact"/>
        <w:rPr>
          <w:sz w:val="20"/>
          <w:szCs w:val="20"/>
          <w:color w:val="auto"/>
        </w:rPr>
      </w:pPr>
    </w:p>
    <w:p>
      <w:pPr>
        <w:ind w:left="116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General Service Supply Agreement, dated as of October 6, 2004, by and between Hynix Semiconductor Inc. and MagnaChip Semiconductor, Ltd. (Korea)†</w:t>
      </w:r>
    </w:p>
    <w:p>
      <w:pPr>
        <w:spacing w:after="0" w:line="66" w:lineRule="exact"/>
        <w:rPr>
          <w:sz w:val="20"/>
          <w:szCs w:val="20"/>
          <w:color w:val="auto"/>
        </w:rPr>
      </w:pPr>
    </w:p>
    <w:p>
      <w:pPr>
        <w:ind w:left="1160" w:right="660" w:hanging="961"/>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10.15.a</w:t>
      </w:r>
      <w:r>
        <w:rPr>
          <w:sz w:val="20"/>
          <w:szCs w:val="20"/>
          <w:color w:val="auto"/>
        </w:rPr>
        <w:tab/>
      </w:r>
      <w:r>
        <w:rPr>
          <w:rFonts w:ascii="Times New Roman" w:cs="Times New Roman" w:eastAsia="Times New Roman" w:hAnsi="Times New Roman"/>
          <w:sz w:val="18"/>
          <w:szCs w:val="18"/>
          <w:color w:val="auto"/>
        </w:rPr>
        <w:t>First Amendment to General Service Supply Agreement, dated as of December 30, 2005, by and between Hynix Semiconductor Inc. and MagnaChip Semiconductor, Ltd. (Korea)</w:t>
      </w:r>
    </w:p>
    <w:p>
      <w:pPr>
        <w:spacing w:after="0" w:line="66" w:lineRule="exact"/>
        <w:rPr>
          <w:sz w:val="20"/>
          <w:szCs w:val="20"/>
          <w:color w:val="auto"/>
        </w:rPr>
      </w:pPr>
    </w:p>
    <w:p>
      <w:pPr>
        <w:ind w:left="1160" w:right="38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IT and FA Service Agreement, dated as of October 6, 2004, by and between Hynix Semiconductor Inc. and MagnaChip Semiconductor, Ltd. (Korea)†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60" w:right="140" w:hanging="961"/>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10.16.a</w:t>
      </w:r>
      <w:r>
        <w:rPr>
          <w:sz w:val="20"/>
          <w:szCs w:val="20"/>
          <w:color w:val="auto"/>
        </w:rPr>
        <w:tab/>
      </w:r>
      <w:r>
        <w:rPr>
          <w:rFonts w:ascii="Times New Roman" w:cs="Times New Roman" w:eastAsia="Times New Roman" w:hAnsi="Times New Roman"/>
          <w:sz w:val="18"/>
          <w:szCs w:val="18"/>
          <w:color w:val="auto"/>
        </w:rPr>
        <w:t>First Amendment to IT and FA Service Agreement, dated as of December 30, 2005, by and between Hynix Semiconductor Inc. and MagnaChip Semiconductor, Ltd. (Korea)</w:t>
      </w:r>
    </w:p>
    <w:p>
      <w:pPr>
        <w:spacing w:after="0" w:line="66"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6"/>
          <w:szCs w:val="16"/>
          <w:color w:val="auto"/>
        </w:rPr>
        <w:t>Service Agreement, dated as of October 6, 2004, by and between MagnaChip Semiconductor, Ltd. (Korea) and Dr. Youm Huh†</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6"/>
          <w:szCs w:val="16"/>
          <w:color w:val="auto"/>
        </w:rPr>
        <w:t>Service Agreement, dated as of October 1, 2004, by and between MagnaChip Semiconductor, Ltd. (Korea) and Jerry Baker†</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6"/>
          <w:szCs w:val="16"/>
          <w:color w:val="auto"/>
        </w:rPr>
        <w:t>Service Agreement, dated as of October 6, 2004, by and between MagnaChip Semiconductor, Ltd. (Korea) and Robert Krakauer†</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6"/>
          <w:szCs w:val="16"/>
          <w:color w:val="auto"/>
        </w:rPr>
        <w:t>Service Agreement, dated as of December 29, 2004, by and between MagnaChip Semiconductor, Ltd. (Korea) and Victoria Miller Nam†</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6"/>
          <w:szCs w:val="16"/>
          <w:color w:val="auto"/>
        </w:rPr>
        <w:t>Service Agreement, dated as of October 6, 2004, by and between MagnaChip Semiconductor, Ltd. (Korea) and Tae Young Hwang†</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6"/>
          <w:szCs w:val="16"/>
          <w:color w:val="auto"/>
        </w:rPr>
        <w:t>Service Agreement, dated as of May 16, 2005, by and between MagnaChip Semiconductor, Ltd. (Korea) and Jason Hartlove†</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6"/>
          <w:szCs w:val="16"/>
          <w:color w:val="auto"/>
        </w:rPr>
        <w:t>Service Agreement, dated as of April 14, 2005 by and between MagnaChip Semiconductor, Ltd. (Korea) and Dale Lindly†</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6"/>
          <w:szCs w:val="16"/>
          <w:color w:val="auto"/>
        </w:rPr>
        <w:t>MagnaChip Semiconductor LLC Equity Incentive Plan†</w:t>
      </w:r>
    </w:p>
    <w:p>
      <w:pPr>
        <w:spacing w:after="0" w:line="117" w:lineRule="exact"/>
        <w:rPr>
          <w:sz w:val="20"/>
          <w:szCs w:val="20"/>
          <w:color w:val="auto"/>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6"/>
          <w:szCs w:val="16"/>
          <w:color w:val="auto"/>
        </w:rPr>
        <w:t>MagnaChip Semiconductor LLC California Equity Incentive Plan†</w:t>
      </w:r>
    </w:p>
    <w:p>
      <w:pPr>
        <w:spacing w:after="0" w:line="117" w:lineRule="exact"/>
        <w:rPr>
          <w:sz w:val="20"/>
          <w:szCs w:val="20"/>
          <w:color w:val="auto"/>
        </w:rPr>
      </w:pPr>
    </w:p>
    <w:p>
      <w:pPr>
        <w:ind w:left="116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R&amp;D Equipment Utilization Agreement, dated as of October 6, 2004, by and between Hynix Semiconductor Inc. and MagnaChip Semiconductor, Ltd. (Korea)**†</w:t>
      </w:r>
    </w:p>
    <w:p>
      <w:pPr>
        <w:spacing w:after="0" w:line="66" w:lineRule="exact"/>
        <w:rPr>
          <w:sz w:val="20"/>
          <w:szCs w:val="20"/>
          <w:color w:val="auto"/>
        </w:rPr>
      </w:pPr>
    </w:p>
    <w:p>
      <w:pPr>
        <w:ind w:left="1160" w:right="320" w:hanging="961"/>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10.26.a</w:t>
      </w:r>
      <w:r>
        <w:rPr>
          <w:sz w:val="20"/>
          <w:szCs w:val="20"/>
          <w:color w:val="auto"/>
        </w:rPr>
        <w:tab/>
      </w:r>
      <w:r>
        <w:rPr>
          <w:rFonts w:ascii="Times New Roman" w:cs="Times New Roman" w:eastAsia="Times New Roman" w:hAnsi="Times New Roman"/>
          <w:sz w:val="18"/>
          <w:szCs w:val="18"/>
          <w:color w:val="auto"/>
        </w:rPr>
        <w:t>First Amendment to R&amp;D Equipment Utilization Agreement, dated as of December 30, 2005, by and between Hynix Semiconductor Inc. and MagnaChip Semiconductor, Ltd. (Korea)</w:t>
      </w:r>
    </w:p>
    <w:p>
      <w:pPr>
        <w:spacing w:after="0" w:line="66" w:lineRule="exact"/>
        <w:rPr>
          <w:sz w:val="20"/>
          <w:szCs w:val="20"/>
          <w:color w:val="auto"/>
        </w:rPr>
      </w:pPr>
    </w:p>
    <w:p>
      <w:pPr>
        <w:ind w:left="1160" w:right="60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License Agreement (ModularBCD), dated as of March 18, 2005, by and between Advanced Analogic Technologies, Inc. and MagnaChip Semiconductor, Ltd. (Korea)**†</w:t>
      </w:r>
    </w:p>
    <w:p>
      <w:pPr>
        <w:spacing w:after="0" w:line="66" w:lineRule="exact"/>
        <w:rPr>
          <w:sz w:val="20"/>
          <w:szCs w:val="20"/>
          <w:color w:val="auto"/>
        </w:rPr>
      </w:pPr>
    </w:p>
    <w:p>
      <w:pPr>
        <w:ind w:left="1160" w:right="56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License Agreement (TrenchDMOS), dated as of March 18, 2005, by and between Advanced Analogic Technologies, Inc. and MagnaChip Semiconductor, Ltd. (Korea)**†</w:t>
      </w:r>
    </w:p>
    <w:p>
      <w:pPr>
        <w:spacing w:after="0" w:line="66" w:lineRule="exact"/>
        <w:rPr>
          <w:sz w:val="20"/>
          <w:szCs w:val="20"/>
          <w:color w:val="auto"/>
        </w:rPr>
      </w:pPr>
    </w:p>
    <w:p>
      <w:pPr>
        <w:ind w:left="1160" w:right="22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8"/>
          <w:szCs w:val="18"/>
          <w:color w:val="auto"/>
        </w:rPr>
        <w:t>RFID Development and Licensing Agreement, dated as of March 29, 2004, by and between Celis Semiconductor Corporation and MagnaChip Semiconductor, Ltd. (Korea) (successor in interest to Hynix Semiconductor Inc.)**†</w:t>
      </w:r>
    </w:p>
    <w:p>
      <w:pPr>
        <w:spacing w:after="0" w:line="66" w:lineRule="exact"/>
        <w:rPr>
          <w:sz w:val="20"/>
          <w:szCs w:val="20"/>
          <w:color w:val="auto"/>
        </w:rPr>
      </w:pPr>
    </w:p>
    <w:p>
      <w:pPr>
        <w:ind w:left="116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Technology License Agreement, dated as of July 2001, by and between ARM Limited and MagnaChip Semiconductor, Ltd. (Korea) (successor in interest to Hynix Semiconductor Inc.)**†</w:t>
      </w:r>
    </w:p>
    <w:p>
      <w:pPr>
        <w:spacing w:after="0" w:line="66" w:lineRule="exact"/>
        <w:rPr>
          <w:sz w:val="20"/>
          <w:szCs w:val="20"/>
          <w:color w:val="auto"/>
        </w:rPr>
      </w:pPr>
    </w:p>
    <w:p>
      <w:pPr>
        <w:ind w:left="1160" w:right="86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8"/>
          <w:szCs w:val="18"/>
          <w:color w:val="auto"/>
        </w:rPr>
        <w:t>Technology License Agreement, dated as of December 16, 1996, by and between Advanced RISC Machines Limited and MagnaChip Semiconductor, Ltd. (Korea) (successor in interest to LG Semicon Company Limited)**†</w:t>
      </w:r>
    </w:p>
    <w:p>
      <w:pPr>
        <w:spacing w:after="0" w:line="66" w:lineRule="exact"/>
        <w:rPr>
          <w:sz w:val="20"/>
          <w:szCs w:val="20"/>
          <w:color w:val="auto"/>
        </w:rPr>
      </w:pPr>
    </w:p>
    <w:p>
      <w:pPr>
        <w:ind w:left="1160" w:right="18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color w:val="auto"/>
        </w:rPr>
        <w:t>ARM7201TDSP Device License Agreement, dated as of August 26, 1997, by and between Advanced RISC Machines Limited and MagnaChip Semiconductor, Ltd. (Korea) (successor in interest to LG Semicon Company Limited)**†</w:t>
      </w:r>
    </w:p>
    <w:p>
      <w:pPr>
        <w:spacing w:after="0" w:line="66" w:lineRule="exact"/>
        <w:rPr>
          <w:sz w:val="20"/>
          <w:szCs w:val="20"/>
          <w:color w:val="auto"/>
        </w:rPr>
      </w:pPr>
    </w:p>
    <w:p>
      <w:pPr>
        <w:ind w:left="1160" w:right="48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8"/>
          <w:szCs w:val="18"/>
          <w:color w:val="auto"/>
        </w:rPr>
        <w:t>Technology License Agreement, dated as of August 22, 2001, by and between ARM Limited and MagnaChip Semiconductor, Ltd. (Korea) (successor in interest to Hynix Semiconductor Inc.)**†</w:t>
      </w:r>
    </w:p>
    <w:p>
      <w:pPr>
        <w:spacing w:after="0" w:line="66" w:lineRule="exact"/>
        <w:rPr>
          <w:sz w:val="20"/>
          <w:szCs w:val="20"/>
          <w:color w:val="auto"/>
        </w:rPr>
      </w:pPr>
    </w:p>
    <w:p>
      <w:pPr>
        <w:ind w:left="1160" w:right="66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8"/>
          <w:szCs w:val="18"/>
          <w:color w:val="auto"/>
        </w:rPr>
        <w:t>Technology License Agreement, dated as of May 20, 2004, by and between ARM Limited and MagnaChip Semiconductor, Ltd. (Korea) (successor in interest to Hynix Semiconductor Inc.)†</w:t>
      </w:r>
    </w:p>
    <w:p>
      <w:pPr>
        <w:spacing w:after="0" w:line="66" w:lineRule="exact"/>
        <w:rPr>
          <w:sz w:val="20"/>
          <w:szCs w:val="20"/>
          <w:color w:val="auto"/>
        </w:rPr>
      </w:pPr>
    </w:p>
    <w:p>
      <w:pPr>
        <w:ind w:left="1160" w:right="380" w:hanging="840"/>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8"/>
          <w:szCs w:val="18"/>
          <w:color w:val="auto"/>
        </w:rPr>
        <w:t>Interest Rate Swap Transaction Letter Agreement, dated as of June 30, 2005, by and between MagnaChip Semiconductor S.A. and Deutsche Bank AG#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MagnaChip Semiconductor LLC</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pursuant to Rule 13a-14(a) or Rule 15d-14(a) of the Securities Exchange Act of 1934 of the Chief Executive Officer.</w:t>
      </w:r>
    </w:p>
    <w:p>
      <w:pPr>
        <w:spacing w:after="0" w:line="117"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pursuant to Rule 13a-14(a) or Rule 15d-14(a) of the Securities Exchange Act of 1934 of the Chief Financial Officer.</w:t>
      </w:r>
    </w:p>
    <w:p>
      <w:pPr>
        <w:spacing w:after="0" w:line="117" w:lineRule="exact"/>
        <w:rPr>
          <w:sz w:val="20"/>
          <w:szCs w:val="20"/>
          <w:color w:val="auto"/>
        </w:rPr>
      </w:pPr>
    </w:p>
    <w:p>
      <w:pPr>
        <w:ind w:left="920" w:right="300" w:hanging="873"/>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pursuant to 18 U.S.C. Section 1350, as adopted pursuant to Section 906 of the Sarbanes-Oxley Act of 2002, of the Chief Executive Officer.</w:t>
      </w:r>
    </w:p>
    <w:p>
      <w:pPr>
        <w:spacing w:after="0" w:line="66" w:lineRule="exact"/>
        <w:rPr>
          <w:sz w:val="20"/>
          <w:szCs w:val="20"/>
          <w:color w:val="auto"/>
        </w:rPr>
      </w:pPr>
    </w:p>
    <w:p>
      <w:pPr>
        <w:ind w:left="920" w:right="360" w:hanging="873"/>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pursuant to 18 U.S.C. Section 1350, as adopted pursuant to Section 906 of the Sarbanes-Oxley Act of 2002, of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46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7" w:lineRule="exact"/>
        <w:rPr>
          <w:sz w:val="20"/>
          <w:szCs w:val="20"/>
          <w:color w:val="auto"/>
        </w:rPr>
      </w:pPr>
    </w:p>
    <w:p>
      <w:pPr>
        <w:ind w:left="460" w:hanging="452"/>
        <w:spacing w:after="0" w:line="25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identically numbered exhibits filed in response to Item 21(a), “Exhibits,” of the company’s Registration Statement on Form S-4, as amended (File No. 33-126019), which became effective July 20, 2005.</w:t>
      </w:r>
    </w:p>
    <w:p>
      <w:pPr>
        <w:spacing w:after="0" w:line="1"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an identically numbered exhibit filed in response to Item 6, “Exhibits,” of the company’s Quarterly Report on Form 10-Q for</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quarter ended July 3, 2005 (File No. 33-126019-09).</w:t>
      </w:r>
    </w:p>
    <w:p>
      <w:pPr>
        <w:spacing w:after="0" w:line="9"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have been omitted and granted confidential treatment by the SEC.</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have been omitted pursuant to a confidential treatment request.</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Financial Statement Schedules:</w:t>
      </w:r>
    </w:p>
    <w:p>
      <w:pPr>
        <w:spacing w:after="0" w:line="90"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Schedules are omitted because of the absence of the conditions under which they are required or because the information required by such omitted schedules is set forth in the financial statements or the notes thereto.</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60"/>
          </w:cols>
          <w:pgMar w:left="240" w:top="455" w:right="2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MAGNACHIP SEMICONDUCTOR LLC</w:t>
      </w:r>
    </w:p>
    <w:p>
      <w:pPr>
        <w:spacing w:after="0" w:line="227" w:lineRule="exact"/>
        <w:rPr>
          <w:sz w:val="20"/>
          <w:szCs w:val="20"/>
          <w:color w:val="auto"/>
        </w:rPr>
      </w:pPr>
    </w:p>
    <w:p>
      <w:pPr>
        <w:spacing w:after="0"/>
        <w:tabs>
          <w:tab w:leader="none" w:pos="5480" w:val="left"/>
          <w:tab w:leader="none" w:pos="7920" w:val="left"/>
          <w:tab w:leader="none" w:pos="8260" w:val="left"/>
        </w:tabs>
        <w:rPr>
          <w:sz w:val="20"/>
          <w:szCs w:val="20"/>
          <w:color w:val="auto"/>
        </w:rPr>
      </w:pPr>
      <w:r>
        <w:rPr>
          <w:rFonts w:ascii="Times New Roman" w:cs="Times New Roman" w:eastAsia="Times New Roman" w:hAnsi="Times New Roman"/>
          <w:sz w:val="18"/>
          <w:szCs w:val="18"/>
          <w:color w:val="auto"/>
        </w:rPr>
        <w:t>Dated: March 29,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4"/>
          <w:szCs w:val="14"/>
          <w:color w:val="auto"/>
        </w:rPr>
        <w:t>OUM</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Youm Huh</w:t>
      </w:r>
    </w:p>
    <w:p>
      <w:pPr>
        <w:spacing w:after="0" w:line="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48"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center"/>
              <w:ind w:right="1786"/>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40" w:type="dxa"/>
            <w:vAlign w:val="bottom"/>
          </w:tcPr>
          <w:p>
            <w:pPr>
              <w:spacing w:after="0"/>
              <w:rPr>
                <w:sz w:val="14"/>
                <w:szCs w:val="14"/>
                <w:color w:val="auto"/>
              </w:rPr>
            </w:pPr>
          </w:p>
        </w:tc>
        <w:tc>
          <w:tcPr>
            <w:tcW w:w="41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37"/>
        </w:trPr>
        <w:tc>
          <w:tcPr>
            <w:tcW w:w="1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w:t>
            </w:r>
          </w:p>
        </w:tc>
        <w:tc>
          <w:tcPr>
            <w:tcW w:w="2940" w:type="dxa"/>
            <w:vAlign w:val="bottom"/>
            <w:tcBorders>
              <w:bottom w:val="single" w:sz="8" w:color="auto"/>
            </w:tcBorders>
          </w:tcPr>
          <w:p>
            <w:pPr>
              <w:jc w:val="center"/>
              <w:ind w:right="1726"/>
              <w:spacing w:after="0"/>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4"/>
                <w:szCs w:val="14"/>
                <w:color w:val="auto"/>
              </w:rPr>
              <w:t>OUM</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UH</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w w:val="97"/>
              </w:rPr>
              <w:t>Chief Executive Officer, President and Director (Principal</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208"/>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jc w:val="center"/>
              <w:ind w:right="1766"/>
              <w:spacing w:after="0"/>
              <w:rPr>
                <w:sz w:val="20"/>
                <w:szCs w:val="20"/>
                <w:color w:val="auto"/>
              </w:rPr>
            </w:pPr>
            <w:r>
              <w:rPr>
                <w:rFonts w:ascii="Times New Roman" w:cs="Times New Roman" w:eastAsia="Times New Roman" w:hAnsi="Times New Roman"/>
                <w:sz w:val="14"/>
                <w:szCs w:val="14"/>
                <w:b w:val="1"/>
                <w:bCs w:val="1"/>
                <w:color w:val="auto"/>
                <w:w w:val="93"/>
              </w:rPr>
              <w:t>Youm Huh</w:t>
            </w:r>
          </w:p>
        </w:tc>
        <w:tc>
          <w:tcPr>
            <w:tcW w:w="2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Officer)</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0"/>
        </w:trPr>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jc w:val="center"/>
              <w:ind w:right="1386"/>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RAKAUER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84"/>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Robert J. Krakauer</w:t>
            </w:r>
          </w:p>
        </w:tc>
        <w:tc>
          <w:tcPr>
            <w:tcW w:w="240" w:type="dxa"/>
            <w:vAlign w:val="bottom"/>
          </w:tcPr>
          <w:p>
            <w:pPr>
              <w:spacing w:after="0"/>
              <w:rPr>
                <w:sz w:val="15"/>
                <w:szCs w:val="15"/>
                <w:color w:val="auto"/>
              </w:rPr>
            </w:pPr>
          </w:p>
        </w:tc>
        <w:tc>
          <w:tcPr>
            <w:tcW w:w="41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Strategic Operations and Director (Principal Financial</w:t>
            </w: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28"/>
        </w:trPr>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2"/>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706"/>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INDLY</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 and Senior Vice President</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208"/>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jc w:val="center"/>
              <w:ind w:right="1786"/>
              <w:spacing w:after="0"/>
              <w:rPr>
                <w:sz w:val="20"/>
                <w:szCs w:val="20"/>
                <w:color w:val="auto"/>
              </w:rPr>
            </w:pPr>
            <w:r>
              <w:rPr>
                <w:rFonts w:ascii="Times New Roman" w:cs="Times New Roman" w:eastAsia="Times New Roman" w:hAnsi="Times New Roman"/>
                <w:sz w:val="14"/>
                <w:szCs w:val="14"/>
                <w:b w:val="1"/>
                <w:bCs w:val="1"/>
                <w:color w:val="auto"/>
                <w:w w:val="96"/>
              </w:rPr>
              <w:t>Dale Lindly</w:t>
            </w:r>
          </w:p>
        </w:tc>
        <w:tc>
          <w:tcPr>
            <w:tcW w:w="24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1"/>
        </w:trPr>
        <w:tc>
          <w:tcPr>
            <w:tcW w:w="176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2"/>
          </w:tcPr>
          <w:p>
            <w:pPr>
              <w:jc w:val="center"/>
              <w:ind w:right="1626"/>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ERRY</w:t>
            </w:r>
            <w:r>
              <w:rPr>
                <w:rFonts w:ascii="Times New Roman" w:cs="Times New Roman" w:eastAsia="Times New Roman" w:hAnsi="Times New Roman"/>
                <w:sz w:val="18"/>
                <w:szCs w:val="18"/>
                <w:color w:val="auto"/>
              </w:rPr>
              <w:t xml:space="preserve"> M. B</w:t>
            </w:r>
            <w:r>
              <w:rPr>
                <w:rFonts w:ascii="Times New Roman" w:cs="Times New Roman" w:eastAsia="Times New Roman" w:hAnsi="Times New Roman"/>
                <w:sz w:val="14"/>
                <w:szCs w:val="14"/>
                <w:color w:val="auto"/>
              </w:rPr>
              <w:t>AKER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jc w:val="center"/>
              <w:ind w:right="1766"/>
              <w:spacing w:after="0"/>
              <w:rPr>
                <w:sz w:val="20"/>
                <w:szCs w:val="20"/>
                <w:color w:val="auto"/>
              </w:rPr>
            </w:pPr>
            <w:r>
              <w:rPr>
                <w:rFonts w:ascii="Times New Roman" w:cs="Times New Roman" w:eastAsia="Times New Roman" w:hAnsi="Times New Roman"/>
                <w:sz w:val="14"/>
                <w:szCs w:val="14"/>
                <w:b w:val="1"/>
                <w:bCs w:val="1"/>
                <w:color w:val="auto"/>
                <w:w w:val="96"/>
              </w:rPr>
              <w:t>Jerry M. Baker</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746"/>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IPANJAN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EB</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jc w:val="center"/>
              <w:ind w:right="1786"/>
              <w:spacing w:after="0"/>
              <w:rPr>
                <w:sz w:val="20"/>
                <w:szCs w:val="20"/>
                <w:color w:val="auto"/>
              </w:rPr>
            </w:pPr>
            <w:r>
              <w:rPr>
                <w:rFonts w:ascii="Times New Roman" w:cs="Times New Roman" w:eastAsia="Times New Roman" w:hAnsi="Times New Roman"/>
                <w:sz w:val="14"/>
                <w:szCs w:val="14"/>
                <w:b w:val="1"/>
                <w:bCs w:val="1"/>
                <w:color w:val="auto"/>
                <w:w w:val="95"/>
              </w:rPr>
              <w:t>Dipanjan Deb</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3"/>
              </w:rPr>
              <w:t>/s/</w:t>
            </w:r>
          </w:p>
        </w:tc>
        <w:tc>
          <w:tcPr>
            <w:tcW w:w="2940" w:type="dxa"/>
            <w:vAlign w:val="bottom"/>
            <w:tcBorders>
              <w:bottom w:val="single" w:sz="8" w:color="auto"/>
            </w:tcBorders>
          </w:tcPr>
          <w:p>
            <w:pPr>
              <w:jc w:val="center"/>
              <w:ind w:right="1726"/>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OY</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UAN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jc w:val="center"/>
              <w:ind w:right="1766"/>
              <w:spacing w:after="0"/>
              <w:rPr>
                <w:sz w:val="20"/>
                <w:szCs w:val="20"/>
                <w:color w:val="auto"/>
              </w:rPr>
            </w:pPr>
            <w:r>
              <w:rPr>
                <w:rFonts w:ascii="Times New Roman" w:cs="Times New Roman" w:eastAsia="Times New Roman" w:hAnsi="Times New Roman"/>
                <w:sz w:val="14"/>
                <w:szCs w:val="14"/>
                <w:b w:val="1"/>
                <w:bCs w:val="1"/>
                <w:color w:val="auto"/>
                <w:w w:val="94"/>
              </w:rPr>
              <w:t>Roy Kuan</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5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jc w:val="center"/>
              <w:ind w:right="1386"/>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HOKION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OTAMIANOS</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Phokion Potamianos</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5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AUL</w:t>
            </w:r>
            <w:r>
              <w:rPr>
                <w:rFonts w:ascii="Times New Roman" w:cs="Times New Roman" w:eastAsia="Times New Roman" w:hAnsi="Times New Roman"/>
                <w:sz w:val="18"/>
                <w:szCs w:val="18"/>
                <w:color w:val="auto"/>
              </w:rPr>
              <w:t xml:space="preserve"> C. S</w:t>
            </w:r>
            <w:r>
              <w:rPr>
                <w:rFonts w:ascii="Times New Roman" w:cs="Times New Roman" w:eastAsia="Times New Roman" w:hAnsi="Times New Roman"/>
                <w:sz w:val="14"/>
                <w:szCs w:val="14"/>
                <w:color w:val="auto"/>
              </w:rPr>
              <w:t>CHORR</w:t>
            </w:r>
            <w:r>
              <w:rPr>
                <w:rFonts w:ascii="Times New Roman" w:cs="Times New Roman" w:eastAsia="Times New Roman" w:hAnsi="Times New Roman"/>
                <w:sz w:val="18"/>
                <w:szCs w:val="18"/>
                <w:color w:val="auto"/>
              </w:rPr>
              <w:t xml:space="preserve"> IV</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jc w:val="center"/>
              <w:ind w:right="1786"/>
              <w:spacing w:after="0"/>
              <w:rPr>
                <w:sz w:val="20"/>
                <w:szCs w:val="20"/>
                <w:color w:val="auto"/>
              </w:rPr>
            </w:pPr>
            <w:r>
              <w:rPr>
                <w:rFonts w:ascii="Times New Roman" w:cs="Times New Roman" w:eastAsia="Times New Roman" w:hAnsi="Times New Roman"/>
                <w:sz w:val="14"/>
                <w:szCs w:val="14"/>
                <w:b w:val="1"/>
                <w:bCs w:val="1"/>
                <w:color w:val="auto"/>
                <w:w w:val="96"/>
              </w:rPr>
              <w:t>Paul C. Schorr IV</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76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2"/>
          </w:tcPr>
          <w:p>
            <w:pPr>
              <w:jc w:val="center"/>
              <w:ind w:right="1626"/>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F. T</w:t>
            </w:r>
            <w:r>
              <w:rPr>
                <w:rFonts w:ascii="Times New Roman" w:cs="Times New Roman" w:eastAsia="Times New Roman" w:hAnsi="Times New Roman"/>
                <w:sz w:val="14"/>
                <w:szCs w:val="14"/>
                <w:color w:val="auto"/>
              </w:rPr>
              <w:t>HOMAS</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jc w:val="center"/>
              <w:ind w:right="1766"/>
              <w:spacing w:after="0"/>
              <w:rPr>
                <w:sz w:val="20"/>
                <w:szCs w:val="20"/>
                <w:color w:val="auto"/>
              </w:rPr>
            </w:pPr>
            <w:r>
              <w:rPr>
                <w:rFonts w:ascii="Times New Roman" w:cs="Times New Roman" w:eastAsia="Times New Roman" w:hAnsi="Times New Roman"/>
                <w:sz w:val="14"/>
                <w:szCs w:val="14"/>
                <w:b w:val="1"/>
                <w:bCs w:val="1"/>
                <w:color w:val="auto"/>
                <w:w w:val="95"/>
              </w:rPr>
              <w:t>David F. Thomas</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15"/>
        </w:trPr>
        <w:tc>
          <w:tcPr>
            <w:tcW w:w="176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w:t>
            </w:r>
          </w:p>
        </w:tc>
        <w:tc>
          <w:tcPr>
            <w:tcW w:w="3040" w:type="dxa"/>
            <w:vAlign w:val="bottom"/>
            <w:tcBorders>
              <w:bottom w:val="single" w:sz="8" w:color="auto"/>
            </w:tcBorders>
            <w:gridSpan w:val="2"/>
          </w:tcPr>
          <w:p>
            <w:pPr>
              <w:jc w:val="center"/>
              <w:ind w:right="1626"/>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RMANDO</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EDAY</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29, 2006</w:t>
            </w:r>
          </w:p>
        </w:tc>
      </w:t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jc w:val="center"/>
              <w:ind w:right="1786"/>
              <w:spacing w:after="0"/>
              <w:rPr>
                <w:sz w:val="20"/>
                <w:szCs w:val="20"/>
                <w:color w:val="auto"/>
              </w:rPr>
            </w:pPr>
            <w:r>
              <w:rPr>
                <w:rFonts w:ascii="Times New Roman" w:cs="Times New Roman" w:eastAsia="Times New Roman" w:hAnsi="Times New Roman"/>
                <w:sz w:val="14"/>
                <w:szCs w:val="14"/>
                <w:b w:val="1"/>
                <w:bCs w:val="1"/>
                <w:color w:val="auto"/>
                <w:w w:val="96"/>
              </w:rPr>
              <w:t>Armando Geday</w:t>
            </w:r>
          </w:p>
        </w:tc>
        <w:tc>
          <w:tcPr>
            <w:tcW w:w="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46"/>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360" w:type="dxa"/>
            <w:vAlign w:val="bottom"/>
            <w:gridSpan w:val="2"/>
          </w:tcPr>
          <w:p>
            <w:pPr>
              <w:jc w:val="right"/>
              <w:ind w:right="3274"/>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ISRON CORPORATION (“ISRON”) located in Shin-Osaka MT Building Number 2, 3-5-36, Miyahara, Yodogawa-ku, Osaka-shi and MagnaChip Semiconductor Inc (“MagnaChip”) located Teikoku Hotel Tower 15F, 1-1-1, Uchisaiwai-cho, Chiyoda-ku Tokyo hereby enter into this Merger Agreement (the “Merger Agreement”) as follows: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1 (Merger Method)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ISRON will merge with MagnaChip (the “Merger”) and will continue to exist following the Merger. MangaChip will be dissolved by the Merger.</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2 (Amendment of Articles of Incorporation)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ISRON will change its Articles of Incorporation at the time of the Merger as follows: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Article 1</w:t>
      </w:r>
    </w:p>
    <w:p>
      <w:pPr>
        <w:spacing w:after="0" w:line="88" w:lineRule="exact"/>
        <w:rPr>
          <w:sz w:val="20"/>
          <w:szCs w:val="20"/>
          <w:color w:val="auto"/>
        </w:rPr>
      </w:pPr>
    </w:p>
    <w:p>
      <w:pPr>
        <w:ind w:left="460" w:right="860" w:firstLine="438"/>
        <w:spacing w:after="0" w:line="277" w:lineRule="auto"/>
        <w:rPr>
          <w:sz w:val="20"/>
          <w:szCs w:val="20"/>
          <w:color w:val="auto"/>
        </w:rPr>
      </w:pPr>
      <w:r>
        <w:rPr>
          <w:rFonts w:ascii="Times New Roman" w:cs="Times New Roman" w:eastAsia="Times New Roman" w:hAnsi="Times New Roman"/>
          <w:sz w:val="18"/>
          <w:szCs w:val="18"/>
          <w:color w:val="auto"/>
        </w:rPr>
        <w:t xml:space="preserve">“Article 1 The name of the Company shall be </w:t>
      </w:r>
      <w:r>
        <w:rPr>
          <w:rFonts w:ascii="Times New Roman" w:cs="Times New Roman" w:eastAsia="Times New Roman" w:hAnsi="Times New Roman"/>
          <w:sz w:val="18"/>
          <w:szCs w:val="18"/>
          <w:u w:val="single" w:color="auto"/>
          <w:color w:val="auto"/>
        </w:rPr>
        <w:t>MagnaChip Semiconductor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Kabushiki Kaisha</w:t>
      </w:r>
      <w:r>
        <w:rPr>
          <w:rFonts w:ascii="Times New Roman" w:cs="Times New Roman" w:eastAsia="Times New Roman" w:hAnsi="Times New Roman"/>
          <w:sz w:val="18"/>
          <w:szCs w:val="18"/>
          <w:color w:val="auto"/>
        </w:rPr>
        <w:t xml:space="preserve">. In the English language it shall be known as </w:t>
      </w:r>
      <w:r>
        <w:rPr>
          <w:rFonts w:ascii="Times New Roman" w:cs="Times New Roman" w:eastAsia="Times New Roman" w:hAnsi="Times New Roman"/>
          <w:sz w:val="18"/>
          <w:szCs w:val="18"/>
          <w:u w:val="single" w:color="auto"/>
          <w:color w:val="auto"/>
        </w:rPr>
        <w:t>MagnaChip Semiconductor Inc</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Article 2</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“Article 2 The purposes of the Company shall be as follows:</w:t>
      </w:r>
    </w:p>
    <w:p>
      <w:pPr>
        <w:spacing w:after="0" w:line="90" w:lineRule="exact"/>
        <w:rPr>
          <w:sz w:val="20"/>
          <w:szCs w:val="20"/>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Development, design, sales, </w:t>
      </w:r>
      <w:r>
        <w:rPr>
          <w:rFonts w:ascii="Times New Roman" w:cs="Times New Roman" w:eastAsia="Times New Roman" w:hAnsi="Times New Roman"/>
          <w:sz w:val="18"/>
          <w:szCs w:val="18"/>
          <w:u w:val="single" w:color="auto"/>
          <w:color w:val="auto"/>
        </w:rPr>
        <w:t>marketing, import and export</w:t>
      </w:r>
      <w:r>
        <w:rPr>
          <w:rFonts w:ascii="Times New Roman" w:cs="Times New Roman" w:eastAsia="Times New Roman" w:hAnsi="Times New Roman"/>
          <w:sz w:val="18"/>
          <w:szCs w:val="18"/>
          <w:color w:val="auto"/>
        </w:rPr>
        <w:t xml:space="preserve"> of semiconductors, </w:t>
      </w:r>
      <w:r>
        <w:rPr>
          <w:rFonts w:ascii="Times New Roman" w:cs="Times New Roman" w:eastAsia="Times New Roman" w:hAnsi="Times New Roman"/>
          <w:sz w:val="18"/>
          <w:szCs w:val="18"/>
          <w:u w:val="single" w:color="auto"/>
          <w:color w:val="auto"/>
        </w:rPr>
        <w:t>integrated circuits and related manufactured goods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Contractor business and technical assistance of development and design of Semiconductors, </w:t>
      </w:r>
      <w:r>
        <w:rPr>
          <w:rFonts w:ascii="Times New Roman" w:cs="Times New Roman" w:eastAsia="Times New Roman" w:hAnsi="Times New Roman"/>
          <w:sz w:val="18"/>
          <w:szCs w:val="18"/>
          <w:u w:val="single" w:color="auto"/>
          <w:color w:val="auto"/>
        </w:rPr>
        <w:t>integrated circuits and related manufactured goods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design and sales of electronic circuits;</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design and sales of software; and</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incidental to and necessary to perform any of the foregoing items.”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(iii) Article 5</w:t>
      </w:r>
    </w:p>
    <w:p>
      <w:pPr>
        <w:spacing w:after="0" w:line="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“Article5 The Total number of shares authorized to be issued by the Company shall be </w:t>
      </w:r>
      <w:r>
        <w:rPr>
          <w:rFonts w:ascii="Times New Roman" w:cs="Times New Roman" w:eastAsia="Times New Roman" w:hAnsi="Times New Roman"/>
          <w:sz w:val="18"/>
          <w:szCs w:val="18"/>
          <w:u w:val="single" w:color="auto"/>
          <w:color w:val="auto"/>
        </w:rPr>
        <w:t>ninety four thousand (94,000)</w:t>
      </w:r>
      <w:r>
        <w:rPr>
          <w:rFonts w:ascii="Times New Roman" w:cs="Times New Roman" w:eastAsia="Times New Roman" w:hAnsi="Times New Roman"/>
          <w:sz w:val="18"/>
          <w:szCs w:val="18"/>
          <w:color w:val="auto"/>
        </w:rPr>
        <w:t xml:space="preserve"> shares.”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(iv) Article 7</w:t>
      </w:r>
    </w:p>
    <w:p>
      <w:pPr>
        <w:spacing w:after="0" w:line="90" w:lineRule="exact"/>
        <w:rPr>
          <w:sz w:val="20"/>
          <w:szCs w:val="20"/>
          <w:color w:val="auto"/>
        </w:rPr>
      </w:pPr>
    </w:p>
    <w:p>
      <w:pPr>
        <w:ind w:left="460" w:right="220" w:firstLine="438"/>
        <w:spacing w:after="0" w:line="310" w:lineRule="auto"/>
        <w:rPr>
          <w:sz w:val="20"/>
          <w:szCs w:val="20"/>
          <w:color w:val="auto"/>
        </w:rPr>
      </w:pPr>
      <w:r>
        <w:rPr>
          <w:rFonts w:ascii="Times New Roman" w:cs="Times New Roman" w:eastAsia="Times New Roman" w:hAnsi="Times New Roman"/>
          <w:sz w:val="16"/>
          <w:szCs w:val="16"/>
          <w:color w:val="auto"/>
        </w:rPr>
        <w:t xml:space="preserve">“Article 7 </w:t>
      </w:r>
      <w:r>
        <w:rPr>
          <w:rFonts w:ascii="Times New Roman" w:cs="Times New Roman" w:eastAsia="Times New Roman" w:hAnsi="Times New Roman"/>
          <w:sz w:val="16"/>
          <w:szCs w:val="16"/>
          <w:u w:val="single" w:color="auto"/>
          <w:color w:val="auto"/>
        </w:rPr>
        <w:t>The share certificates issued by the Company shall be in one of the following eight denominations; one (1) share, ten (10) shares, 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hundred (100) shares, one thousand (1,000) shares, ten thousand (10,000) shares, one hundred thousand (100,000) shares, one million (1,000,000) shares and ten million (10,000,000) shares. However, if necessary, certificates may be issued in other denominations by a resolution of the Board of Directors</w:t>
      </w:r>
      <w:r>
        <w:rPr>
          <w:rFonts w:ascii="Times New Roman" w:cs="Times New Roman" w:eastAsia="Times New Roman" w:hAnsi="Times New Roman"/>
          <w:sz w:val="16"/>
          <w:szCs w:val="16"/>
          <w:color w:val="auto"/>
        </w:rPr>
        <w:t>.”</w:t>
      </w:r>
    </w:p>
    <w:p>
      <w:pPr>
        <w:sectPr>
          <w:pgSz w:w="11900" w:h="16838" w:orient="portrait"/>
          <w:cols w:equalWidth="0" w:num="1">
            <w:col w:w="11420"/>
          </w:cols>
          <w:pgMar w:left="240" w:top="123" w:right="2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 (Issuance and Allocation of New Shares at the Time of the Merger)</w:t>
      </w:r>
    </w:p>
    <w:p>
      <w:pPr>
        <w:spacing w:after="0" w:line="9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ISRON will issue fifteen thousand five hundred (15,500) common shares and allocate one (1) share of ISRON per one thousand shares (1,000) of MagnaChip to the shareholder(s) who is (are) registered on the shareholder registry of MagnaChip (including register of substantive shareholders) on the day immediately preceding the Merger Date defined in Article 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Article4 (Increasing Amount of Capital and Capital Reserve)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amount of capital, capital reserve, earned reserve and other reserved funds which will increase at the time of the Merger are follows:</w:t>
      </w:r>
    </w:p>
    <w:p>
      <w:pPr>
        <w:spacing w:after="0" w:line="22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w:t>
            </w:r>
          </w:p>
        </w:tc>
        <w:tc>
          <w:tcPr>
            <w:tcW w:w="3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Capital</w:t>
            </w:r>
          </w:p>
        </w:tc>
        <w:tc>
          <w:tcPr>
            <w:tcW w:w="326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0 yen</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Reserve</w:t>
            </w:r>
          </w:p>
        </w:tc>
        <w:tc>
          <w:tcPr>
            <w:tcW w:w="326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97"/>
              </w:rPr>
              <w:t>563,155,000 yen</w:t>
            </w: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3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Earned Reserve</w:t>
            </w:r>
          </w:p>
        </w:tc>
        <w:tc>
          <w:tcPr>
            <w:tcW w:w="326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0 yen</w:t>
            </w:r>
          </w:p>
        </w:tc>
      </w:tr>
      <w:tr>
        <w:trPr>
          <w:trHeight w:val="22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Reserve</w:t>
            </w:r>
          </w:p>
        </w:tc>
        <w:tc>
          <w:tcPr>
            <w:tcW w:w="32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0 yen</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 (Merger Date)</w:t>
      </w:r>
    </w:p>
    <w:p>
      <w:pPr>
        <w:spacing w:after="0" w:line="9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Merger date will be February 4, 2006 (the “Merger Date”). However, if necessary, the Merger Date may be changed by mutual consent of ISRON and MagnaChip.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6 (Shareholders Consent regarding the Merger Agreement)</w:t>
      </w:r>
    </w:p>
    <w:p>
      <w:pPr>
        <w:spacing w:after="0" w:line="9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Each of ISRON and MagnaChip will send a draft consent to its respective shareholder(s) on December 21, 2005, requesting the shareholder(s) to approve the Merger Agreement and each will obtain the necessary consent. If necessary, the date of the consents may be changed by mutual consent of ISRON and MagnaChip.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7 (MagnaChip Rights and Liabilities Assumed by ISRON)</w:t>
      </w:r>
    </w:p>
    <w:p>
      <w:pPr>
        <w:spacing w:after="0" w:line="9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MagnaChip will transfer to ISRON all assets, debts, rights and liabilities calculated based on the balance sheets and related financial statements as of September 2005, including any changes up to the Merger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8 (Fiduciary Duty)</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Each of ISRON and MagnaChip has a fiduciary duty to operate the business using the care of a reasonable manager, and, other than in the ordinary course, may not change its business and assets without consent of the other party hereto, from the date of this agreement until the Merger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(Directors Who Will be Appointed at the Time of the Merger)</w:t>
      </w:r>
    </w:p>
    <w:p>
      <w:pPr>
        <w:spacing w:after="0" w:line="9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persons below will be appointed as Directors, effective as of the time of the Merger, with the term of such appointment to expire with the terms of the current directors.</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Lee Isao</w:t>
      </w:r>
    </w:p>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Kim Hak Sung</w:t>
      </w:r>
    </w:p>
    <w:p>
      <w:pPr>
        <w:sectPr>
          <w:pgSz w:w="11900" w:h="16838" w:orient="portrait"/>
          <w:cols w:equalWidth="0" w:num="1">
            <w:col w:w="11340"/>
          </w:cols>
          <w:pgMar w:left="240" w:top="274"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10 (Amendment and Termination of the Merger Agreement)</w:t>
      </w:r>
    </w:p>
    <w:p>
      <w:pPr>
        <w:spacing w:after="0" w:line="90"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Upon the mutual agreement of the parties hereto, this Merger Agreement may be amended after due consultation or terminated if assets or managing condition of either ISRON or MagnaChip changes fundamentally by force majeure, such as an act of god.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11 (Expiration of the Merger Agreement)</w:t>
      </w:r>
    </w:p>
    <w:p>
      <w:pPr>
        <w:spacing w:after="0" w:line="9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the event that either ISRON or MagnaChip cannot obtain a necessary shareholder(s) or governmental approval to effect the Merger, this Agreement shall expire.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12 (Subject of Discussion)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Items which are necessary for the Merger which are not provided for herein will be decided by due consideration of ISRON and MagnaChip.</w:t>
      </w:r>
    </w:p>
    <w:p>
      <w:pPr>
        <w:spacing w:after="0" w:line="17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ISRON and MagnaChip hereby evidence the execution of this Merger Agreement by affixing their respective corporate seals to two (2) originals of the Merger Agreement, with each party to keep one (1) original.</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21, 2005</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ISRON CORPORATION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Shin-Osaka MT Building Number 2, 3-5-36, Miyahara, Yodogawa-ku, Osakashi</w:t>
      </w:r>
    </w:p>
    <w:p>
      <w:pPr>
        <w:sectPr>
          <w:pgSz w:w="11900" w:h="16838" w:orient="portrait"/>
          <w:cols w:equalWidth="0" w:num="1">
            <w:col w:w="11400"/>
          </w:cols>
          <w:pgMar w:left="240" w:top="274" w:right="259" w:bottom="1440" w:gutter="0" w:footer="0" w:header="0"/>
        </w:sectPr>
      </w:pPr>
    </w:p>
    <w:p>
      <w:pPr>
        <w:spacing w:after="0" w:line="1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(Joint) Representative Director</w:t>
      </w:r>
    </w:p>
    <w:p>
      <w:pPr>
        <w:spacing w:after="0" w:line="4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Imamura Yoshio</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(Sealed)</w:t>
      </w:r>
    </w:p>
    <w:p>
      <w:pPr>
        <w:spacing w:after="0" w:line="140" w:lineRule="exact"/>
        <w:rPr>
          <w:sz w:val="20"/>
          <w:szCs w:val="20"/>
          <w:color w:val="auto"/>
        </w:rPr>
      </w:pPr>
    </w:p>
    <w:p>
      <w:pPr>
        <w:sectPr>
          <w:pgSz w:w="11900" w:h="16838" w:orient="portrait"/>
          <w:cols w:equalWidth="0" w:num="2">
            <w:col w:w="2720" w:space="720"/>
            <w:col w:w="7960"/>
          </w:cols>
          <w:pgMar w:left="240" w:top="274"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(Joint) Representative Director</w:t>
      </w:r>
    </w:p>
    <w:p>
      <w:pPr>
        <w:spacing w:after="0" w:line="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Robert Krakauer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(Sealed)</w:t>
      </w:r>
    </w:p>
    <w:p>
      <w:pPr>
        <w:spacing w:after="0" w:line="140" w:lineRule="exact"/>
        <w:rPr>
          <w:sz w:val="20"/>
          <w:szCs w:val="20"/>
          <w:color w:val="auto"/>
        </w:rPr>
      </w:pPr>
    </w:p>
    <w:p>
      <w:pPr>
        <w:sectPr>
          <w:pgSz w:w="11900" w:h="16838" w:orient="portrait"/>
          <w:cols w:equalWidth="0" w:num="2">
            <w:col w:w="2720" w:space="720"/>
            <w:col w:w="7960"/>
          </w:cols>
          <w:pgMar w:left="240" w:top="274"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MagnaChip Semiconductor Inc.</w:t>
      </w:r>
    </w:p>
    <w:p>
      <w:pPr>
        <w:sectPr>
          <w:pgSz w:w="11900" w:h="16838" w:orient="portrait"/>
          <w:cols w:equalWidth="0" w:num="1">
            <w:col w:w="11400"/>
          </w:cols>
          <w:pgMar w:left="240" w:top="274" w:right="259" w:bottom="1440" w:gutter="0" w:footer="0" w:header="0"/>
          <w:type w:val="continuous"/>
        </w:sectPr>
      </w:pP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Teikoku Hotel Tower 15F, 1-1-1, Uchisaiwai-cho, Chiyoda-ku, Tokyo</w:t>
      </w:r>
    </w:p>
    <w:p>
      <w:pPr>
        <w:sectPr>
          <w:pgSz w:w="11900" w:h="16838" w:orient="portrait"/>
          <w:cols w:equalWidth="0" w:num="1">
            <w:col w:w="11400"/>
          </w:cols>
          <w:pgMar w:left="240" w:top="274" w:right="259" w:bottom="1440" w:gutter="0" w:footer="0" w:header="0"/>
          <w:type w:val="continuous"/>
        </w:sectPr>
      </w:pP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Representative Director</w:t>
      </w:r>
    </w:p>
    <w:p>
      <w:pPr>
        <w:spacing w:after="0" w:line="4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Lee Isao</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(Sealed)</w:t>
      </w:r>
    </w:p>
    <w:p>
      <w:pPr>
        <w:sectPr>
          <w:pgSz w:w="11900" w:h="16838" w:orient="portrait"/>
          <w:cols w:equalWidth="0" w:num="2">
            <w:col w:w="2760" w:space="720"/>
            <w:col w:w="7920"/>
          </w:cols>
          <w:pgMar w:left="240" w:top="274" w:right="259" w:bottom="1440" w:gutter="0" w:footer="0" w:header="0"/>
          <w:type w:val="continuous"/>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Agreement</w:t>
      </w:r>
    </w:p>
    <w:p>
      <w:pPr>
        <w:spacing w:after="0" w:line="17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ISRON CORPORATION (“ISRON”) located in Shin-Osaka MT Building Number 2, 3-5-36, Miyahara, Yodogawa-ku, Osaka-shi and MagnaChip Semiconductor Inc (“MagnaChip”) located Teikoku Hotel Tower 15F, 1-1-1, Uchisaiwai-cho, Chiyoda-ku Tokyo hereby enter into this Amendment Agreement to amend the Merger Agreement dated December 21, 2005 as follows: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the amendment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 (Merger Date)</w:t>
      </w:r>
    </w:p>
    <w:p>
      <w:pPr>
        <w:spacing w:after="0" w:line="9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Merger date will be February 4, 2006 (the “Merger Date”). However, if necessary, the Merger Date may be changed by mutual consent of ISRON and MagnaChip.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 the amendment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5 (Merger Date)</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The Merger date will be February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2006 (the “Merger Date”). However, if necessary, the Merger Date may be changed by mutual consent of ISRON and MagnaChip.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2006</w:t>
      </w:r>
    </w:p>
    <w:p>
      <w:pPr>
        <w:spacing w:after="0" w:line="21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ISRON CORPORATION</w:t>
      </w:r>
    </w:p>
    <w:p>
      <w:pPr>
        <w:spacing w:after="0" w:line="1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Shin-Osaka MT Building Number 2, 3-5-36, Miyahara, Yodogawa-ku, Osaka-shi</w:t>
      </w:r>
    </w:p>
    <w:p>
      <w:pPr>
        <w:sectPr>
          <w:pgSz w:w="11900" w:h="16838" w:orient="portrait"/>
          <w:cols w:equalWidth="0" w:num="1">
            <w:col w:w="11440"/>
          </w:cols>
          <w:pgMar w:left="240" w:top="272" w:right="219" w:bottom="1440" w:gutter="0" w:footer="0" w:header="0"/>
        </w:sectPr>
      </w:pPr>
    </w:p>
    <w:p>
      <w:pPr>
        <w:spacing w:after="0" w:line="140"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color w:val="auto"/>
        </w:rPr>
        <w:t>(Joint) Representative Director</w:t>
      </w:r>
    </w:p>
    <w:p>
      <w:pPr>
        <w:spacing w:after="0" w:line="44"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Imamura Yoshio</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(Sealed)</w:t>
      </w:r>
    </w:p>
    <w:p>
      <w:pPr>
        <w:spacing w:after="0" w:line="140" w:lineRule="exact"/>
        <w:rPr>
          <w:sz w:val="20"/>
          <w:szCs w:val="20"/>
          <w:color w:val="auto"/>
        </w:rPr>
      </w:pPr>
    </w:p>
    <w:p>
      <w:pPr>
        <w:sectPr>
          <w:pgSz w:w="11900" w:h="16838" w:orient="portrait"/>
          <w:cols w:equalWidth="0" w:num="2">
            <w:col w:w="8940" w:space="720"/>
            <w:col w:w="1780"/>
          </w:cols>
          <w:pgMar w:left="240" w:top="272" w:right="219" w:bottom="1440" w:gutter="0" w:footer="0" w:header="0"/>
          <w:type w:val="continuous"/>
        </w:sectPr>
      </w:pPr>
    </w:p>
    <w:p>
      <w:pPr>
        <w:ind w:left="6280"/>
        <w:spacing w:after="0"/>
        <w:rPr>
          <w:sz w:val="20"/>
          <w:szCs w:val="20"/>
          <w:color w:val="auto"/>
        </w:rPr>
      </w:pPr>
      <w:r>
        <w:rPr>
          <w:rFonts w:ascii="Times New Roman" w:cs="Times New Roman" w:eastAsia="Times New Roman" w:hAnsi="Times New Roman"/>
          <w:sz w:val="16"/>
          <w:szCs w:val="16"/>
          <w:color w:val="auto"/>
        </w:rPr>
        <w:t>(Joint) Representative Director</w:t>
      </w:r>
    </w:p>
    <w:p>
      <w:pPr>
        <w:spacing w:after="0" w:line="4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Robert Krakauer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(Sealed)</w:t>
      </w:r>
    </w:p>
    <w:p>
      <w:pPr>
        <w:spacing w:after="0" w:line="140" w:lineRule="exact"/>
        <w:rPr>
          <w:sz w:val="20"/>
          <w:szCs w:val="20"/>
          <w:color w:val="auto"/>
        </w:rPr>
      </w:pPr>
    </w:p>
    <w:p>
      <w:pPr>
        <w:sectPr>
          <w:pgSz w:w="11900" w:h="16838" w:orient="portrait"/>
          <w:cols w:equalWidth="0" w:num="2">
            <w:col w:w="8940" w:space="720"/>
            <w:col w:w="1780"/>
          </w:cols>
          <w:pgMar w:left="240" w:top="272" w:right="21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6"/>
          <w:szCs w:val="16"/>
          <w:color w:val="auto"/>
        </w:rPr>
        <w:t>MAGNACHIP SEMICONDUCTOR INC.</w:t>
      </w:r>
    </w:p>
    <w:p>
      <w:pPr>
        <w:sectPr>
          <w:pgSz w:w="11900" w:h="16838" w:orient="portrait"/>
          <w:cols w:equalWidth="0" w:num="1">
            <w:col w:w="11440"/>
          </w:cols>
          <w:pgMar w:left="240" w:top="272" w:right="219" w:bottom="1440" w:gutter="0" w:footer="0" w:header="0"/>
          <w:type w:val="continuous"/>
        </w:sectPr>
      </w:pPr>
    </w:p>
    <w:p>
      <w:pPr>
        <w:spacing w:after="0" w:line="14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Teikoku Hotel Tower 15F, 1-1-1, Uchisaiwai-cho, Chiyoda-ku, Tokyo</w:t>
      </w:r>
    </w:p>
    <w:p>
      <w:pPr>
        <w:sectPr>
          <w:pgSz w:w="11900" w:h="16838" w:orient="portrait"/>
          <w:cols w:equalWidth="0" w:num="1">
            <w:col w:w="11440"/>
          </w:cols>
          <w:pgMar w:left="240" w:top="272" w:right="219" w:bottom="1440" w:gutter="0" w:footer="0" w:header="0"/>
          <w:type w:val="continuous"/>
        </w:sectPr>
      </w:pPr>
    </w:p>
    <w:p>
      <w:pPr>
        <w:spacing w:after="0" w:line="140"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6"/>
          <w:szCs w:val="16"/>
          <w:color w:val="auto"/>
        </w:rPr>
        <w:t>Representative Director</w:t>
      </w:r>
    </w:p>
    <w:p>
      <w:pPr>
        <w:spacing w:after="0" w:line="4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Lee Isao</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(Sealed)</w:t>
      </w:r>
    </w:p>
    <w:p>
      <w:pPr>
        <w:sectPr>
          <w:pgSz w:w="11900" w:h="16838" w:orient="portrait"/>
          <w:cols w:equalWidth="0" w:num="2">
            <w:col w:w="8940" w:space="720"/>
            <w:col w:w="1780"/>
          </w:cols>
          <w:pgMar w:left="240" w:top="272" w:right="219" w:bottom="1440" w:gutter="0" w:footer="0" w:header="0"/>
          <w:type w:val="continuous"/>
        </w:sectPr>
      </w:pPr>
    </w:p>
    <w:bookmarkStart w:id="101" w:name="page102"/>
    <w:bookmarkEnd w:id="101"/>
    <w:p>
      <w:pPr>
        <w:ind w:left="3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7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ARTICLES OF INCORPORARION</w:t>
      </w:r>
    </w:p>
    <w:p>
      <w:pPr>
        <w:spacing w:after="0" w:line="17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MagnaChip Semiconductor Inc.</w:t>
      </w:r>
    </w:p>
    <w:p>
      <w:pPr>
        <w:spacing w:after="0" w:line="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(Formerly Known as ISRON CORPORATION)</w:t>
      </w:r>
    </w:p>
    <w:p>
      <w:pPr>
        <w:spacing w:after="0" w:line="18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Original: June 28, 2000</w:t>
      </w:r>
    </w:p>
    <w:p>
      <w:pPr>
        <w:spacing w:after="0" w:line="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Amended: February 28, 2002</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Amended: February 28, 2003</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Amended: August 31, 2004</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Amended: June 15, 2005</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Amended: February 27, 2006</w:t>
      </w:r>
    </w:p>
    <w:p>
      <w:pPr>
        <w:sectPr>
          <w:pgSz w:w="11900" w:h="16838" w:orient="portrait"/>
          <w:cols w:equalWidth="0" w:num="1">
            <w:col w:w="9019"/>
          </w:cols>
          <w:pgMar w:left="1440" w:top="274" w:right="1440" w:bottom="1440" w:gutter="0" w:footer="0" w:header="0"/>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MagnaChip Semiconductor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(Formerly known as ISRON CORPORATION)</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CHAPTER I. GENERAL PROVISIONS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Corporate Name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The name of the Company shall be MagnaChip Semiconductor </w:t>
      </w:r>
      <w:r>
        <w:rPr>
          <w:rFonts w:ascii="Times New Roman" w:cs="Times New Roman" w:eastAsia="Times New Roman" w:hAnsi="Times New Roman"/>
          <w:sz w:val="16"/>
          <w:szCs w:val="16"/>
          <w:i w:val="1"/>
          <w:iCs w:val="1"/>
          <w:color w:val="auto"/>
        </w:rPr>
        <w:t>Kabushiki Kaisha</w:t>
      </w:r>
      <w:r>
        <w:rPr>
          <w:rFonts w:ascii="Times New Roman" w:cs="Times New Roman" w:eastAsia="Times New Roman" w:hAnsi="Times New Roman"/>
          <w:sz w:val="16"/>
          <w:szCs w:val="16"/>
          <w:color w:val="auto"/>
        </w:rPr>
        <w:t>. In the English language it shall be known as MagnaChip Semiconductor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Location of Head Office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shall have its head office in Osaka-city.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Purposes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purposes of the Company shall be as follows:</w:t>
      </w:r>
    </w:p>
    <w:p>
      <w:pPr>
        <w:spacing w:after="0" w:line="90" w:lineRule="exact"/>
        <w:rPr>
          <w:sz w:val="20"/>
          <w:szCs w:val="20"/>
          <w:color w:val="auto"/>
        </w:rPr>
      </w:pPr>
    </w:p>
    <w:p>
      <w:pPr>
        <w:ind w:left="640" w:hanging="17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design, sales, marketing, import and export of semiconductors, integrated circuits and related manufactured goods;</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business and technical assistance of development and design of Semiconductors, integrated circuits and related manufactured goods;</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design and sales of electronic circuits;</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design and sales of software and</w:t>
      </w:r>
    </w:p>
    <w:p>
      <w:pPr>
        <w:spacing w:after="0" w:line="9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incidental to and necessary to perform any of the foregoing items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Method of Public Notice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Public Notices of the Company shall be published in the Official Gazette.</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CHAPTER II.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Numbers of Shares to be Issued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number of shares authorized to be issued by the Company shall be ninety four thousand (94,000) shares.</w:t>
      </w:r>
    </w:p>
    <w:p>
      <w:pPr>
        <w:sectPr>
          <w:pgSz w:w="11900" w:h="16838" w:orient="portrait"/>
          <w:cols w:equalWidth="0" w:num="1">
            <w:col w:w="11360"/>
          </w:cols>
          <w:pgMar w:left="240" w:top="274"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 Fraction Less Than One Share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fraction less than one share of the Company shall not be registered in the fractional share register as a fraction share.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Types of Share Certificates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Share certificates issued by the Company shall be in one of the following eight denominations: one (1) share, ten (10) shares, one hundred (100) shares, one thousand (1,000) shares, ten thousand (10,000) shares, one hundred thousand (100,000) shares, one million (1,000,000) shares or ten million (10,000,000) shares. However, if necessary, certificates may be issued in other denominations as approved by a resolution of the Board of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Record Date</w:t>
      </w:r>
    </w:p>
    <w:p>
      <w:pPr>
        <w:spacing w:after="0" w:line="92" w:lineRule="exact"/>
        <w:rPr>
          <w:sz w:val="20"/>
          <w:szCs w:val="20"/>
          <w:color w:val="auto"/>
        </w:rPr>
      </w:pPr>
    </w:p>
    <w:p>
      <w:pPr>
        <w:ind w:left="900" w:right="28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who are permitted to exercise their rights at an ordinary general meeting of shareholders concerning each fiscal year shall be those shareholders registered on the Register of Shareholders as of the end of the same fiscal year.</w:t>
      </w:r>
    </w:p>
    <w:p>
      <w:pPr>
        <w:spacing w:after="0" w:line="38"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preceding paragraph, whenever necessary, the Company may, by giving prior public notice, temporarily fix a record date, by the resolution of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Share Handling Regulations</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procedures for registration of transfer of shares and any other proceedings concerning share handling and related fees shall be governed by Share Handling Regulations adopted by resolution of the Board of Directors.</w:t>
      </w:r>
    </w:p>
    <w:p>
      <w:pPr>
        <w:spacing w:after="0" w:line="280" w:lineRule="exact"/>
        <w:rPr>
          <w:sz w:val="20"/>
          <w:szCs w:val="20"/>
          <w:color w:val="auto"/>
        </w:rPr>
      </w:pPr>
    </w:p>
    <w:p>
      <w:pPr>
        <w:ind w:right="3340" w:firstLine="3331"/>
        <w:spacing w:after="0" w:line="392" w:lineRule="auto"/>
        <w:rPr>
          <w:sz w:val="20"/>
          <w:szCs w:val="20"/>
          <w:color w:val="auto"/>
        </w:rPr>
      </w:pPr>
      <w:r>
        <w:rPr>
          <w:rFonts w:ascii="Times New Roman" w:cs="Times New Roman" w:eastAsia="Times New Roman" w:hAnsi="Times New Roman"/>
          <w:sz w:val="18"/>
          <w:szCs w:val="18"/>
          <w:b w:val="1"/>
          <w:bCs w:val="1"/>
          <w:color w:val="auto"/>
        </w:rPr>
        <w:t>CHAPTER III. GENERAL MEETING OF SHAREHOLDERS Article 10. Holding of General Meeting of Shareholders</w:t>
      </w:r>
    </w:p>
    <w:p>
      <w:pPr>
        <w:spacing w:after="0" w:line="1"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general meeting of Shareholders shall be held in February of each year.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preceding paragraph, an extraordinary general meeting of Shareholders shall be held whenever necessary.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Chairman of General Meetings</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President shall act as a chairman at a general meeting of shareholders. When the President is unable to act as a chairman, one of the other directors, in accordance with the order previously determined by a resolution of the Board of Directors, shall act as the chairman.</w:t>
      </w:r>
    </w:p>
    <w:p>
      <w:pPr>
        <w:sectPr>
          <w:pgSz w:w="11900" w:h="16838" w:orient="portrait"/>
          <w:cols w:equalWidth="0" w:num="1">
            <w:col w:w="11420"/>
          </w:cols>
          <w:pgMar w:left="240" w:top="272"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 Requirements for Ordinary Resolution</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Except as otherwise provided for by applicable laws or ordinances or this Articles, resolutions of the general meeting of shareholders shall be adopted by a majority of votes of shareholders present at the meeting.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Exercise of Voting Rights by a Proxy</w:t>
      </w:r>
    </w:p>
    <w:p>
      <w:pPr>
        <w:spacing w:after="0" w:line="92"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may exercise his vote by proxy given to another shareholder, who has the right to vote.</w:t>
      </w:r>
    </w:p>
    <w:p>
      <w:pPr>
        <w:spacing w:after="0" w:line="90" w:lineRule="exact"/>
        <w:rPr>
          <w:rFonts w:ascii="Times New Roman" w:cs="Times New Roman" w:eastAsia="Times New Roman" w:hAnsi="Times New Roman"/>
          <w:sz w:val="18"/>
          <w:szCs w:val="18"/>
          <w:color w:val="auto"/>
        </w:rPr>
      </w:pPr>
    </w:p>
    <w:p>
      <w:pPr>
        <w:ind w:left="900" w:right="460" w:hanging="446"/>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of the preceding paragraph shall submit to the Company a document evidencing power of representation at each general meeting of shareholders.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CHAPTER IV. DIRECTORS AND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Number of Directors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shall be no less than three (3) directors of the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Election of Directors</w:t>
      </w:r>
    </w:p>
    <w:p>
      <w:pPr>
        <w:spacing w:after="0" w:line="92" w:lineRule="exact"/>
        <w:rPr>
          <w:sz w:val="20"/>
          <w:szCs w:val="20"/>
          <w:color w:val="auto"/>
        </w:rPr>
      </w:pPr>
    </w:p>
    <w:p>
      <w:pPr>
        <w:ind w:left="900" w:right="140" w:hanging="446"/>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election of directors, shareholders representing not less than one third (1/3) of the number of voting rights of all shareholders shall attend the meeting, and the resolutions of the general meeting of shareholders shall be adopted by a majority of votes of shareholders present at the meeting.</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shall not be based on cumulative voting.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Term of Office of Directors</w:t>
      </w:r>
    </w:p>
    <w:p>
      <w:pPr>
        <w:spacing w:after="0" w:line="92" w:lineRule="exact"/>
        <w:rPr>
          <w:sz w:val="20"/>
          <w:szCs w:val="20"/>
          <w:color w:val="auto"/>
        </w:rPr>
      </w:pPr>
    </w:p>
    <w:p>
      <w:pPr>
        <w:ind w:left="90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of directors shall expire upon the conclusion of the ordinary general meeting of shareholders for the last fiscal year ending within two (2) years after their assumption of office.</w:t>
      </w:r>
    </w:p>
    <w:p>
      <w:pPr>
        <w:spacing w:after="0" w:line="38" w:lineRule="exact"/>
        <w:rPr>
          <w:rFonts w:ascii="Times New Roman" w:cs="Times New Roman" w:eastAsia="Times New Roman" w:hAnsi="Times New Roman"/>
          <w:sz w:val="18"/>
          <w:szCs w:val="18"/>
          <w:color w:val="auto"/>
        </w:rPr>
      </w:pPr>
    </w:p>
    <w:p>
      <w:pPr>
        <w:ind w:left="900" w:right="34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office of a director elected as a replacement director or due to increase of directors shall expire when the terms of office of the other directors expire.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Notice of the Meeting of the Board of Directors</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 notice of a meeting of the Board of Directors shall be dispatched to each director at least one (1) week prior to the date of such meeting, provided, however, that the period of notice may he shortened in the case of an emergency.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Directors with Managing Position and Representative Directors</w:t>
      </w:r>
    </w:p>
    <w:p>
      <w:pPr>
        <w:spacing w:after="0" w:line="92" w:lineRule="exact"/>
        <w:rPr>
          <w:sz w:val="20"/>
          <w:szCs w:val="20"/>
          <w:color w:val="auto"/>
        </w:rPr>
      </w:pPr>
    </w:p>
    <w:p>
      <w:pPr>
        <w:ind w:left="900" w:right="2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pursuant to a resolution, elect one Chairman and one President, one or more Vice Presidents, senior managing directors and managing directors, among the directors.</w:t>
      </w:r>
    </w:p>
    <w:p>
      <w:pPr>
        <w:sectPr>
          <w:pgSz w:w="11900" w:h="16838" w:orient="portrait"/>
          <w:cols w:equalWidth="0" w:num="1">
            <w:col w:w="11360"/>
          </w:cols>
          <w:pgMar w:left="240" w:top="272" w:right="299" w:bottom="1440" w:gutter="0" w:footer="0" w:header="0"/>
        </w:sectPr>
      </w:pPr>
    </w:p>
    <w:bookmarkStart w:id="105" w:name="page106"/>
    <w:bookmarkEnd w:id="105"/>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shall, pursuant to a resolution, elect one or more directors to represent the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Remuneration for Directors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Remuneration for directors shall be determined by the resolution of a general meeting of shareholders.</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CHAPTER V. AUDITORS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 Number of Auditors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shall have one (1) or more auditors.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 Election of Auditor</w:t>
      </w:r>
    </w:p>
    <w:p>
      <w:pPr>
        <w:spacing w:after="0" w:line="92" w:lineRule="exact"/>
        <w:rPr>
          <w:sz w:val="20"/>
          <w:szCs w:val="20"/>
          <w:color w:val="auto"/>
        </w:rPr>
      </w:pPr>
    </w:p>
    <w:p>
      <w:pPr>
        <w:ind w:right="200" w:firstLine="456"/>
        <w:spacing w:after="0" w:line="339" w:lineRule="auto"/>
        <w:rPr>
          <w:sz w:val="20"/>
          <w:szCs w:val="20"/>
          <w:color w:val="auto"/>
        </w:rPr>
      </w:pPr>
      <w:r>
        <w:rPr>
          <w:rFonts w:ascii="Times New Roman" w:cs="Times New Roman" w:eastAsia="Times New Roman" w:hAnsi="Times New Roman"/>
          <w:sz w:val="16"/>
          <w:szCs w:val="16"/>
          <w:color w:val="auto"/>
        </w:rPr>
        <w:t>In case of the election of auditor, shareholders representing not less than one third (1/3) of the number of voting rights of all shareholders shall attend the meeting, and the resolutions of the general meeting of shareholders shall be adopted by a majority of votes of shareholders present at the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22. Term of Office of Auditor</w:t>
      </w:r>
    </w:p>
    <w:p>
      <w:pPr>
        <w:spacing w:after="0" w:line="92" w:lineRule="exact"/>
        <w:rPr>
          <w:sz w:val="20"/>
          <w:szCs w:val="20"/>
          <w:color w:val="auto"/>
        </w:rPr>
      </w:pPr>
    </w:p>
    <w:p>
      <w:pPr>
        <w:ind w:left="90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office of an auditor shall expire upon the conclusion of the ordinary general meeting of shareholders for the last fiscal year ending within four (4) years after his assumption of office.</w:t>
      </w:r>
    </w:p>
    <w:p>
      <w:pPr>
        <w:spacing w:after="0" w:line="38" w:lineRule="exact"/>
        <w:rPr>
          <w:rFonts w:ascii="Times New Roman" w:cs="Times New Roman" w:eastAsia="Times New Roman" w:hAnsi="Times New Roman"/>
          <w:sz w:val="18"/>
          <w:szCs w:val="18"/>
          <w:color w:val="auto"/>
        </w:rPr>
      </w:pPr>
    </w:p>
    <w:p>
      <w:pPr>
        <w:ind w:left="900" w:right="46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office of an auditor elected as a replacement auditor shall expire when the terms of office of the auditor he is replacing would have expired.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 Remuneration for Auditor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Remuneration for auditor shall be determined by the resolution of a general meeting of shareholders.</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CHAPTER VI. ACCOUNTS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24. Fiscal Year Period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fiscal year period of the Company shall commerce on January 1 of each year and end on December 31.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25. Distribution of Dividends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Dividends on shares shall be paid to shareholders or registered pledgees appearing on the Register of Shareholders as of the end of each fiscal year.</w:t>
      </w:r>
    </w:p>
    <w:p>
      <w:pPr>
        <w:sectPr>
          <w:pgSz w:w="11900" w:h="16838" w:orient="portrait"/>
          <w:cols w:equalWidth="0" w:num="1">
            <w:col w:w="11400"/>
          </w:cols>
          <w:pgMar w:left="240" w:top="274" w:right="2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26. Forfeiture of Dividends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case the dividends have not been received within three (3) years from the day of commencement of payments, the Company shall be released from obligation of the payment.</w:t>
      </w:r>
    </w:p>
    <w:p>
      <w:pPr>
        <w:sectPr>
          <w:pgSz w:w="11900" w:h="16838" w:orient="portrait"/>
          <w:cols w:equalWidth="0" w:num="1">
            <w:col w:w="10960"/>
          </w:cols>
          <w:pgMar w:left="240" w:top="272" w:right="6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3.27(a)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 MEDIA HOLDING COMPANY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59" w:lineRule="exact"/>
        <w:rPr>
          <w:sz w:val="20"/>
          <w:szCs w:val="20"/>
          <w:color w:val="auto"/>
        </w:rPr>
      </w:pPr>
    </w:p>
    <w:p>
      <w:pPr>
        <w:jc w:val="center"/>
        <w:ind w:left="260" w:right="2760"/>
        <w:spacing w:after="0" w:line="277" w:lineRule="auto"/>
        <w:rPr>
          <w:sz w:val="20"/>
          <w:szCs w:val="20"/>
          <w:color w:val="auto"/>
        </w:rPr>
      </w:pPr>
      <w:r>
        <w:rPr>
          <w:rFonts w:ascii="Times New Roman" w:cs="Times New Roman" w:eastAsia="Times New Roman" w:hAnsi="Times New Roman"/>
          <w:sz w:val="18"/>
          <w:szCs w:val="18"/>
          <w:color w:val="auto"/>
        </w:rPr>
        <w:t>CERTIFIED TRUE COPY EXTRACT OF A RESOLUTION ADOPTED BY THE DIRECTORS PURSUANT TO THE ARTICLES OF ASSOCIATION OF THE COMPANY ON THE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DAY OF AUGUST, 2005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MEMORANDUM AND ARTICLES OF ASSOCIATION</w:t>
      </w:r>
    </w:p>
    <w:p>
      <w:pPr>
        <w:spacing w:after="0" w:line="90"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the provisions of the Company’s Memorandum of Association, the Company may amend its Memorandum of Association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RESOLVED:</w:t>
      </w:r>
    </w:p>
    <w:p>
      <w:pPr>
        <w:spacing w:after="0" w:line="92"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the Company be changed to MagnaChip Semiconductor Holding Company Limited.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Clause 1 of the Company’s Memorandum of Association be deleted in its entirety and replaced with the following:</w:t>
      </w:r>
    </w:p>
    <w:p>
      <w:pPr>
        <w:spacing w:after="0" w:line="25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MagnaChip Semiconductor Holding Company Limited”</w:t>
      </w:r>
    </w:p>
    <w:p>
      <w:pPr>
        <w:spacing w:after="0" w:line="9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copies of the foregoing resolutions be certified by Messrs. Harney Westwood &amp; Riegels and filed at the Registry of Companies, Road Town, Tortola.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295275</wp:posOffset>
            </wp:positionV>
            <wp:extent cx="3515995" cy="12261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1599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HARNEY WESTWOOD &amp; RIEGELS</w:t>
      </w:r>
    </w:p>
    <w:p>
      <w:pPr>
        <w:sectPr>
          <w:pgSz w:w="11900" w:h="16838" w:orient="portrait"/>
          <w:cols w:equalWidth="0" w:num="1">
            <w:col w:w="11420"/>
          </w:cols>
          <w:pgMar w:left="240" w:top="123"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3.29</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IC MEDIA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MAGNACHIP SEMICONDUCTOR,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57"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17, 2005 is by and between IC Media Corporation, a California corporation (hereinafter sometimes called “</w:t>
      </w:r>
      <w:r>
        <w:rPr>
          <w:rFonts w:ascii="Times New Roman" w:cs="Times New Roman" w:eastAsia="Times New Roman" w:hAnsi="Times New Roman"/>
          <w:sz w:val="18"/>
          <w:szCs w:val="18"/>
          <w:b w:val="1"/>
          <w:bCs w:val="1"/>
          <w:color w:val="auto"/>
        </w:rPr>
        <w:t>IC Media</w:t>
      </w:r>
      <w:r>
        <w:rPr>
          <w:rFonts w:ascii="Times New Roman" w:cs="Times New Roman" w:eastAsia="Times New Roman" w:hAnsi="Times New Roman"/>
          <w:sz w:val="18"/>
          <w:szCs w:val="18"/>
          <w:color w:val="auto"/>
        </w:rPr>
        <w:t>”), and MagnaChip Semiconductor, Inc., a Delaware corporation (hereinafter sometimes called “</w:t>
      </w:r>
      <w:r>
        <w:rPr>
          <w:rFonts w:ascii="Times New Roman" w:cs="Times New Roman" w:eastAsia="Times New Roman" w:hAnsi="Times New Roman"/>
          <w:sz w:val="18"/>
          <w:szCs w:val="18"/>
          <w:b w:val="1"/>
          <w:bCs w:val="1"/>
          <w:color w:val="auto"/>
        </w:rPr>
        <w:t>MagnaChip</w:t>
      </w:r>
      <w:r>
        <w:rPr>
          <w:rFonts w:ascii="Times New Roman" w:cs="Times New Roman" w:eastAsia="Times New Roman" w:hAnsi="Times New Roman"/>
          <w:sz w:val="18"/>
          <w:szCs w:val="18"/>
          <w:color w:val="auto"/>
        </w:rPr>
        <w:t>”). IC Media and MagnaChip are sometimes hereinafter referred to as the “</w:t>
      </w:r>
      <w:r>
        <w:rPr>
          <w:rFonts w:ascii="Times New Roman" w:cs="Times New Roman" w:eastAsia="Times New Roman" w:hAnsi="Times New Roman"/>
          <w:sz w:val="18"/>
          <w:szCs w:val="18"/>
          <w:b w:val="1"/>
          <w:bCs w:val="1"/>
          <w:color w:val="auto"/>
        </w:rPr>
        <w:t>Constituent Corporations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71"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A. IC Media and MagnaChip have entered into this Agreement in accordance with Section 1108 of the General Corporation Law of the State of California (“</w:t>
      </w:r>
      <w:r>
        <w:rPr>
          <w:rFonts w:ascii="Times New Roman" w:cs="Times New Roman" w:eastAsia="Times New Roman" w:hAnsi="Times New Roman"/>
          <w:sz w:val="16"/>
          <w:szCs w:val="16"/>
          <w:b w:val="1"/>
          <w:bCs w:val="1"/>
          <w:color w:val="auto"/>
        </w:rPr>
        <w:t>California Law</w:t>
      </w:r>
      <w:r>
        <w:rPr>
          <w:rFonts w:ascii="Times New Roman" w:cs="Times New Roman" w:eastAsia="Times New Roman" w:hAnsi="Times New Roman"/>
          <w:sz w:val="16"/>
          <w:szCs w:val="16"/>
          <w:color w:val="auto"/>
        </w:rPr>
        <w:t>”) and Section 252 of the General Corporation Law of the State of Delaware (“</w:t>
      </w:r>
      <w:r>
        <w:rPr>
          <w:rFonts w:ascii="Times New Roman" w:cs="Times New Roman" w:eastAsia="Times New Roman" w:hAnsi="Times New Roman"/>
          <w:sz w:val="16"/>
          <w:szCs w:val="16"/>
          <w:b w:val="1"/>
          <w:bCs w:val="1"/>
          <w:color w:val="auto"/>
        </w:rPr>
        <w:t>Delaware Law</w:t>
      </w:r>
      <w:r>
        <w:rPr>
          <w:rFonts w:ascii="Times New Roman" w:cs="Times New Roman" w:eastAsia="Times New Roman" w:hAnsi="Times New Roman"/>
          <w:sz w:val="16"/>
          <w:szCs w:val="16"/>
          <w:color w:val="auto"/>
        </w:rPr>
        <w:t>”) providing for the merger of MagnaChip with and into IC Media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which Agreement has been approved, adopted, certified, executed and acknowledged by each of the Constituent Corporations.</w:t>
      </w:r>
    </w:p>
    <w:p>
      <w:pPr>
        <w:spacing w:after="0" w:line="97"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B. The boards of directors of the Constituent Corporations deem it desirable and in the best interests of the corporations and their shareholders that MagnaChip be merged into IC Media, and that the transaction qualify as a “reorganization” within the meaning of Sections 368(a) of the Internal Revenue Code of 1986, as amended.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California Law permits the merger of a business corporation of another jurisdiction with and into a business corporation of the State of California.</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Delaware Law permits a merger of a business corporation of the State of Delaware with and into a business corporation of another jurisdiction.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 The Agreement has been approved and adopted by the requisite percentages of the outstanding voting stock of MagnaChip and IC Media.</w:t>
      </w:r>
    </w:p>
    <w:p>
      <w:pPr>
        <w:spacing w:after="0" w:line="17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NOW, THEREFORE, in consideration of the premises and of the mutual agreement of the parties hereto, being thereunto duly entered into by IC Media and approved by resolutions adopted by written consent by its Board of Directors and by its sole shareholder and being thereunto duly entered into by MagnaChip and approved by resolutions adopted by written consent by its Board of Directors and by its sole shareholder, the Merger and the terms and conditions thereof and the mode of carrying the same into effect, together with any provisions required or permitted to be set forth herein are hereby determined and agreed upon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CONSTITUENT CORPORATIONS</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IC Media</w:t>
      </w:r>
      <w:r>
        <w:rPr>
          <w:rFonts w:ascii="Times New Roman" w:cs="Times New Roman" w:eastAsia="Times New Roman" w:hAnsi="Times New Roman"/>
          <w:sz w:val="18"/>
          <w:szCs w:val="18"/>
          <w:color w:val="auto"/>
        </w:rPr>
        <w:t>. IC Media is a corporation duly organized and existing under the laws of the State of California, with its principal office located at 5201 Great America Pkwy, Suite 422, Santa Clara, California 95054. IC Media has 100 shares of Common Stock, no par value, issued and outstanding, all of which are owned by MagnaChip Semiconductor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3" w:right="239" w:bottom="1440" w:gutter="0" w:footer="0" w:header="0"/>
        </w:sectPr>
      </w:pPr>
    </w:p>
    <w:bookmarkStart w:id="109" w:name="page110"/>
    <w:bookmarkEnd w:id="109"/>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MagnaChip</w:t>
      </w:r>
      <w:r>
        <w:rPr>
          <w:rFonts w:ascii="Times New Roman" w:cs="Times New Roman" w:eastAsia="Times New Roman" w:hAnsi="Times New Roman"/>
          <w:sz w:val="18"/>
          <w:szCs w:val="18"/>
          <w:color w:val="auto"/>
        </w:rPr>
        <w:t>. MagnaChip is a corporation duly organized and existing under the laws of the State of Delaware, with its principal office located at 5201 Great America Pkwy, Suite 422, Santa Clara, California 95054. MagnaChip has 1,000 shares of Common Stock, par value $0.01, issued and outstanding, all of which are owned by Parent.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7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At the Effective Time (as defined in Section 2.2 hereof) and subject to and upon the terms and conditions of this Agreement and the applicable provisions of the California Law, MagnaChip shall be merged with and into IC Media, the separate corporate existence of MagnaChip shall cease and IC Media shall continue as the surviving corporation as a wholly-owned subsidiary of Parent. The surviving corporation after the Merger is sometimes referred to hereinafter as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Filing and Effectiveness</w:t>
      </w:r>
      <w:r>
        <w:rPr>
          <w:rFonts w:ascii="Times New Roman" w:cs="Times New Roman" w:eastAsia="Times New Roman" w:hAnsi="Times New Roman"/>
          <w:sz w:val="16"/>
          <w:szCs w:val="16"/>
          <w:color w:val="auto"/>
        </w:rPr>
        <w:t>. This Agreement, together with the officers’ certificates of each of the Constituent Corporations required by California Law (collectively, the “</w:t>
      </w:r>
      <w:r>
        <w:rPr>
          <w:rFonts w:ascii="Times New Roman" w:cs="Times New Roman" w:eastAsia="Times New Roman" w:hAnsi="Times New Roman"/>
          <w:sz w:val="16"/>
          <w:szCs w:val="16"/>
          <w:b w:val="1"/>
          <w:bCs w:val="1"/>
          <w:color w:val="auto"/>
        </w:rPr>
        <w:t>Officers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Certificates</w:t>
      </w:r>
      <w:r>
        <w:rPr>
          <w:rFonts w:ascii="Times New Roman" w:cs="Times New Roman" w:eastAsia="Times New Roman" w:hAnsi="Times New Roman"/>
          <w:sz w:val="16"/>
          <w:szCs w:val="16"/>
          <w:color w:val="auto"/>
        </w:rPr>
        <w:t>”), shall be filed with the Secretary of State of the State of California and an executed certificate of merger meeting the requirements of Delaware Law shall be filed with the Secretary of State of the State of Delaware. The Merger shall become effective, in accordance with California Law, upon the filing of this Agreement and the Officers’ Certificates with the Secretary of State of the State of California (the “</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right="200" w:firstLine="456"/>
        <w:spacing w:after="0" w:line="310"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Effect of the Merger</w:t>
      </w:r>
      <w:r>
        <w:rPr>
          <w:rFonts w:ascii="Times New Roman" w:cs="Times New Roman" w:eastAsia="Times New Roman" w:hAnsi="Times New Roman"/>
          <w:sz w:val="16"/>
          <w:szCs w:val="16"/>
          <w:color w:val="auto"/>
        </w:rPr>
        <w:t>. At the Effective Time, the effect of the Merger shall be as provided in the applicable provisions of California Law. Without limiting the generality of the foregoing, and subject thereto, at the Effective Time, all the property, rights, privileges, powers and franchises of MagnaChip shall vest in the Surviving Corporation, and all debts, liabilities and duties of MagnaChip shall become the debts, liabilities and duties of the Surviving Corporation.</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Articles of Incorporation; Name Change as a Result of the Merger</w:t>
      </w:r>
      <w:r>
        <w:rPr>
          <w:rFonts w:ascii="Times New Roman" w:cs="Times New Roman" w:eastAsia="Times New Roman" w:hAnsi="Times New Roman"/>
          <w:sz w:val="18"/>
          <w:szCs w:val="18"/>
          <w:color w:val="auto"/>
        </w:rPr>
        <w:t xml:space="preserve">. Upon the filing of this Agreement, the articles of incorporation of the Surviving Corporation are hereby amended and restated as of the Effective Time to read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until thereafter amended in accordance with California Law and as provided in such articles of incorporation. As a result of such amendment to the articles of incorporation of the Surviving Corporation, the name of the Surviving Corporation shall be “MagnaChip Semiconductor, Inc.”</w:t>
      </w:r>
    </w:p>
    <w:p>
      <w:pPr>
        <w:spacing w:after="0" w:line="136"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Officers and Directors</w:t>
      </w:r>
      <w:r>
        <w:rPr>
          <w:rFonts w:ascii="Times New Roman" w:cs="Times New Roman" w:eastAsia="Times New Roman" w:hAnsi="Times New Roman"/>
          <w:sz w:val="18"/>
          <w:szCs w:val="18"/>
          <w:color w:val="auto"/>
        </w:rPr>
        <w:t>. The directors of MagnaChip immediately prior to the Effective Time shall be the directors of the Surviving Corporation immediately after the Effective Time, each to hold the office of a director of the Surviving Corporation in accordance with the provisions of California Law and the articles of incorporation and bylaws of the Surviving Corporation until their successors are duly elected and qualified. The officers of MagnaChip immediately prior to the Effective Time shall be the officers of the Surviving Corporation immediately after the Effective Time, except that the Secretary of the Surviving Corporation shall be John McFarland, each to hold such office in the Surviving Corporation in accordance with the provisions of California Law and the Articles of Incorporation and Bylaws of the Surviving Corporation until their successors are duly elected and qualified.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110" w:name="page111"/>
    <w:bookmarkEnd w:id="110"/>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Bylaws of IC Media, as in effect immediately prior to the Effective Time, shall be the Bylaws of the Surviving Corporation at the Effective Time until thereafter amended in accordance with California Law and as provided in such Bylaws.</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Effect of Merger on the Capital Stock of the Constituent Corporations</w:t>
      </w:r>
      <w:r>
        <w:rPr>
          <w:rFonts w:ascii="Times New Roman" w:cs="Times New Roman" w:eastAsia="Times New Roman" w:hAnsi="Times New Roman"/>
          <w:sz w:val="18"/>
          <w:szCs w:val="18"/>
          <w:color w:val="auto"/>
        </w:rPr>
        <w:t>. At the Effective Time, by virtue of the Merger and without any action on the part MagnaChip, IC Media or Parent,</w:t>
      </w:r>
    </w:p>
    <w:p>
      <w:pPr>
        <w:spacing w:after="0" w:line="39" w:lineRule="exact"/>
        <w:rPr>
          <w:sz w:val="20"/>
          <w:szCs w:val="20"/>
          <w:color w:val="auto"/>
        </w:rPr>
      </w:pPr>
    </w:p>
    <w:p>
      <w:pPr>
        <w:ind w:right="160" w:firstLine="921"/>
        <w:spacing w:after="0" w:line="262" w:lineRule="auto"/>
        <w:tabs>
          <w:tab w:leader="none" w:pos="11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MagnaChip issued and outstanding immediately prior to the Effective Time of the Merger shall be converted automatically into one share of Common Stock of the Surviving Corporation, which shall thereafter be an issued and outstanding share of Common Stock of the Surviving Corporation.</w:t>
      </w:r>
    </w:p>
    <w:p>
      <w:pPr>
        <w:spacing w:after="0" w:line="132" w:lineRule="exact"/>
        <w:rPr>
          <w:rFonts w:ascii="Times New Roman" w:cs="Times New Roman" w:eastAsia="Times New Roman" w:hAnsi="Times New Roman"/>
          <w:sz w:val="18"/>
          <w:szCs w:val="18"/>
          <w:color w:val="auto"/>
        </w:rPr>
      </w:pPr>
    </w:p>
    <w:p>
      <w:pPr>
        <w:ind w:right="480" w:firstLine="921"/>
        <w:spacing w:after="0" w:line="275" w:lineRule="auto"/>
        <w:tabs>
          <w:tab w:leader="none" w:pos="11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IC Media issued and outstanding immediately prior to the Effective Time of the Merger shall be cancelled without consideration and shall cease to exist.</w:t>
      </w:r>
    </w:p>
    <w:p>
      <w:pPr>
        <w:spacing w:after="0" w:line="119" w:lineRule="exact"/>
        <w:rPr>
          <w:rFonts w:ascii="Times New Roman" w:cs="Times New Roman" w:eastAsia="Times New Roman" w:hAnsi="Times New Roman"/>
          <w:sz w:val="18"/>
          <w:szCs w:val="18"/>
          <w:color w:val="auto"/>
        </w:rPr>
      </w:pPr>
    </w:p>
    <w:p>
      <w:pPr>
        <w:ind w:right="360" w:firstLine="921"/>
        <w:spacing w:after="0" w:line="339" w:lineRule="auto"/>
        <w:tabs>
          <w:tab w:leader="none" w:pos="115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certificates representing shares of MagnaChip’s Common Stock shall upon the consummation of Merger be deemed for all purposes to represent that number of shares of Common Stock of the Surviving Corporation receivable in exchange therefor as provided in this Section 2.7.</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73"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Termination and Amendment</w:t>
      </w:r>
      <w:r>
        <w:rPr>
          <w:rFonts w:ascii="Times New Roman" w:cs="Times New Roman" w:eastAsia="Times New Roman" w:hAnsi="Times New Roman"/>
          <w:sz w:val="18"/>
          <w:szCs w:val="18"/>
          <w:color w:val="auto"/>
        </w:rPr>
        <w:t>. Notwithstanding the approval of this Agreement by the shareholders of each of the Constituent Corporations, this Agreement may be terminated at any time prior to the Effective Time by mutual agreement of the Boards of Directors of the Constituent Corporations. This Agreement may be amended by the parties at any time before or after approval hereof by the shareholders of each of the Constituent Corporations, but, after any such approval, no amendment will be made which, under the applicable provisions of California Law and Delaware Law, requires the further approval of shareholders without obtaining such further approval. This Agreement shall not be amended except by an instrument in writing signed on behalf of each of the parties.</w:t>
      </w:r>
    </w:p>
    <w:p>
      <w:pPr>
        <w:spacing w:after="0" w:line="13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enforceable against the parties that execute such counterparts, and all of which together shall constitute one instrument.</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in all respects be construed, interpreted and enforces in accordance with and governed by the laws of the State of California and, so far as applicable, the merger provisions of Delaware Law.</w:t>
      </w:r>
    </w:p>
    <w:p>
      <w:pPr>
        <w:spacing w:after="0" w:line="120"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 executed copy of this Agreement is on file at the principal place of business of the Surviving Corporation located at 5201 Great America Pkwy, Suite 422, Santa Clara, California 95054.</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111" w:name="page112"/>
    <w:bookmarkEnd w:id="111"/>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IC Media and MagnaChip, as duly authorized by their respective boards of directors, have caused this Agreement to be approved, adopted, certified, executed and acknowledged as of the date first set forth above.</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IC MEDIA CORPORATION,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6350</wp:posOffset>
            </wp:positionV>
            <wp:extent cx="25730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Dr. Youm Huh</w:t>
      </w:r>
    </w:p>
    <w:p>
      <w:pPr>
        <w:spacing w:after="0" w:line="2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6350</wp:posOffset>
            </wp:positionV>
            <wp:extent cx="25730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McFarland</w:t>
      </w:r>
    </w:p>
    <w:p>
      <w:pPr>
        <w:spacing w:after="0" w:line="2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MAGNACHIP SEMICONDUCTOR, INC.,</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6350</wp:posOffset>
            </wp:positionV>
            <wp:extent cx="25730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Jason Hartlove</w:t>
      </w:r>
    </w:p>
    <w:p>
      <w:pPr>
        <w:spacing w:after="0" w:line="21"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and Secretary</w:t>
      </w:r>
    </w:p>
    <w:p>
      <w:pPr>
        <w:spacing w:after="0" w:line="15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ectPr>
          <w:pgSz w:w="11900" w:h="16838" w:orient="portrait"/>
          <w:cols w:equalWidth="0" w:num="1">
            <w:col w:w="10780"/>
          </w:cols>
          <w:pgMar w:left="240" w:top="274" w:right="879" w:bottom="1440" w:gutter="0" w:footer="0" w:header="0"/>
        </w:sectPr>
      </w:pPr>
    </w:p>
    <w:bookmarkStart w:id="112" w:name="page113"/>
    <w:bookmarkEnd w:id="112"/>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AMENDED AND RESTATED ARTICLES OF INCORPORATION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articles of incorporation of the Surviving Corporation are amended and restated to read as follows:</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this corporation is MagnaChip Semiconductor, Inc.</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California other than the banking business, the trust company business or the practice of a profession permitted to be incorporated by the California Corporations Code.</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73"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This corporation is authorized to issue one class of shares, designated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The total number of Common Shares this corporation is authorized to issue is 1,000 shares, with a par value of $0.001 per share.</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73"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Limitation of Directors’ Liability</w:t>
      </w:r>
      <w:r>
        <w:rPr>
          <w:rFonts w:ascii="Times New Roman" w:cs="Times New Roman" w:eastAsia="Times New Roman" w:hAnsi="Times New Roman"/>
          <w:sz w:val="18"/>
          <w:szCs w:val="18"/>
          <w:color w:val="auto"/>
        </w:rPr>
        <w:t>. The liability of the directors of this corporation for monetary damages shall be eliminated to the fullest extent permissible under California law.</w:t>
      </w:r>
    </w:p>
    <w:p>
      <w:pPr>
        <w:spacing w:after="0" w:line="120"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Indemnification of Corporate Agents</w:t>
      </w:r>
      <w:r>
        <w:rPr>
          <w:rFonts w:ascii="Times New Roman" w:cs="Times New Roman" w:eastAsia="Times New Roman" w:hAnsi="Times New Roman"/>
          <w:sz w:val="18"/>
          <w:szCs w:val="18"/>
          <w:color w:val="auto"/>
        </w:rPr>
        <w:t>. This corporation is authorized to provide indemnification of agents (as defined in Section 317 of the California Corporations Code) through bylaw provisions, agreements with agents, votes of shareholders or disinterested directors or otherwise, in excess of the indemnification otherwise permitted by Section 317 of the California Corporations Code, subject only to the applicable limits set forth in Section 204 of the California Corporations Code with respect to actions for breach of duty to this corporation and its shareholders.</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Repeal or Modification</w:t>
      </w:r>
      <w:r>
        <w:rPr>
          <w:rFonts w:ascii="Times New Roman" w:cs="Times New Roman" w:eastAsia="Times New Roman" w:hAnsi="Times New Roman"/>
          <w:sz w:val="18"/>
          <w:szCs w:val="18"/>
          <w:color w:val="auto"/>
        </w:rPr>
        <w:t>. Any repeal or modification of the foregoing provisions of this ARTICLE IV shall not adversely affect any right or protection of an agent of this corporation relating to acts or omissions occurring prior to such repeal or modification.”</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360"/>
          </w:cols>
          <w:pgMar w:left="240" w:top="274" w:right="2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 OF APPROVAL OF MERGER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Dr. Youm Huh, President of IC Media Corporation, and John McFarland, Secretary of IC Media Corporation, hereby certify that: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They are the President and Secretary, respectively, of IC Media Corporation, a California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principal terms of the Agreement and Plan of Merger in the form attached 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MagnaChip Semiconductor, Inc., a Delaware corporation, with and into the Company were duly approved by the Board of Directors and the sole shareholder of the Company.</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outstanding shares of the Company entitled to vote on the Merger consisted of 100 shares of Common Stock. Pursuant to the Company’s Amended and Restated Articles of Incorporation, and the California Corporations Code, the vote required is a majority of the outstanding shares of the Common Stock.</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principal terms of the Merger Agreement were approved by the consent of the Company’s sole shareholder, holding one hundred percent (100%) of the Company’s issued and outstanding shares, which vote exceeded the vote required.</w:t>
      </w:r>
    </w:p>
    <w:p>
      <w:pPr>
        <w:spacing w:after="0" w:line="12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Each of the undersigned further declares under penalty of perjury under the laws of the State of California that the matters set forth in this certificate are true and correct to his own knowledge.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2005</w:t>
            </w:r>
          </w:p>
        </w:tc>
        <w:tc>
          <w:tcPr>
            <w:tcW w:w="9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2005</w:t>
            </w:r>
          </w:p>
        </w:tc>
      </w:tr>
      <w:tr>
        <w:trPr>
          <w:trHeight w:val="421"/>
        </w:trPr>
        <w:tc>
          <w:tcPr>
            <w:tcW w:w="526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2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Dr. Youm Huh, President</w:t>
            </w:r>
          </w:p>
        </w:tc>
        <w:tc>
          <w:tcPr>
            <w:tcW w:w="9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John McFarland, Secretary</w:t>
            </w:r>
          </w:p>
        </w:tc>
      </w:tr>
    </w:tbl>
    <w:p>
      <w:pPr>
        <w:sectPr>
          <w:pgSz w:w="11900" w:h="16838" w:orient="portrait"/>
          <w:cols w:equalWidth="0" w:num="1">
            <w:col w:w="11420"/>
          </w:cols>
          <w:pgMar w:left="240" w:top="272" w:right="2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 OF APPROVAL OF MERGER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Jason Hartlove, President and Secretary of MagnaChip Semiconductor, Inc., does hereby certify that: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 is the President and Secretary of MagnaChip Semiconductor, Inc., a Delaware corporation (“</w:t>
      </w:r>
      <w:r>
        <w:rPr>
          <w:rFonts w:ascii="Times New Roman" w:cs="Times New Roman" w:eastAsia="Times New Roman" w:hAnsi="Times New Roman"/>
          <w:sz w:val="18"/>
          <w:szCs w:val="18"/>
          <w:u w:val="single" w:color="auto"/>
          <w:color w:val="auto"/>
        </w:rPr>
        <w:t>MagnaChip</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The principal terms of the Agreement and Plan of Merger in the form attached hereto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providing for the merger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of MagnaChip with and into IC Media Corporation, a California corporation, were duly approved by the Board of Directors and the sole stockholder of MagnaChip.</w:t>
      </w:r>
    </w:p>
    <w:p>
      <w:pPr>
        <w:spacing w:after="0" w:line="7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There were 1,000 shares of Common Stock of MagnaChip issued and outstanding, all of which were entitled to vote upon the Merger. A vote of more than 50% of the outstanding shares of Common Stock of MagnaChip was required to approve the Merger.</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principal terms of the Merger Agreement were approved by the consent of the MagnaChip’s sole shareholder, holding one hundred percent (100%) of the MagnaChip’s issued and outstanding shares, which vote exceeded the vote required.</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undersigned further declares under penalty of perjury under the laws of the State of California that the matters set forth in this certificate are true and correct of his own knowledge.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31127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Hartlove, President and Secretary</w:t>
      </w:r>
    </w:p>
    <w:p>
      <w:pPr>
        <w:sectPr>
          <w:pgSz w:w="11900" w:h="16838" w:orient="portrait"/>
          <w:cols w:equalWidth="0" w:num="1">
            <w:col w:w="11420"/>
          </w:cols>
          <w:pgMar w:left="240" w:top="272" w:right="2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CORRECTION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MAGNACHIP SEMICONDUCTOR, INC.</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Jason Hartlove and John McFarland hereby certify that:</w:t>
      </w:r>
    </w:p>
    <w:p>
      <w:pPr>
        <w:spacing w:after="0" w:line="90" w:lineRule="exact"/>
        <w:rPr>
          <w:sz w:val="20"/>
          <w:szCs w:val="20"/>
          <w:color w:val="auto"/>
        </w:rPr>
      </w:pPr>
    </w:p>
    <w:p>
      <w:pPr>
        <w:ind w:left="-60" w:right="80" w:firstLine="464"/>
        <w:spacing w:after="0" w:line="275" w:lineRule="auto"/>
        <w:tabs>
          <w:tab w:leader="none" w:pos="5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the President and Secretary, respectively, of MagnaChip Semiconductor, Inc., a California corporation, formerly named IC Media Corporation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0" w:right="120" w:firstLine="464"/>
        <w:spacing w:after="0" w:line="301" w:lineRule="auto"/>
        <w:tabs>
          <w:tab w:leader="none" w:pos="57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documents to be corrected are (i) the Agreement and Plan of Merger by and between the Surviving Corporation and MagnaChip Semiconductor, Inc., a Delaware corporation (“</w:t>
      </w:r>
      <w:r>
        <w:rPr>
          <w:rFonts w:ascii="Times New Roman" w:cs="Times New Roman" w:eastAsia="Times New Roman" w:hAnsi="Times New Roman"/>
          <w:sz w:val="16"/>
          <w:szCs w:val="16"/>
          <w:b w:val="1"/>
          <w:bCs w:val="1"/>
          <w:color w:val="auto"/>
        </w:rPr>
        <w:t>MSA</w:t>
      </w:r>
      <w:r>
        <w:rPr>
          <w:rFonts w:ascii="Times New Roman" w:cs="Times New Roman" w:eastAsia="Times New Roman" w:hAnsi="Times New Roman"/>
          <w:sz w:val="16"/>
          <w:szCs w:val="16"/>
          <w:color w:val="auto"/>
        </w:rPr>
        <w:t>”), whereby MSA merged with and into the Surviving Corporation and the Surviving Corporation changed its name to “MagnaChip Semiconductor, Inc.”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and (ii) the Officers’ Certificate of Approval of Merger of MSA which accompanied the Merger Agreement (the “</w:t>
      </w:r>
      <w:r>
        <w:rPr>
          <w:rFonts w:ascii="Times New Roman" w:cs="Times New Roman" w:eastAsia="Times New Roman" w:hAnsi="Times New Roman"/>
          <w:sz w:val="16"/>
          <w:szCs w:val="16"/>
          <w:b w:val="1"/>
          <w:bCs w:val="1"/>
          <w:color w:val="auto"/>
        </w:rPr>
        <w:t>MSA Officers’ Certificate</w:t>
      </w:r>
      <w:r>
        <w:rPr>
          <w:rFonts w:ascii="Times New Roman" w:cs="Times New Roman" w:eastAsia="Times New Roman" w:hAnsi="Times New Roman"/>
          <w:sz w:val="16"/>
          <w:szCs w:val="16"/>
          <w:color w:val="auto"/>
        </w:rPr>
        <w:t>”). Said documents were filed with the Office of the Secretary of State of California on November 17, 2005.</w:t>
      </w:r>
    </w:p>
    <w:p>
      <w:pPr>
        <w:spacing w:after="0" w:line="103" w:lineRule="exact"/>
        <w:rPr>
          <w:rFonts w:ascii="Times New Roman" w:cs="Times New Roman" w:eastAsia="Times New Roman" w:hAnsi="Times New Roman"/>
          <w:sz w:val="16"/>
          <w:szCs w:val="16"/>
          <w:color w:val="auto"/>
        </w:rPr>
      </w:pPr>
    </w:p>
    <w:p>
      <w:pPr>
        <w:ind w:left="580" w:hanging="176"/>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of Article I of the Merger Agreement, as corrected, shall read in its entirety as follows:</w:t>
      </w:r>
    </w:p>
    <w:p>
      <w:pPr>
        <w:spacing w:after="0" w:line="90" w:lineRule="exact"/>
        <w:rPr>
          <w:sz w:val="20"/>
          <w:szCs w:val="20"/>
          <w:color w:val="auto"/>
        </w:rPr>
      </w:pPr>
    </w:p>
    <w:p>
      <w:pPr>
        <w:jc w:val="both"/>
        <w:ind w:left="400" w:right="20"/>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MagnaChip</w:t>
      </w:r>
      <w:r>
        <w:rPr>
          <w:rFonts w:ascii="Times New Roman" w:cs="Times New Roman" w:eastAsia="Times New Roman" w:hAnsi="Times New Roman"/>
          <w:sz w:val="18"/>
          <w:szCs w:val="18"/>
          <w:color w:val="auto"/>
        </w:rPr>
        <w:t>. MagnaChip is a corporation duly organized and existing under the laws of the State of Delaware, with its principal office located at 5201 Great America Pkwy, Suite 422, Santa Clara, California 95054. MagnaChip has 100 shares of Common Stock, par value $0.01, issued and outstanding, all of which are owned by Parent.”</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 The third certification of the MSA Officers’ Certificate, as corrected, shall read in its entirety as follows:</w:t>
      </w:r>
    </w:p>
    <w:p>
      <w:pPr>
        <w:spacing w:after="0" w:line="90" w:lineRule="exact"/>
        <w:rPr>
          <w:sz w:val="20"/>
          <w:szCs w:val="20"/>
          <w:color w:val="auto"/>
        </w:rPr>
      </w:pPr>
    </w:p>
    <w:p>
      <w:pPr>
        <w:ind w:left="400" w:firstLine="438"/>
        <w:spacing w:after="0" w:line="275" w:lineRule="auto"/>
        <w:rPr>
          <w:sz w:val="20"/>
          <w:szCs w:val="20"/>
          <w:color w:val="auto"/>
        </w:rPr>
      </w:pPr>
      <w:r>
        <w:rPr>
          <w:rFonts w:ascii="Times New Roman" w:cs="Times New Roman" w:eastAsia="Times New Roman" w:hAnsi="Times New Roman"/>
          <w:sz w:val="18"/>
          <w:szCs w:val="18"/>
          <w:color w:val="auto"/>
        </w:rPr>
        <w:t>“There were 100 shares of Common Stock of MagnaChip issued and outstanding, all of which were entitled to vote upon the Merger. A vote of more than 50% of the outstanding shares of Common Stock of MagnaChip was required to approve the Merger.”</w:t>
      </w:r>
    </w:p>
    <w:p>
      <w:pPr>
        <w:spacing w:after="0" w:line="120" w:lineRule="exact"/>
        <w:rPr>
          <w:sz w:val="20"/>
          <w:szCs w:val="20"/>
          <w:color w:val="auto"/>
        </w:rPr>
      </w:pPr>
    </w:p>
    <w:p>
      <w:pPr>
        <w:ind w:left="-60" w:right="400" w:firstLine="464"/>
        <w:spacing w:after="0" w:line="275" w:lineRule="auto"/>
        <w:tabs>
          <w:tab w:leader="none" w:pos="5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corrections of the Merger Agreement and the MSA Officers’ Certificate do not change any resolution duly approved by the board of directors or shareholders of the Surviving Corporation or MSA.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300"/>
          </w:cols>
          <w:pgMar w:left="300" w:top="274" w:right="299" w:bottom="1440" w:gutter="0" w:footer="0" w:header="0"/>
        </w:sectPr>
      </w:pPr>
    </w:p>
    <w:bookmarkStart w:id="116" w:name="page117"/>
    <w:bookmarkEnd w:id="116"/>
    <w:p>
      <w:pPr>
        <w:ind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further declare under penalty of perjury under the laws of the State of California that the matters set forth in this certificate are true and correct of our own knowledge.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272415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Jason Hartlove,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280670</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McFarland, Secretary</w:t>
      </w:r>
    </w:p>
    <w:p>
      <w:pPr>
        <w:sectPr>
          <w:pgSz w:w="11900" w:h="16838" w:orient="portrait"/>
          <w:cols w:equalWidth="0" w:num="1">
            <w:col w:w="11220"/>
          </w:cols>
          <w:pgMar w:left="240" w:top="274" w:right="4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10.3.C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TO CREDIT AGREEMENT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THIRD AMENDMENT TO CREDIT AGREEMENT (as the same may be amended, restated, supplemented, extended or otherwise modified from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time to time, this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xml:space="preserve">”) is entered into as of March 27, 2006, by and among MAGNACHIP SEMICONDUCTOR S.A.,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organized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existing under the laws of the Grand Duchy of Luxembourg, having its registered office at 74, rue de Merl, B.P. 709, L-2017 Luxembourg, Grand Duchy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 registered with the Luxembourg Register of commerce and companies under the number B 97,483, MAGNACHIP SEMICONDUCTOR FINANCE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a Delaware corporation (collectively, “</w:t>
      </w:r>
      <w:r>
        <w:rPr>
          <w:rFonts w:ascii="Times New Roman" w:cs="Times New Roman" w:eastAsia="Times New Roman" w:hAnsi="Times New Roman"/>
          <w:sz w:val="16"/>
          <w:szCs w:val="16"/>
          <w:b w:val="1"/>
          <w:bCs w:val="1"/>
          <w:color w:val="auto"/>
        </w:rPr>
        <w:t>Borrowers</w:t>
      </w:r>
      <w:r>
        <w:rPr>
          <w:rFonts w:ascii="Times New Roman" w:cs="Times New Roman" w:eastAsia="Times New Roman" w:hAnsi="Times New Roman"/>
          <w:sz w:val="16"/>
          <w:szCs w:val="16"/>
          <w:color w:val="auto"/>
        </w:rPr>
        <w:t>”), MAGNACHIP SEMICONDUCTOR LLC, a Delaware limited liability company (“</w:t>
      </w:r>
      <w:r>
        <w:rPr>
          <w:rFonts w:ascii="Times New Roman" w:cs="Times New Roman" w:eastAsia="Times New Roman" w:hAnsi="Times New Roman"/>
          <w:sz w:val="16"/>
          <w:szCs w:val="16"/>
          <w:b w:val="1"/>
          <w:bCs w:val="1"/>
          <w:color w:val="auto"/>
        </w:rPr>
        <w:t>Holdings</w:t>
      </w:r>
      <w:r>
        <w:rPr>
          <w:rFonts w:ascii="Times New Roman" w:cs="Times New Roman" w:eastAsia="Times New Roman" w:hAnsi="Times New Roman"/>
          <w:sz w:val="16"/>
          <w:szCs w:val="16"/>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Subsidiary Guarantors listed on the signature pages hereto (each of Borrowers, Holdings and Subsidiary Guarantors are sometimes referred to herein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the Lenders and UBS AG, STAMFORD BRANCH, as administrative agent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Administrative Agent</w:t>
      </w:r>
      <w:r>
        <w:rPr>
          <w:rFonts w:ascii="Times New Roman" w:cs="Times New Roman" w:eastAsia="Times New Roman" w:hAnsi="Times New Roman"/>
          <w:sz w:val="16"/>
          <w:szCs w:val="16"/>
          <w:color w:val="auto"/>
        </w:rPr>
        <w:t>”) for the Lenders and as collateral agent (in such capacity, “</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and together with the Administrative Agent, the “</w:t>
      </w:r>
      <w:r>
        <w:rPr>
          <w:rFonts w:ascii="Times New Roman" w:cs="Times New Roman" w:eastAsia="Times New Roman" w:hAnsi="Times New Roman"/>
          <w:sz w:val="16"/>
          <w:szCs w:val="16"/>
          <w:b w:val="1"/>
          <w:bCs w:val="1"/>
          <w:color w:val="auto"/>
        </w:rPr>
        <w:t>Agents</w:t>
      </w:r>
      <w:r>
        <w:rPr>
          <w:rFonts w:ascii="Times New Roman" w:cs="Times New Roman" w:eastAsia="Times New Roman" w:hAnsi="Times New Roman"/>
          <w:sz w:val="16"/>
          <w:szCs w:val="16"/>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an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Secured Parties and the Issuing Bank.</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73"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A. The Borrowers, Holdings, Subsidiary Guarantors, UBS Securities LLC, as lead arranger, as documentation agent and as syndication agent, UBS Loan Finance LLC, as swingline lender, Korea Exchange Bank, as issuing bank and Agents are parties to that certain Credit Agreement dated as of December 23, 2004 (as amended hereby, and as the same has been and hereafter may be amended, restated, supplemented or otherwise modified from time to time, the “</w:t>
      </w:r>
      <w:r>
        <w:rPr>
          <w:rFonts w:ascii="Times New Roman" w:cs="Times New Roman" w:eastAsia="Times New Roman" w:hAnsi="Times New Roman"/>
          <w:sz w:val="16"/>
          <w:szCs w:val="16"/>
          <w:b w:val="1"/>
          <w:bCs w:val="1"/>
          <w:color w:val="auto"/>
        </w:rPr>
        <w:t>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Unless otherwise specified herein, all capitalized terms used in this Amendment shall have the meanings ascribed to them in the Credit Agreement.</w:t>
      </w:r>
    </w:p>
    <w:p>
      <w:pPr>
        <w:spacing w:after="0" w:line="103"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B. The Borrowers have requested that the Agents and the Required Lenders amend Sections 6.10(a), (b) and (c) of the Credit Agreement upon the terms and subject to the conditions as herein set forth.</w:t>
      </w:r>
    </w:p>
    <w:p>
      <w:pPr>
        <w:spacing w:after="0" w:line="12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118"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Amendments to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6.10(a), (b) and (c) of the Credit Agreement are each hereby amended and restated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to read as follows:</w:t>
      </w:r>
    </w:p>
    <w:p>
      <w:pPr>
        <w:spacing w:after="0" w:line="37" w:lineRule="exact"/>
        <w:rPr>
          <w:sz w:val="20"/>
          <w:szCs w:val="20"/>
          <w:color w:val="auto"/>
        </w:rPr>
      </w:pPr>
    </w:p>
    <w:p>
      <w:pPr>
        <w:ind w:left="460" w:right="360" w:firstLine="443"/>
        <w:spacing w:after="0" w:line="275" w:lineRule="auto"/>
        <w:tabs>
          <w:tab w:leader="none" w:pos="11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Total Leverage Ratio</w:t>
      </w:r>
      <w:r>
        <w:rPr>
          <w:rFonts w:ascii="Times New Roman" w:cs="Times New Roman" w:eastAsia="Times New Roman" w:hAnsi="Times New Roman"/>
          <w:sz w:val="18"/>
          <w:szCs w:val="18"/>
          <w:color w:val="auto"/>
        </w:rPr>
        <w:t>. Permit the Total Leverage Ratio, at the last day of each fiscal quarter during any period set forth in the table below, to exceed the ratio set forth opposite such period in the table below:</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Test Period</w:t>
            </w:r>
          </w:p>
        </w:tc>
        <w:tc>
          <w:tcPr>
            <w:tcW w:w="3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Leverage Ratio</w:t>
            </w:r>
          </w:p>
        </w:tc>
      </w:tr>
      <w:tr>
        <w:trPr>
          <w:trHeight w:val="28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December 31, 2005</w:t>
            </w:r>
          </w:p>
        </w:tc>
        <w:tc>
          <w:tcPr>
            <w:tcW w:w="28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5.100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2006 - December 31, 2006</w:t>
            </w:r>
          </w:p>
        </w:tc>
        <w:tc>
          <w:tcPr>
            <w:tcW w:w="28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4.700 to 1.0</w:t>
            </w:r>
          </w:p>
        </w:tc>
      </w:tr>
      <w:tr>
        <w:trPr>
          <w:trHeight w:val="28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7"/>
              </w:rPr>
              <w:t>January 1, 2007</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September 30, 2007</w:t>
            </w:r>
          </w:p>
        </w:tc>
        <w:tc>
          <w:tcPr>
            <w:tcW w:w="28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4.500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2007 - December 31, 2007</w:t>
            </w:r>
          </w:p>
        </w:tc>
        <w:tc>
          <w:tcPr>
            <w:tcW w:w="28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4.250 to 1.0</w:t>
            </w:r>
          </w:p>
        </w:tc>
      </w:tr>
      <w:tr>
        <w:trPr>
          <w:trHeight w:val="28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7"/>
              </w:rPr>
              <w:t>January 1, 2008</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December 31, 2008</w:t>
            </w:r>
          </w:p>
        </w:tc>
        <w:tc>
          <w:tcPr>
            <w:tcW w:w="28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3.200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2009 and thereafter</w:t>
            </w:r>
          </w:p>
        </w:tc>
        <w:tc>
          <w:tcPr>
            <w:tcW w:w="280" w:type="dxa"/>
            <w:vAlign w:val="bottom"/>
          </w:tcPr>
          <w:p>
            <w:pPr>
              <w:spacing w:after="0"/>
              <w:rPr>
                <w:sz w:val="24"/>
                <w:szCs w:val="24"/>
                <w:color w:val="auto"/>
              </w:rPr>
            </w:pPr>
          </w:p>
        </w:tc>
        <w:tc>
          <w:tcPr>
            <w:tcW w:w="44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2.625 to 1.0</w:t>
            </w:r>
          </w:p>
        </w:tc>
      </w:tr>
    </w:tbl>
    <w:p>
      <w:pPr>
        <w:sectPr>
          <w:pgSz w:w="11900" w:h="16838" w:orient="portrait"/>
          <w:cols w:equalWidth="0" w:num="1">
            <w:col w:w="11420"/>
          </w:cols>
          <w:pgMar w:left="240" w:top="123" w:right="239" w:bottom="1440" w:gutter="0" w:footer="0" w:header="0"/>
        </w:sectPr>
      </w:pPr>
    </w:p>
    <w:bookmarkStart w:id="118" w:name="page119"/>
    <w:bookmarkEnd w:id="118"/>
    <w:p>
      <w:pPr>
        <w:ind w:left="460" w:right="440" w:firstLine="443"/>
        <w:spacing w:after="0" w:line="275" w:lineRule="auto"/>
        <w:tabs>
          <w:tab w:leader="none" w:pos="11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Minimum Interest Coverage Ratio</w:t>
      </w:r>
      <w:r>
        <w:rPr>
          <w:rFonts w:ascii="Times New Roman" w:cs="Times New Roman" w:eastAsia="Times New Roman" w:hAnsi="Times New Roman"/>
          <w:sz w:val="18"/>
          <w:szCs w:val="18"/>
          <w:color w:val="auto"/>
        </w:rPr>
        <w:t>. Permit the Consolidated Interest Coverage Ratio, for any Test Period ending during any period set forth below, to be less than the ratio set forth opposite such period in the table below:</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Test Period</w:t>
            </w:r>
          </w:p>
        </w:tc>
        <w:tc>
          <w:tcPr>
            <w:tcW w:w="3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Interest Coverage Ratio</w:t>
            </w:r>
          </w:p>
        </w:tc>
      </w:tr>
      <w:tr>
        <w:trPr>
          <w:trHeight w:val="28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December 31, 2005</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2006 - December 31, 2006</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3.000 to 1.0</w:t>
            </w:r>
          </w:p>
        </w:tc>
      </w:tr>
      <w:tr>
        <w:trPr>
          <w:trHeight w:val="28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7"/>
              </w:rPr>
              <w:t>January 1, 2007</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September 30, 2007</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3.150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2007 - December 31, 2007</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3.300 to 1.0</w:t>
            </w:r>
          </w:p>
        </w:tc>
      </w:tr>
      <w:tr>
        <w:trPr>
          <w:trHeight w:val="28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w w:val="97"/>
              </w:rPr>
              <w:t>January 1, 2008</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December 31, 2008</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2009 and thereafter</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5.250 to 1.0</w:t>
            </w:r>
          </w:p>
        </w:tc>
      </w:tr>
    </w:tbl>
    <w:p>
      <w:pPr>
        <w:spacing w:after="0" w:line="69" w:lineRule="exact"/>
        <w:rPr>
          <w:sz w:val="20"/>
          <w:szCs w:val="20"/>
          <w:color w:val="auto"/>
        </w:rPr>
      </w:pPr>
    </w:p>
    <w:p>
      <w:pPr>
        <w:ind w:left="460" w:firstLine="4"/>
        <w:spacing w:after="0" w:line="275" w:lineRule="auto"/>
        <w:tabs>
          <w:tab w:leader="none" w:pos="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Interest Coverage Ratio (Excluding CapEx)</w:t>
      </w:r>
      <w:r>
        <w:rPr>
          <w:rFonts w:ascii="Times New Roman" w:cs="Times New Roman" w:eastAsia="Times New Roman" w:hAnsi="Times New Roman"/>
          <w:sz w:val="18"/>
          <w:szCs w:val="18"/>
          <w:color w:val="auto"/>
        </w:rPr>
        <w:t>. Permit the Consolidated Interest Coverage Ratio (Excluding CapEx), for any Test Period ending during any period set forth in the table below, to be less than the ratio set forth opposite such period in the table below:</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Interest</w:t>
            </w:r>
          </w:p>
        </w:tc>
      </w:tr>
      <w:tr>
        <w:trPr>
          <w:trHeight w:val="149"/>
        </w:trPr>
        <w:tc>
          <w:tcPr>
            <w:tcW w:w="10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Coverage Ratio</w:t>
            </w:r>
          </w:p>
        </w:tc>
      </w:tr>
      <w:tr>
        <w:trPr>
          <w:trHeight w:val="16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Test Period</w:t>
            </w:r>
          </w:p>
        </w:tc>
        <w:tc>
          <w:tcPr>
            <w:tcW w:w="3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(Excluding CapEx)</w:t>
            </w:r>
          </w:p>
        </w:tc>
      </w:tr>
      <w:tr>
        <w:trPr>
          <w:trHeight w:val="28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December 31, 2005</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2006 - December 31, 2006</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2007 - June 30, 2007</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1.500 to 1.0</w:t>
            </w:r>
          </w:p>
        </w:tc>
      </w:tr>
      <w:tr>
        <w:trPr>
          <w:trHeight w:val="28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July 1, 2007</w:t>
            </w:r>
          </w:p>
        </w:tc>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December 31, 2007</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2008 - December 31, 2008</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 to 1.0</w:t>
            </w:r>
          </w:p>
        </w:tc>
      </w:tr>
      <w:tr>
        <w:trPr>
          <w:trHeight w:val="28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2009 and thereafter</w:t>
            </w:r>
          </w:p>
        </w:tc>
        <w:tc>
          <w:tcPr>
            <w:tcW w:w="28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3.750 to 1.0</w:t>
            </w: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Acknowledgement by Borrowers of Obligations</w:t>
      </w:r>
      <w:r>
        <w:rPr>
          <w:rFonts w:ascii="Times New Roman" w:cs="Times New Roman" w:eastAsia="Times New Roman" w:hAnsi="Times New Roman"/>
          <w:sz w:val="18"/>
          <w:szCs w:val="18"/>
          <w:b w:val="1"/>
          <w:bCs w:val="1"/>
          <w:color w:val="auto"/>
        </w:rPr>
        <w:t>.</w:t>
      </w:r>
    </w:p>
    <w:p>
      <w:pPr>
        <w:spacing w:after="0" w:line="9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Borrowers hereby acknowledge, confirm, and agree that as of the close of business on March 27, 2006, (a) the Borrowers are not indebted to the Lenders in respect of the Revolving Loans and (b) the Borrowers are indebted to the Lenders in respect of the Letters of Credit in the principal amount of approximately $14,339,917 (subject to currency exchange fluctuations and reductions for any Letters of Credit which are drawn and reimbursed after March 27, 2006).</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74" w:right="299" w:bottom="1440" w:gutter="0" w:footer="0" w:header="0"/>
        </w:sectPr>
      </w:pPr>
    </w:p>
    <w:bookmarkStart w:id="119" w:name="page120"/>
    <w:bookmarkEnd w:id="119"/>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u w:val="single" w:color="auto"/>
          <w:color w:val="auto"/>
        </w:rPr>
        <w:t>Representations, Warranties and Covenants of Loan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induce the Agents and Lenders to execute and deliver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Loan Parties represent, warrant and covenant that:</w:t>
      </w:r>
    </w:p>
    <w:p>
      <w:pPr>
        <w:spacing w:after="0" w:line="118" w:lineRule="exact"/>
        <w:rPr>
          <w:sz w:val="20"/>
          <w:szCs w:val="20"/>
          <w:color w:val="auto"/>
        </w:rPr>
      </w:pPr>
    </w:p>
    <w:p>
      <w:pPr>
        <w:ind w:firstLine="464"/>
        <w:spacing w:after="0" w:line="255"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Loan Parties of this Amendment and all documents and instruments delivered in connection herewith and the Credit Agreement and all other Loan Documents have been duly authorized, and this Amendment and all documents and instruments delivered in connection herewith and the Credit Agreement and all other Loan Documents are legal, valid and binding obligations of the Loan Parties enforceable against the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39" w:lineRule="exact"/>
        <w:rPr>
          <w:rFonts w:ascii="Times New Roman" w:cs="Times New Roman" w:eastAsia="Times New Roman" w:hAnsi="Times New Roman"/>
          <w:sz w:val="18"/>
          <w:szCs w:val="18"/>
          <w:color w:val="auto"/>
        </w:rPr>
      </w:pPr>
    </w:p>
    <w:p>
      <w:pPr>
        <w:ind w:right="20" w:firstLine="464"/>
        <w:spacing w:after="0" w:line="256" w:lineRule="auto"/>
        <w:tabs>
          <w:tab w:leader="none" w:pos="7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Amendment, each of the representations and warranties made by or on behalf of such Loan Party to either Agent or any Lender in any of the Loan Documents was true and correct when made and in all material respects is true and correct on and as of the date of this Amendment with the same full force and effect as if each of such representations and warranties had been made by such Loan Party on the date hereof and in this Amendment, and each of the agreements and covenants in the Credit Agreement and the other Loan Documents is hereby reaffirmed with the same force and effect as if each were separately stated herein and made as of the date hereof;</w:t>
      </w:r>
    </w:p>
    <w:p>
      <w:pPr>
        <w:spacing w:after="0" w:line="138" w:lineRule="exact"/>
        <w:rPr>
          <w:rFonts w:ascii="Times New Roman" w:cs="Times New Roman" w:eastAsia="Times New Roman" w:hAnsi="Times New Roman"/>
          <w:sz w:val="18"/>
          <w:szCs w:val="18"/>
          <w:color w:val="auto"/>
        </w:rPr>
      </w:pPr>
    </w:p>
    <w:p>
      <w:pPr>
        <w:ind w:right="40" w:firstLine="464"/>
        <w:spacing w:after="0" w:line="256"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Amendment and all documents and instruments delivered in connection herewith nor the consummation of the transactions contemplated hereby or thereby does or shall contravene, result in a breach of, or violate (i) any provision of any Loan Party’s corporate charter, bylaws, operating agreement, purchase agreement, or other governing documents, (ii) any law or regulation, or any order or decree of any court or government instrumentality, or (iii) any indenture, mortgage, deed of trust, lease, agreement or other instrument to which any Loan Party is a party or by which any Loan Party or any of its property is bound;</w:t>
      </w:r>
    </w:p>
    <w:p>
      <w:pPr>
        <w:spacing w:after="0" w:line="138" w:lineRule="exact"/>
        <w:rPr>
          <w:rFonts w:ascii="Times New Roman" w:cs="Times New Roman" w:eastAsia="Times New Roman" w:hAnsi="Times New Roman"/>
          <w:sz w:val="18"/>
          <w:szCs w:val="18"/>
          <w:color w:val="auto"/>
        </w:rPr>
      </w:pPr>
    </w:p>
    <w:p>
      <w:pPr>
        <w:jc w:val="both"/>
        <w:ind w:right="140" w:firstLine="464"/>
        <w:spacing w:after="0" w:line="262" w:lineRule="auto"/>
        <w:tabs>
          <w:tab w:leader="none" w:pos="7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 and</w:t>
      </w:r>
    </w:p>
    <w:p>
      <w:pPr>
        <w:spacing w:after="0" w:line="132"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to this Amendment are true and correct.</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Reference to and Effect Upon the Credit Agreement</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ind w:right="140" w:firstLine="464"/>
        <w:spacing w:after="0" w:line="293" w:lineRule="auto"/>
        <w:tabs>
          <w:tab w:leader="none" w:pos="69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120" w:name="page121"/>
    <w:bookmarkEnd w:id="120"/>
    <w:p>
      <w:pPr>
        <w:ind w:right="40" w:firstLine="464"/>
        <w:spacing w:after="0" w:line="287" w:lineRule="auto"/>
        <w:tabs>
          <w:tab w:leader="none" w:pos="705"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expressly set forth herein, the execution, delivery and effectiveness of this Amendment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w:t>
      </w:r>
    </w:p>
    <w:p>
      <w:pPr>
        <w:ind w:right="60" w:firstLine="8"/>
        <w:spacing w:after="0" w:line="254" w:lineRule="auto"/>
        <w:tabs>
          <w:tab w:leader="none" w:pos="3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course of dealing or other basis for altering any Obligations or any other contract or instrument. Except as expressly set forth herein, each of the Agents and Lenders reserves all of its rights, powers, and remedies under the Credit Agreement, the other Loan Documents, and/or applicable law. All of the provisions of the Credit Agreement and the other Loan Documents, including, without limitation, the time of the essence provisions, are hereby reiterated, and if ever waived, reinstated.</w:t>
      </w:r>
    </w:p>
    <w:p>
      <w:pPr>
        <w:spacing w:after="0" w:line="137" w:lineRule="exact"/>
        <w:rPr>
          <w:rFonts w:ascii="Times New Roman" w:cs="Times New Roman" w:eastAsia="Times New Roman" w:hAnsi="Times New Roman"/>
          <w:sz w:val="18"/>
          <w:szCs w:val="18"/>
          <w:color w:val="auto"/>
        </w:rPr>
      </w:pPr>
    </w:p>
    <w:p>
      <w:pPr>
        <w:ind w:right="180" w:firstLine="464"/>
        <w:spacing w:after="0" w:line="275" w:lineRule="auto"/>
        <w:tabs>
          <w:tab w:leader="none" w:pos="6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this Amendment, all references to the Credit Agreement in any Loan Document shall mean and be a reference to the Credit Agreement, as amended hereby, and the term “Loan Documents” shall include, without limitation, this Amendment.</w:t>
      </w:r>
    </w:p>
    <w:p>
      <w:pPr>
        <w:spacing w:after="0" w:line="118" w:lineRule="exact"/>
        <w:rPr>
          <w:sz w:val="20"/>
          <w:szCs w:val="20"/>
          <w:color w:val="auto"/>
        </w:rPr>
      </w:pPr>
    </w:p>
    <w:p>
      <w:pPr>
        <w:jc w:val="both"/>
        <w:ind w:right="4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Costs and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Borrowers and the other Loan Parties agrees jointly and severally to reimburse Agents and Lenders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fees, costs and expenses, including the reasonable fees, costs and expenses of counsel or other advisors for advice, assistance, or other representation in connection with this Amendment and the other agreements and documents executed in connection herewith.</w:t>
      </w:r>
    </w:p>
    <w:p>
      <w:pPr>
        <w:spacing w:after="0" w:line="127"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IN ACCORDANCE WITH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(AS OPPOSED TO CONFLICTS OF LAWS PROVISIONS) OF THE STATE OF NEW YORK.</w:t>
      </w:r>
    </w:p>
    <w:p>
      <w:pPr>
        <w:spacing w:after="0" w:line="116"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headings in this Amendment are included herein for convenience of reference only and shall not constitute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for any other purposes.</w:t>
      </w:r>
    </w:p>
    <w:p>
      <w:pPr>
        <w:spacing w:after="0" w:line="116"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any number of counterparts, each of which when so executed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such counterparts shall constitute one and the same instrument, and all signatures need not appear on any one counterpart. Any party hereto may execute and deliver a counterpart of this Amendment by delivering by facsimile transmission a signature page of this Amendment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w:t>
      </w:r>
    </w:p>
    <w:p>
      <w:pPr>
        <w:spacing w:after="0" w:line="134"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Time of Essence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is of the essence in the payment and performance of each of the obligations of any of the parties hereunder and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all conditions to be satisfied by such party.</w:t>
      </w:r>
    </w:p>
    <w:p>
      <w:pPr>
        <w:spacing w:after="0" w:line="116"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agrees to take, and to cause its Subsidiaries to take, all further actions and to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cause its Subsidiaries to execute and deliver, all further documents as the Agents, or either of them, may from time to time reasonably request to carry out the transactions contemplated by this Amendment.</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 xml:space="preserve">SECTION 11. </w:t>
      </w:r>
      <w:r>
        <w:rPr>
          <w:rFonts w:ascii="Times New Roman" w:cs="Times New Roman" w:eastAsia="Times New Roman" w:hAnsi="Times New Roman"/>
          <w:sz w:val="16"/>
          <w:szCs w:val="16"/>
          <w:b w:val="1"/>
          <w:bCs w:val="1"/>
          <w:u w:val="single" w:color="auto"/>
          <w:color w:val="auto"/>
        </w:rPr>
        <w:t>Effectiveness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shall become effective at the time that all of the following conditions precedent have been met (or waived)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determined by the Required Lenders in their sole discretion (as evidenced by the Required Lenders’ execution and delivery of this Amendment):</w:t>
      </w:r>
    </w:p>
    <w:p>
      <w:pPr>
        <w:spacing w:after="0" w:line="159" w:lineRule="exact"/>
        <w:rPr>
          <w:sz w:val="20"/>
          <w:szCs w:val="20"/>
          <w:color w:val="auto"/>
        </w:rPr>
      </w:pPr>
    </w:p>
    <w:p>
      <w:pPr>
        <w:ind w:right="680" w:firstLine="464"/>
        <w:spacing w:after="0" w:line="275"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Duly executed signature pages for this Amendment signed by the Required Lenders and Loan Parties shall have been delivered to Administrative Agent.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4" w:right="299" w:bottom="1440" w:gutter="0" w:footer="0" w:header="0"/>
        </w:sectPr>
      </w:pPr>
    </w:p>
    <w:bookmarkStart w:id="121" w:name="page122"/>
    <w:bookmarkEnd w:id="121"/>
    <w:p>
      <w:pPr>
        <w:ind w:left="-180" w:firstLine="464"/>
        <w:spacing w:after="0" w:line="275" w:lineRule="auto"/>
        <w:tabs>
          <w:tab w:leader="none" w:pos="5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The representations and warranties contained herein shall be true and correct in all material respects, and no Event of Default or Default shall exist on the date hereof.</w:t>
      </w:r>
    </w:p>
    <w:p>
      <w:pPr>
        <w:spacing w:after="0" w:line="119" w:lineRule="exact"/>
        <w:rPr>
          <w:rFonts w:ascii="Times New Roman" w:cs="Times New Roman" w:eastAsia="Times New Roman" w:hAnsi="Times New Roman"/>
          <w:sz w:val="18"/>
          <w:szCs w:val="18"/>
          <w:color w:val="auto"/>
        </w:rPr>
      </w:pPr>
    </w:p>
    <w:p>
      <w:pPr>
        <w:ind w:left="-180" w:right="360" w:firstLine="464"/>
        <w:spacing w:after="0" w:line="275" w:lineRule="auto"/>
        <w:tabs>
          <w:tab w:leader="none" w:pos="5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Closing Date, there shall have occurred no material adverse change in the business, operations, financial conditions, profits or prospects, or in the Collateral of any Loan Party or any Subsidiary thereof.</w:t>
      </w:r>
    </w:p>
    <w:p>
      <w:pPr>
        <w:spacing w:after="0" w:line="119" w:lineRule="exact"/>
        <w:rPr>
          <w:rFonts w:ascii="Times New Roman" w:cs="Times New Roman" w:eastAsia="Times New Roman" w:hAnsi="Times New Roman"/>
          <w:sz w:val="18"/>
          <w:szCs w:val="18"/>
          <w:color w:val="auto"/>
        </w:rPr>
      </w:pPr>
    </w:p>
    <w:p>
      <w:pPr>
        <w:ind w:left="-180" w:right="20" w:firstLine="464"/>
        <w:spacing w:after="0" w:line="275" w:lineRule="auto"/>
        <w:tabs>
          <w:tab w:leader="none" w:pos="5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Commitment Fees and Letter of Credit Fees</w:t>
      </w:r>
      <w:r>
        <w:rPr>
          <w:rFonts w:ascii="Times New Roman" w:cs="Times New Roman" w:eastAsia="Times New Roman" w:hAnsi="Times New Roman"/>
          <w:sz w:val="18"/>
          <w:szCs w:val="18"/>
          <w:color w:val="auto"/>
        </w:rPr>
        <w:t>. All outstanding Commitment Fees and Fees related to any of the Letters of Credit shall each have been paid in cash to the Administrative Agent</w:t>
      </w:r>
    </w:p>
    <w:p>
      <w:pPr>
        <w:spacing w:after="0" w:line="119" w:lineRule="exact"/>
        <w:rPr>
          <w:rFonts w:ascii="Times New Roman" w:cs="Times New Roman" w:eastAsia="Times New Roman" w:hAnsi="Times New Roman"/>
          <w:sz w:val="18"/>
          <w:szCs w:val="18"/>
          <w:color w:val="auto"/>
        </w:rPr>
      </w:pPr>
    </w:p>
    <w:p>
      <w:pPr>
        <w:ind w:left="520" w:hanging="236"/>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of the expenses owing the Agents under Section 10.03 of the Credit Agreement shall have been paid in full.</w:t>
      </w:r>
    </w:p>
    <w:p>
      <w:pPr>
        <w:spacing w:after="0" w:line="252" w:lineRule="exact"/>
        <w:rPr>
          <w:rFonts w:ascii="Times New Roman" w:cs="Times New Roman" w:eastAsia="Times New Roman" w:hAnsi="Times New Roman"/>
          <w:sz w:val="18"/>
          <w:szCs w:val="18"/>
          <w:color w:val="auto"/>
        </w:rPr>
      </w:pPr>
    </w:p>
    <w:p>
      <w:pPr>
        <w:ind w:left="4700" w:hanging="307"/>
        <w:spacing w:after="0"/>
        <w:tabs>
          <w:tab w:leader="none" w:pos="47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Pages Follow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420" w:top="274" w:right="4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Third Amendment to Credit Agreement has been executed by the parties hereto as of the date first written above.</w:t>
      </w:r>
    </w:p>
    <w:p>
      <w:pPr>
        <w:spacing w:after="0" w:line="23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MAGNACHIP SEMICONDUCTOR S.A., a</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Luxembourg company</w:t>
      </w:r>
    </w:p>
    <w:p>
      <w:pPr>
        <w:spacing w:after="0" w:line="213" w:lineRule="exact"/>
        <w:rPr>
          <w:sz w:val="20"/>
          <w:szCs w:val="20"/>
          <w:color w:val="auto"/>
        </w:rPr>
      </w:pPr>
    </w:p>
    <w:p>
      <w:pPr>
        <w:ind w:left="6400"/>
        <w:spacing w:after="0"/>
        <w:tabs>
          <w:tab w:leader="none" w:pos="6880" w:val="left"/>
        </w:tabs>
        <w:rPr>
          <w:sz w:val="20"/>
          <w:szCs w:val="20"/>
          <w:color w:val="auto"/>
        </w:rPr>
      </w:pPr>
      <w:r>
        <w:rPr>
          <w:rFonts w:ascii="Times New Roman" w:cs="Times New Roman" w:eastAsia="Times New Roman" w:hAnsi="Times New Roman"/>
          <w:sz w:val="18"/>
          <w:szCs w:val="18"/>
          <w:color w:val="auto"/>
        </w:rPr>
        <w:t>By:</w:t>
        <w:tab/>
        <w:t>/s/ Roy Kuan</w:t>
      </w:r>
    </w:p>
    <w:p>
      <w:pPr>
        <w:spacing w:after="0" w:line="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Roy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-130175</wp:posOffset>
            </wp:positionV>
            <wp:extent cx="25984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400"/>
        <w:spacing w:after="0"/>
        <w:tabs>
          <w:tab w:leader="none" w:pos="68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MAGNACHIP SEMICONDUCTOR FINANCE</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COMPANY, a Delaware limited liability company</w:t>
      </w:r>
    </w:p>
    <w:p>
      <w:pPr>
        <w:spacing w:after="0" w:line="213" w:lineRule="exact"/>
        <w:rPr>
          <w:sz w:val="20"/>
          <w:szCs w:val="20"/>
          <w:color w:val="auto"/>
        </w:rPr>
      </w:pPr>
    </w:p>
    <w:p>
      <w:pPr>
        <w:ind w:left="6400"/>
        <w:spacing w:after="0"/>
        <w:tabs>
          <w:tab w:leader="none" w:pos="6880" w:val="left"/>
        </w:tabs>
        <w:rPr>
          <w:sz w:val="20"/>
          <w:szCs w:val="20"/>
          <w:color w:val="auto"/>
        </w:rPr>
      </w:pPr>
      <w:r>
        <w:rPr>
          <w:rFonts w:ascii="Times New Roman" w:cs="Times New Roman" w:eastAsia="Times New Roman" w:hAnsi="Times New Roman"/>
          <w:sz w:val="18"/>
          <w:szCs w:val="18"/>
          <w:color w:val="auto"/>
        </w:rPr>
        <w:t>By:</w:t>
        <w:tab/>
        <w:t>/s/ Roy Kuan</w:t>
      </w:r>
    </w:p>
    <w:p>
      <w:pPr>
        <w:spacing w:after="0" w:line="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Roy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-130175</wp:posOffset>
            </wp:positionV>
            <wp:extent cx="25984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400"/>
        <w:spacing w:after="0"/>
        <w:tabs>
          <w:tab w:leader="none" w:pos="68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1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MAGNACHIP SEMICONDUCTOR LLC, a</w:t>
      </w:r>
    </w:p>
    <w:p>
      <w:pPr>
        <w:spacing w:after="0" w:line="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13" w:lineRule="exact"/>
        <w:rPr>
          <w:sz w:val="20"/>
          <w:szCs w:val="20"/>
          <w:color w:val="auto"/>
        </w:rPr>
      </w:pPr>
    </w:p>
    <w:p>
      <w:pPr>
        <w:ind w:left="6400"/>
        <w:spacing w:after="0"/>
        <w:tabs>
          <w:tab w:leader="none" w:pos="688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-130175</wp:posOffset>
            </wp:positionV>
            <wp:extent cx="25984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200"/>
          </w:cols>
          <w:pgMar w:left="700" w:top="274" w:right="999" w:bottom="1440" w:gutter="0" w:footer="0" w:header="0"/>
        </w:sectPr>
      </w:pPr>
    </w:p>
    <w:bookmarkStart w:id="123" w:name="page124"/>
    <w:bookmarkEnd w:id="123"/>
    <w:p>
      <w:pPr>
        <w:ind w:left="56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MAGNACHIP SEMICONDUCTOR, INC., a</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California company</w:t>
      </w:r>
    </w:p>
    <w:p>
      <w:pPr>
        <w:spacing w:after="0" w:line="21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A-2</w:t>
      </w:r>
    </w:p>
    <w:p>
      <w:pPr>
        <w:sectPr>
          <w:pgSz w:w="11900" w:h="16838" w:orient="portrait"/>
          <w:cols w:equalWidth="0" w:num="1">
            <w:col w:w="9019"/>
          </w:cols>
          <w:pgMar w:left="1440" w:top="274" w:right="1440" w:bottom="1440" w:gutter="0" w:footer="0" w:header="0"/>
        </w:sectPr>
      </w:pPr>
    </w:p>
    <w:bookmarkStart w:id="124" w:name="page125"/>
    <w:bookmarkEnd w:id="124"/>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HOLDINGS LLC, a Delaware limited liability</w:t>
      </w:r>
    </w:p>
    <w:p>
      <w:pPr>
        <w:spacing w:after="0" w:line="3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company</w:t>
      </w:r>
    </w:p>
    <w:p>
      <w:pPr>
        <w:spacing w:after="0" w:line="21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Roy Kuan</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Roy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A-3</w:t>
      </w:r>
    </w:p>
    <w:p>
      <w:pPr>
        <w:sectPr>
          <w:pgSz w:w="11900" w:h="16838" w:orient="portrait"/>
          <w:cols w:equalWidth="0" w:num="1">
            <w:col w:w="9019"/>
          </w:cols>
          <w:pgMar w:left="1440" w:top="274" w:right="1440" w:bottom="1440" w:gutter="0" w:footer="0" w:header="0"/>
        </w:sectPr>
      </w:pPr>
    </w:p>
    <w:bookmarkStart w:id="125" w:name="page126"/>
    <w:bookmarkEnd w:id="125"/>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company incorporated in England and Wales</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with registered number 05232381</w:t>
      </w:r>
    </w:p>
    <w:p>
      <w:pPr>
        <w:spacing w:after="0" w:line="21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A-4</w:t>
      </w:r>
    </w:p>
    <w:p>
      <w:pPr>
        <w:sectPr>
          <w:pgSz w:w="11900" w:h="16838" w:orient="portrait"/>
          <w:cols w:equalWidth="0" w:num="1">
            <w:col w:w="9080"/>
          </w:cols>
          <w:pgMar w:left="1440" w:top="274" w:right="1379" w:bottom="1440" w:gutter="0" w:footer="0" w:header="0"/>
        </w:sectPr>
      </w:pPr>
    </w:p>
    <w:bookmarkStart w:id="126" w:name="page127"/>
    <w:bookmarkEnd w:id="126"/>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 a</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Japanese company</w:t>
      </w:r>
    </w:p>
    <w:p>
      <w:pPr>
        <w:spacing w:after="0" w:line="21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A-5</w:t>
      </w:r>
    </w:p>
    <w:p>
      <w:pPr>
        <w:sectPr>
          <w:pgSz w:w="11900" w:h="16838" w:orient="portrait"/>
          <w:cols w:equalWidth="0" w:num="1">
            <w:col w:w="9019"/>
          </w:cols>
          <w:pgMar w:left="1440" w:top="274"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execution as a deed:</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2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EXECUTED AS A DEED by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duly appointed attorney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pursuant to a power of attorney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MAGNACHIP SEMICONDUCTOR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LIMITED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2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4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/s/ Robert Krakauer</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Witness:  /s/ John McFarland</w:t>
            </w: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gridSpan w:val="2"/>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tcBorders>
          </w:tcPr>
          <w:p>
            <w:pPr>
              <w:spacing w:after="0"/>
              <w:rPr>
                <w:sz w:val="24"/>
                <w:szCs w:val="24"/>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Address:</w:t>
            </w:r>
          </w:p>
        </w:tc>
      </w:tr>
      <w:tr>
        <w:trPr>
          <w:trHeight w:val="432"/>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execution otherwise than as a deed:</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2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SIGNED by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duly appointed attorney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pursuant to a power of attorney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MAGNACHIP SEMICONDUCTOR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4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LIMITED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2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75"/>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3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2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CERTIFICATION LANGUAGE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being a director of MagnaChip Semiconductor Limited, do hereby certify that this document is a true and complete copy of its original.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Krakauer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20"/>
          </w:cols>
          <w:pgMar w:left="240" w:top="272" w:right="239" w:bottom="1440" w:gutter="0" w:footer="0" w:header="0"/>
        </w:sectPr>
      </w:pPr>
    </w:p>
    <w:bookmarkStart w:id="128" w:name="page129"/>
    <w:bookmarkEnd w:id="128"/>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LTD., a</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Taiwan company</w:t>
      </w:r>
    </w:p>
    <w:p>
      <w:pPr>
        <w:spacing w:after="0" w:line="226"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A-7</w:t>
      </w:r>
    </w:p>
    <w:p>
      <w:pPr>
        <w:sectPr>
          <w:pgSz w:w="11900" w:h="16838" w:orient="portrait"/>
          <w:cols w:equalWidth="0" w:num="1">
            <w:col w:w="9019"/>
          </w:cols>
          <w:pgMar w:left="1440" w:top="274" w:right="1440" w:bottom="1440" w:gutter="0" w:footer="0" w:header="0"/>
        </w:sectPr>
      </w:pPr>
    </w:p>
    <w:bookmarkStart w:id="129" w:name="page130"/>
    <w:bookmarkEnd w:id="129"/>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B.V.</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A-8</w:t>
      </w:r>
    </w:p>
    <w:p>
      <w:pPr>
        <w:sectPr>
          <w:pgSz w:w="11900" w:h="16838" w:orient="portrait"/>
          <w:cols w:equalWidth="0" w:num="1">
            <w:col w:w="9019"/>
          </w:cols>
          <w:pgMar w:left="1440" w:top="274" w:right="1440" w:bottom="1440" w:gutter="0" w:footer="0" w:header="0"/>
        </w:sectPr>
      </w:pPr>
    </w:p>
    <w:bookmarkStart w:id="130" w:name="page131"/>
    <w:bookmarkEnd w:id="130"/>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Holding Company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Limited., a British Virgin Islands company</w:t>
      </w:r>
    </w:p>
    <w:p>
      <w:pPr>
        <w:spacing w:after="0" w:line="226"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A-9</w:t>
      </w:r>
    </w:p>
    <w:p>
      <w:pPr>
        <w:sectPr>
          <w:pgSz w:w="11900" w:h="16838" w:orient="portrait"/>
          <w:cols w:equalWidth="0" w:num="1">
            <w:col w:w="9019"/>
          </w:cols>
          <w:pgMar w:left="1440" w:top="274" w:right="1440" w:bottom="1440" w:gutter="0" w:footer="0" w:header="0"/>
        </w:sectPr>
      </w:pPr>
    </w:p>
    <w:bookmarkStart w:id="131" w:name="page132"/>
    <w:bookmarkEnd w:id="131"/>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International Corporation a Cayman Islands company</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140"/>
          </w:cols>
          <w:pgMar w:left="1440" w:top="274" w:right="319" w:bottom="1440" w:gutter="0" w:footer="0" w:header="0"/>
        </w:sectPr>
      </w:pPr>
    </w:p>
    <w:bookmarkStart w:id="132" w:name="page133"/>
    <w:bookmarkEnd w:id="132"/>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Technology Corporation, a Taiwan company</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Robert Krakauer</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A-11</w:t>
      </w:r>
    </w:p>
    <w:p>
      <w:pPr>
        <w:sectPr>
          <w:pgSz w:w="11900" w:h="16838" w:orient="portrait"/>
          <w:cols w:equalWidth="0" w:num="1">
            <w:col w:w="9500"/>
          </w:cols>
          <w:pgMar w:left="1440" w:top="274" w:right="959" w:bottom="1440" w:gutter="0" w:footer="0" w:header="0"/>
        </w:sectPr>
      </w:pPr>
    </w:p>
    <w:bookmarkStart w:id="133" w:name="page134"/>
    <w:bookmarkEnd w:id="13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Syndication Agent and Documentation Agent</w:t>
      </w:r>
    </w:p>
    <w:p>
      <w:pPr>
        <w:spacing w:after="0" w:line="249"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John C. Crockett</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John C.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Executive Director</w:t>
      </w:r>
    </w:p>
    <w:p>
      <w:pPr>
        <w:spacing w:after="0" w:line="213"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Lauren Clancy</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Lauren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UBS AG, STAMFORD BRANCH, as</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Administrative Agent and Collateral Agent</w:t>
      </w:r>
    </w:p>
    <w:p>
      <w:pPr>
        <w:spacing w:after="0" w:line="226"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Irja R. Otsa</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Banking Products Services, US</w:t>
      </w:r>
    </w:p>
    <w:p>
      <w:pPr>
        <w:spacing w:after="0" w:line="226"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Pamela Oh</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Pamela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Banking Products Services, US</w:t>
      </w: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UBS LOAN FINANCE LLC, as Swingline</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Lender</w:t>
      </w:r>
    </w:p>
    <w:p>
      <w:pPr>
        <w:spacing w:after="0" w:line="226"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Irja R. Otsa</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Irja R. Otsa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Banking Products Services, US</w:t>
      </w:r>
    </w:p>
    <w:p>
      <w:pPr>
        <w:spacing w:after="0" w:line="226"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Pamela Oh</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Pamela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Associate Director</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Banking Products Services, US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A-12</w:t>
      </w:r>
    </w:p>
    <w:p>
      <w:pPr>
        <w:sectPr>
          <w:pgSz w:w="11900" w:h="16838" w:orient="portrait"/>
          <w:cols w:equalWidth="0" w:num="1">
            <w:col w:w="9019"/>
          </w:cols>
          <w:pgMar w:left="1440" w:top="274" w:right="1440" w:bottom="1440" w:gutter="0" w:footer="0" w:header="0"/>
        </w:sectPr>
      </w:pPr>
    </w:p>
    <w:bookmarkStart w:id="134" w:name="page135"/>
    <w:bookmarkEnd w:id="134"/>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Il-Won Joo</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Il-Won 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SRM</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A-13</w:t>
      </w:r>
    </w:p>
    <w:p>
      <w:pPr>
        <w:sectPr>
          <w:pgSz w:w="11900" w:h="16838" w:orient="portrait"/>
          <w:cols w:equalWidth="0" w:num="1">
            <w:col w:w="9019"/>
          </w:cols>
          <w:pgMar w:left="1440" w:top="274" w:right="1440" w:bottom="1440" w:gutter="0" w:footer="0" w:header="0"/>
        </w:sectPr>
      </w:pPr>
    </w:p>
    <w:bookmarkStart w:id="135" w:name="page136"/>
    <w:bookmarkEnd w:id="135"/>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 CREDIT PARTNERS, LP</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Pedro Ramirez</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Pedro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Authorized Signatory</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A-14</w:t>
      </w:r>
    </w:p>
    <w:p>
      <w:pPr>
        <w:sectPr>
          <w:pgSz w:w="11900" w:h="16838" w:orient="portrait"/>
          <w:cols w:equalWidth="0" w:num="1">
            <w:col w:w="9019"/>
          </w:cols>
          <w:pgMar w:left="1440" w:top="274" w:right="1440" w:bottom="1440" w:gutter="0" w:footer="0" w:header="0"/>
        </w:sectPr>
      </w:pPr>
    </w:p>
    <w:bookmarkStart w:id="136" w:name="page137"/>
    <w:bookmarkEnd w:id="136"/>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Suzanne Crymes</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Suzanne Crymes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A-15</w:t>
      </w:r>
    </w:p>
    <w:p>
      <w:pPr>
        <w:sectPr>
          <w:pgSz w:w="11900" w:h="16838" w:orient="portrait"/>
          <w:cols w:equalWidth="0" w:num="1">
            <w:col w:w="9019"/>
          </w:cols>
          <w:pgMar w:left="1440" w:top="274" w:right="1440" w:bottom="1440" w:gutter="0" w:footer="0" w:header="0"/>
        </w:sectPr>
      </w:pPr>
    </w:p>
    <w:bookmarkStart w:id="137" w:name="page138"/>
    <w:bookmarkEnd w:id="137"/>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John Kowalczuk</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John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A-16</w:t>
      </w:r>
    </w:p>
    <w:p>
      <w:pPr>
        <w:sectPr>
          <w:pgSz w:w="11900" w:h="16838" w:orient="portrait"/>
          <w:cols w:equalWidth="0" w:num="1">
            <w:col w:w="9019"/>
          </w:cols>
          <w:pgMar w:left="1440" w:top="274" w:right="1440" w:bottom="1440" w:gutter="0" w:footer="0" w:header="0"/>
        </w:sectPr>
      </w:pPr>
    </w:p>
    <w:bookmarkStart w:id="138" w:name="page139"/>
    <w:bookmarkEnd w:id="138"/>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Lana Gifas</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Lana Gifas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21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DEUTSCHE BANK TRUST COMPANY AMERICAS</w:t>
      </w:r>
    </w:p>
    <w:p>
      <w:pPr>
        <w:spacing w:after="0" w:line="248"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Evelyn Thierry</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Evelyn Thierry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-130175</wp:posOffset>
            </wp:positionV>
            <wp:extent cx="25984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Vice President</w:t>
      </w:r>
    </w:p>
    <w:p>
      <w:pPr>
        <w:spacing w:after="0" w:line="1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9580"/>
          </w:cols>
          <w:pgMar w:left="1440" w:top="274" w:right="8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10.9(a)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BUILDING LEASE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First Amendment to Building Lease Agreement (this “Amendment”) is entered into as of December 30, 2005 by and between Hynix Semiconductor,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(“Lessor”) and MagnaChip Semiconductor Ltd. (“Lessee”) (each a “Party”, and collectively the “Parties”).</w:t>
      </w:r>
    </w:p>
    <w:p>
      <w:pPr>
        <w:spacing w:after="0" w:line="15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WHEREAS, the Parties are parties to that certain Building Lease Agreement with respect to certain Buildings and Warehouses located in Cheong-Ju, dated as of October 6, 2004 (the “Agreement”), and wish to amend the Agreement as set forth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 is hereby amended and restated in its entirety as follows:</w:t>
      </w:r>
    </w:p>
    <w:p>
      <w:pPr>
        <w:spacing w:after="0" w:line="90" w:lineRule="exact"/>
        <w:rPr>
          <w:sz w:val="20"/>
          <w:szCs w:val="20"/>
          <w:color w:val="auto"/>
        </w:rPr>
      </w:pPr>
    </w:p>
    <w:p>
      <w:pPr>
        <w:ind w:left="920" w:right="40"/>
        <w:spacing w:after="0" w:line="237" w:lineRule="auto"/>
        <w:rPr>
          <w:sz w:val="20"/>
          <w:szCs w:val="20"/>
          <w:color w:val="auto"/>
        </w:rPr>
      </w:pPr>
      <w:r>
        <w:rPr>
          <w:rFonts w:ascii="Times New Roman" w:cs="Times New Roman" w:eastAsia="Times New Roman" w:hAnsi="Times New Roman"/>
          <w:sz w:val="18"/>
          <w:szCs w:val="18"/>
          <w:color w:val="auto"/>
        </w:rPr>
        <w:t>“Lessor shall provide an invoice (the “Invoice”) to Lessee by the last day of each calendar month which shall include the amounts of Rent (including Taxes), Lessor Maintenance Fee, Other Costs (as defined in Section 6.3) and the corresponding VAT amount payable by Lessee for such month. Lessee shall pay in aggregate the Rent, Lessor Maintenance Fee, Other Costs and the corresponding VAT amount stated on each Invoice to the Lessor’s designated account, or as otherwise designated by Lessor, by means of a wire transfer in immediately available funds by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the next calendar month following the date of the Invoice (the “Due Date”). Lessee shall review each Invoice for Taxes by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the next calendar month following the date of the Invoice, and, notwithstanding anything herein to the contrary, if not in agreement with the amount, then Lessee may require the Lessor to contest such Taxes as provided in Section 4.3 of this Agreement.”</w:t>
      </w:r>
    </w:p>
    <w:p>
      <w:pPr>
        <w:spacing w:after="0" w:line="72" w:lineRule="exact"/>
        <w:rPr>
          <w:sz w:val="20"/>
          <w:szCs w:val="20"/>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ascribed to them in the Agreement.</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necessary, all terms of the Agreement are hereby amended to be consistent with the terms of this Amendment. Except as set forth herein, the Agreement remains in full force and effect according to its terms.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40" w:name="page141"/>
    <w:bookmarkEnd w:id="140"/>
    <w:p>
      <w:pPr>
        <w:ind w:left="446" w:hanging="446"/>
        <w:spacing w:after="0"/>
        <w:tabs>
          <w:tab w:leader="none" w:pos="4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shall become effective from the 6th of October, 2004.</w:t>
      </w:r>
    </w:p>
    <w:p>
      <w:pPr>
        <w:spacing w:after="0" w:line="9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shall be governed by, and shall be construed in accordance with, the laws of Korea.</w:t>
      </w:r>
    </w:p>
    <w:p>
      <w:pPr>
        <w:spacing w:after="0" w:line="192" w:lineRule="exact"/>
        <w:rPr>
          <w:sz w:val="20"/>
          <w:szCs w:val="20"/>
          <w:color w:val="auto"/>
        </w:rPr>
      </w:pPr>
    </w:p>
    <w:p>
      <w:pPr>
        <w:jc w:val="center"/>
        <w:ind w:right="-76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76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765"/>
          </w:cols>
          <w:pgMar w:left="694" w:top="274"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their duly authorized representatives to execute this Amendment as of the date first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&amp;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Semiconductor,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240" w:top="274" w:right="10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10.11(a)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BUILDING LEASE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First Amendment to Building Lease Agreement (this “Amendment”) is entered into as of December 30, 2005 by and between Hynix Semiconductor,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 and MagnaChip Semiconductor Ltd. (“Lessor”) (each a “Party”, and collectively the “Parties”).</w:t>
      </w:r>
    </w:p>
    <w:p>
      <w:pPr>
        <w:spacing w:after="0" w:line="15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WHEREAS, the Parties are parties to that certain Building Lease Agreement with respect to R Building, C1 Building and C2 Building located in Cheong-Ju, dated as of October 6, 2004 (the “Agreement”), and wish to amend the Agreement as set forth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 is hereby amended and restated in its entirety as follows:</w:t>
      </w:r>
    </w:p>
    <w:p>
      <w:pPr>
        <w:spacing w:after="0" w:line="90" w:lineRule="exact"/>
        <w:rPr>
          <w:sz w:val="20"/>
          <w:szCs w:val="20"/>
          <w:color w:val="auto"/>
        </w:rPr>
      </w:pPr>
    </w:p>
    <w:p>
      <w:pPr>
        <w:ind w:left="920" w:right="40"/>
        <w:spacing w:after="0" w:line="237" w:lineRule="auto"/>
        <w:rPr>
          <w:sz w:val="20"/>
          <w:szCs w:val="20"/>
          <w:color w:val="auto"/>
        </w:rPr>
      </w:pPr>
      <w:r>
        <w:rPr>
          <w:rFonts w:ascii="Times New Roman" w:cs="Times New Roman" w:eastAsia="Times New Roman" w:hAnsi="Times New Roman"/>
          <w:sz w:val="18"/>
          <w:szCs w:val="18"/>
          <w:color w:val="auto"/>
        </w:rPr>
        <w:t>“Lessor shall provide an invoice (the “Invoice”) to Lessee by the last day of each calendar month which shall include the amounts of Rent (including Taxes), Lessor Maintenance Fee, Other Costs (as defined in Section 6.3) and the corresponding VAT amount payable by Lessee for such month. Lessee shall pay in aggregate the Rent, Lessor Maintenance Fee, Other Costs and the corresponding VAT amount stated on each Invoice to the Lessor’s designated account, or as otherwise designated by Lessor, by means of a wire transfer in immediately available funds by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the next calendar month following the date of the Invoice (the “Due Date”). Lessee shall review each Invoice for Taxes by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the next calendar month following the date of the Invoice, and, notwithstanding anything herein to the contrary, if not in agreement with the amount, then Lessee may require the Lessor to contest such Taxes as provided in Section 4.3 of this Agreement.”</w:t>
      </w:r>
    </w:p>
    <w:p>
      <w:pPr>
        <w:spacing w:after="0" w:line="72" w:lineRule="exact"/>
        <w:rPr>
          <w:sz w:val="20"/>
          <w:szCs w:val="20"/>
          <w:color w:val="auto"/>
        </w:rPr>
      </w:pPr>
    </w:p>
    <w:p>
      <w:pPr>
        <w:ind w:left="900" w:hanging="44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ascribed to them in the Agreement.</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necessary, all terms of the Agreement are hereby amended to be consistent with the terms of this Amendment. Except as set forth herein, the Agreement remains in full force and effect according to its terms.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43" w:name="page144"/>
    <w:bookmarkEnd w:id="143"/>
    <w:p>
      <w:pPr>
        <w:ind w:left="446" w:hanging="446"/>
        <w:spacing w:after="0"/>
        <w:tabs>
          <w:tab w:leader="none" w:pos="4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shall become effective from the 6th of October, 2004.</w:t>
      </w:r>
    </w:p>
    <w:p>
      <w:pPr>
        <w:spacing w:after="0" w:line="9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Amendment shall be governed by, and shall be construed in accordance with, the laws of Korea.</w:t>
      </w:r>
    </w:p>
    <w:p>
      <w:pPr>
        <w:spacing w:after="0" w:line="192" w:lineRule="exact"/>
        <w:rPr>
          <w:sz w:val="20"/>
          <w:szCs w:val="20"/>
          <w:color w:val="auto"/>
        </w:rPr>
      </w:pPr>
    </w:p>
    <w:p>
      <w:pPr>
        <w:jc w:val="center"/>
        <w:ind w:right="-76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76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765"/>
          </w:cols>
          <w:pgMar w:left="694" w:top="274"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their duly authorized representatives to execute this Amendment as of the date first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&amp;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Semiconductor,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240" w:top="274" w:right="105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10.12(a)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LAND LEASE AND EASEMENT AGREEMENT</w:t>
      </w:r>
    </w:p>
    <w:p>
      <w:pPr>
        <w:spacing w:after="0" w:line="173" w:lineRule="exact"/>
        <w:rPr>
          <w:sz w:val="20"/>
          <w:szCs w:val="20"/>
          <w:color w:val="auto"/>
        </w:rPr>
      </w:pPr>
    </w:p>
    <w:p>
      <w:pPr>
        <w:ind w:right="980"/>
        <w:spacing w:after="0" w:line="275" w:lineRule="auto"/>
        <w:rPr>
          <w:sz w:val="20"/>
          <w:szCs w:val="20"/>
          <w:color w:val="auto"/>
        </w:rPr>
      </w:pPr>
      <w:r>
        <w:rPr>
          <w:rFonts w:ascii="Times New Roman" w:cs="Times New Roman" w:eastAsia="Times New Roman" w:hAnsi="Times New Roman"/>
          <w:sz w:val="18"/>
          <w:szCs w:val="18"/>
          <w:color w:val="auto"/>
        </w:rPr>
        <w:t>This First Amendment to Land Lease and Easement Agreement (this “Amendment”) is entered into as of December 30, 2005 by and between Hynix Semiconductor, Inc. (“Lessor”) and MagnaChip Semiconductor Ltd. (“Lessee”) (each a “Party”, and collectively the “Parties”).</w:t>
      </w:r>
    </w:p>
    <w:p>
      <w:pPr>
        <w:spacing w:after="0" w:line="1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WHEREAS, the Parties are parties to that certain Land Lease and Easement Agreement dated as of October 6, 2004 (the “Agreement”), and wish to amend the Agreement as set forth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00" w:hanging="446"/>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 is hereby amended and restated in its entirety as follows:</w:t>
      </w:r>
    </w:p>
    <w:p>
      <w:pPr>
        <w:spacing w:after="0" w:line="90" w:lineRule="exact"/>
        <w:rPr>
          <w:sz w:val="20"/>
          <w:szCs w:val="20"/>
          <w:color w:val="auto"/>
        </w:rPr>
      </w:pPr>
    </w:p>
    <w:p>
      <w:pPr>
        <w:ind w:left="920" w:right="380"/>
        <w:spacing w:after="0" w:line="275" w:lineRule="auto"/>
        <w:rPr>
          <w:sz w:val="20"/>
          <w:szCs w:val="20"/>
          <w:color w:val="auto"/>
        </w:rPr>
      </w:pPr>
      <w:r>
        <w:rPr>
          <w:rFonts w:ascii="Times New Roman" w:cs="Times New Roman" w:eastAsia="Times New Roman" w:hAnsi="Times New Roman"/>
          <w:sz w:val="18"/>
          <w:szCs w:val="18"/>
          <w:color w:val="auto"/>
        </w:rPr>
        <w:t>“Lessor shall provide an invoice (the “Invoice”) to Lessee by the last day of each calendar month which shall include the amount of Rent, Other Costs and the corresponding VAT amount payable by Lessee for such month.”</w:t>
      </w:r>
    </w:p>
    <w:p>
      <w:pPr>
        <w:spacing w:after="0" w:line="39" w:lineRule="exact"/>
        <w:rPr>
          <w:sz w:val="20"/>
          <w:szCs w:val="20"/>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4.3 is hereby amended and restated in its entirety as follows:</w:t>
      </w:r>
    </w:p>
    <w:p>
      <w:pPr>
        <w:spacing w:after="0" w:line="90" w:lineRule="exact"/>
        <w:rPr>
          <w:sz w:val="20"/>
          <w:szCs w:val="20"/>
          <w:color w:val="auto"/>
        </w:rPr>
      </w:pPr>
    </w:p>
    <w:p>
      <w:pPr>
        <w:jc w:val="both"/>
        <w:ind w:left="920" w:right="80"/>
        <w:spacing w:after="0" w:line="237" w:lineRule="auto"/>
        <w:rPr>
          <w:sz w:val="20"/>
          <w:szCs w:val="20"/>
          <w:color w:val="auto"/>
        </w:rPr>
      </w:pPr>
      <w:r>
        <w:rPr>
          <w:rFonts w:ascii="Times New Roman" w:cs="Times New Roman" w:eastAsia="Times New Roman" w:hAnsi="Times New Roman"/>
          <w:sz w:val="18"/>
          <w:szCs w:val="18"/>
          <w:color w:val="auto"/>
        </w:rPr>
        <w:t>“Lessee shall pay in aggregate the Rent, Other Costs and the corresponding VAT amount stated on each Invoice to the Lessor’s designated account, or as otherwise designated by Lessor, by means of wire transfer in immediately available funds by the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the next calendar month following the date of the Invoice (the “Due Date”).”</w:t>
      </w:r>
    </w:p>
    <w:p>
      <w:pPr>
        <w:spacing w:after="0" w:line="71"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ascribed to them in the Agreement.</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necessary, all terms of the Agreement are hereby amended to be consistent with the terms of this Amendment. Except as set forth herein, the Agreement remains in full force and effect according to its terms.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from the 6th of October, 2004.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46" w:name="page147"/>
    <w:bookmarkEnd w:id="146"/>
    <w:p>
      <w:pPr>
        <w:ind w:left="446" w:hanging="446"/>
        <w:spacing w:after="0"/>
        <w:tabs>
          <w:tab w:leader="none" w:pos="44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shall be governed by, and shall be construed in accordance with, the laws of Korea.</w:t>
      </w:r>
    </w:p>
    <w:p>
      <w:pPr>
        <w:sectPr>
          <w:pgSz w:w="11900" w:h="16838" w:orient="portrait"/>
          <w:cols w:equalWidth="0" w:num="1">
            <w:col w:w="9765"/>
          </w:cols>
          <w:pgMar w:left="694" w:top="274" w:right="1440" w:bottom="1440" w:gutter="0" w:footer="0" w:header="0"/>
        </w:sectPr>
      </w:pPr>
    </w:p>
    <w:p>
      <w:pPr>
        <w:spacing w:after="0" w:line="192" w:lineRule="exact"/>
        <w:rPr>
          <w:sz w:val="20"/>
          <w:szCs w:val="20"/>
          <w:color w:val="auto"/>
        </w:rPr>
      </w:pPr>
    </w:p>
    <w:p>
      <w:pPr>
        <w:jc w:val="center"/>
        <w:ind w:right="-746"/>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183" w:lineRule="exact"/>
        <w:rPr>
          <w:sz w:val="20"/>
          <w:szCs w:val="20"/>
          <w:color w:val="auto"/>
        </w:rPr>
      </w:pPr>
    </w:p>
    <w:p>
      <w:pPr>
        <w:jc w:val="center"/>
        <w:ind w:right="-74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765"/>
          </w:cols>
          <w:pgMar w:left="694" w:top="274" w:right="1440"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their duly authorized representatives to execute this Amendment as of the date first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&amp;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Semiconductor,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240" w:top="274" w:right="10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10.14(a)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MASK PRODUCTION AND SUPPLY AGREEMENT</w:t>
      </w:r>
    </w:p>
    <w:p>
      <w:pPr>
        <w:spacing w:after="0" w:line="173"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This First Amendment to Mask Production and Supply Agreement (this “Amendment”) is entered into as of December 30, 2005 by and between Hynix Semiconductor, Inc. (the “Supplier”) and MagnaChip Semiconductor Ltd. (the “Purchaser”) (each a “Party”, and collectively the “Parties”).</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WHEREAS, the Parties are parties to that certain Mask Production and Supply Agreement dated as of October 6, 2004 (the “Agreement”), and wish to amend the Agreement as set forth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20" w:right="3280" w:hanging="466"/>
        <w:spacing w:after="0" w:line="461" w:lineRule="auto"/>
        <w:tabs>
          <w:tab w:leader="none" w:pos="89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is hereby amended by adding the following thereto in the appropriate alphabetical position: ““C1 Building” shall have the meaning ascribed to such term in Section 4.2.”</w:t>
      </w:r>
    </w:p>
    <w:p>
      <w:pPr>
        <w:spacing w:after="0" w:line="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is hereby amended and restated in its entirety as follows:</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unit price of the Products (the “Unit Price”) supplied hereunder shall be determined on a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in accordance with the following formula:</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each process technology:</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 is hereby amended and restated in its entirety as follows:</w:t>
      </w:r>
    </w:p>
    <w:p>
      <w:pPr>
        <w:spacing w:after="0" w:line="90" w:lineRule="exact"/>
        <w:rPr>
          <w:sz w:val="20"/>
          <w:szCs w:val="20"/>
          <w:color w:val="auto"/>
        </w:rPr>
      </w:pPr>
    </w:p>
    <w:p>
      <w:pPr>
        <w:ind w:left="920" w:right="380"/>
        <w:spacing w:after="0" w:line="275" w:lineRule="auto"/>
        <w:rPr>
          <w:sz w:val="20"/>
          <w:szCs w:val="20"/>
          <w:color w:val="auto"/>
        </w:rPr>
      </w:pPr>
      <w:r>
        <w:rPr>
          <w:rFonts w:ascii="Times New Roman" w:cs="Times New Roman" w:eastAsia="Times New Roman" w:hAnsi="Times New Roman"/>
          <w:sz w:val="18"/>
          <w:szCs w:val="18"/>
          <w:color w:val="auto"/>
        </w:rPr>
        <w:t>“The Unit Price shall be exclusive of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Unit Price shall be on an ex warehouse Supplier’s facilities located in the C1 Building and C2 Building located at Supplier’s manufacturing facility in Cheongju, Korea (respectively, the “C1 Building” and “C2 Building”).”</w:t>
      </w:r>
    </w:p>
    <w:p>
      <w:pPr>
        <w:spacing w:after="0" w:line="39" w:lineRule="exact"/>
        <w:rPr>
          <w:sz w:val="20"/>
          <w:szCs w:val="20"/>
          <w:color w:val="auto"/>
        </w:rPr>
      </w:pPr>
    </w:p>
    <w:p>
      <w:pPr>
        <w:ind w:left="920" w:right="22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 Portions of this exhibit are subject to a request for confidential treatment and have been redacted and filed separately with the Securities and Exchange Commission.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49" w:name="page150"/>
    <w:bookmarkEnd w:id="149"/>
    <w:p>
      <w:pPr>
        <w:ind w:left="446" w:hanging="446"/>
        <w:spacing w:after="0"/>
        <w:tabs>
          <w:tab w:leader="none" w:pos="4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new Section 4.3 is hereby added to Article 4 as follows:</w:t>
      </w:r>
    </w:p>
    <w:p>
      <w:pPr>
        <w:spacing w:after="0" w:line="90" w:lineRule="exact"/>
        <w:rPr>
          <w:sz w:val="20"/>
          <w:szCs w:val="20"/>
          <w:color w:val="auto"/>
        </w:rPr>
      </w:pPr>
    </w:p>
    <w:p>
      <w:pPr>
        <w:ind w:left="466" w:right="540"/>
        <w:spacing w:after="0" w:line="275" w:lineRule="auto"/>
        <w:rPr>
          <w:sz w:val="20"/>
          <w:szCs w:val="20"/>
          <w:color w:val="auto"/>
        </w:rPr>
      </w:pPr>
      <w:r>
        <w:rPr>
          <w:rFonts w:ascii="Times New Roman" w:cs="Times New Roman" w:eastAsia="Times New Roman" w:hAnsi="Times New Roman"/>
          <w:sz w:val="18"/>
          <w:szCs w:val="18"/>
          <w:color w:val="auto"/>
        </w:rPr>
        <w:t>“In the event that the Unit Price offered by the Supplier exceeds the price offered by other domestic suppliers, the Unit Price may be adjusted through negotiation between the Supplier and Purchaser.”</w:t>
      </w:r>
    </w:p>
    <w:p>
      <w:pPr>
        <w:spacing w:after="0" w:line="160" w:lineRule="exact"/>
        <w:rPr>
          <w:sz w:val="20"/>
          <w:szCs w:val="20"/>
          <w:color w:val="auto"/>
        </w:rPr>
      </w:pPr>
    </w:p>
    <w:p>
      <w:pPr>
        <w:ind w:left="446" w:hanging="446"/>
        <w:spacing w:after="0"/>
        <w:tabs>
          <w:tab w:leader="none" w:pos="4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 is hereby amended and restated in its entirety as follows:</w:t>
      </w:r>
    </w:p>
    <w:p>
      <w:pPr>
        <w:spacing w:after="0" w:line="90" w:lineRule="exact"/>
        <w:rPr>
          <w:sz w:val="20"/>
          <w:szCs w:val="20"/>
          <w:color w:val="auto"/>
        </w:rPr>
      </w:pPr>
    </w:p>
    <w:p>
      <w:pPr>
        <w:ind w:left="466"/>
        <w:spacing w:after="0" w:line="253" w:lineRule="auto"/>
        <w:rPr>
          <w:sz w:val="20"/>
          <w:szCs w:val="20"/>
          <w:color w:val="auto"/>
        </w:rPr>
      </w:pPr>
      <w:r>
        <w:rPr>
          <w:rFonts w:ascii="Times New Roman" w:cs="Times New Roman" w:eastAsia="Times New Roman" w:hAnsi="Times New Roman"/>
          <w:sz w:val="18"/>
          <w:szCs w:val="18"/>
          <w:color w:val="auto"/>
        </w:rPr>
        <w:t>“Subject to Section 5.1, unless otherwise designated by the Purchaser in writing, delivery will be ex warehouse Supplier’s facilities located in the C1 Building and C2 Building in Cheongju, Korea, and the Supplier shall deliver the Products to the Purchaser on or before the delivery date as provided in the relevant Purchase Order. Once the Products are delivered to Supplier’s facilities located in the C1 Building or C2 Building in Cheongju, Korea or any other place designated by Purchaser in writing, delivery shall be deemed completed and the title to, and the risk of loss of, the Products shall pass to the Purchaser. The Purchaser may request that the Products be delivered to a location designated by the Purchaser. If the Supplier agrees to deliver the Products to such location designated by the Purchaser, then the Purchaser shall bear all costs and expenses incurred in connection with handling, adequate insurance and transportation of the Products from the Supplier’s facilities located in the C1 Building and C2 Building in Cheongju, Korea, to the location designated by the Purchaser. In the event the Supplier fails to deliver the Products on or before the delivery date as provided in the relevant Purchase Order, or to the location designated by the Purchaser pursuant to this Section 5.2, the Supplier shall pay a delay charge of eight percent (8%) per annum of the total Unit Price of the non-delivered Products per day.”</w:t>
      </w:r>
    </w:p>
    <w:p>
      <w:pPr>
        <w:spacing w:after="0" w:line="181" w:lineRule="exact"/>
        <w:rPr>
          <w:sz w:val="20"/>
          <w:szCs w:val="20"/>
          <w:color w:val="auto"/>
        </w:rPr>
      </w:pPr>
    </w:p>
    <w:p>
      <w:pPr>
        <w:ind w:left="446" w:right="380" w:hanging="446"/>
        <w:spacing w:after="0" w:line="275" w:lineRule="auto"/>
        <w:tabs>
          <w:tab w:leader="none" w:pos="4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“the Supplier’s facility located in C2 Building” in Article 6 is hereby replaced with the clause “the Supplier’s facilities located in C1 Building or C2 Building.”</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“fifteenth day” in Section 7.1 is hereby replaced with the clause “last day.”</w:t>
      </w:r>
    </w:p>
    <w:p>
      <w:pPr>
        <w:spacing w:after="0" w:line="9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ascribed to them in the Agreement.</w:t>
      </w:r>
    </w:p>
    <w:p>
      <w:pPr>
        <w:spacing w:after="0" w:line="158"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6"/>
          </w:cols>
          <w:pgMar w:left="694" w:top="274" w:right="279" w:bottom="1440" w:gutter="0" w:footer="0" w:header="0"/>
        </w:sectPr>
      </w:pPr>
    </w:p>
    <w:bookmarkStart w:id="150" w:name="page151"/>
    <w:bookmarkEnd w:id="150"/>
    <w:p>
      <w:pPr>
        <w:ind w:left="446" w:hanging="446"/>
        <w:spacing w:after="0" w:line="275" w:lineRule="auto"/>
        <w:tabs>
          <w:tab w:leader="none" w:pos="4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Wherever necessary, all terms of the Agreement are hereby amended to be consistent with the terms of this Amendment. Except as set forth herein, the Agreement remains in full force and effect according to its terms.</w:t>
      </w:r>
    </w:p>
    <w:p>
      <w:pPr>
        <w:spacing w:after="0" w:line="38" w:lineRule="exact"/>
        <w:rPr>
          <w:rFonts w:ascii="Times New Roman" w:cs="Times New Roman" w:eastAsia="Times New Roman" w:hAnsi="Times New Roman"/>
          <w:sz w:val="18"/>
          <w:szCs w:val="18"/>
          <w:color w:val="auto"/>
        </w:rPr>
      </w:pPr>
    </w:p>
    <w:p>
      <w:pPr>
        <w:ind w:left="446" w:right="40" w:hanging="446"/>
        <w:spacing w:after="0" w:line="275" w:lineRule="auto"/>
        <w:tabs>
          <w:tab w:leader="none" w:pos="4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1, 3, 4, 5, 6 and 7 of this Amendment shall become effective from the 6th of October, 2004 and Article 2 of this Amendment shall become effective from the 1st of December, 2005.</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shall be construed in accordance with, the laws of Korea.</w:t>
      </w:r>
    </w:p>
    <w:p>
      <w:pPr>
        <w:spacing w:after="0" w:line="169"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6"/>
          </w:cols>
          <w:pgMar w:left="694" w:top="274" w:right="4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their duly authorized representatives to execute this Amendment as of the date first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-130175</wp:posOffset>
            </wp:positionV>
            <wp:extent cx="27870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&amp; Chief Executive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Semiconductor,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-130175</wp:posOffset>
            </wp:positionV>
            <wp:extent cx="27870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00"/>
          </w:cols>
          <w:pgMar w:left="240" w:top="273" w:right="105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10.15(a)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GENERAL SERVICE SUPPLY AGREEMENT</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This First Amendment to General Service Supply Agreement (this “Amendment”) is entered into as of December 30, 2005 by and between Hynix Semiconductor, Inc. (“Hynix”) and MagnaChip Semiconductor Ltd. (“NewCo”) (each a “Party”, and collectively the “Parties”).</w:t>
      </w:r>
    </w:p>
    <w:p>
      <w:pPr>
        <w:spacing w:after="0" w:line="12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WHEREAS, the Parties are parties to that certain General Service Supply Agreement dated as of October 6, 2004 (the “Agreement”), and wish to amend the Agreement as set forth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is hereby amended by adding the following thereto in the appropriate alphabetical order :</w:t>
      </w:r>
    </w:p>
    <w:p>
      <w:pPr>
        <w:spacing w:after="0" w:line="90" w:lineRule="exact"/>
        <w:rPr>
          <w:sz w:val="20"/>
          <w:szCs w:val="20"/>
          <w:color w:val="auto"/>
        </w:rPr>
      </w:pPr>
    </w:p>
    <w:p>
      <w:pPr>
        <w:jc w:val="both"/>
        <w:ind w:left="920" w:right="320"/>
        <w:spacing w:after="0" w:line="258" w:lineRule="auto"/>
        <w:rPr>
          <w:sz w:val="20"/>
          <w:szCs w:val="20"/>
          <w:color w:val="auto"/>
        </w:rPr>
      </w:pPr>
      <w:r>
        <w:rPr>
          <w:rFonts w:ascii="Times New Roman" w:cs="Times New Roman" w:eastAsia="Times New Roman" w:hAnsi="Times New Roman"/>
          <w:sz w:val="18"/>
          <w:szCs w:val="18"/>
          <w:color w:val="auto"/>
        </w:rPr>
        <w:t>“”Mask Shop Chemicals and Gases Procurement Services” shall mean the provision by NewCo to Hynix with such quantities of the chemicals (including TMAH2.38, Thinner, HMDS, H2SO4, H2O2, NH4OH and IPA) and gases (including CI2, CF4, CHF3, SF6, HCI, F2/Kr/Ne, Kr/Ne) (collectively, the “Chemicals and Gases”) required for Hynix’s mask production lines installed in C1 and C2 buildings as are requested by Hynix from time to time.”</w:t>
      </w:r>
    </w:p>
    <w:p>
      <w:pPr>
        <w:spacing w:after="0" w:line="177"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is hereby amended by deleting the defined term “Services” and replacing such defined term with the following:</w:t>
      </w:r>
    </w:p>
    <w:p>
      <w:pPr>
        <w:spacing w:after="0" w:line="90" w:lineRule="exact"/>
        <w:rPr>
          <w:sz w:val="20"/>
          <w:szCs w:val="20"/>
          <w:color w:val="auto"/>
        </w:rPr>
      </w:pPr>
    </w:p>
    <w:p>
      <w:pPr>
        <w:ind w:left="920" w:right="220"/>
        <w:spacing w:after="0" w:line="256" w:lineRule="auto"/>
        <w:rPr>
          <w:sz w:val="20"/>
          <w:szCs w:val="20"/>
          <w:color w:val="auto"/>
        </w:rPr>
      </w:pPr>
      <w:r>
        <w:rPr>
          <w:rFonts w:ascii="Times New Roman" w:cs="Times New Roman" w:eastAsia="Times New Roman" w:hAnsi="Times New Roman"/>
          <w:sz w:val="18"/>
          <w:szCs w:val="18"/>
          <w:color w:val="auto"/>
        </w:rPr>
        <w:t>““Services” shall mean such services related to goods, facilities and utilities which are required or desirable for transition, setting-up or continuing operation of the applicable Party’s business and consisting of each of the services constituting the Vivendi Services, Hynix Utilities and Infrastructure Support Services, NewCo Utilities and Infrastructure Support Services, Welfare Facility Services, Environmental Safety &amp; Facility Monitoring Services, Mask Services, CAO Operation Support Services, Chemical Procurement Services, Mask Shop Chemicals and Gases Procurement Services , Joint Purchasing Services and the other services described herein.”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53" w:name="page154"/>
    <w:bookmarkEnd w:id="153"/>
    <w:p>
      <w:pPr>
        <w:ind w:left="446" w:hanging="446"/>
        <w:spacing w:after="0"/>
        <w:tabs>
          <w:tab w:leader="none" w:pos="4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2.6 is hereby amended and restated in its entirety as follows:</w:t>
      </w:r>
    </w:p>
    <w:p>
      <w:pPr>
        <w:spacing w:after="0" w:line="90" w:lineRule="exact"/>
        <w:rPr>
          <w:sz w:val="20"/>
          <w:szCs w:val="20"/>
          <w:color w:val="auto"/>
        </w:rPr>
      </w:pPr>
    </w:p>
    <w:p>
      <w:pPr>
        <w:ind w:left="466" w:right="100"/>
        <w:spacing w:after="0" w:line="258" w:lineRule="auto"/>
        <w:rPr>
          <w:sz w:val="20"/>
          <w:szCs w:val="20"/>
          <w:color w:val="auto"/>
        </w:rPr>
      </w:pPr>
      <w:r>
        <w:rPr>
          <w:rFonts w:ascii="Times New Roman" w:cs="Times New Roman" w:eastAsia="Times New Roman" w:hAnsi="Times New Roman"/>
          <w:sz w:val="18"/>
          <w:szCs w:val="18"/>
          <w:color w:val="auto"/>
        </w:rPr>
        <w:t>“Each of the NewCo Utilities and Infrastructure Support Services and Mask Shop Chemicals and Gases Procurement Services shall be provided for the Initial Service Period and for successive additional one (1)-year periods, unless Hynix notifies NewCo in writing of its desire not to renew the provision of such Services at least sixty (60) days prior to the expiration of the Initial Service Period or any annual anniversary thereof or such Services are earlier terminated pursuant to this Agreement.”</w:t>
      </w:r>
    </w:p>
    <w:p>
      <w:pPr>
        <w:spacing w:after="0" w:line="177" w:lineRule="exact"/>
        <w:rPr>
          <w:sz w:val="20"/>
          <w:szCs w:val="20"/>
          <w:color w:val="auto"/>
        </w:rPr>
      </w:pPr>
    </w:p>
    <w:p>
      <w:pPr>
        <w:ind w:left="446" w:hanging="446"/>
        <w:spacing w:after="0"/>
        <w:tabs>
          <w:tab w:leader="none" w:pos="44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3.1 is hereby amended by deleting the second sentence thereof in its entirety and by adding the following sentence to the end of such section:</w:t>
      </w:r>
    </w:p>
    <w:p>
      <w:pPr>
        <w:spacing w:after="0" w:line="113" w:lineRule="exact"/>
        <w:rPr>
          <w:sz w:val="20"/>
          <w:szCs w:val="20"/>
          <w:color w:val="auto"/>
        </w:rPr>
      </w:pPr>
    </w:p>
    <w:p>
      <w:pPr>
        <w:ind w:left="466" w:right="440"/>
        <w:spacing w:after="0" w:line="275" w:lineRule="auto"/>
        <w:rPr>
          <w:sz w:val="20"/>
          <w:szCs w:val="20"/>
          <w:color w:val="auto"/>
        </w:rPr>
      </w:pPr>
      <w:r>
        <w:rPr>
          <w:rFonts w:ascii="Times New Roman" w:cs="Times New Roman" w:eastAsia="Times New Roman" w:hAnsi="Times New Roman"/>
          <w:sz w:val="18"/>
          <w:szCs w:val="18"/>
          <w:color w:val="auto"/>
        </w:rPr>
        <w:t>“NewCo shall provide Hynix with the NewCo Utilities and Infrastructure Support Services and Mask Shop Chemicals and Gases Procurement Services, and Hynix shall receive such Services from NewCo, for the periods determined in accordance with Article 2.”</w:t>
      </w:r>
    </w:p>
    <w:p>
      <w:pPr>
        <w:spacing w:after="0" w:line="160" w:lineRule="exact"/>
        <w:rPr>
          <w:sz w:val="20"/>
          <w:szCs w:val="20"/>
          <w:color w:val="auto"/>
        </w:rPr>
      </w:pPr>
    </w:p>
    <w:p>
      <w:pPr>
        <w:ind w:left="446" w:right="400" w:hanging="446"/>
        <w:spacing w:after="0" w:line="275" w:lineRule="auto"/>
        <w:tabs>
          <w:tab w:leader="none" w:pos="4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hereto shall be added as Exhibit H of the Agreement and Section 3.3 is hereby amended by deleting the first sentence thereof in its entirety and by adding the following sentence to the beginning of such section:</w:t>
      </w:r>
    </w:p>
    <w:p>
      <w:pPr>
        <w:spacing w:after="0" w:line="39" w:lineRule="exact"/>
        <w:rPr>
          <w:sz w:val="20"/>
          <w:szCs w:val="20"/>
          <w:color w:val="auto"/>
        </w:rPr>
      </w:pPr>
    </w:p>
    <w:p>
      <w:pPr>
        <w:ind w:left="466" w:right="240"/>
        <w:spacing w:after="0" w:line="262" w:lineRule="auto"/>
        <w:rPr>
          <w:sz w:val="20"/>
          <w:szCs w:val="20"/>
          <w:color w:val="auto"/>
        </w:rPr>
      </w:pPr>
      <w:r>
        <w:rPr>
          <w:rFonts w:ascii="Times New Roman" w:cs="Times New Roman" w:eastAsia="Times New Roman" w:hAnsi="Times New Roman"/>
          <w:sz w:val="18"/>
          <w:szCs w:val="18"/>
          <w:color w:val="auto"/>
        </w:rPr>
        <w:t>“The fees for the Environmental Safety &amp; Facility Monitoring Services, Hynix Utilities and Infrastructure Support Services, NewCo Utilities and Infrastructure Support Services, Welfare Facility Services, Chemical Procurement Services and Mask Shop Chemicals and Gases Procurement Services shall be determined in accordance with Exhibits B, C.1, C.2, E, F and H, respectively.”</w:t>
      </w:r>
    </w:p>
    <w:p>
      <w:pPr>
        <w:spacing w:after="0" w:line="173" w:lineRule="exact"/>
        <w:rPr>
          <w:sz w:val="20"/>
          <w:szCs w:val="20"/>
          <w:color w:val="auto"/>
        </w:rPr>
      </w:pPr>
    </w:p>
    <w:p>
      <w:pPr>
        <w:ind w:left="446" w:hanging="446"/>
        <w:spacing w:after="0"/>
        <w:tabs>
          <w:tab w:leader="none" w:pos="4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 is hereby amended and restated in its entirety as follows:</w:t>
      </w:r>
    </w:p>
    <w:p>
      <w:pPr>
        <w:spacing w:after="0" w:line="90" w:lineRule="exact"/>
        <w:rPr>
          <w:sz w:val="20"/>
          <w:szCs w:val="20"/>
          <w:color w:val="auto"/>
        </w:rPr>
      </w:pPr>
    </w:p>
    <w:p>
      <w:pPr>
        <w:jc w:val="both"/>
        <w:ind w:left="466" w:right="140"/>
        <w:spacing w:after="0"/>
        <w:rPr>
          <w:sz w:val="20"/>
          <w:szCs w:val="20"/>
          <w:color w:val="auto"/>
        </w:rPr>
      </w:pPr>
      <w:r>
        <w:rPr>
          <w:rFonts w:ascii="Times New Roman" w:cs="Times New Roman" w:eastAsia="Times New Roman" w:hAnsi="Times New Roman"/>
          <w:sz w:val="18"/>
          <w:szCs w:val="18"/>
          <w:color w:val="auto"/>
        </w:rPr>
        <w:t>“Hynix shall invoice NewCo on the last day (except that for the Vivendi Services this shall be the fourteenth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day, until the expiration and/or termination of the Vivendi Water and Wastewater Service Agreement) of each calendar month for the fees for the Environmental Safety &amp; Facility Monitoring Services, Hynix Utilities and Infrastructure Support Services (except for the fees for electricity (substation of the Korea Electric Power Corporation), water and fuel, which will be invoiced as set forth in the third sentence of this Section 7.1),</w:t>
      </w:r>
    </w:p>
    <w:p>
      <w:pPr>
        <w:spacing w:after="0" w:line="139"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6"/>
          </w:cols>
          <w:pgMar w:left="694" w:top="274" w:right="279" w:bottom="1440" w:gutter="0" w:footer="0" w:header="0"/>
        </w:sectPr>
      </w:pPr>
    </w:p>
    <w:bookmarkStart w:id="154" w:name="page155"/>
    <w:bookmarkEnd w:id="154"/>
    <w:p>
      <w:pPr>
        <w:ind w:left="466" w:right="4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Vivendi Services, Welfare Facility Services and Chemical Procurement Services, provided during such calendar month specifying the Services provided during that month and the amount of fees for such Services calculated in accordance with Exhibits B, C.1, D, E and F, respectively, and Article 3. By the twenty-fifth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day of the next calendar month following the invoice (except with respect to the Vivendi Services for which the due date will be the twenty-fourth (24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day of the invoiced calendar month, until the expiration and/or termination of the Vivendi Water and Wastewater Service Agreement), NewCo shall pay the invoiced amount and value added tax thereto to Hynix’s designated account by means of a wire transfer in cash. In addition, by the fifth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day prior to the due date for the fees for electricity (substation of the Korea Electric Power Corporation), water and fuel supplied by Hynix to NewCo as part of the Hynix Utilities and Infrastructure Support Services as such due date is set forth on the relevant invoice therefore, Hynix shall invoice NewCo for the fees for such Services in the amounts for which such fees are set forth on the relevant invoice issued by relevant agencies and NewCo shall pay such invoiced amount and value added tax thereto to Hynix’s designated account by means of a wire transfer in cash by one (1) Business Day prior to such due date.”</w:t>
      </w:r>
    </w:p>
    <w:p>
      <w:pPr>
        <w:spacing w:after="0" w:line="192" w:lineRule="exact"/>
        <w:rPr>
          <w:sz w:val="20"/>
          <w:szCs w:val="20"/>
          <w:color w:val="auto"/>
        </w:rPr>
      </w:pPr>
    </w:p>
    <w:p>
      <w:pPr>
        <w:ind w:left="446" w:hanging="446"/>
        <w:spacing w:after="0"/>
        <w:tabs>
          <w:tab w:leader="none" w:pos="4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 is hereby amended and restated in its entirety as follows:</w:t>
      </w:r>
    </w:p>
    <w:p>
      <w:pPr>
        <w:spacing w:after="0" w:line="90" w:lineRule="exact"/>
        <w:rPr>
          <w:sz w:val="20"/>
          <w:szCs w:val="20"/>
          <w:color w:val="auto"/>
        </w:rPr>
      </w:pPr>
    </w:p>
    <w:p>
      <w:pPr>
        <w:ind w:left="466"/>
        <w:spacing w:after="0" w:line="243" w:lineRule="auto"/>
        <w:rPr>
          <w:sz w:val="20"/>
          <w:szCs w:val="20"/>
          <w:color w:val="auto"/>
        </w:rPr>
      </w:pPr>
      <w:r>
        <w:rPr>
          <w:rFonts w:ascii="Times New Roman" w:cs="Times New Roman" w:eastAsia="Times New Roman" w:hAnsi="Times New Roman"/>
          <w:sz w:val="18"/>
          <w:szCs w:val="18"/>
          <w:color w:val="auto"/>
        </w:rPr>
        <w:t>“NewCo shall invoice Hynix on the last day of each calendar month for the fees for the NewCo Utilities and Infrastructure Support Services and Mask Shop Chemicals and Gases Procurement Services provided during such calendar month specifying the Services provided during that month and the amount of fees for such Services calculated in accordance with Exhibits C.2 and H, respectively. By the twenty-fifth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day of the next calendar month following the invoice, Hynix shall pay the invoiced amount and value added tax thereto to NewCo’s designated account by means of a wire transfer in cash.”</w:t>
      </w:r>
    </w:p>
    <w:p>
      <w:pPr>
        <w:spacing w:after="0" w:line="135"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6"/>
          </w:cols>
          <w:pgMar w:left="694" w:top="274" w:right="299" w:bottom="1440" w:gutter="0" w:footer="0" w:header="0"/>
        </w:sectPr>
      </w:pPr>
    </w:p>
    <w:bookmarkStart w:id="155" w:name="page156"/>
    <w:bookmarkEnd w:id="155"/>
    <w:p>
      <w:pPr>
        <w:ind w:left="446" w:hanging="446"/>
        <w:spacing w:after="0"/>
        <w:tabs>
          <w:tab w:leader="none" w:pos="44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“Variable Overhead Cost” definition in Exhibit E.1 is hereby amended and restated as follows:</w:t>
      </w:r>
    </w:p>
    <w:p>
      <w:pPr>
        <w:sectPr>
          <w:pgSz w:w="11900" w:h="16838" w:orient="portrait"/>
          <w:cols w:equalWidth="0" w:num="1">
            <w:col w:w="10786"/>
          </w:cols>
          <w:pgMar w:left="694" w:top="274" w:right="419" w:bottom="1440" w:gutter="0" w:footer="0" w:header="0"/>
        </w:sectPr>
      </w:pPr>
    </w:p>
    <w:p>
      <w:pPr>
        <w:spacing w:after="0" w:line="235" w:lineRule="exact"/>
        <w:rPr>
          <w:sz w:val="20"/>
          <w:szCs w:val="20"/>
          <w:color w:val="auto"/>
        </w:rPr>
      </w:pPr>
    </w:p>
    <w:p>
      <w:pPr>
        <w:ind w:left="6"/>
        <w:spacing w:after="0" w:line="275" w:lineRule="auto"/>
        <w:rPr>
          <w:sz w:val="20"/>
          <w:szCs w:val="20"/>
          <w:color w:val="auto"/>
        </w:rPr>
      </w:pPr>
      <w:r>
        <w:rPr>
          <w:rFonts w:ascii="Times New Roman" w:cs="Times New Roman" w:eastAsia="Times New Roman" w:hAnsi="Times New Roman"/>
          <w:sz w:val="18"/>
          <w:szCs w:val="18"/>
          <w:color w:val="auto"/>
        </w:rPr>
        <w:t>“Variable Overhead Cost”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means, for any applicable Service item (reserve troops; company broadcasting station; Hynix Culture Center; men’s dormitory; women’s dormitory; Bongmyung dormitory; and sports field), the amount of those relatively variable overhead costs (costs which fluctuate heavily from month to month) which have been historically allocated in connection with the provision of such Service item and which were actually incurred by Hynix in providing such Service item for the month of calculation</w:t>
      </w:r>
    </w:p>
    <w:p>
      <w:pPr>
        <w:spacing w:after="0" w:line="179" w:lineRule="exact"/>
        <w:rPr>
          <w:sz w:val="20"/>
          <w:szCs w:val="20"/>
          <w:color w:val="auto"/>
        </w:rPr>
      </w:pPr>
    </w:p>
    <w:p>
      <w:pPr>
        <w:sectPr>
          <w:pgSz w:w="11900" w:h="16838" w:orient="portrait"/>
          <w:cols w:equalWidth="0" w:num="2">
            <w:col w:w="1406" w:space="300"/>
            <w:col w:w="9080"/>
          </w:cols>
          <w:pgMar w:left="694" w:top="274" w:right="419" w:bottom="1440" w:gutter="0" w:footer="0" w:header="0"/>
          <w:type w:val="continuous"/>
        </w:sectPr>
      </w:pPr>
    </w:p>
    <w:p>
      <w:pPr>
        <w:ind w:left="446" w:hanging="446"/>
        <w:spacing w:after="0"/>
        <w:tabs>
          <w:tab w:leader="none" w:pos="4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ascribed to them in the Agreement.</w:t>
      </w:r>
    </w:p>
    <w:p>
      <w:pPr>
        <w:spacing w:after="0" w:line="90" w:lineRule="exact"/>
        <w:rPr>
          <w:rFonts w:ascii="Times New Roman" w:cs="Times New Roman" w:eastAsia="Times New Roman" w:hAnsi="Times New Roman"/>
          <w:sz w:val="18"/>
          <w:szCs w:val="18"/>
          <w:color w:val="auto"/>
        </w:rPr>
      </w:pPr>
    </w:p>
    <w:p>
      <w:pPr>
        <w:ind w:left="446" w:hanging="446"/>
        <w:spacing w:after="0" w:line="275" w:lineRule="auto"/>
        <w:tabs>
          <w:tab w:leader="none" w:pos="4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necessary, all terms of the Agreement are hereby amended to be consistent with the terms of this Amendment. Except as set forth herein, the Agreement remains in full force and effect according to its terms.</w:t>
      </w:r>
    </w:p>
    <w:p>
      <w:pPr>
        <w:spacing w:after="0" w:line="38" w:lineRule="exact"/>
        <w:rPr>
          <w:rFonts w:ascii="Times New Roman" w:cs="Times New Roman" w:eastAsia="Times New Roman" w:hAnsi="Times New Roman"/>
          <w:sz w:val="18"/>
          <w:szCs w:val="18"/>
          <w:color w:val="auto"/>
        </w:rPr>
      </w:pPr>
    </w:p>
    <w:p>
      <w:pPr>
        <w:ind w:left="446" w:right="440" w:hanging="446"/>
        <w:spacing w:after="0" w:line="275" w:lineRule="auto"/>
        <w:tabs>
          <w:tab w:leader="none" w:pos="4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1 through 7 of this Amendment shall become effective from the 6th of October, 2004 and Article 8 of this Amendment shall become effective from the 1st of April, 2005.</w:t>
      </w:r>
    </w:p>
    <w:p>
      <w:pPr>
        <w:spacing w:after="0" w:line="38"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shall be construed in accordance with, the laws of Korea.</w:t>
      </w:r>
    </w:p>
    <w:p>
      <w:pPr>
        <w:spacing w:after="0" w:line="169"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6"/>
          </w:cols>
          <w:pgMar w:left="694" w:top="274" w:right="4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their duly authorized representatives to execute this Amendment as of the date first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&amp;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Semiconductor,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00"/>
          </w:cols>
          <w:pgMar w:left="240" w:top="274" w:right="105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MASK SHOP CHEMICALS AND GASES PROCUREMENT SERVICES FEES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monthly fee for the Mask Shop Chemicals and Gases Procurement Services equal the fee calculated in accordance with the following formula:</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80" w:type="dxa"/>
            <w:vAlign w:val="bottom"/>
            <w:tcBorders>
              <w:top w:val="single" w:sz="8" w:color="auto"/>
              <w:left w:val="single" w:sz="8" w:color="auto"/>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40" w:type="dxa"/>
            <w:vAlign w:val="bottom"/>
            <w:tcBorders>
              <w:top w:val="single" w:sz="8" w:color="auto"/>
              <w:right w:val="single" w:sz="8" w:color="auto"/>
            </w:tcBorders>
            <w:vMerge w:val="restart"/>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5"/>
              </w:rPr>
              <w:t>Labor</w:t>
            </w:r>
          </w:p>
        </w:tc>
        <w:tc>
          <w:tcPr>
            <w:tcW w:w="1180" w:type="dxa"/>
            <w:vAlign w:val="bottom"/>
            <w:tcBorders>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1360" w:type="dxa"/>
            <w:vAlign w:val="bottom"/>
            <w:tcBorders>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Variable</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Item Fee</w:t>
            </w:r>
          </w:p>
        </w:tc>
        <w:tc>
          <w:tcPr>
            <w:tcW w:w="1180" w:type="dxa"/>
            <w:vAlign w:val="bottom"/>
            <w:tcBorders>
              <w:right w:val="single" w:sz="8" w:color="auto"/>
            </w:tcBorders>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w w:val="95"/>
              </w:rPr>
              <w:t>Asset Charge</w:t>
            </w:r>
          </w:p>
        </w:tc>
        <w:tc>
          <w:tcPr>
            <w:tcW w:w="1360" w:type="dxa"/>
            <w:vAlign w:val="bottom"/>
            <w:tcBorders>
              <w:right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Overhead</w:t>
            </w:r>
          </w:p>
        </w:tc>
        <w:tc>
          <w:tcPr>
            <w:tcW w:w="1360" w:type="dxa"/>
            <w:vAlign w:val="bottom"/>
            <w:tcBorders>
              <w:right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Overhead</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restart"/>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4"/>
              </w:rPr>
              <w:t>Charge</w:t>
            </w:r>
          </w:p>
        </w:tc>
        <w:tc>
          <w:tcPr>
            <w:tcW w:w="11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Charge</w:t>
            </w:r>
          </w:p>
        </w:tc>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Charge</w:t>
            </w:r>
          </w:p>
        </w:tc>
        <w:tc>
          <w:tcPr>
            <w:tcW w:w="0" w:type="dxa"/>
            <w:vAlign w:val="bottom"/>
          </w:tcPr>
          <w:p>
            <w:pPr>
              <w:spacing w:after="0"/>
              <w:rPr>
                <w:sz w:val="1"/>
                <w:szCs w:val="1"/>
                <w:color w:val="auto"/>
              </w:rPr>
            </w:pPr>
          </w:p>
        </w:tc>
      </w:tr>
      <w:tr>
        <w:trPr>
          <w:trHeight w:val="120"/>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apply to this formula:</w:t>
      </w:r>
    </w:p>
    <w:p>
      <w:pPr>
        <w:sectPr>
          <w:pgSz w:w="11900" w:h="16838" w:orient="portrait"/>
          <w:cols w:equalWidth="0" w:num="1">
            <w:col w:w="11420"/>
          </w:cols>
          <w:pgMar w:left="240" w:top="272" w:right="2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 Charge”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means the sum of the products of (i) the Labor Cost for each NewCo employee providing the applicable Service to Hynix multiplied by (ii) the Labor Contribution Rate for such employee</w:t>
      </w:r>
    </w:p>
    <w:p>
      <w:pPr>
        <w:spacing w:after="0" w:line="66" w:lineRule="exact"/>
        <w:rPr>
          <w:sz w:val="20"/>
          <w:szCs w:val="20"/>
          <w:color w:val="auto"/>
        </w:rPr>
      </w:pPr>
    </w:p>
    <w:p>
      <w:pPr>
        <w:sectPr>
          <w:pgSz w:w="11900" w:h="16838" w:orient="portrait"/>
          <w:cols w:equalWidth="0" w:num="2">
            <w:col w:w="1140" w:space="700"/>
            <w:col w:w="9580"/>
          </w:cols>
          <w:pgMar w:left="240" w:top="2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“Labor Cost”</w:t>
      </w:r>
    </w:p>
    <w:p>
      <w:pPr>
        <w:spacing w:after="0" w:line="20" w:lineRule="exact"/>
        <w:rPr>
          <w:sz w:val="20"/>
          <w:szCs w:val="20"/>
          <w:color w:val="auto"/>
        </w:rPr>
      </w:pPr>
      <w:r>
        <w:rPr>
          <w:sz w:val="20"/>
          <w:szCs w:val="20"/>
          <w:color w:val="auto"/>
        </w:rPr>
        <w:br w:type="column"/>
      </w:r>
    </w:p>
    <w:p>
      <w:pPr>
        <w:ind w:right="140"/>
        <w:spacing w:after="0" w:line="275" w:lineRule="auto"/>
        <w:rPr>
          <w:sz w:val="20"/>
          <w:szCs w:val="20"/>
          <w:color w:val="auto"/>
        </w:rPr>
      </w:pPr>
      <w:r>
        <w:rPr>
          <w:rFonts w:ascii="Times New Roman" w:cs="Times New Roman" w:eastAsia="Times New Roman" w:hAnsi="Times New Roman"/>
          <w:sz w:val="18"/>
          <w:szCs w:val="18"/>
          <w:color w:val="auto"/>
        </w:rPr>
        <w:t>means, for any NewCo employee, average monthly (i) salary plus (ii) amount of reserve for retirement allowances plus (iii) amount of Fringe Benefits for such employee, over the Standard Calculation Period.</w:t>
      </w:r>
    </w:p>
    <w:p>
      <w:pPr>
        <w:spacing w:after="0" w:line="66" w:lineRule="exact"/>
        <w:rPr>
          <w:sz w:val="20"/>
          <w:szCs w:val="20"/>
          <w:color w:val="auto"/>
        </w:rPr>
      </w:pPr>
    </w:p>
    <w:p>
      <w:pPr>
        <w:sectPr>
          <w:pgSz w:w="11900" w:h="16838" w:orient="portrait"/>
          <w:cols w:equalWidth="0" w:num="2">
            <w:col w:w="1120" w:space="720"/>
            <w:col w:w="9580"/>
          </w:cols>
          <w:pgMar w:left="240" w:top="272" w:right="239" w:bottom="1440" w:gutter="0" w:footer="0" w:header="0"/>
          <w:type w:val="continuous"/>
        </w:sectPr>
      </w:pPr>
    </w:p>
    <w:p>
      <w:pPr>
        <w:spacing w:after="0" w:line="275" w:lineRule="auto"/>
        <w:rPr>
          <w:sz w:val="20"/>
          <w:szCs w:val="20"/>
          <w:color w:val="auto"/>
        </w:rPr>
      </w:pPr>
      <w:r>
        <w:rPr>
          <w:rFonts w:ascii="Times New Roman" w:cs="Times New Roman" w:eastAsia="Times New Roman" w:hAnsi="Times New Roman"/>
          <w:sz w:val="18"/>
          <w:szCs w:val="18"/>
          <w:color w:val="auto"/>
        </w:rPr>
        <w:t>“Labor Contribution Rate”</w:t>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18"/>
          <w:szCs w:val="18"/>
          <w:color w:val="auto"/>
        </w:rPr>
        <w:t>means, for any NewCo employee, the percentage of the Labor Cost for such employee allocated to Hynix (other than the Business) for the Standard Calculation Period, which such percentage is based upon the AUP and takes into account (in a manner consistent with historical practice) such factors as ratio of time spent on activities for the benefit of Hynix (other than the Business), the relative importance of such activities and the other factors historically taken into account</w:t>
      </w:r>
    </w:p>
    <w:p>
      <w:pPr>
        <w:spacing w:after="0" w:line="82" w:lineRule="exact"/>
        <w:rPr>
          <w:sz w:val="20"/>
          <w:szCs w:val="20"/>
          <w:color w:val="auto"/>
        </w:rPr>
      </w:pPr>
    </w:p>
    <w:p>
      <w:pPr>
        <w:sectPr>
          <w:pgSz w:w="11900" w:h="16838" w:orient="portrait"/>
          <w:cols w:equalWidth="0" w:num="2">
            <w:col w:w="1440" w:space="400"/>
            <w:col w:w="9580"/>
          </w:cols>
          <w:pgMar w:left="240" w:top="2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“Fringe Benefits”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means, for any NewCo employee, the fringe benefits provided to such employee in accordance with past practice</w:t>
      </w:r>
    </w:p>
    <w:p>
      <w:pPr>
        <w:spacing w:after="0" w:line="140" w:lineRule="exact"/>
        <w:rPr>
          <w:sz w:val="20"/>
          <w:szCs w:val="20"/>
          <w:color w:val="auto"/>
        </w:rPr>
      </w:pPr>
    </w:p>
    <w:p>
      <w:pPr>
        <w:sectPr>
          <w:pgSz w:w="11900" w:h="16838" w:orient="portrait"/>
          <w:cols w:equalWidth="0" w:num="2">
            <w:col w:w="1260" w:space="580"/>
            <w:col w:w="9580"/>
          </w:cols>
          <w:pgMar w:left="240" w:top="272" w:right="239" w:bottom="1440" w:gutter="0" w:footer="0" w:header="0"/>
          <w:type w:val="continuous"/>
        </w:sectPr>
      </w:pPr>
    </w:p>
    <w:p>
      <w:pPr>
        <w:spacing w:after="0" w:line="275" w:lineRule="auto"/>
        <w:rPr>
          <w:sz w:val="20"/>
          <w:szCs w:val="20"/>
          <w:color w:val="auto"/>
        </w:rPr>
      </w:pPr>
      <w:r>
        <w:rPr>
          <w:rFonts w:ascii="Times New Roman" w:cs="Times New Roman" w:eastAsia="Times New Roman" w:hAnsi="Times New Roman"/>
          <w:sz w:val="18"/>
          <w:szCs w:val="18"/>
          <w:color w:val="auto"/>
        </w:rPr>
        <w:t>“Standard Calculation Period”</w:t>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18"/>
          <w:szCs w:val="18"/>
          <w:color w:val="auto"/>
        </w:rPr>
        <w:t>means the second calendar year prior to the year of calculation, with respect to calculations made for the first three months of any calendar year, and the calendar year immediately prior to the year of calculation, with respect to calculations made for the last nine months of any calendar year -- e.g., the calculations for January through March of 2005 will be based on calendar year 2003, while the calculations for April through December 2005 will be based on calendar year 2004</w:t>
      </w:r>
    </w:p>
    <w:p>
      <w:pPr>
        <w:sectPr>
          <w:pgSz w:w="11900" w:h="16838" w:orient="portrait"/>
          <w:cols w:equalWidth="0" w:num="2">
            <w:col w:w="1560" w:space="280"/>
            <w:col w:w="9580"/>
          </w:cols>
          <w:pgMar w:left="240" w:top="272" w:right="2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color w:val="auto"/>
        </w:rPr>
        <w:t>“Asset Charge”</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8"/>
          <w:szCs w:val="18"/>
          <w:color w:val="auto"/>
        </w:rPr>
        <w:t>means the sum of the products of (i) the Asset Cost for each NewCo asset used to provide the applicable Service to Hynix multiplied by (ii) the Asset Contribution Rate for such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-385445</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1120" w:space="720"/>
            <w:col w:w="9560"/>
          </w:cols>
          <w:pgMar w:left="240" w:top="274" w:right="25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“Asset Cost”</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Times New Roman" w:cs="Times New Roman" w:eastAsia="Times New Roman" w:hAnsi="Times New Roman"/>
          <w:sz w:val="18"/>
          <w:szCs w:val="18"/>
          <w:color w:val="auto"/>
        </w:rPr>
        <w:t>means, for any asset, one twelfth of the sum of (i) depreciation expense plus (ii) the product of Book Value multiplied by 8%, allocated to such asset in accordance with the AUP for the Standard Calculation Period</w:t>
      </w:r>
    </w:p>
    <w:p>
      <w:pPr>
        <w:spacing w:after="0" w:line="66" w:lineRule="exact"/>
        <w:rPr>
          <w:sz w:val="20"/>
          <w:szCs w:val="20"/>
          <w:color w:val="auto"/>
        </w:rPr>
      </w:pPr>
    </w:p>
    <w:p>
      <w:pPr>
        <w:sectPr>
          <w:pgSz w:w="11900" w:h="16838" w:orient="portrait"/>
          <w:cols w:equalWidth="0" w:num="2">
            <w:col w:w="1120" w:space="720"/>
            <w:col w:w="9560"/>
          </w:cols>
          <w:pgMar w:left="240" w:top="274" w:right="259" w:bottom="1440" w:gutter="0" w:footer="0" w:header="0"/>
          <w:type w:val="continuous"/>
        </w:sectPr>
      </w:pPr>
    </w:p>
    <w:p>
      <w:pPr>
        <w:spacing w:after="0" w:line="275" w:lineRule="auto"/>
        <w:rPr>
          <w:sz w:val="20"/>
          <w:szCs w:val="20"/>
          <w:color w:val="auto"/>
        </w:rPr>
      </w:pPr>
      <w:r>
        <w:rPr>
          <w:rFonts w:ascii="Times New Roman" w:cs="Times New Roman" w:eastAsia="Times New Roman" w:hAnsi="Times New Roman"/>
          <w:sz w:val="18"/>
          <w:szCs w:val="18"/>
          <w:color w:val="auto"/>
        </w:rPr>
        <w:t>“Asset Contribution Rate”</w:t>
      </w:r>
    </w:p>
    <w:p>
      <w:pPr>
        <w:spacing w:after="0" w:line="20" w:lineRule="exact"/>
        <w:rPr>
          <w:sz w:val="20"/>
          <w:szCs w:val="20"/>
          <w:color w:val="auto"/>
        </w:rPr>
      </w:pPr>
      <w:r>
        <w:rPr>
          <w:sz w:val="20"/>
          <w:szCs w:val="20"/>
          <w:color w:val="auto"/>
        </w:rPr>
        <w:br w:type="column"/>
      </w: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means, for any asset, a fraction the numerator of which equals the quantity of the Chemical produced by NewCo for Hynix (other than the Business) for the Standard Calculation Period and the denominator of which equals the total quantity of the Chemical produced by NewCo for the Standard Calculation Period</w:t>
      </w:r>
    </w:p>
    <w:p>
      <w:pPr>
        <w:spacing w:after="0" w:line="78" w:lineRule="exact"/>
        <w:rPr>
          <w:sz w:val="20"/>
          <w:szCs w:val="20"/>
          <w:color w:val="auto"/>
        </w:rPr>
      </w:pPr>
    </w:p>
    <w:p>
      <w:pPr>
        <w:sectPr>
          <w:pgSz w:w="11900" w:h="16838" w:orient="portrait"/>
          <w:cols w:equalWidth="0" w:num="2">
            <w:col w:w="1420" w:space="420"/>
            <w:col w:w="9560"/>
          </w:cols>
          <w:pgMar w:left="240" w:top="27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“Book Value”</w:t>
      </w:r>
    </w:p>
    <w:p>
      <w:pPr>
        <w:spacing w:after="0" w:line="20" w:lineRule="exact"/>
        <w:rPr>
          <w:sz w:val="20"/>
          <w:szCs w:val="20"/>
          <w:color w:val="auto"/>
        </w:rPr>
      </w:pPr>
      <w:r>
        <w:rPr>
          <w:sz w:val="20"/>
          <w:szCs w:val="20"/>
          <w:color w:val="auto"/>
        </w:rPr>
        <w:br w:type="column"/>
      </w:r>
    </w:p>
    <w:p>
      <w:pPr>
        <w:ind w:right="180"/>
        <w:spacing w:after="0" w:line="258" w:lineRule="auto"/>
        <w:rPr>
          <w:sz w:val="20"/>
          <w:szCs w:val="20"/>
          <w:color w:val="auto"/>
        </w:rPr>
      </w:pPr>
      <w:r>
        <w:rPr>
          <w:rFonts w:ascii="Times New Roman" w:cs="Times New Roman" w:eastAsia="Times New Roman" w:hAnsi="Times New Roman"/>
          <w:sz w:val="18"/>
          <w:szCs w:val="18"/>
          <w:color w:val="auto"/>
        </w:rPr>
        <w:t>means, for any asset, the value of such asset on the books of NewCo as of the last day of the Standard Calculation Period, as may be adjusted from time to time (a) as a result of the installation of capital improvements or the incurrence of capital expenditures, as determined in accordance with Korea generally accepted accounting principles, or (b) as a result of a revaluation as may be permitted by law</w:t>
      </w:r>
    </w:p>
    <w:p>
      <w:pPr>
        <w:spacing w:after="0" w:line="82" w:lineRule="exact"/>
        <w:rPr>
          <w:sz w:val="20"/>
          <w:szCs w:val="20"/>
          <w:color w:val="auto"/>
        </w:rPr>
      </w:pPr>
    </w:p>
    <w:p>
      <w:pPr>
        <w:sectPr>
          <w:pgSz w:w="11900" w:h="16838" w:orient="portrait"/>
          <w:cols w:equalWidth="0" w:num="2">
            <w:col w:w="1120" w:space="720"/>
            <w:col w:w="9560"/>
          </w:cols>
          <w:pgMar w:left="240" w:top="274" w:right="259" w:bottom="1440" w:gutter="0" w:footer="0" w:header="0"/>
          <w:type w:val="continuous"/>
        </w:sectPr>
      </w:pPr>
    </w:p>
    <w:p>
      <w:pPr>
        <w:spacing w:after="0" w:line="339" w:lineRule="auto"/>
        <w:rPr>
          <w:sz w:val="20"/>
          <w:szCs w:val="20"/>
          <w:color w:val="auto"/>
        </w:rPr>
      </w:pPr>
      <w:r>
        <w:rPr>
          <w:rFonts w:ascii="Times New Roman" w:cs="Times New Roman" w:eastAsia="Times New Roman" w:hAnsi="Times New Roman"/>
          <w:sz w:val="16"/>
          <w:szCs w:val="16"/>
          <w:color w:val="auto"/>
        </w:rPr>
        <w:t>“Fixed Overhead Charge”</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Times New Roman" w:cs="Times New Roman" w:eastAsia="Times New Roman" w:hAnsi="Times New Roman"/>
          <w:sz w:val="18"/>
          <w:szCs w:val="18"/>
          <w:color w:val="auto"/>
        </w:rPr>
        <w:t>means the sum of the products of (i) the Fixed Overhead Cost for each NewCo employee providing the Service to Hynix multiplied by (ii) the Fixed Overhead Contribution Rate for such employee</w:t>
      </w:r>
    </w:p>
    <w:p>
      <w:pPr>
        <w:spacing w:after="0" w:line="65" w:lineRule="exact"/>
        <w:rPr>
          <w:sz w:val="20"/>
          <w:szCs w:val="20"/>
          <w:color w:val="auto"/>
        </w:rPr>
      </w:pPr>
    </w:p>
    <w:p>
      <w:pPr>
        <w:sectPr>
          <w:pgSz w:w="11900" w:h="16838" w:orient="portrait"/>
          <w:cols w:equalWidth="0" w:num="2">
            <w:col w:w="1220" w:space="620"/>
            <w:col w:w="9560"/>
          </w:cols>
          <w:pgMar w:left="240" w:top="274" w:right="259" w:bottom="1440" w:gutter="0" w:footer="0" w:header="0"/>
          <w:type w:val="continuous"/>
        </w:sectPr>
      </w:pPr>
    </w:p>
    <w:p>
      <w:pPr>
        <w:spacing w:after="0" w:line="275" w:lineRule="auto"/>
        <w:rPr>
          <w:sz w:val="20"/>
          <w:szCs w:val="20"/>
          <w:color w:val="auto"/>
        </w:rPr>
      </w:pPr>
      <w:r>
        <w:rPr>
          <w:rFonts w:ascii="Times New Roman" w:cs="Times New Roman" w:eastAsia="Times New Roman" w:hAnsi="Times New Roman"/>
          <w:sz w:val="18"/>
          <w:szCs w:val="18"/>
          <w:color w:val="auto"/>
        </w:rPr>
        <w:t>“Fixed Overhead Cost”</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means, for any employee, the amount equal to one-twelfth of the product of (i) those relatively fixed overhead costs (those that do not fluctuate much from month to month) which have been historically allocated in connection with the provision of the Service and which were actually incurred by NewCo (or the Business) in providing the Service in the Standard Calculation Period multiplied by (ii) the percentage of such costs historically allocated to such employee in connection with providing the Service</w:t>
      </w:r>
    </w:p>
    <w:p>
      <w:pPr>
        <w:spacing w:after="0" w:line="82" w:lineRule="exact"/>
        <w:rPr>
          <w:sz w:val="20"/>
          <w:szCs w:val="20"/>
          <w:color w:val="auto"/>
        </w:rPr>
      </w:pPr>
    </w:p>
    <w:p>
      <w:pPr>
        <w:sectPr>
          <w:pgSz w:w="11900" w:h="16838" w:orient="portrait"/>
          <w:cols w:equalWidth="0" w:num="2">
            <w:col w:w="1220" w:space="620"/>
            <w:col w:w="9560"/>
          </w:cols>
          <w:pgMar w:left="240" w:top="274" w:right="259" w:bottom="1440" w:gutter="0" w:footer="0" w:header="0"/>
          <w:type w:val="continuous"/>
        </w:sectPr>
      </w:pPr>
    </w:p>
    <w:p>
      <w:pPr>
        <w:spacing w:after="0" w:line="339" w:lineRule="auto"/>
        <w:rPr>
          <w:sz w:val="20"/>
          <w:szCs w:val="20"/>
          <w:color w:val="auto"/>
        </w:rPr>
      </w:pPr>
      <w:r>
        <w:rPr>
          <w:rFonts w:ascii="Times New Roman" w:cs="Times New Roman" w:eastAsia="Times New Roman" w:hAnsi="Times New Roman"/>
          <w:sz w:val="16"/>
          <w:szCs w:val="16"/>
          <w:color w:val="auto"/>
        </w:rPr>
        <w:t>“Fixed Overhead Contribution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means, for any employee, the Labor Contribution Rate for such employee</w:t>
      </w:r>
    </w:p>
    <w:p>
      <w:pPr>
        <w:sectPr>
          <w:pgSz w:w="11900" w:h="16838" w:orient="portrait"/>
          <w:cols w:equalWidth="0" w:num="2">
            <w:col w:w="1340" w:space="500"/>
            <w:col w:w="9560"/>
          </w:cols>
          <w:pgMar w:left="240" w:top="274" w:right="259" w:bottom="1440" w:gutter="0" w:footer="0" w:header="0"/>
          <w:type w:val="continuous"/>
        </w:sectPr>
      </w:pPr>
    </w:p>
    <w:bookmarkStart w:id="159" w:name="page160"/>
    <w:bookmarkEnd w:id="159"/>
    <w:p>
      <w:pPr>
        <w:spacing w:after="0" w:line="275" w:lineRule="auto"/>
        <w:rPr>
          <w:sz w:val="20"/>
          <w:szCs w:val="20"/>
          <w:color w:val="auto"/>
        </w:rPr>
      </w:pPr>
      <w:r>
        <w:rPr>
          <w:rFonts w:ascii="Times New Roman" w:cs="Times New Roman" w:eastAsia="Times New Roman" w:hAnsi="Times New Roman"/>
          <w:sz w:val="18"/>
          <w:szCs w:val="18"/>
          <w:color w:val="auto"/>
        </w:rPr>
        <w:t>“Variable Overhead Charge”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means the sum of the product of (i) the Variable Overhead Cost multiplied by (ii) the Variable Overhead Contribution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-201295</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1400" w:space="440"/>
            <w:col w:w="9560"/>
          </w:cols>
          <w:pgMar w:left="240" w:top="274" w:right="259" w:bottom="1440" w:gutter="0" w:footer="0" w:header="0"/>
        </w:sectPr>
      </w:pPr>
    </w:p>
    <w:p>
      <w:pPr>
        <w:spacing w:after="0" w:line="275" w:lineRule="auto"/>
        <w:rPr>
          <w:sz w:val="20"/>
          <w:szCs w:val="20"/>
          <w:color w:val="auto"/>
        </w:rPr>
      </w:pPr>
      <w:r>
        <w:rPr>
          <w:rFonts w:ascii="Times New Roman" w:cs="Times New Roman" w:eastAsia="Times New Roman" w:hAnsi="Times New Roman"/>
          <w:sz w:val="18"/>
          <w:szCs w:val="18"/>
          <w:color w:val="auto"/>
        </w:rPr>
        <w:t>“Variable Overhead Cost”</w:t>
      </w:r>
    </w:p>
    <w:p>
      <w:pPr>
        <w:spacing w:after="0" w:line="20" w:lineRule="exact"/>
        <w:rPr>
          <w:sz w:val="20"/>
          <w:szCs w:val="20"/>
          <w:color w:val="auto"/>
        </w:rPr>
      </w:pPr>
      <w:r>
        <w:rPr>
          <w:sz w:val="20"/>
          <w:szCs w:val="20"/>
          <w:color w:val="auto"/>
        </w:rPr>
        <w:br w:type="column"/>
      </w:r>
    </w:p>
    <w:p>
      <w:pPr>
        <w:ind w:right="300"/>
        <w:spacing w:after="0" w:line="262" w:lineRule="auto"/>
        <w:rPr>
          <w:sz w:val="20"/>
          <w:szCs w:val="20"/>
          <w:color w:val="auto"/>
        </w:rPr>
      </w:pPr>
      <w:r>
        <w:rPr>
          <w:rFonts w:ascii="Times New Roman" w:cs="Times New Roman" w:eastAsia="Times New Roman" w:hAnsi="Times New Roman"/>
          <w:sz w:val="18"/>
          <w:szCs w:val="18"/>
          <w:color w:val="auto"/>
        </w:rPr>
        <w:t>means the amount of those relatively variable overhead costs (costs which fluctuate heavily from month to month) which have been historically allocated in connection with the provision of the Service and which were actually incurred by NewCo in providing the Service for the month of calculation</w:t>
      </w:r>
    </w:p>
    <w:p>
      <w:pPr>
        <w:spacing w:after="0" w:line="78" w:lineRule="exact"/>
        <w:rPr>
          <w:sz w:val="20"/>
          <w:szCs w:val="20"/>
          <w:color w:val="auto"/>
        </w:rPr>
      </w:pPr>
    </w:p>
    <w:p>
      <w:pPr>
        <w:sectPr>
          <w:pgSz w:w="11900" w:h="16838" w:orient="portrait"/>
          <w:cols w:equalWidth="0" w:num="2">
            <w:col w:w="1400" w:space="440"/>
            <w:col w:w="9560"/>
          </w:cols>
          <w:pgMar w:left="240" w:top="274" w:right="259" w:bottom="1440" w:gutter="0" w:footer="0" w:header="0"/>
          <w:type w:val="continuous"/>
        </w:sectPr>
      </w:pPr>
    </w:p>
    <w:p>
      <w:pPr>
        <w:jc w:val="both"/>
        <w:spacing w:after="0" w:line="339" w:lineRule="auto"/>
        <w:rPr>
          <w:sz w:val="20"/>
          <w:szCs w:val="20"/>
          <w:color w:val="auto"/>
        </w:rPr>
      </w:pPr>
      <w:r>
        <w:rPr>
          <w:rFonts w:ascii="Times New Roman" w:cs="Times New Roman" w:eastAsia="Times New Roman" w:hAnsi="Times New Roman"/>
          <w:sz w:val="16"/>
          <w:szCs w:val="16"/>
          <w:color w:val="auto"/>
        </w:rPr>
        <w:t>“Variable Overhead Contribution Rate”</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Times New Roman" w:cs="Times New Roman" w:eastAsia="Times New Roman" w:hAnsi="Times New Roman"/>
          <w:sz w:val="16"/>
          <w:szCs w:val="16"/>
          <w:color w:val="auto"/>
        </w:rPr>
        <w:t>means, for Variable Overhead Cost arising from (i) the raw chemicals and gases used to produce the Chemicals and Gases, a fraction, the numerator of which equals the quantity of the raw chemicals and gases purchased by NewCo to provide the Service to Hynix for the month of calculation and the denominator of which equals the total quantity of the raw chemicals and gases purchased by NewCo for the month of calculation, (ii) costs to repair the assets used to produce the Chemicals and Gases, a fraction, the numerator of which equals the quantity of the Chemicals and Gases delivered to Hynix hereunder for the month of calculation and the denominator of which equals the total quantity of the Chemicals and Gases produced by NewCo for the month of calculation and (iii) temporary workers used to produce the Chemicals and Gases, a fraction, the numerator of which equals the number of hours such workers worked to provide the Service to Hynix for the month of calculation and the denominator of which equals the total number of hours worked by such temporary workers to provide the Chemicals and Gases to NewCo and Hynix for the month of calculation</w:t>
      </w:r>
    </w:p>
    <w:p>
      <w:pPr>
        <w:sectPr>
          <w:pgSz w:w="11900" w:h="16838" w:orient="portrait"/>
          <w:cols w:equalWidth="0" w:num="2">
            <w:col w:w="1400" w:space="440"/>
            <w:col w:w="9560"/>
          </w:cols>
          <w:pgMar w:left="240" w:top="274" w:right="25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10.16(a)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IT &amp; FA SERVICE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First Amendment to IT &amp; FA Service Agreement (this “Amendment”) is entered into as of December 30, 2005 by and between Hynix Semiconductor,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and MagnaChip Semiconductor Ltd. (“NewCo”) (each a “Party”, and collectively the “Parties”).</w:t>
      </w:r>
    </w:p>
    <w:p>
      <w:pPr>
        <w:spacing w:after="0" w:line="15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WHEREAS, the Parties are parties to that certain IT &amp; FA Service Agreement dated as of October 6, 2004 (the “Agreement”), and wish to amend the Agreement as set forth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 is hereby amended and restated in its entirety as follows:</w:t>
      </w:r>
    </w:p>
    <w:p>
      <w:pPr>
        <w:spacing w:after="0" w:line="90" w:lineRule="exact"/>
        <w:rPr>
          <w:sz w:val="20"/>
          <w:szCs w:val="20"/>
          <w:color w:val="auto"/>
        </w:rPr>
      </w:pPr>
    </w:p>
    <w:p>
      <w:pPr>
        <w:jc w:val="both"/>
        <w:ind w:left="920" w:right="240"/>
        <w:spacing w:after="0" w:line="241" w:lineRule="auto"/>
        <w:rPr>
          <w:sz w:val="20"/>
          <w:szCs w:val="20"/>
          <w:color w:val="auto"/>
        </w:rPr>
      </w:pPr>
      <w:r>
        <w:rPr>
          <w:rFonts w:ascii="Times New Roman" w:cs="Times New Roman" w:eastAsia="Times New Roman" w:hAnsi="Times New Roman"/>
          <w:sz w:val="18"/>
          <w:szCs w:val="18"/>
          <w:color w:val="auto"/>
        </w:rPr>
        <w:t>“Hynix shall invoice NewCo on the last day of each calendar month for the fees for the Services provided under this Agreement for such calendar month specifying the Services provided during that month and the amount of fees for such Services calculated in accordance with Appendix I and Article 3. By the twenty-fifth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of the next calendar month following the invoice, NewCo shall pay the invoiced amount and value added tax thereto to Hynix’s designated account by means of a wire transfer in immediately available funds.”</w:t>
      </w:r>
    </w:p>
    <w:p>
      <w:pPr>
        <w:spacing w:after="0" w:line="189" w:lineRule="exact"/>
        <w:rPr>
          <w:sz w:val="20"/>
          <w:szCs w:val="20"/>
          <w:color w:val="auto"/>
        </w:rPr>
      </w:pPr>
    </w:p>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ascribed to them in the Agreement.</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necessary, all terms of the Agreement are hereby amended to be consistent with the terms of this Amendment. Except as set forth herein, the Agreement remains in full force and effect according to its terms.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from the 6th of October, 2004.</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shall be construed in accordance with, the laws of Korea.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their duly authorized representatives to execute this Amendment as of the date first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-130175</wp:posOffset>
            </wp:positionV>
            <wp:extent cx="27870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&amp;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Semiconductor,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-130175</wp:posOffset>
            </wp:positionV>
            <wp:extent cx="27870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240" w:top="274" w:right="10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10.26(a)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R &amp; D EQUIPMENT UTILIZATION AGREEMENT</w:t>
      </w:r>
    </w:p>
    <w:p>
      <w:pPr>
        <w:spacing w:after="0" w:line="173"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This First Amendment to R &amp; D Equipment Utilization Agreement (this “Amendment”) is entered into as of December 30, 2005 by and between Hynix Semiconductor, Inc. (“Hynix”) and MagnaChip Semiconductor Ltd. (“NewCo”) (each a “Party”, and collectively the “Parties”).</w:t>
      </w:r>
    </w:p>
    <w:p>
      <w:pPr>
        <w:spacing w:after="0" w:line="1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WHEREAS, the Parties are parties to that certain R &amp; D Equipment Utilization Agreement dated as of October 6, 2004 (the “Agreement”), and wish to amend the Agreement as set forth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90" w:lineRule="exact"/>
        <w:rPr>
          <w:sz w:val="20"/>
          <w:szCs w:val="20"/>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 is hereby amended and restated in its entirety as follows:</w:t>
      </w:r>
    </w:p>
    <w:p>
      <w:pPr>
        <w:spacing w:after="0" w:line="90"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18"/>
          <w:szCs w:val="18"/>
          <w:color w:val="auto"/>
        </w:rPr>
        <w:t>“Hynix shall invoice NewCo on the last day of each calendar month for the fees for the use and/or services provided under Article 6 for such calendar month, which invoices shall specify the use and/or services provided for the applicable month and the amount of fees for such use and/or services calculated in accordance with Article 6. By the twentieth-fifth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day of the next calendar month following the invoice, NewCo shall pay the invoiced amount and value added tax thereto to Hynix’s designated account by means of a wire transfer in immediately available funds. All payments hereunder shall be made in Korean Won.”</w:t>
      </w:r>
    </w:p>
    <w:p>
      <w:pPr>
        <w:spacing w:after="0" w:line="67"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ascribed to them in the Agreement.</w:t>
      </w:r>
    </w:p>
    <w:p>
      <w:pPr>
        <w:spacing w:after="0" w:line="90"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necessary, all terms of the Agreement are hereby amended to be consistent with the terms of this Amendment. Except as set forth herein, the Agreement remains in full force and effect according to its terms.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become effective from the 6th of October, 2004.</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shall be construed in accordance with, the laws of Korea.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Follows]</w:t>
      </w:r>
    </w:p>
    <w:p>
      <w:pPr>
        <w:sectPr>
          <w:pgSz w:w="11900" w:h="16838" w:orient="portrait"/>
          <w:cols w:equalWidth="0" w:num="1">
            <w:col w:w="9019"/>
          </w:cols>
          <w:pgMar w:left="1440" w:top="272" w:right="1440" w:bottom="1440" w:gutter="0" w:footer="0" w:header="0"/>
        </w:sectPr>
      </w:pP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272" w:right="1440"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their duly authorized representatives to execute this Amendment as of the date first set forth above.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color w:val="auto"/>
        </w:rPr>
        <w:t>President &amp;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Hynix Semiconductor,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-130175</wp:posOffset>
            </wp:positionV>
            <wp:extent cx="28130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240" w:top="274" w:right="105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378"/>
        </w:trPr>
        <w:tc>
          <w:tcPr>
            <w:tcW w:w="4340" w:type="dxa"/>
            <w:vAlign w:val="bottom"/>
          </w:tcPr>
          <w:p>
            <w:pPr>
              <w:spacing w:after="0"/>
              <w:rPr>
                <w:sz w:val="24"/>
                <w:szCs w:val="24"/>
                <w:color w:val="auto"/>
              </w:rPr>
            </w:pPr>
          </w:p>
        </w:tc>
        <w:tc>
          <w:tcPr>
            <w:tcW w:w="71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36"/>
        </w:trPr>
        <w:tc>
          <w:tcPr>
            <w:tcW w:w="4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Jurisdiction of</w:t>
            </w:r>
          </w:p>
        </w:tc>
      </w:tr>
      <w:tr>
        <w:trPr>
          <w:trHeight w:val="185"/>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Incorporation</w:t>
            </w: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MagnaChip Semiconductor S.A.</w:t>
            </w:r>
          </w:p>
        </w:tc>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Luxembourg</w:t>
            </w:r>
          </w:p>
        </w:tc>
        <w:tc>
          <w:tcPr>
            <w:tcW w:w="20" w:type="dxa"/>
            <w:vAlign w:val="bottom"/>
          </w:tcPr>
          <w:p>
            <w:pPr>
              <w:spacing w:after="0"/>
              <w:rPr>
                <w:sz w:val="16"/>
                <w:szCs w:val="16"/>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B.V.</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The Netherlands</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Ltd.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Korea</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Inc.</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California</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SA Holdings LLC</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Finance Company</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Ltd.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United Kingdom</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Ltd.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Ltd.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Hong Kong</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Inc.</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Holding Company Limited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British Virgin Islands</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MagnaChip Semiconductor (Shanghai) Company Limited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IC Media International Corporation</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Cayman Islands</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IC Media Technology Corporation</w:t>
            </w: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6"/>
              </w:rPr>
              <w:t>Taiwan</w:t>
            </w:r>
          </w:p>
        </w:tc>
      </w:tr>
    </w:tbl>
    <w:p>
      <w:pPr>
        <w:sectPr>
          <w:pgSz w:w="11900" w:h="16838" w:orient="portrait"/>
          <w:cols w:equalWidth="0" w:num="1">
            <w:col w:w="11420"/>
          </w:cols>
          <w:pgMar w:left="240" w:top="123"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Youm Huh, certify that:</w:t>
      </w:r>
    </w:p>
    <w:p>
      <w:pPr>
        <w:spacing w:after="0" w:line="90"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MagnaChip Semiconductor LLC;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8"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900" w:right="180" w:hanging="446"/>
        <w:spacing w:after="0" w:line="262"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29, 2006</w:t>
      </w:r>
    </w:p>
    <w:p>
      <w:pPr>
        <w:spacing w:after="0" w:line="212" w:lineRule="exact"/>
        <w:rPr>
          <w:sz w:val="20"/>
          <w:szCs w:val="20"/>
          <w:color w:val="auto"/>
        </w:rPr>
      </w:pPr>
    </w:p>
    <w:p>
      <w:pPr>
        <w:ind w:left="1720"/>
        <w:spacing w:after="0"/>
        <w:tabs>
          <w:tab w:leader="none" w:pos="2040" w:val="left"/>
        </w:tabs>
        <w:rPr>
          <w:sz w:val="20"/>
          <w:szCs w:val="20"/>
          <w:color w:val="auto"/>
        </w:rPr>
      </w:pP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4"/>
          <w:szCs w:val="14"/>
          <w:color w:val="auto"/>
        </w:rPr>
        <w:t>OUM</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4"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Youm Huh</w:t>
      </w:r>
    </w:p>
    <w:p>
      <w:pPr>
        <w:spacing w:after="0" w:line="5"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ectPr>
          <w:pgSz w:w="11900" w:h="16838" w:orient="portrait"/>
          <w:cols w:equalWidth="0" w:num="1">
            <w:col w:w="11420"/>
          </w:cols>
          <w:pgMar w:left="240" w:top="123" w:right="2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Robert J. Krakauer, certify that:</w:t>
      </w:r>
    </w:p>
    <w:p>
      <w:pPr>
        <w:spacing w:after="0" w:line="90"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MagnaChip Semiconductor LLC;</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8"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900" w:right="180" w:hanging="446"/>
        <w:spacing w:after="0" w:line="262"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29, 2006</w:t>
      </w:r>
    </w:p>
    <w:p>
      <w:pPr>
        <w:spacing w:after="0" w:line="212" w:lineRule="exact"/>
        <w:rPr>
          <w:sz w:val="20"/>
          <w:szCs w:val="20"/>
          <w:color w:val="auto"/>
        </w:rPr>
      </w:pPr>
    </w:p>
    <w:p>
      <w:pPr>
        <w:ind w:left="1340"/>
        <w:spacing w:after="0"/>
        <w:tabs>
          <w:tab w:leader="none" w:pos="1660" w:val="left"/>
        </w:tabs>
        <w:rPr>
          <w:sz w:val="20"/>
          <w:szCs w:val="20"/>
          <w:color w:val="auto"/>
        </w:rPr>
      </w:pPr>
      <w:r>
        <w:rPr>
          <w:rFonts w:ascii="Times New Roman" w:cs="Times New Roman" w:eastAsia="Times New Roman" w:hAnsi="Times New Roman"/>
          <w:sz w:val="18"/>
          <w:szCs w:val="18"/>
          <w:color w:val="auto"/>
        </w:rPr>
        <w:t>/s/</w:t>
        <w:tab/>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4"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Robert J. Krakauer</w:t>
      </w:r>
    </w:p>
    <w:p>
      <w:pPr>
        <w:jc w:val="center"/>
        <w:ind w:right="650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Strategic Operations, and Chief Financial Officer</w:t>
      </w:r>
    </w:p>
    <w:p>
      <w:pPr>
        <w:sectPr>
          <w:pgSz w:w="11900" w:h="16838" w:orient="portrait"/>
          <w:cols w:equalWidth="0" w:num="1">
            <w:col w:w="11420"/>
          </w:cols>
          <w:pgMar w:left="240" w:top="124" w:right="2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MagnaChip Semiconductor LLC (the “Company”) on Form 10-K for the period ending December 31, 2005, as filed with the Securities and Exchange Commission on the date hereof (the “Report”), I, Youm Huh, Chief Executive Officer and President of the Company, certify, pursuant to 18 U.S.C. §1350, as adopted pursuant to §906 of the Sarbanes-Oxley Act of 2002, that to my knowledge:</w:t>
      </w:r>
    </w:p>
    <w:p>
      <w:pPr>
        <w:spacing w:after="0" w:line="51" w:lineRule="exact"/>
        <w:rPr>
          <w:sz w:val="20"/>
          <w:szCs w:val="20"/>
          <w:color w:val="auto"/>
        </w:rPr>
      </w:pPr>
    </w:p>
    <w:p>
      <w:pPr>
        <w:ind w:left="1160" w:hanging="257"/>
        <w:spacing w:after="0"/>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720"/>
        <w:spacing w:after="0"/>
        <w:tabs>
          <w:tab w:leader="none" w:pos="2040" w:val="left"/>
        </w:tabs>
        <w:rPr>
          <w:sz w:val="20"/>
          <w:szCs w:val="20"/>
          <w:color w:val="auto"/>
        </w:rPr>
      </w:pP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4"/>
          <w:szCs w:val="14"/>
          <w:color w:val="auto"/>
        </w:rPr>
        <w:t>OUM</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4"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Youm Huh</w:t>
      </w:r>
    </w:p>
    <w:p>
      <w:pPr>
        <w:spacing w:after="0" w:line="5"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2006</w:t>
      </w:r>
    </w:p>
    <w:p>
      <w:pPr>
        <w:sectPr>
          <w:pgSz w:w="11900" w:h="16838" w:orient="portrait"/>
          <w:cols w:equalWidth="0" w:num="1">
            <w:col w:w="11420"/>
          </w:cols>
          <w:pgMar w:left="240" w:top="123" w:right="2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MagnaChip Semiconductor LLC (the “Company”) on Form 10-K for the period ending December 31, 2005, as filed with the Securities and Exchange Commission on the date hereof (the “Report”), I, Robert J. Krakauer, Executive Vice President, Strategic Operations and Chief Financial Officer of the Company, certify, pursuant to 18 U.S.C. §1350, as adopted pursuant to §906 of the Sarbanes-Oxley Act of 2002, that to my knowledge:</w:t>
      </w:r>
    </w:p>
    <w:p>
      <w:pPr>
        <w:spacing w:after="0" w:line="55" w:lineRule="exact"/>
        <w:rPr>
          <w:sz w:val="20"/>
          <w:szCs w:val="20"/>
          <w:color w:val="auto"/>
        </w:rPr>
      </w:pPr>
    </w:p>
    <w:p>
      <w:pPr>
        <w:ind w:left="1160" w:hanging="257"/>
        <w:spacing w:after="0"/>
        <w:tabs>
          <w:tab w:leader="none" w:pos="1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60"/>
        <w:spacing w:after="0"/>
        <w:tabs>
          <w:tab w:leader="none" w:pos="1680" w:val="left"/>
        </w:tabs>
        <w:rPr>
          <w:sz w:val="20"/>
          <w:szCs w:val="20"/>
          <w:color w:val="auto"/>
        </w:rPr>
      </w:pPr>
      <w:r>
        <w:rPr>
          <w:rFonts w:ascii="Times New Roman" w:cs="Times New Roman" w:eastAsia="Times New Roman" w:hAnsi="Times New Roman"/>
          <w:sz w:val="18"/>
          <w:szCs w:val="18"/>
          <w:color w:val="auto"/>
        </w:rPr>
        <w:t>/s/</w:t>
        <w:tab/>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4" w:lineRule="exact"/>
        <w:rPr>
          <w:sz w:val="20"/>
          <w:szCs w:val="20"/>
          <w:color w:val="auto"/>
        </w:rPr>
      </w:pP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Robert J. Krakauer</w:t>
      </w:r>
    </w:p>
    <w:p>
      <w:pPr>
        <w:jc w:val="center"/>
        <w:ind w:right="650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w:t>
      </w:r>
    </w:p>
    <w:p>
      <w:pPr>
        <w:jc w:val="center"/>
        <w:ind w:right="6500"/>
        <w:spacing w:after="0"/>
        <w:rPr>
          <w:sz w:val="20"/>
          <w:szCs w:val="20"/>
          <w:color w:val="auto"/>
        </w:rPr>
      </w:pPr>
      <w:r>
        <w:rPr>
          <w:rFonts w:ascii="Times New Roman" w:cs="Times New Roman" w:eastAsia="Times New Roman" w:hAnsi="Times New Roman"/>
          <w:sz w:val="14"/>
          <w:szCs w:val="14"/>
          <w:b w:val="1"/>
          <w:bCs w:val="1"/>
          <w:color w:val="auto"/>
        </w:rPr>
        <w:t>Strategic Operations, and Chief Financial Officer</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2006</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2"/>
    </w:lvl>
  </w:abstractNum>
  <w:abstractNum w:abstractNumId="7">
    <w:nsid w:val="153EA438"/>
    <w:multiLevelType w:val="hybridMultilevel"/>
    <w:lvl w:ilvl="0">
      <w:lvlJc w:val="left"/>
      <w:lvlText w:val="%1."/>
      <w:numFmt w:val="decimal"/>
      <w:start w:val="18"/>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2"/>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3"/>
    </w:lvl>
  </w:abstractNum>
  <w:abstractNum w:abstractNumId="13">
    <w:nsid w:val="725A06FB"/>
    <w:multiLevelType w:val="hybridMultilevel"/>
    <w:lvl w:ilvl="0">
      <w:lvlJc w:val="left"/>
      <w:lvlText w:val="(%1)"/>
      <w:numFmt w:val="lowerLetter"/>
      <w:start w:val="1"/>
    </w:lvl>
    <w:lvl w:ilvl="1">
      <w:lvlJc w:val="left"/>
      <w:lvlText w:val="%2."/>
      <w:numFmt w:val="decimal"/>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2"/>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decimal"/>
      <w:start w:val="5"/>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2"/>
    </w:lvl>
  </w:abstractNum>
  <w:abstractNum w:abstractNumId="34">
    <w:nsid w:val="4F4EF005"/>
    <w:multiLevelType w:val="hybridMultilevel"/>
    <w:lvl w:ilvl="0">
      <w:lvlJc w:val="left"/>
      <w:lvlText w:val="(%1)"/>
      <w:numFmt w:val="lowerLetter"/>
      <w:start w:val="3"/>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1"/>
    </w:lvl>
    <w:lvl w:ilvl="1">
      <w:lvlJc w:val="left"/>
      <w:lvlText w:val="(%2)"/>
      <w:numFmt w:val="lowerLetter"/>
      <w:start w:val="2"/>
    </w:lvl>
  </w:abstractNum>
  <w:abstractNum w:abstractNumId="38">
    <w:nsid w:val="39386575"/>
    <w:multiLevelType w:val="hybridMultilevel"/>
    <w:lvl w:ilvl="0">
      <w:lvlJc w:val="left"/>
      <w:lvlText w:val="(%1)"/>
      <w:numFmt w:val="lowerLetter"/>
      <w:start w:val="61"/>
    </w:lvl>
    <w:lvl w:ilvl="1">
      <w:lvlJc w:val="left"/>
      <w:lvlText w:val="(%2)"/>
      <w:numFmt w:val="lowerLetter"/>
      <w:start w:val="3"/>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2"/>
    </w:lvl>
    <w:lvl w:ilvl="1">
      <w:lvlJc w:val="left"/>
      <w:lvlText w:val="***"/>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2"/>
    </w:lvl>
  </w:abstractNum>
  <w:abstractNum w:abstractNumId="43">
    <w:nsid w:val="354FE9F9"/>
    <w:multiLevelType w:val="hybridMultilevel"/>
    <w:lvl w:ilvl="0">
      <w:lvlJc w:val="left"/>
      <w:lvlText w:val="%1."/>
      <w:numFmt w:val="decimal"/>
      <w:start w:val="4"/>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2"/>
    </w:lvl>
  </w:abstractNum>
  <w:abstractNum w:abstractNumId="46">
    <w:nsid w:val="D34B6A8"/>
    <w:multiLevelType w:val="hybridMultilevel"/>
    <w:lvl w:ilvl="0">
      <w:lvlJc w:val="left"/>
      <w:lvlText w:val="%1."/>
      <w:numFmt w:val="decimal"/>
      <w:start w:val="4"/>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2"/>
    </w:lvl>
  </w:abstractNum>
  <w:abstractNum w:abstractNumId="49">
    <w:nsid w:val="61574095"/>
    <w:multiLevelType w:val="hybridMultilevel"/>
    <w:lvl w:ilvl="0">
      <w:lvlJc w:val="left"/>
      <w:lvlText w:val="%1."/>
      <w:numFmt w:val="decimal"/>
      <w:start w:val="3"/>
    </w:lvl>
  </w:abstractNum>
  <w:abstractNum w:abstractNumId="50">
    <w:nsid w:val="7E0C57B1"/>
    <w:multiLevelType w:val="hybridMultilevel"/>
    <w:lvl w:ilvl="0">
      <w:lvlJc w:val="left"/>
      <w:lvlText w:val="%1."/>
      <w:numFmt w:val="decimal"/>
      <w:start w:val="6"/>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3"/>
    </w:lvl>
  </w:abstractNum>
  <w:abstractNum w:abstractNumId="53">
    <w:nsid w:val="310C50B3"/>
    <w:multiLevelType w:val="hybridMultilevel"/>
    <w:lvl w:ilvl="0">
      <w:lvlJc w:val="left"/>
      <w:lvlText w:val="%1."/>
      <w:numFmt w:val="decimal"/>
      <w:start w:val="4"/>
    </w:lvl>
  </w:abstractNum>
  <w:abstractNum w:abstractNumId="54">
    <w:nsid w:val="5FF87E05"/>
    <w:multiLevelType w:val="hybridMultilevel"/>
    <w:lvl w:ilvl="0">
      <w:lvlJc w:val="left"/>
      <w:lvlText w:val="%1."/>
      <w:numFmt w:val="decimal"/>
      <w:start w:val="5"/>
    </w:lvl>
  </w:abstractNum>
  <w:abstractNum w:abstractNumId="55">
    <w:nsid w:val="2F305DEF"/>
    <w:multiLevelType w:val="hybridMultilevel"/>
    <w:lvl w:ilvl="0">
      <w:lvlJc w:val="left"/>
      <w:lvlText w:val="%1."/>
      <w:numFmt w:val="decimal"/>
      <w:start w:val="6"/>
    </w:lvl>
  </w:abstractNum>
  <w:abstractNum w:abstractNumId="56">
    <w:nsid w:val="25A70BF7"/>
    <w:multiLevelType w:val="hybridMultilevel"/>
    <w:lvl w:ilvl="0">
      <w:lvlJc w:val="left"/>
      <w:lvlText w:val="%1."/>
      <w:numFmt w:val="decimal"/>
      <w:start w:val="9"/>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2"/>
    </w:lvl>
  </w:abstractNum>
  <w:abstractNum w:abstractNumId="59">
    <w:nsid w:val="1F48EAA1"/>
    <w:multiLevelType w:val="hybridMultilevel"/>
    <w:lvl w:ilvl="0">
      <w:lvlJc w:val="left"/>
      <w:lvlText w:val="%1."/>
      <w:numFmt w:val="decimal"/>
      <w:start w:val="3"/>
    </w:lvl>
  </w:abstractNum>
  <w:abstractNum w:abstractNumId="60">
    <w:nsid w:val="1381823A"/>
    <w:multiLevelType w:val="hybridMultilevel"/>
    <w:lvl w:ilvl="0">
      <w:lvlJc w:val="left"/>
      <w:lvlText w:val="%1."/>
      <w:numFmt w:val="decimal"/>
      <w:start w:val="4"/>
    </w:lvl>
  </w:abstractNum>
  <w:abstractNum w:abstractNumId="61">
    <w:nsid w:val="5DB70AE5"/>
    <w:multiLevelType w:val="hybridMultilevel"/>
    <w:lvl w:ilvl="0">
      <w:lvlJc w:val="left"/>
      <w:lvlText w:val="%1."/>
      <w:numFmt w:val="decimal"/>
      <w:start w:val="5"/>
    </w:lvl>
  </w:abstractNum>
  <w:abstractNum w:abstractNumId="62">
    <w:nsid w:val="100F8FCA"/>
    <w:multiLevelType w:val="hybridMultilevel"/>
    <w:lvl w:ilvl="0">
      <w:lvlJc w:val="left"/>
      <w:lvlText w:val="%1."/>
      <w:numFmt w:val="decimal"/>
      <w:start w:val="6"/>
    </w:lvl>
  </w:abstractNum>
  <w:abstractNum w:abstractNumId="63">
    <w:nsid w:val="6590700B"/>
    <w:multiLevelType w:val="hybridMultilevel"/>
    <w:lvl w:ilvl="0">
      <w:lvlJc w:val="left"/>
      <w:lvlText w:val="%1."/>
      <w:numFmt w:val="decimal"/>
      <w:start w:val="7"/>
    </w:lvl>
  </w:abstractNum>
  <w:abstractNum w:abstractNumId="64">
    <w:nsid w:val="15014ACB"/>
    <w:multiLevelType w:val="hybridMultilevel"/>
    <w:lvl w:ilvl="0">
      <w:lvlJc w:val="left"/>
      <w:lvlText w:val="%1."/>
      <w:numFmt w:val="decimal"/>
      <w:start w:val="8"/>
    </w:lvl>
  </w:abstractNum>
  <w:abstractNum w:abstractNumId="65">
    <w:nsid w:val="5F5E7FD0"/>
    <w:multiLevelType w:val="hybridMultilevel"/>
    <w:lvl w:ilvl="0">
      <w:lvlJc w:val="left"/>
      <w:lvlText w:val="%1."/>
      <w:numFmt w:val="decimal"/>
      <w:start w:val="9"/>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2"/>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2"/>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2019-12-15T09:44:55Z</dcterms:created>
  <dcterms:modified xsi:type="dcterms:W3CDTF">2019-12-15T09:44:55Z</dcterms:modified>
</cp:coreProperties>
</file>