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00" w:type="dxa"/>
            <w:vAlign w:val="bottom"/>
          </w:tcPr>
          <w:p>
            <w:pPr>
              <w:jc w:val="center"/>
              <w:ind w:right="203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40" w:type="dxa"/>
            <w:vAlign w:val="bottom"/>
          </w:tcPr>
          <w:p>
            <w:pPr>
              <w:jc w:val="center"/>
              <w:ind w:left="172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00" w:type="dxa"/>
            <w:vAlign w:val="bottom"/>
          </w:tcPr>
          <w:p>
            <w:pPr>
              <w:jc w:val="center"/>
              <w:ind w:right="20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00" w:type="dxa"/>
            <w:vAlign w:val="bottom"/>
          </w:tcPr>
          <w:p>
            <w:pPr>
              <w:jc w:val="center"/>
              <w:ind w:right="201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25"/>
        </w:trPr>
        <w:tc>
          <w:tcPr>
            <w:tcW w:w="3800" w:type="dxa"/>
            <w:vAlign w:val="bottom"/>
          </w:tcPr>
          <w:p>
            <w:pPr>
              <w:jc w:val="center"/>
              <w:ind w:right="25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0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38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third quarter ended September 30, 2020, as presented in a press release dated October 29, 2020.</w:t>
      </w:r>
    </w:p>
    <w:p>
      <w:pPr>
        <w:spacing w:after="0" w:line="146"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ectPr>
          <w:pgSz w:w="11900" w:h="16838" w:orient="portrait"/>
          <w:cols w:equalWidth="0" w:num="1">
            <w:col w:w="10804"/>
          </w:cols>
          <w:pgMar w:left="436" w:top="297" w:right="659" w:bottom="1440" w:gutter="0" w:footer="0" w:header="0"/>
        </w:sectPr>
      </w:pPr>
    </w:p>
    <w:p>
      <w:pPr>
        <w:spacing w:after="0" w:line="244" w:lineRule="exact"/>
        <w:rPr>
          <w:sz w:val="20"/>
          <w:szCs w:val="20"/>
          <w:color w:val="auto"/>
        </w:rPr>
      </w:pPr>
    </w:p>
    <w:p>
      <w:pPr>
        <w:jc w:val="center"/>
        <w:ind w:right="4396"/>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396"/>
        <w:spacing w:after="0"/>
        <w:rPr>
          <w:sz w:val="20"/>
          <w:szCs w:val="20"/>
          <w:color w:val="auto"/>
        </w:rPr>
      </w:pPr>
      <w:r>
        <w:rPr>
          <w:rFonts w:ascii="Arial" w:cs="Arial" w:eastAsia="Arial" w:hAnsi="Arial"/>
          <w:sz w:val="14"/>
          <w:szCs w:val="14"/>
          <w:b w:val="1"/>
          <w:bCs w:val="1"/>
          <w:u w:val="single" w:color="auto"/>
          <w:color w:val="auto"/>
        </w:rPr>
        <w:t>No.</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Description</w:t>
      </w:r>
    </w:p>
    <w:p>
      <w:pPr>
        <w:spacing w:after="0" w:line="128" w:lineRule="exact"/>
        <w:rPr>
          <w:sz w:val="20"/>
          <w:szCs w:val="20"/>
          <w:color w:val="auto"/>
        </w:rPr>
      </w:pPr>
    </w:p>
    <w:p>
      <w:pPr>
        <w:sectPr>
          <w:pgSz w:w="11900" w:h="16838" w:orient="portrait"/>
          <w:cols w:equalWidth="0" w:num="2">
            <w:col w:w="4864" w:space="720"/>
            <w:col w:w="5220"/>
          </w:cols>
          <w:pgMar w:left="436" w:top="297" w:right="659" w:bottom="1440" w:gutter="0" w:footer="0" w:header="0"/>
          <w:type w:val="continuous"/>
        </w:sectPr>
      </w:pPr>
    </w:p>
    <w:p>
      <w:pPr>
        <w:ind w:left="884" w:right="420"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for MagnaChip Semiconductor Corporation dated October 29, 2020, announcing the results for the third quarter ended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September 30, 2020.</w:t>
        </w:r>
      </w:hyperlink>
    </w:p>
    <w:p>
      <w:pPr>
        <w:spacing w:after="0" w:line="62" w:lineRule="exact"/>
        <w:rPr>
          <w:sz w:val="20"/>
          <w:szCs w:val="20"/>
          <w:color w:val="auto"/>
        </w:rPr>
      </w:pPr>
    </w:p>
    <w:p>
      <w:pPr>
        <w:ind w:left="4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04"/>
          </w:cols>
          <w:pgMar w:left="436" w:top="297" w:right="65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Dated: October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900"/>
          </w:cols>
          <w:pgMar w:left="440" w:top="297"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33172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17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Third Quarter 2020</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Completed sale of the Foundry Services Group business and Fab 4 on September 1,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Cash balance as of September 30, 2020 was $542.1 million including approximately $350.6 million cash proceeds</w:t>
      </w:r>
    </w:p>
    <w:p>
      <w:pPr>
        <w:spacing w:after="0" w:line="130" w:lineRule="exact"/>
        <w:rPr>
          <w:rFonts w:ascii="Arial" w:cs="Arial" w:eastAsia="Arial" w:hAnsi="Arial"/>
          <w:sz w:val="18"/>
          <w:szCs w:val="18"/>
          <w:color w:val="auto"/>
        </w:rPr>
      </w:pPr>
    </w:p>
    <w:p>
      <w:pPr>
        <w:ind w:left="1420" w:right="320" w:hanging="331"/>
        <w:spacing w:after="0" w:line="282"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Paid $227.4 million to fully redeem 6.625% 2021 Senior Notes on October 2, 2020, lowering the future interest expense by approximately $16 million annually</w:t>
      </w:r>
    </w:p>
    <w:p>
      <w:pPr>
        <w:spacing w:after="0" w:line="67" w:lineRule="exact"/>
        <w:rPr>
          <w:rFonts w:ascii="Arial" w:cs="Arial" w:eastAsia="Arial" w:hAnsi="Arial"/>
          <w:sz w:val="18"/>
          <w:szCs w:val="18"/>
          <w:color w:val="auto"/>
        </w:rPr>
      </w:pPr>
    </w:p>
    <w:p>
      <w:pPr>
        <w:ind w:left="960" w:right="14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Revenue of $124.8 million, including $8.6 million revenue from transitional foundry service, increased 5% sequentially, exceeding high-end of the guidance range</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Gross profit margin of 22.9% reflecting approximately 300 bps negative impact from one-time items</w:t>
      </w:r>
    </w:p>
    <w:p>
      <w:pPr>
        <w:spacing w:after="0" w:line="130" w:lineRule="exact"/>
        <w:rPr>
          <w:rFonts w:ascii="Arial" w:cs="Arial" w:eastAsia="Arial" w:hAnsi="Arial"/>
          <w:sz w:val="18"/>
          <w:szCs w:val="18"/>
          <w:color w:val="auto"/>
        </w:rPr>
      </w:pPr>
    </w:p>
    <w:p>
      <w:pPr>
        <w:ind w:left="960" w:right="220" w:hanging="424"/>
        <w:spacing w:after="0" w:line="347"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Net income of $273.0 million, including income from discontinued operations reflecting the $287.1 million gain on sale of the Foundry Services Group business and Fab 4; GAAP earnings per share of $7.74, including income from discontinued operations</w:t>
      </w:r>
    </w:p>
    <w:p>
      <w:pPr>
        <w:spacing w:after="0" w:line="21"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Net income from continuing operations of $8.5 million; GAAP diluted earnings per share from continuing operations of 21 cents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Non-GAAP diluted earnings per share from continuing operations of 14 cents</w:t>
      </w:r>
    </w:p>
    <w:p>
      <w:pPr>
        <w:spacing w:after="0" w:line="225"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SEOUL, South Korea, October 29, 2020 </w:t>
      </w:r>
      <w:r>
        <w:rPr>
          <w:rFonts w:ascii="Arial" w:cs="Arial" w:eastAsia="Arial" w:hAnsi="Arial"/>
          <w:sz w:val="18"/>
          <w:szCs w:val="18"/>
          <w:color w:val="auto"/>
        </w:rPr>
        <w:t>— MagnaChip Semiconductor Corporation (NYSE: MX) (“MagnaChip” or the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third quarter of 2020.</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“Q3 represented a pivotal chapter of MagnaChip as we successfully closed the sale of the Foundry business and Fab 4 that ultimately resulted in MagnaChip becoming a pure-play Products company with a very healthy balance sheet. Across the company, we are making well-planned moves to realign our resources, sharpen our R&amp;D focus on key priority areas, and improve our operational efficiency,” said YJ Kim, MagnaChip’s chief executive officer. “During the third quarter, we also delivered solid performance with a 5% sequential revenue growth and a healthy bottom line despite the market disruptions caused by pandemic and geopolitical tension.”</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“More importantly, the upswing in demand which began in July has continued into the fourth quarter thus far. We are encouraged by the robust growth opportunities ahead of us, which creates a stronger foundation for profitable growth. We continue to push the envelope on enhancing our competitive position through continuous technology advancement, addressable market expansion and strategic customer engagements.”</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Q3 2020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gridSpan w:val="6"/>
          </w:tcPr>
          <w:p>
            <w:pPr>
              <w:jc w:val="right"/>
              <w:ind w:right="460"/>
              <w:spacing w:after="0"/>
              <w:rPr>
                <w:sz w:val="20"/>
                <w:szCs w:val="20"/>
                <w:color w:val="auto"/>
              </w:rPr>
            </w:pPr>
            <w:r>
              <w:rPr>
                <w:rFonts w:ascii="Arial" w:cs="Arial" w:eastAsia="Arial" w:hAnsi="Arial"/>
                <w:sz w:val="14"/>
                <w:szCs w:val="14"/>
                <w:color w:val="auto"/>
              </w:rPr>
              <w:t>In thousands of US dollars, except share data</w:t>
            </w:r>
          </w:p>
        </w:tc>
      </w:tr>
      <w:tr>
        <w:trPr>
          <w:trHeight w:val="142"/>
        </w:trPr>
        <w:tc>
          <w:tcPr>
            <w:tcW w:w="454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rPr>
              <w:t>GAAP</w:t>
            </w:r>
          </w:p>
        </w:tc>
        <w:tc>
          <w:tcPr>
            <w:tcW w:w="6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Q3 2020</w:t>
            </w:r>
          </w:p>
        </w:tc>
        <w:tc>
          <w:tcPr>
            <w:tcW w:w="9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Q2 2020</w:t>
            </w:r>
          </w:p>
        </w:tc>
        <w:tc>
          <w:tcPr>
            <w:tcW w:w="17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Q/Q change</w:t>
            </w:r>
          </w:p>
        </w:tc>
        <w:tc>
          <w:tcPr>
            <w:tcW w:w="9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 2019</w:t>
            </w:r>
          </w:p>
        </w:tc>
        <w:tc>
          <w:tcPr>
            <w:tcW w:w="138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Y/Y change</w:t>
            </w:r>
          </w:p>
        </w:tc>
        <w:tc>
          <w:tcPr>
            <w:tcW w:w="460" w:type="dxa"/>
            <w:vAlign w:val="bottom"/>
          </w:tcPr>
          <w:p>
            <w:pPr>
              <w:spacing w:after="0"/>
              <w:rPr>
                <w:sz w:val="12"/>
                <w:szCs w:val="12"/>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69,583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69,176</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90,550</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46,679</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39,779</w:t>
            </w:r>
          </w:p>
        </w:tc>
        <w:tc>
          <w:tcPr>
            <w:tcW w:w="560" w:type="dxa"/>
            <w:vAlign w:val="bottom"/>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17.3%</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48,723</w:t>
            </w:r>
          </w:p>
        </w:tc>
        <w:tc>
          <w:tcPr>
            <w:tcW w:w="600" w:type="dxa"/>
            <w:vAlign w:val="bottom"/>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r>
              <w:rPr>
                <w:rFonts w:ascii="Arial" w:cs="Arial" w:eastAsia="Arial" w:hAnsi="Arial"/>
                <w:sz w:val="15"/>
                <w:szCs w:val="15"/>
                <w:color w:val="auto"/>
              </w:rPr>
              <w:t>(1)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9,873</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13.4%</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9,894</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560" w:type="dxa"/>
            <w:vAlign w:val="bottom"/>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4.1% pts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600" w:type="dxa"/>
            <w:vAlign w:val="bottom"/>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0.7% pts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8,622</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62.6%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14,336</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Income (loss) from continuing operations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8,461</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11,774</w:t>
            </w:r>
          </w:p>
        </w:tc>
        <w:tc>
          <w:tcPr>
            <w:tcW w:w="560" w:type="dxa"/>
            <w:vAlign w:val="bottom"/>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28.1%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(14,244)</w:t>
            </w:r>
          </w:p>
        </w:tc>
        <w:tc>
          <w:tcPr>
            <w:tcW w:w="600" w:type="dxa"/>
            <w:vAlign w:val="bottom"/>
          </w:tcPr>
          <w:p>
            <w:pPr>
              <w:ind w:left="60"/>
              <w:spacing w:after="0"/>
              <w:rPr>
                <w:sz w:val="20"/>
                <w:szCs w:val="20"/>
                <w:color w:val="auto"/>
              </w:rPr>
            </w:pPr>
            <w:r>
              <w:rPr>
                <w:rFonts w:ascii="Arial" w:cs="Arial" w:eastAsia="Arial" w:hAnsi="Arial"/>
                <w:sz w:val="18"/>
                <w:szCs w:val="18"/>
                <w:color w:val="auto"/>
              </w:rPr>
              <w:t>up</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159.4%</w:t>
            </w:r>
          </w:p>
        </w:tc>
      </w:tr>
      <w:tr>
        <w:trPr>
          <w:trHeight w:val="198"/>
        </w:trPr>
        <w:tc>
          <w:tcPr>
            <w:tcW w:w="4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Diluted earnings (loss) per common share—(Continuing</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0.28</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25.0%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151.2%</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Net Income (Loss)</w:t>
            </w:r>
            <w:r>
              <w:rPr>
                <w:rFonts w:ascii="Arial" w:cs="Arial" w:eastAsia="Arial" w:hAnsi="Arial"/>
                <w:sz w:val="15"/>
                <w:szCs w:val="15"/>
                <w:b w:val="1"/>
                <w:bCs w:val="1"/>
                <w:color w:val="auto"/>
              </w:rPr>
              <w:t>(2)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272,962</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29,171</w:t>
            </w:r>
          </w:p>
        </w:tc>
        <w:tc>
          <w:tcPr>
            <w:tcW w:w="560" w:type="dxa"/>
            <w:vAlign w:val="bottom"/>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835.7%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(1,607)</w:t>
            </w:r>
          </w:p>
        </w:tc>
        <w:tc>
          <w:tcPr>
            <w:tcW w:w="600" w:type="dxa"/>
            <w:vAlign w:val="bottom"/>
          </w:tcPr>
          <w:p>
            <w:pPr>
              <w:ind w:left="60"/>
              <w:spacing w:after="0"/>
              <w:rPr>
                <w:sz w:val="20"/>
                <w:szCs w:val="20"/>
                <w:color w:val="auto"/>
              </w:rPr>
            </w:pPr>
            <w:r>
              <w:rPr>
                <w:rFonts w:ascii="Arial" w:cs="Arial" w:eastAsia="Arial" w:hAnsi="Arial"/>
                <w:sz w:val="18"/>
                <w:szCs w:val="18"/>
                <w:color w:val="auto"/>
              </w:rPr>
              <w:t>up</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17,085.8%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7.74</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0.84</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821.4%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15,580.0%</w:t>
            </w: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5.89</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0.65</w:t>
            </w:r>
          </w:p>
        </w:tc>
        <w:tc>
          <w:tcPr>
            <w:tcW w:w="560" w:type="dxa"/>
            <w:vAlign w:val="bottom"/>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806.2%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600" w:type="dxa"/>
            <w:vAlign w:val="bottom"/>
          </w:tcPr>
          <w:p>
            <w:pPr>
              <w:ind w:left="60"/>
              <w:spacing w:after="0"/>
              <w:rPr>
                <w:sz w:val="20"/>
                <w:szCs w:val="20"/>
                <w:color w:val="auto"/>
              </w:rPr>
            </w:pPr>
            <w:r>
              <w:rPr>
                <w:rFonts w:ascii="Arial" w:cs="Arial" w:eastAsia="Arial" w:hAnsi="Arial"/>
                <w:sz w:val="18"/>
                <w:szCs w:val="18"/>
                <w:color w:val="auto"/>
              </w:rPr>
              <w:t>up</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11,880.0%</w:t>
            </w:r>
          </w:p>
        </w:tc>
      </w:tr>
      <w:tr>
        <w:trPr>
          <w:trHeight w:val="346"/>
        </w:trPr>
        <w:tc>
          <w:tcPr>
            <w:tcW w:w="4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gridSpan w:val="6"/>
          </w:tcPr>
          <w:p>
            <w:pPr>
              <w:jc w:val="right"/>
              <w:ind w:right="460"/>
              <w:spacing w:after="0"/>
              <w:rPr>
                <w:sz w:val="20"/>
                <w:szCs w:val="20"/>
                <w:color w:val="auto"/>
              </w:rPr>
            </w:pPr>
            <w:r>
              <w:rPr>
                <w:rFonts w:ascii="Arial" w:cs="Arial" w:eastAsia="Arial" w:hAnsi="Arial"/>
                <w:sz w:val="14"/>
                <w:szCs w:val="14"/>
                <w:color w:val="auto"/>
              </w:rPr>
              <w:t>In thousands of US dollars, except share data</w:t>
            </w:r>
          </w:p>
        </w:tc>
      </w:tr>
      <w:tr>
        <w:trPr>
          <w:trHeight w:val="142"/>
        </w:trPr>
        <w:tc>
          <w:tcPr>
            <w:tcW w:w="454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2"/>
                <w:szCs w:val="12"/>
                <w:b w:val="1"/>
                <w:bCs w:val="1"/>
                <w:color w:val="auto"/>
              </w:rPr>
              <w:t>(3)</w:t>
            </w:r>
          </w:p>
        </w:tc>
        <w:tc>
          <w:tcPr>
            <w:tcW w:w="6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Q3 2020</w:t>
            </w:r>
          </w:p>
        </w:tc>
        <w:tc>
          <w:tcPr>
            <w:tcW w:w="3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Q2 2020</w:t>
            </w:r>
          </w:p>
        </w:tc>
        <w:tc>
          <w:tcPr>
            <w:tcW w:w="3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Q/Q change</w:t>
            </w: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Q3 2019</w:t>
            </w:r>
          </w:p>
        </w:tc>
        <w:tc>
          <w:tcPr>
            <w:tcW w:w="3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Y/Y change</w:t>
            </w:r>
          </w:p>
        </w:tc>
        <w:tc>
          <w:tcPr>
            <w:tcW w:w="460" w:type="dxa"/>
            <w:vAlign w:val="bottom"/>
            <w:tcBorders>
              <w:bottom w:val="single" w:sz="8" w:color="CCEEFF"/>
            </w:tcBorders>
          </w:tcPr>
          <w:p>
            <w:pPr>
              <w:spacing w:after="0"/>
              <w:rPr>
                <w:sz w:val="12"/>
                <w:szCs w:val="12"/>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10,125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11,731</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12,711</w:t>
            </w:r>
          </w:p>
        </w:tc>
        <w:tc>
          <w:tcPr>
            <w:tcW w:w="560" w:type="dxa"/>
            <w:vAlign w:val="bottom"/>
          </w:tcPr>
          <w:p>
            <w:pPr>
              <w:ind w:left="40"/>
              <w:spacing w:after="0"/>
              <w:rPr>
                <w:sz w:val="20"/>
                <w:szCs w:val="20"/>
                <w:color w:val="auto"/>
              </w:rPr>
            </w:pPr>
            <w:r>
              <w:rPr>
                <w:rFonts w:ascii="Arial" w:cs="Arial" w:eastAsia="Arial" w:hAnsi="Arial"/>
                <w:sz w:val="18"/>
                <w:szCs w:val="18"/>
                <w:color w:val="auto"/>
              </w:rPr>
              <w:t>down</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7.7%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17,404</w:t>
            </w:r>
          </w:p>
        </w:tc>
        <w:tc>
          <w:tcPr>
            <w:tcW w:w="600" w:type="dxa"/>
            <w:vAlign w:val="bottom"/>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32.6%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5,147</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4,753</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8.3%</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8,204</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w:t>
            </w: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0.13</w:t>
            </w:r>
          </w:p>
        </w:tc>
        <w:tc>
          <w:tcPr>
            <w:tcW w:w="560" w:type="dxa"/>
            <w:vAlign w:val="bottom"/>
          </w:tcPr>
          <w:p>
            <w:pPr>
              <w:ind w:left="40"/>
              <w:spacing w:after="0"/>
              <w:rPr>
                <w:sz w:val="20"/>
                <w:szCs w:val="20"/>
                <w:color w:val="auto"/>
              </w:rPr>
            </w:pPr>
            <w:r>
              <w:rPr>
                <w:rFonts w:ascii="Arial" w:cs="Arial" w:eastAsia="Arial" w:hAnsi="Arial"/>
                <w:sz w:val="18"/>
                <w:szCs w:val="18"/>
                <w:color w:val="auto"/>
              </w:rPr>
              <w:t>up</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7.7%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600" w:type="dxa"/>
            <w:vAlign w:val="bottom"/>
          </w:tcPr>
          <w:p>
            <w:pPr>
              <w:ind w:left="60"/>
              <w:spacing w:after="0"/>
              <w:rPr>
                <w:sz w:val="20"/>
                <w:szCs w:val="20"/>
                <w:color w:val="auto"/>
              </w:rPr>
            </w:pPr>
            <w:r>
              <w:rPr>
                <w:rFonts w:ascii="Arial" w:cs="Arial" w:eastAsia="Arial" w:hAnsi="Arial"/>
                <w:sz w:val="18"/>
                <w:szCs w:val="18"/>
                <w:color w:val="auto"/>
              </w:rPr>
              <w:t>down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right="2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Services Group business and Fab 4, and for a period up to three years, the Company will provide transitional foundry services to the buyer for Foundry products manufactured in the Company’s fabrication facility located in Gumi (“Transitional Fab 3 Foundry Services”). Management believes that disclosing revenue of the Transitional Fab 3 Foundry Services separately from the standard products business allows investors to better understand the results of our core standard products display solutions and power solutions businesses.</w:t>
      </w:r>
    </w:p>
    <w:p>
      <w:pPr>
        <w:spacing w:after="0" w:line="3"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third quarter, total net income of $273.0 million included income from discontinued operations, net of tax, of $264.5 million, primarily attributable to the recognition of $287.1 million as gain on sale of the Foundry Services Group and Fab 4.</w:t>
      </w:r>
    </w:p>
    <w:p>
      <w:pPr>
        <w:ind w:left="424" w:right="26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Q4 2020 Financial Guidance</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COVID-19 global pandemic is still evolving and continues to reduce our forward visibility. While actual results may vary, MagnaChip currently anticipates for Q4 2020:</w:t>
      </w:r>
    </w:p>
    <w:p>
      <w:pPr>
        <w:spacing w:after="0" w:line="76" w:lineRule="exact"/>
        <w:rPr>
          <w:sz w:val="20"/>
          <w:szCs w:val="20"/>
          <w:color w:val="auto"/>
        </w:rPr>
      </w:pPr>
    </w:p>
    <w:p>
      <w:pPr>
        <w:ind w:left="964" w:right="560" w:hanging="424"/>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$128 million to $136 million, which represents approximately 3% to 9% sequential growth, including $10 million to $11 million of the Transitional Fab 3 Foundry Services.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25% to 27%.</w:t>
      </w:r>
    </w:p>
    <w:p>
      <w:pPr>
        <w:sectPr>
          <w:pgSz w:w="11900" w:h="16838" w:orient="portrait"/>
          <w:cols w:equalWidth="0" w:num="1">
            <w:col w:w="11024"/>
          </w:cols>
          <w:pgMar w:left="436"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 Quarter 2020 Earnings Conference Call</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MagnaChip will host a conference call at 5 p.m. Eastern Time on October 29, 2020. The conference call will be webcast live and also is available by dialing toll-free at </w:t>
      </w:r>
      <w:r>
        <w:rPr>
          <w:rFonts w:ascii="Arial" w:cs="Arial" w:eastAsia="Arial" w:hAnsi="Arial"/>
          <w:sz w:val="17"/>
          <w:szCs w:val="17"/>
          <w:b w:val="1"/>
          <w:bCs w:val="1"/>
          <w:color w:val="auto"/>
        </w:rPr>
        <w:t>1-844-536-5472</w:t>
      </w:r>
      <w:r>
        <w:rPr>
          <w:rFonts w:ascii="Arial" w:cs="Arial" w:eastAsia="Arial" w:hAnsi="Arial"/>
          <w:sz w:val="17"/>
          <w:szCs w:val="17"/>
          <w:color w:val="auto"/>
        </w:rPr>
        <w:t xml:space="preserve">. International call-in participants can dial </w:t>
      </w:r>
      <w:r>
        <w:rPr>
          <w:rFonts w:ascii="Arial" w:cs="Arial" w:eastAsia="Arial" w:hAnsi="Arial"/>
          <w:sz w:val="17"/>
          <w:szCs w:val="17"/>
          <w:b w:val="1"/>
          <w:bCs w:val="1"/>
          <w:color w:val="auto"/>
        </w:rPr>
        <w:t>1-614-999-9318</w:t>
      </w:r>
      <w:r>
        <w:rPr>
          <w:rFonts w:ascii="Arial" w:cs="Arial" w:eastAsia="Arial" w:hAnsi="Arial"/>
          <w:sz w:val="17"/>
          <w:szCs w:val="17"/>
          <w:color w:val="auto"/>
        </w:rPr>
        <w:t xml:space="preserve">. The conference ID number is </w:t>
      </w:r>
      <w:r>
        <w:rPr>
          <w:rFonts w:ascii="Arial" w:cs="Arial" w:eastAsia="Arial" w:hAnsi="Arial"/>
          <w:sz w:val="17"/>
          <w:szCs w:val="17"/>
          <w:b w:val="1"/>
          <w:bCs w:val="1"/>
          <w:color w:val="auto"/>
        </w:rPr>
        <w:t>7584769</w:t>
      </w:r>
      <w:r>
        <w:rPr>
          <w:rFonts w:ascii="Arial" w:cs="Arial" w:eastAsia="Arial" w:hAnsi="Arial"/>
          <w:sz w:val="17"/>
          <w:szCs w:val="17"/>
          <w:color w:val="auto"/>
        </w:rPr>
        <w:t xml:space="preserve">. Participants are encouraged to initiate their calls at least 10 minutes in advance of the 5 p.m. Eastern Time start time to ensure a timely connection. The webcast and earnings release will be accessible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A replay of the conference call will be available the same day and will run for 72 hours. The replay dial-in numbers are </w:t>
      </w:r>
      <w:r>
        <w:rPr>
          <w:rFonts w:ascii="Arial" w:cs="Arial" w:eastAsia="Arial" w:hAnsi="Arial"/>
          <w:sz w:val="17"/>
          <w:szCs w:val="17"/>
          <w:b w:val="1"/>
          <w:bCs w:val="1"/>
          <w:color w:val="auto"/>
        </w:rPr>
        <w:t>1-404-537-3406</w:t>
      </w:r>
      <w:r>
        <w:rPr>
          <w:rFonts w:ascii="Arial" w:cs="Arial" w:eastAsia="Arial" w:hAnsi="Arial"/>
          <w:sz w:val="17"/>
          <w:szCs w:val="17"/>
          <w:color w:val="auto"/>
        </w:rPr>
        <w:t xml:space="preserve"> or toll-free at </w:t>
      </w:r>
      <w:r>
        <w:rPr>
          <w:rFonts w:ascii="Arial" w:cs="Arial" w:eastAsia="Arial" w:hAnsi="Arial"/>
          <w:sz w:val="17"/>
          <w:szCs w:val="17"/>
          <w:b w:val="1"/>
          <w:bCs w:val="1"/>
          <w:color w:val="auto"/>
        </w:rPr>
        <w:t>1-855-859-2056</w:t>
      </w:r>
      <w:r>
        <w:rPr>
          <w:rFonts w:ascii="Arial" w:cs="Arial" w:eastAsia="Arial" w:hAnsi="Arial"/>
          <w:sz w:val="17"/>
          <w:szCs w:val="17"/>
          <w:color w:val="auto"/>
        </w:rPr>
        <w:t xml:space="preserve">. The access code is </w:t>
      </w:r>
      <w:r>
        <w:rPr>
          <w:rFonts w:ascii="Arial" w:cs="Arial" w:eastAsia="Arial" w:hAnsi="Arial"/>
          <w:sz w:val="17"/>
          <w:szCs w:val="17"/>
          <w:b w:val="1"/>
          <w:bCs w:val="1"/>
          <w:color w:val="auto"/>
        </w:rPr>
        <w:t>7584769</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fourth quarter 2020 revenue and gross profit margin expectations, and the impact of the COVID-19 pandemic and escalated trade tensions on MagnaChip’s fourth quarter 2020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our Form 10-Qs filed on May 11, 2020 and August 7, 2020 (all of which including that the impact of the COVID-19 pandemic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and manufacturing services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ectPr>
          <w:pgSz w:w="11900" w:h="16838" w:orient="portrait"/>
          <w:cols w:equalWidth="0" w:num="1">
            <w:col w:w="11000"/>
          </w:cols>
          <w:pgMar w:left="440" w:top="270"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5540" w:type="dxa"/>
            <w:vAlign w:val="bottom"/>
            <w:gridSpan w:val="2"/>
          </w:tcPr>
          <w:p>
            <w:pPr>
              <w:ind w:left="3180"/>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So-Yeon Jeong</w:t>
            </w:r>
          </w:p>
        </w:tc>
        <w:tc>
          <w:tcPr>
            <w:tcW w:w="5540" w:type="dxa"/>
            <w:vAlign w:val="bottom"/>
            <w:gridSpan w:val="2"/>
          </w:tcPr>
          <w:p>
            <w:pPr>
              <w:ind w:left="3180"/>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Head of Investor Relations</w:t>
            </w:r>
          </w:p>
        </w:tc>
        <w:tc>
          <w:tcPr>
            <w:tcW w:w="5540" w:type="dxa"/>
            <w:vAlign w:val="bottom"/>
            <w:gridSpan w:val="2"/>
          </w:tcPr>
          <w:p>
            <w:pPr>
              <w:ind w:left="3180"/>
              <w:spacing w:after="0"/>
              <w:rPr>
                <w:sz w:val="20"/>
                <w:szCs w:val="20"/>
                <w:color w:val="auto"/>
              </w:rPr>
            </w:pPr>
            <w:r>
              <w:rPr>
                <w:rFonts w:ascii="Arial" w:cs="Arial" w:eastAsia="Arial" w:hAnsi="Arial"/>
                <w:sz w:val="18"/>
                <w:szCs w:val="18"/>
                <w:color w:val="auto"/>
              </w:rPr>
              <w:t>Director of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Tel. +1-408-712-6151</w:t>
            </w:r>
          </w:p>
        </w:tc>
        <w:tc>
          <w:tcPr>
            <w:tcW w:w="5540" w:type="dxa"/>
            <w:vAlign w:val="bottom"/>
            <w:gridSpan w:val="2"/>
          </w:tcPr>
          <w:p>
            <w:pPr>
              <w:ind w:left="3180"/>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5540" w:type="dxa"/>
            <w:vAlign w:val="bottom"/>
            <w:gridSpan w:val="2"/>
          </w:tcPr>
          <w:p>
            <w:pPr>
              <w:ind w:left="3180"/>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20"/>
        </w:trPr>
        <w:tc>
          <w:tcPr>
            <w:tcW w:w="25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24"/>
        </w:trPr>
        <w:tc>
          <w:tcPr>
            <w:tcW w:w="4280" w:type="dxa"/>
            <w:vAlign w:val="bottom"/>
          </w:tcPr>
          <w:p>
            <w:pPr>
              <w:spacing w:after="0"/>
              <w:rPr>
                <w:sz w:val="10"/>
                <w:szCs w:val="10"/>
                <w:color w:val="auto"/>
              </w:rPr>
            </w:pPr>
          </w:p>
        </w:tc>
        <w:tc>
          <w:tcPr>
            <w:tcW w:w="1140" w:type="dxa"/>
            <w:vAlign w:val="bottom"/>
            <w:tcBorders>
              <w:top w:val="single" w:sz="8" w:color="auto"/>
            </w:tcBorders>
            <w:gridSpan w:val="3"/>
          </w:tcPr>
          <w:p>
            <w:pPr>
              <w:ind w:left="20"/>
              <w:spacing w:after="0" w:line="12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600"/>
              <w:spacing w:after="0" w:line="124" w:lineRule="exact"/>
              <w:rPr>
                <w:sz w:val="20"/>
                <w:szCs w:val="20"/>
                <w:color w:val="auto"/>
              </w:rPr>
            </w:pPr>
            <w:r>
              <w:rPr>
                <w:rFonts w:ascii="Arial" w:cs="Arial" w:eastAsia="Arial" w:hAnsi="Arial"/>
                <w:sz w:val="14"/>
                <w:szCs w:val="14"/>
                <w:b w:val="1"/>
                <w:bCs w:val="1"/>
                <w:color w:val="auto"/>
                <w:w w:val="92"/>
              </w:rPr>
              <w:t>June 30,</w:t>
            </w:r>
          </w:p>
        </w:tc>
        <w:tc>
          <w:tcPr>
            <w:tcW w:w="90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500" w:type="dxa"/>
            <w:vAlign w:val="bottom"/>
          </w:tcPr>
          <w:p>
            <w:pPr>
              <w:spacing w:after="0"/>
              <w:rPr>
                <w:sz w:val="10"/>
                <w:szCs w:val="10"/>
                <w:color w:val="auto"/>
              </w:rPr>
            </w:pPr>
          </w:p>
        </w:tc>
        <w:tc>
          <w:tcPr>
            <w:tcW w:w="1400" w:type="dxa"/>
            <w:vAlign w:val="bottom"/>
            <w:tcBorders>
              <w:top w:val="single" w:sz="8" w:color="auto"/>
            </w:tcBorders>
            <w:gridSpan w:val="3"/>
          </w:tcPr>
          <w:p>
            <w:pPr>
              <w:ind w:left="20"/>
              <w:spacing w:after="0" w:line="124" w:lineRule="exact"/>
              <w:rPr>
                <w:sz w:val="20"/>
                <w:szCs w:val="20"/>
                <w:color w:val="auto"/>
              </w:rPr>
            </w:pPr>
            <w:r>
              <w:rPr>
                <w:rFonts w:ascii="Arial" w:cs="Arial" w:eastAsia="Arial" w:hAnsi="Arial"/>
                <w:sz w:val="14"/>
                <w:szCs w:val="14"/>
                <w:b w:val="1"/>
                <w:bCs w:val="1"/>
                <w:color w:val="auto"/>
              </w:rPr>
              <w:t>September 30,</w:t>
            </w:r>
          </w:p>
        </w:tc>
        <w:tc>
          <w:tcPr>
            <w:tcW w:w="90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0"/>
                <w:szCs w:val="10"/>
                <w:color w:val="auto"/>
              </w:rPr>
            </w:pPr>
          </w:p>
        </w:tc>
      </w:tr>
      <w:tr>
        <w:trPr>
          <w:trHeight w:val="153"/>
        </w:trPr>
        <w:tc>
          <w:tcPr>
            <w:tcW w:w="4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5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116,262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108,955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139,273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335,953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371,543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25,776</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124,813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118,828</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149,167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364,114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397,319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87,494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76,817</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104,018</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245,917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285,643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25,776</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96,225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86,690</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113,912</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274,258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311,419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32,138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35,255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89,856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85,900</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12,408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37,398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33,817</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11,108</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10,233</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34,094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34,049</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25,365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23,516</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72,046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67,866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8,622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18,034</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(5,430)</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(16,522)</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(16,615)</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8,469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(21,985)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(44,166)</w:t>
            </w:r>
          </w:p>
        </w:tc>
      </w:tr>
      <w:tr>
        <w:trPr>
          <w:trHeight w:val="202"/>
        </w:trPr>
        <w:tc>
          <w:tcPr>
            <w:tcW w:w="428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7,316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12,452</w:t>
            </w: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(10,007)</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(40,973)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11,774</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(14,244)</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(10,843)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(44,289)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discontinued operations,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17,397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12,637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289,227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272,962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29,171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278,384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(45,252)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35,280,864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35,092,312</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34,357,745</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35,089,479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34,266,513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46,581,788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46,474,237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34,357,745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35,089,479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34,266,513</w:t>
            </w:r>
          </w:p>
        </w:tc>
      </w:tr>
    </w:tbl>
    <w:p>
      <w:pPr>
        <w:sectPr>
          <w:pgSz w:w="11900" w:h="16838" w:orient="portrait"/>
          <w:cols w:equalWidth="0" w:num="1">
            <w:col w:w="11020"/>
          </w:cols>
          <w:pgMar w:left="440" w:top="270" w:right="439" w:bottom="1440" w:gutter="0" w:footer="0" w:header="0"/>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57,772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4,551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9,650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assets held for sale</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664,318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77,489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73,068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8,598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757,452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40,497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7,639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41,630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14,038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1,569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306,567</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37,040</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419,413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133,833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Long-term borrowings, net</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7,782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held for sale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110,881</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479,148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610,309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$0.01 par value, 150,000,000 shares authorized, 44,595,393 shares issued and 35,489,720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at September 30, 2020 and 43,851,991 shares issued and 34,800,312 outstanding at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159,840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220,253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(58,131)</w:t>
            </w: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rPr>
              <w:t>Treasury stock, 9,105,673 shares at September 30, 2020 and 9,051,679 shares at December 31, 2019,</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(107,649)</w:t>
            </w: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278,304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(14,981)</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757,452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595,328</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31"/>
              <w:spacing w:after="0" w:line="119" w:lineRule="exact"/>
              <w:rPr>
                <w:sz w:val="20"/>
                <w:szCs w:val="20"/>
                <w:color w:val="auto"/>
              </w:rPr>
            </w:pPr>
            <w:r>
              <w:rPr>
                <w:rFonts w:ascii="Arial" w:cs="Arial" w:eastAsia="Arial" w:hAnsi="Arial"/>
                <w:sz w:val="13"/>
                <w:szCs w:val="13"/>
                <w:b w:val="1"/>
                <w:bCs w:val="1"/>
                <w:color w:val="auto"/>
              </w:rPr>
              <w:t>September 30,</w:t>
            </w:r>
          </w:p>
        </w:tc>
        <w:tc>
          <w:tcPr>
            <w:tcW w:w="5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272,962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278,384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(45,252)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2,854</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13,333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24,661</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3,971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10,491</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1,712</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(19,788)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50,512</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2,226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9,255</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4,754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Gain on sale of discontinued operations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(287,117)</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(287,117)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(32,812)</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3,327</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14,260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14,208</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15,450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(15,576)</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6,044</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(4,814)</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4,396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6,356</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(10,103)</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(5,156)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27,585</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(10,074)</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1,830</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3,831</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12,197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(5,766)</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(1,616)</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(5,888)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(6,195)</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(5,524)</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51,541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30,019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12,625</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(17,024)</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(7,511)</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(16,353)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(16,693)</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Proceeds from sale of discontinued operations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350,553</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350,553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345,834</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334,030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(22,565)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Repurchase of long-term borrowings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(1,175)</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(2,588)</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Repayment of principal portion of lease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7,131</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(5,237)</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349,287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390,454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192,824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151,657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132,438</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End of the period</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542,111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542,111</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131,341</w:t>
            </w: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24"/>
        </w:trPr>
        <w:tc>
          <w:tcPr>
            <w:tcW w:w="524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20"/>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ind w:right="400"/>
              <w:spacing w:after="0" w:line="124"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0"/>
                <w:szCs w:val="10"/>
                <w:color w:val="auto"/>
              </w:rPr>
            </w:pPr>
          </w:p>
        </w:tc>
      </w:tr>
      <w:tr>
        <w:trPr>
          <w:trHeight w:val="153"/>
        </w:trPr>
        <w:tc>
          <w:tcPr>
            <w:tcW w:w="5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2020</w:t>
            </w:r>
          </w:p>
        </w:tc>
        <w:tc>
          <w:tcPr>
            <w:tcW w:w="3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14,336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w:t>
            </w: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Inventory reserve related to Huawei</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10,125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14,766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26,229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20,280</w:t>
            </w:r>
          </w:p>
        </w:tc>
      </w:tr>
    </w:tbl>
    <w:p>
      <w:pPr>
        <w:spacing w:after="0" w:line="20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present Adjusted Operating Income as supplemental measures of our performance. We define Adjusted Operating Income for the periods indicated as operating income adjusted to exclude (i) Equity-based compensation expense, (ii) Inventory reserve related to Huawei, (iii) Expenses related to Fab 3 power outage and (iv) Others. For the three and nine months ended September 30, 2020, inventory reserve related to Huawei eliminates a</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$2,331 thousand excess and obsolete inventory charge that we recorded in relation to the US Government’s export restrictions on Huawei. During the same periods, expenses related to Fab 3 power outage eliminate $1,168 thousand related to the write-off of the damaged work in process wafers and charges for facility recovery. For the nine months ended September 30, 2020, others primarily eliminates non-recurring professional fees and expenses incurred in connection with certain treasury and finance initiatives incurred during the three months ended March 31, 2020. For the nine months ended September 30, 2019, others eliminates a $0.6 million legal settlement charge related to dispute with a prior customer and a legal expense related to the indemnification of a former employee, which was borne by us under a negotiated separation agreement during the three months ended March 31, 2019.</w:t>
      </w:r>
    </w:p>
    <w:p>
      <w:pPr>
        <w:sectPr>
          <w:pgSz w:w="11900" w:h="16838" w:orient="portrait"/>
          <w:cols w:equalWidth="0" w:num="1">
            <w:col w:w="11020"/>
          </w:cols>
          <w:pgMar w:left="440" w:top="270"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24"/>
        </w:trPr>
        <w:tc>
          <w:tcPr>
            <w:tcW w:w="4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24"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0"/>
                <w:szCs w:val="10"/>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3"/>
                <w:szCs w:val="13"/>
                <w:b w:val="1"/>
                <w:bCs w:val="1"/>
                <w:color w:val="auto"/>
                <w:w w:val="82"/>
              </w:rPr>
              <w:t>2020</w:t>
            </w: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(44,289)</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Adjustments: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14,776</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3,316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15,045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19,732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(18,494)</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21,985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44,166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r>
      <w:tr>
        <w:trPr>
          <w:trHeight w:val="202"/>
        </w:trPr>
        <w:tc>
          <w:tcPr>
            <w:tcW w:w="404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04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11,731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17,404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28,129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11,774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Adjustments: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21,985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44,166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r>
      <w:tr>
        <w:trPr>
          <w:trHeight w:val="202"/>
        </w:trPr>
        <w:tc>
          <w:tcPr>
            <w:tcW w:w="404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04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Adjusted Net Income</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5,147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4,753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10,992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2,334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 Basic</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35,280,864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35,092,312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34,357,745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35,089,479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34,266,513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46,581,788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36,330,083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45,516,245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36,151,622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34,955,722</w:t>
            </w:r>
          </w:p>
        </w:tc>
      </w:tr>
    </w:tbl>
    <w:p>
      <w:pPr>
        <w:spacing w:after="0" w:line="202"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(gain), net,</w:t>
      </w:r>
    </w:p>
    <w:p>
      <w:pPr>
        <w:ind w:left="324" w:hanging="324"/>
        <w:spacing w:after="0"/>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color w:val="auto"/>
        </w:rPr>
        <w:t>Derivative valuation loss (gain), net, (iv) Loss on early extinguishment of long-term borrowings, net, (v) Inventory reserve related to Huawei,</w:t>
      </w:r>
    </w:p>
    <w:p>
      <w:pPr>
        <w:spacing w:after="0" w:line="20" w:lineRule="exact"/>
        <w:rPr>
          <w:rFonts w:ascii="Arial" w:cs="Arial" w:eastAsia="Arial" w:hAnsi="Arial"/>
          <w:sz w:val="17"/>
          <w:szCs w:val="17"/>
          <w:color w:val="auto"/>
        </w:rPr>
      </w:pPr>
    </w:p>
    <w:p>
      <w:pPr>
        <w:ind w:left="4" w:right="100" w:hanging="4"/>
        <w:spacing w:after="0" w:line="268" w:lineRule="auto"/>
        <w:tabs>
          <w:tab w:leader="none" w:pos="309"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Expenses related to Fab 3 power outage and (vii) Others. For the three and nine months ended September 30, 2020, inventory reserve related to Huawei eliminates a $2,331 thousand excess and obsolete inventory charge that we recorded in relation to the US Government’s export restrictions on Huawei. During the same periods, expenses related to Fab 3 power outage eliminate $1,168 thousand related to the write-off of the damaged work in process wafers and charges for facility recovery. For the nine months ended September 30, 2020, others primarily eliminates non-recurring professional fees and expenses incurred in connection with certain treasury and finance initiatives incurred during the three months ended March 31, 2020. For the nine months ended September 30, 2019, others eliminates a $0.6 million legal settlement charge related to dispute with a prior customer and a legal expense related to the indemnification of a former employee, which was borne by us under a negotiated separation agreement during the three months ended March 31, 2019. EBITDA for the periods indicated is defined as Income (loss) from continuing operations before interest expense, net, income tax expense (benefit) and depreciation and amortization.</w:t>
      </w:r>
    </w:p>
    <w:p>
      <w:pPr>
        <w:spacing w:after="0" w:line="181" w:lineRule="exact"/>
        <w:rPr>
          <w:sz w:val="20"/>
          <w:szCs w:val="20"/>
          <w:color w:val="auto"/>
        </w:rPr>
      </w:pPr>
    </w:p>
    <w:p>
      <w:pPr>
        <w:jc w:val="both"/>
        <w:ind w:left="4" w:right="80"/>
        <w:spacing w:after="0" w:line="286" w:lineRule="auto"/>
        <w:rPr>
          <w:sz w:val="20"/>
          <w:szCs w:val="20"/>
          <w:color w:val="auto"/>
        </w:rPr>
      </w:pPr>
      <w:r>
        <w:rPr>
          <w:rFonts w:ascii="Arial" w:cs="Arial" w:eastAsia="Arial" w:hAnsi="Arial"/>
          <w:sz w:val="16"/>
          <w:szCs w:val="16"/>
          <w:color w:val="auto"/>
        </w:rPr>
        <w:t>We prepare Adjusted Net Income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income (loss) from continuing operations, adjusted to exclude (i) Equity-based compensation expense,</w:t>
      </w:r>
    </w:p>
    <w:p>
      <w:pPr>
        <w:spacing w:after="0" w:line="1" w:lineRule="exact"/>
        <w:rPr>
          <w:sz w:val="20"/>
          <w:szCs w:val="20"/>
          <w:color w:val="auto"/>
        </w:rPr>
      </w:pPr>
    </w:p>
    <w:p>
      <w:pPr>
        <w:ind w:left="264" w:hanging="264"/>
        <w:spacing w:after="0"/>
        <w:tabs>
          <w:tab w:leader="none" w:pos="264"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currency loss (gain), net, (iii) Derivative valuation loss (gain), net, (iv) Loss on early extinguishment of long-term borrowings, net,</w:t>
      </w:r>
    </w:p>
    <w:p>
      <w:pPr>
        <w:spacing w:after="0" w:line="20" w:lineRule="exact"/>
        <w:rPr>
          <w:rFonts w:ascii="Arial" w:cs="Arial" w:eastAsia="Arial" w:hAnsi="Arial"/>
          <w:sz w:val="17"/>
          <w:szCs w:val="17"/>
          <w:color w:val="auto"/>
        </w:rPr>
      </w:pPr>
    </w:p>
    <w:p>
      <w:pPr>
        <w:ind w:left="4" w:right="20" w:hanging="4"/>
        <w:spacing w:after="0" w:line="268"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Inventory reserve related to Huawei, (vi) Expenses related to Fab 3 power outage and (vii) Others. For the three and nine months ended September 30, 2020, inventory reserve related to Huawei eliminates a $2,331 thousand excess and obsolete inventory charge that we recorded in relation to the US Government’s export restrictions on Huawei. During the same periods, expenses related to Fab 3 power outage eliminate $1,168 thousand related to the write-off of the damaged work in process wafers and charges for facility recovery. For the nine months ended September 30, 2020, others primarily eliminates non-recurring professional fees and expenses incurred in connection with certain treasury and finance initiatives incurred during the three months ended March 31, 2020. For the nine months ended September 30, 2019, others eliminates a $0.6 million legal settlement charge related to dispute with a prior customer and a legal expense related to the indemnification of a former employee, which was borne by us under a negotiated separation agreement during the three months ended March 31, 2019.</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lowerRoman"/>
      <w:start w:val="6"/>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2020-10-29T15:33:25Z</dcterms:created>
  <dcterms:modified xsi:type="dcterms:W3CDTF">2020-10-29T15:33:25Z</dcterms:modified>
</cp:coreProperties>
</file>