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74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26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MAGNACHIP SEMICONDUCTOR CORPORATION</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61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313690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37" w:hanging="537"/>
        <w:spacing w:after="0"/>
        <w:tabs>
          <w:tab w:leader="none" w:pos="537"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ind w:left="4"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previously disclosed, on March 25, 2021, Magnachip Semiconductor Corporation, a Delaware corporation (the “Company”, “Magnachip” or “we”),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(the “Proxy Statement”).</w:t>
      </w:r>
    </w:p>
    <w:p>
      <w:pPr>
        <w:spacing w:after="0" w:line="200" w:lineRule="exact"/>
        <w:rPr>
          <w:sz w:val="20"/>
          <w:szCs w:val="20"/>
          <w:color w:val="auto"/>
        </w:rPr>
      </w:pPr>
    </w:p>
    <w:p>
      <w:pPr>
        <w:spacing w:after="0" w:line="2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THE FOLLOWING INFORMATION SHOULD BE READ IN CONJUNCTION</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WITH THE PROXY STATEMENT</w:t>
      </w:r>
    </w:p>
    <w:p>
      <w:pPr>
        <w:spacing w:after="0" w:line="211"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purpose of this supplement is to provide additional information with respect to the Merger based on questions that have been posed to the Company since the filing of the Proxy Statement.</w:t>
      </w:r>
    </w:p>
    <w:p>
      <w:pPr>
        <w:spacing w:after="0" w:line="386"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MAGNACHIP SALE TO WISE ROAD CAPITAL</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FREQUENTLY ASKED QUESTIONS (FAQ)</w:t>
      </w:r>
    </w:p>
    <w:p>
      <w:pPr>
        <w:spacing w:after="0" w:line="238" w:lineRule="exact"/>
        <w:rPr>
          <w:sz w:val="20"/>
          <w:szCs w:val="20"/>
          <w:color w:val="auto"/>
        </w:rPr>
      </w:pPr>
    </w:p>
    <w:p>
      <w:pPr>
        <w:ind w:left="544" w:right="380" w:hanging="544"/>
        <w:spacing w:after="0" w:line="342" w:lineRule="auto"/>
        <w:tabs>
          <w:tab w:leader="none" w:pos="544"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Will the receipt of the request from the Committee on Foreign Investment in the United States (“CFIUS”) to file a notice concerning the Merger impact the timing of the Company’s special meeting of stockholders or the timeline to closing of the Merger?</w:t>
      </w:r>
    </w:p>
    <w:p>
      <w:pPr>
        <w:spacing w:after="0" w:line="29" w:lineRule="exact"/>
        <w:rPr>
          <w:sz w:val="20"/>
          <w:szCs w:val="20"/>
          <w:color w:val="auto"/>
        </w:rPr>
      </w:pPr>
    </w:p>
    <w:p>
      <w:pPr>
        <w:ind w:left="544" w:right="80" w:hanging="544"/>
        <w:spacing w:after="0" w:line="254" w:lineRule="auto"/>
        <w:tabs>
          <w:tab w:leader="none" w:pos="54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do not expect the Company’s special meeting of stockholders, currently scheduled to take place on June 15, 2021 at 8:00 p.m. Eastern Time, to be changed as result of CFIUS’ request to file a notice concerning the Merger. As previously disclosed, under the terms of the Merger Agreement, the closing of the Merger (the “Closing”) is now conditioned on the receipt of CFIUS approval without the imposition of a burdensome condition as defined in the Merger Agreement. As such, we expect that the timeline for the Closing may be extended. However, we are unable to speculate on the specific timing of the Closing. As previously disclosed, the Company will cooperate with CFIUS by filing a joint voluntary notice with CFIUS under the Defense Production Act of 1950, as amended, and responding to any further questions from CFIUS regarding the Merger.</w:t>
      </w:r>
    </w:p>
    <w:p>
      <w:pPr>
        <w:spacing w:after="0" w:line="100" w:lineRule="exact"/>
        <w:rPr>
          <w:sz w:val="20"/>
          <w:szCs w:val="20"/>
          <w:color w:val="auto"/>
        </w:rPr>
      </w:pPr>
    </w:p>
    <w:p>
      <w:pPr>
        <w:ind w:left="544" w:hanging="544"/>
        <w:spacing w:after="0"/>
        <w:tabs>
          <w:tab w:leader="none" w:pos="544"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Did the Company file a notice with CFIUS with respect to the sale of its foundry business in September 2020 (the “Foundry Sale”)?</w:t>
      </w:r>
    </w:p>
    <w:p>
      <w:pPr>
        <w:spacing w:after="0" w:line="154" w:lineRule="exact"/>
        <w:rPr>
          <w:sz w:val="20"/>
          <w:szCs w:val="20"/>
          <w:color w:val="auto"/>
        </w:rPr>
      </w:pPr>
    </w:p>
    <w:p>
      <w:pPr>
        <w:ind w:left="544" w:right="240" w:hanging="544"/>
        <w:spacing w:after="0" w:line="277" w:lineRule="auto"/>
        <w:tabs>
          <w:tab w:leader="none" w:pos="544"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Foundry Sale did not involve any operations, R&amp;D, tangible assets, employees or other business activities in the U.S. As such, the parties did not file any notice with CFIUS in connection with the Foundry Sale.</w:t>
      </w:r>
    </w:p>
    <w:p>
      <w:pPr>
        <w:spacing w:after="0" w:line="2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4" w:right="459" w:bottom="1440" w:gutter="0" w:footer="0" w:header="0"/>
        </w:sectPr>
      </w:pPr>
    </w:p>
    <w:bookmarkStart w:id="3" w:name="page4"/>
    <w:bookmarkEnd w:id="3"/>
    <w:p>
      <w:pPr>
        <w:ind w:left="544" w:right="420" w:hanging="544"/>
        <w:spacing w:after="0" w:line="277" w:lineRule="auto"/>
        <w:tabs>
          <w:tab w:leader="none" w:pos="544"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the filing to obtain Chinese antitrust clearance pursuant to the Anti-monopoly Law (China) been made? What is the timing for the review process?</w:t>
      </w:r>
    </w:p>
    <w:p>
      <w:pPr>
        <w:spacing w:after="0" w:line="76" w:lineRule="exact"/>
        <w:rPr>
          <w:sz w:val="20"/>
          <w:szCs w:val="20"/>
          <w:color w:val="auto"/>
        </w:rPr>
      </w:pPr>
    </w:p>
    <w:p>
      <w:pPr>
        <w:ind w:left="544" w:right="20" w:hanging="544"/>
        <w:spacing w:after="0" w:line="259" w:lineRule="auto"/>
        <w:tabs>
          <w:tab w:leader="none" w:pos="544"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Yes, the initial filing was jointly made by the Company and Parent on May 7, 2021. The parties are currently responding to questions from the State Administration for Market Regulation (“SAMR”). The parties expect clearance will be obtained within a relatively short period of time after SAMR is satisfied with the information contained in the filing report and documents submitted, and confirms that no further information or documentation is required.</w:t>
      </w:r>
    </w:p>
    <w:p>
      <w:pPr>
        <w:spacing w:after="0" w:line="92" w:lineRule="exact"/>
        <w:rPr>
          <w:sz w:val="20"/>
          <w:szCs w:val="20"/>
          <w:color w:val="auto"/>
        </w:rPr>
      </w:pPr>
    </w:p>
    <w:p>
      <w:pPr>
        <w:ind w:left="544" w:right="40" w:hanging="544"/>
        <w:spacing w:after="0" w:line="263" w:lineRule="auto"/>
        <w:tabs>
          <w:tab w:leader="none" w:pos="544"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there have been a number of media reports released by various Korean news outlets that claim that Wise Road ultimately prevailed in the negotiations with the Company over certain Korea-based interested parties prior to the execution of the Merger Agreement. Can you please provide more details?</w:t>
      </w:r>
    </w:p>
    <w:p>
      <w:pPr>
        <w:spacing w:after="0" w:line="89" w:lineRule="exact"/>
        <w:rPr>
          <w:sz w:val="20"/>
          <w:szCs w:val="20"/>
          <w:color w:val="auto"/>
        </w:rPr>
      </w:pPr>
    </w:p>
    <w:p>
      <w:pPr>
        <w:ind w:left="544" w:right="340" w:hanging="544"/>
        <w:spacing w:after="0" w:line="277" w:lineRule="auto"/>
        <w:tabs>
          <w:tab w:leader="none" w:pos="544"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These media reports are false. The Company did not receive any indications of interest or credible offers from, nor did it negotiate with, any Korea-based parties in connection with an acquisition of the Company.</w:t>
      </w:r>
    </w:p>
    <w:p>
      <w:pPr>
        <w:spacing w:after="0" w:line="76" w:lineRule="exact"/>
        <w:rPr>
          <w:sz w:val="20"/>
          <w:szCs w:val="20"/>
          <w:color w:val="auto"/>
        </w:rPr>
      </w:pPr>
    </w:p>
    <w:p>
      <w:pPr>
        <w:ind w:left="544" w:hanging="544"/>
        <w:spacing w:after="0" w:line="342" w:lineRule="auto"/>
        <w:tabs>
          <w:tab w:leader="none" w:pos="544"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the relevant South Korean governmental authorities added OLED DDIC to the list of National Core Technology, would the Company need to obtain approval for all product sales outside of South Korea or approval for only an outright acquisition of the Company?</w:t>
      </w:r>
    </w:p>
    <w:p>
      <w:pPr>
        <w:spacing w:after="0" w:line="29" w:lineRule="exact"/>
        <w:rPr>
          <w:sz w:val="20"/>
          <w:szCs w:val="20"/>
          <w:color w:val="auto"/>
        </w:rPr>
      </w:pPr>
    </w:p>
    <w:p>
      <w:pPr>
        <w:ind w:left="544" w:right="100" w:hanging="544"/>
        <w:spacing w:after="0" w:line="255" w:lineRule="auto"/>
        <w:tabs>
          <w:tab w:leader="none" w:pos="544"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Under Korean law, an approval is required when a National Core Technology is exported or transferred outside Korea, or when a Korean company with National Core Technology is acquired by a non-Korean party. Even if OLED DDIC is included as a National Core Technology under applicable regulations, the overseas sales of products made with such technology will generally not require any approval since the sale of products is not considered an export or a transfer of National Core Technology. As previously discussed, we do not believe the Merger will require any approval in South Korea, but will cooperate with South Korean governmental authorities should they have any questions regarding the transaction.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left="4" w:right="8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1:"/>
      <w:numFmt w:val="upperLetter"/>
      <w:start w:val="17"/>
    </w:lvl>
  </w:abstractNum>
  <w:abstractNum w:abstractNumId="8">
    <w:nsid w:val="3352255A"/>
    <w:multiLevelType w:val="hybridMultilevel"/>
    <w:lvl w:ilvl="0">
      <w:lvlJc w:val="left"/>
      <w:lvlText w:val="%1:"/>
      <w:numFmt w:val="upperLetter"/>
      <w:start w:val="1"/>
    </w:lvl>
  </w:abstractNum>
  <w:abstractNum w:abstractNumId="9">
    <w:nsid w:val="109CF92E"/>
    <w:multiLevelType w:val="hybridMultilevel"/>
    <w:lvl w:ilvl="0">
      <w:lvlJc w:val="left"/>
      <w:lvlText w:val="%1:"/>
      <w:numFmt w:val="upperLetter"/>
      <w:start w:val="17"/>
    </w:lvl>
  </w:abstractNum>
  <w:abstractNum w:abstractNumId="10">
    <w:nsid w:val="DED7263"/>
    <w:multiLevelType w:val="hybridMultilevel"/>
    <w:lvl w:ilvl="0">
      <w:lvlJc w:val="left"/>
      <w:lvlText w:val="%1:"/>
      <w:numFmt w:val="upperLetter"/>
      <w:start w:val="1"/>
    </w:lvl>
  </w:abstractNum>
  <w:abstractNum w:abstractNumId="11">
    <w:nsid w:val="7FDCC233"/>
    <w:multiLevelType w:val="hybridMultilevel"/>
    <w:lvl w:ilvl="0">
      <w:lvlJc w:val="left"/>
      <w:lvlText w:val="%1:"/>
      <w:numFmt w:val="upperLetter"/>
      <w:start w:val="17"/>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1:"/>
      <w:numFmt w:val="upperLetter"/>
      <w:start w:val="17"/>
    </w:lvl>
  </w:abstractNum>
  <w:abstractNum w:abstractNumId="14">
    <w:nsid w:val="6B68079A"/>
    <w:multiLevelType w:val="hybridMultilevel"/>
    <w:lvl w:ilvl="0">
      <w:lvlJc w:val="left"/>
      <w:lvlText w:val="%1:"/>
      <w:numFmt w:val="upperLetter"/>
      <w:start w:val="1"/>
    </w:lvl>
  </w:abstractNum>
  <w:abstractNum w:abstractNumId="15">
    <w:nsid w:val="4E6AFB66"/>
    <w:multiLevelType w:val="hybridMultilevel"/>
    <w:lvl w:ilvl="0">
      <w:lvlJc w:val="left"/>
      <w:lvlText w:val="%1:"/>
      <w:numFmt w:val="upperLetter"/>
      <w:start w:val="17"/>
    </w:lvl>
  </w:abstractNum>
  <w:abstractNum w:abstractNumId="16">
    <w:nsid w:val="25E45D3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2021-06-04T15:32:35Z</dcterms:created>
  <dcterms:modified xsi:type="dcterms:W3CDTF">2021-06-04T15:32:35Z</dcterms:modified>
</cp:coreProperties>
</file>