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MagnaChip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55933J203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ý Rule 13d-1(b)</w:t>
      </w:r>
    </w:p>
    <w:p>
      <w:pPr>
        <w:spacing w:after="0" w:line="200" w:lineRule="exact"/>
        <w:rPr>
          <w:sz w:val="24"/>
          <w:szCs w:val="24"/>
          <w:color w:val="auto"/>
        </w:rPr>
      </w:pPr>
    </w:p>
    <w:p>
      <w:pPr>
        <w:spacing w:after="0" w:line="24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66" w:lineRule="exact"/>
        <w:rPr>
          <w:sz w:val="24"/>
          <w:szCs w:val="24"/>
          <w:color w:val="auto"/>
        </w:rPr>
      </w:pPr>
    </w:p>
    <w:p>
      <w:pPr>
        <w:ind w:right="60" w:firstLine="8"/>
        <w:spacing w:after="0" w:line="194" w:lineRule="auto"/>
        <w:tabs>
          <w:tab w:leader="none" w:pos="1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2"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5" w:right="339" w:bottom="1440" w:gutter="0" w:footer="0" w:header="0"/>
        </w:sectPr>
      </w:pPr>
    </w:p>
    <w:bookmarkStart w:id="1" w:name="page2"/>
    <w:bookmarkEnd w:id="1"/>
    <w:p>
      <w:pPr>
        <w:ind w:left="440" w:right="7980" w:hanging="357"/>
        <w:spacing w:after="0" w:line="391"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 Toronado Fund, L.P.</w:t>
      </w:r>
    </w:p>
    <w:p>
      <w:pPr>
        <w:ind w:left="440" w:right="5800" w:hanging="357"/>
        <w:spacing w:after="0" w:line="25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20" w:hanging="373"/>
        <w:spacing w:after="0" w:line="207" w:lineRule="exact"/>
        <w:tabs>
          <w:tab w:leader="none" w:pos="82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40" w:hanging="393"/>
        <w:spacing w:after="0" w:line="207" w:lineRule="exact"/>
        <w:tabs>
          <w:tab w:leader="none" w:pos="840" w:val="left"/>
        </w:tabs>
        <w:numPr>
          <w:ilvl w:val="1"/>
          <w:numId w:val="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440" w:hanging="357"/>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2" w:lineRule="exact"/>
        <w:rPr>
          <w:rFonts w:ascii="Arial" w:cs="Arial" w:eastAsia="Arial" w:hAnsi="Arial"/>
          <w:sz w:val="18"/>
          <w:szCs w:val="18"/>
          <w:color w:val="auto"/>
        </w:rPr>
      </w:pPr>
    </w:p>
    <w:p>
      <w:pPr>
        <w:ind w:left="440" w:right="7100" w:hanging="357"/>
        <w:spacing w:after="0" w:line="383"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20" w:hanging="358"/>
        <w:spacing w:after="0"/>
        <w:tabs>
          <w:tab w:leader="none" w:pos="202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-1819275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-1390650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-833755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-550545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-130810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24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2,323,636</w:t>
            </w:r>
          </w:p>
        </w:tc>
        <w:tc>
          <w:tcPr>
            <w:tcW w:w="0" w:type="dxa"/>
            <w:vAlign w:val="bottom"/>
          </w:tcPr>
          <w:p>
            <w:pPr>
              <w:spacing w:after="0"/>
              <w:rPr>
                <w:sz w:val="1"/>
                <w:szCs w:val="1"/>
                <w:color w:val="auto"/>
              </w:rPr>
            </w:pPr>
          </w:p>
        </w:tc>
      </w:tr>
      <w:tr>
        <w:trPr>
          <w:trHeight w:val="87"/>
        </w:trPr>
        <w:tc>
          <w:tcPr>
            <w:tcW w:w="1600" w:type="dxa"/>
            <w:vAlign w:val="bottom"/>
            <w:vMerge w:val="continue"/>
          </w:tcPr>
          <w:p>
            <w:pPr>
              <w:spacing w:after="0"/>
              <w:rPr>
                <w:sz w:val="7"/>
                <w:szCs w:val="7"/>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6.</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240" w:type="dxa"/>
            <w:vAlign w:val="bottom"/>
            <w:vMerge w:val="continue"/>
          </w:tcPr>
          <w:p>
            <w:pPr>
              <w:spacing w:after="0"/>
              <w:rPr>
                <w:sz w:val="11"/>
                <w:szCs w:val="11"/>
                <w:color w:val="auto"/>
              </w:rPr>
            </w:pPr>
          </w:p>
        </w:tc>
        <w:tc>
          <w:tcPr>
            <w:tcW w:w="9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23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9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7.</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EACH</w:t>
            </w:r>
          </w:p>
        </w:tc>
        <w:tc>
          <w:tcPr>
            <w:tcW w:w="240" w:type="dxa"/>
            <w:vAlign w:val="bottom"/>
            <w:vMerge w:val="continue"/>
          </w:tcPr>
          <w:p>
            <w:pPr>
              <w:spacing w:after="0"/>
              <w:rPr>
                <w:sz w:val="13"/>
                <w:szCs w:val="13"/>
                <w:color w:val="auto"/>
              </w:rPr>
            </w:pPr>
          </w:p>
        </w:tc>
        <w:tc>
          <w:tcPr>
            <w:tcW w:w="9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2,323,636</w:t>
            </w:r>
          </w:p>
        </w:tc>
        <w:tc>
          <w:tcPr>
            <w:tcW w:w="0" w:type="dxa"/>
            <w:vAlign w:val="bottom"/>
          </w:tcPr>
          <w:p>
            <w:pPr>
              <w:spacing w:after="0"/>
              <w:rPr>
                <w:sz w:val="1"/>
                <w:szCs w:val="1"/>
                <w:color w:val="auto"/>
              </w:rPr>
            </w:pPr>
          </w:p>
        </w:tc>
      </w:tr>
      <w:tr>
        <w:trPr>
          <w:trHeight w:val="136"/>
        </w:trPr>
        <w:tc>
          <w:tcPr>
            <w:tcW w:w="1600" w:type="dxa"/>
            <w:vAlign w:val="bottom"/>
            <w:vMerge w:val="restart"/>
          </w:tcPr>
          <w:p>
            <w:pPr>
              <w:jc w:val="center"/>
              <w:ind w:right="190"/>
              <w:spacing w:after="0"/>
              <w:rPr>
                <w:sz w:val="20"/>
                <w:szCs w:val="20"/>
                <w:color w:val="auto"/>
              </w:rPr>
            </w:pPr>
            <w:r>
              <w:rPr>
                <w:rFonts w:ascii="Arial" w:cs="Arial" w:eastAsia="Arial" w:hAnsi="Arial"/>
                <w:sz w:val="18"/>
                <w:szCs w:val="18"/>
                <w:color w:val="auto"/>
                <w:w w:val="94"/>
              </w:rPr>
              <w:t>PERSON WITH</w:t>
            </w:r>
          </w:p>
        </w:tc>
        <w:tc>
          <w:tcPr>
            <w:tcW w:w="240" w:type="dxa"/>
            <w:vAlign w:val="bottom"/>
            <w:tcBorders>
              <w:bottom w:val="single" w:sz="8" w:color="auto"/>
            </w:tcBorders>
          </w:tcPr>
          <w:p>
            <w:pPr>
              <w:spacing w:after="0"/>
              <w:rPr>
                <w:sz w:val="11"/>
                <w:szCs w:val="11"/>
                <w:color w:val="auto"/>
              </w:rPr>
            </w:pPr>
          </w:p>
        </w:tc>
        <w:tc>
          <w:tcPr>
            <w:tcW w:w="9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8.</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9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100"/>
        <w:spacing w:after="0"/>
        <w:tabs>
          <w:tab w:leader="none" w:pos="440" w:val="left"/>
        </w:tabs>
        <w:rPr>
          <w:sz w:val="20"/>
          <w:szCs w:val="20"/>
          <w:color w:val="auto"/>
        </w:rPr>
      </w:pPr>
      <w:r>
        <w:rPr>
          <w:rFonts w:ascii="Arial" w:cs="Arial" w:eastAsia="Arial" w:hAnsi="Arial"/>
          <w:sz w:val="18"/>
          <w:szCs w:val="18"/>
          <w:color w:val="auto"/>
        </w:rPr>
        <w:t>9.</w:t>
        <w:tab/>
        <w:t>AGGREGATE AMOUNT BENEFICIALLY OWNED BY EACH REPORTING PERSON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2,323,636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460" w:right="4120" w:hanging="459"/>
        <w:spacing w:after="0" w:line="231" w:lineRule="exact"/>
        <w:tabs>
          <w:tab w:leader="none" w:pos="440" w:val="left"/>
        </w:tabs>
        <w:rPr>
          <w:sz w:val="20"/>
          <w:szCs w:val="20"/>
          <w:color w:val="auto"/>
        </w:rPr>
      </w:pPr>
      <w:r>
        <w:rPr>
          <w:rFonts w:ascii="Arial" w:cs="Arial" w:eastAsia="Arial" w:hAnsi="Arial"/>
          <w:sz w:val="18"/>
          <w:szCs w:val="18"/>
          <w:color w:val="auto"/>
        </w:rPr>
        <w:t>10.</w:t>
        <w:tab/>
        <w:t xml:space="preserve">CHECK IF THE AGGREGATE AMOUNT IN ROW (9)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tabs>
          <w:tab w:leader="none" w:pos="440" w:val="left"/>
        </w:tabs>
        <w:rPr>
          <w:sz w:val="20"/>
          <w:szCs w:val="20"/>
          <w:color w:val="auto"/>
        </w:rPr>
      </w:pPr>
      <w:r>
        <w:rPr>
          <w:rFonts w:ascii="Arial" w:cs="Arial" w:eastAsia="Arial" w:hAnsi="Arial"/>
          <w:sz w:val="18"/>
          <w:szCs w:val="18"/>
          <w:color w:val="auto"/>
        </w:rPr>
        <w:t>11.</w:t>
        <w:tab/>
        <w:t>PERCENT OF CLASS REPRESENTED BY AMOUNT IN ROW (9)</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tab/>
        <w:t>TYPE OF REPORTING PERSON (see instructions)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27" w:right="339" w:bottom="1440" w:gutter="0" w:footer="0" w:header="0"/>
        </w:sectPr>
      </w:pPr>
    </w:p>
    <w:bookmarkStart w:id="2" w:name="page3"/>
    <w:bookmarkEnd w:id="2"/>
    <w:p>
      <w:pPr>
        <w:ind w:left="440" w:right="7980" w:hanging="357"/>
        <w:spacing w:after="0" w:line="414" w:lineRule="auto"/>
        <w:tabs>
          <w:tab w:leader="none" w:pos="440" w:val="left"/>
        </w:tabs>
        <w:numPr>
          <w:ilvl w:val="0"/>
          <w:numId w:val="4"/>
        </w:numPr>
        <w:rPr>
          <w:rFonts w:ascii="Arial" w:cs="Arial" w:eastAsia="Arial" w:hAnsi="Arial"/>
          <w:sz w:val="17"/>
          <w:szCs w:val="17"/>
          <w:color w:val="auto"/>
        </w:rPr>
      </w:pPr>
      <w:r>
        <w:rPr>
          <w:rFonts w:ascii="Arial" w:cs="Arial" w:eastAsia="Arial" w:hAnsi="Arial"/>
          <w:sz w:val="17"/>
          <w:szCs w:val="17"/>
          <w:color w:val="auto"/>
        </w:rPr>
        <w:t>NAMES OF REPORTING PERSONS Toronado Partners LLC</w:t>
      </w:r>
    </w:p>
    <w:p>
      <w:pPr>
        <w:ind w:left="440" w:right="5800" w:hanging="357"/>
        <w:spacing w:after="0" w:line="258"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20" w:hanging="373"/>
        <w:spacing w:after="0" w:line="207" w:lineRule="exact"/>
        <w:tabs>
          <w:tab w:leader="none" w:pos="82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40" w:hanging="393"/>
        <w:spacing w:after="0" w:line="207" w:lineRule="exact"/>
        <w:tabs>
          <w:tab w:leader="none" w:pos="84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440" w:hanging="357"/>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2" w:lineRule="exact"/>
        <w:rPr>
          <w:rFonts w:ascii="Arial" w:cs="Arial" w:eastAsia="Arial" w:hAnsi="Arial"/>
          <w:sz w:val="18"/>
          <w:szCs w:val="18"/>
          <w:color w:val="auto"/>
        </w:rPr>
      </w:pPr>
    </w:p>
    <w:p>
      <w:pPr>
        <w:ind w:left="440" w:right="7100" w:hanging="357"/>
        <w:spacing w:after="0" w:line="383"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California</w:t>
      </w:r>
    </w:p>
    <w:p>
      <w:pPr>
        <w:spacing w:after="0" w:line="1" w:lineRule="exact"/>
        <w:rPr>
          <w:rFonts w:ascii="Arial" w:cs="Arial" w:eastAsia="Arial" w:hAnsi="Arial"/>
          <w:sz w:val="18"/>
          <w:szCs w:val="18"/>
          <w:color w:val="auto"/>
        </w:rPr>
      </w:pPr>
    </w:p>
    <w:p>
      <w:pPr>
        <w:ind w:left="2020" w:hanging="358"/>
        <w:spacing w:after="0"/>
        <w:tabs>
          <w:tab w:leader="none" w:pos="202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-1819275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-1390650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-833755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-550545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-130810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24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2,523,636</w:t>
            </w:r>
          </w:p>
        </w:tc>
        <w:tc>
          <w:tcPr>
            <w:tcW w:w="0" w:type="dxa"/>
            <w:vAlign w:val="bottom"/>
          </w:tcPr>
          <w:p>
            <w:pPr>
              <w:spacing w:after="0"/>
              <w:rPr>
                <w:sz w:val="1"/>
                <w:szCs w:val="1"/>
                <w:color w:val="auto"/>
              </w:rPr>
            </w:pPr>
          </w:p>
        </w:tc>
      </w:tr>
      <w:tr>
        <w:trPr>
          <w:trHeight w:val="87"/>
        </w:trPr>
        <w:tc>
          <w:tcPr>
            <w:tcW w:w="1600" w:type="dxa"/>
            <w:vAlign w:val="bottom"/>
            <w:vMerge w:val="continue"/>
          </w:tcPr>
          <w:p>
            <w:pPr>
              <w:spacing w:after="0"/>
              <w:rPr>
                <w:sz w:val="7"/>
                <w:szCs w:val="7"/>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6.</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240" w:type="dxa"/>
            <w:vAlign w:val="bottom"/>
            <w:vMerge w:val="continue"/>
          </w:tcPr>
          <w:p>
            <w:pPr>
              <w:spacing w:after="0"/>
              <w:rPr>
                <w:sz w:val="11"/>
                <w:szCs w:val="11"/>
                <w:color w:val="auto"/>
              </w:rPr>
            </w:pPr>
          </w:p>
        </w:tc>
        <w:tc>
          <w:tcPr>
            <w:tcW w:w="9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23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9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7.</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EACH</w:t>
            </w:r>
          </w:p>
        </w:tc>
        <w:tc>
          <w:tcPr>
            <w:tcW w:w="240" w:type="dxa"/>
            <w:vAlign w:val="bottom"/>
            <w:vMerge w:val="continue"/>
          </w:tcPr>
          <w:p>
            <w:pPr>
              <w:spacing w:after="0"/>
              <w:rPr>
                <w:sz w:val="13"/>
                <w:szCs w:val="13"/>
                <w:color w:val="auto"/>
              </w:rPr>
            </w:pPr>
          </w:p>
        </w:tc>
        <w:tc>
          <w:tcPr>
            <w:tcW w:w="9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2,323,636</w:t>
            </w:r>
          </w:p>
        </w:tc>
        <w:tc>
          <w:tcPr>
            <w:tcW w:w="0" w:type="dxa"/>
            <w:vAlign w:val="bottom"/>
          </w:tcPr>
          <w:p>
            <w:pPr>
              <w:spacing w:after="0"/>
              <w:rPr>
                <w:sz w:val="1"/>
                <w:szCs w:val="1"/>
                <w:color w:val="auto"/>
              </w:rPr>
            </w:pPr>
          </w:p>
        </w:tc>
      </w:tr>
      <w:tr>
        <w:trPr>
          <w:trHeight w:val="136"/>
        </w:trPr>
        <w:tc>
          <w:tcPr>
            <w:tcW w:w="1600" w:type="dxa"/>
            <w:vAlign w:val="bottom"/>
            <w:vMerge w:val="restart"/>
          </w:tcPr>
          <w:p>
            <w:pPr>
              <w:jc w:val="center"/>
              <w:ind w:right="190"/>
              <w:spacing w:after="0"/>
              <w:rPr>
                <w:sz w:val="20"/>
                <w:szCs w:val="20"/>
                <w:color w:val="auto"/>
              </w:rPr>
            </w:pPr>
            <w:r>
              <w:rPr>
                <w:rFonts w:ascii="Arial" w:cs="Arial" w:eastAsia="Arial" w:hAnsi="Arial"/>
                <w:sz w:val="18"/>
                <w:szCs w:val="18"/>
                <w:color w:val="auto"/>
                <w:w w:val="94"/>
              </w:rPr>
              <w:t>PERSON WITH</w:t>
            </w:r>
          </w:p>
        </w:tc>
        <w:tc>
          <w:tcPr>
            <w:tcW w:w="240" w:type="dxa"/>
            <w:vAlign w:val="bottom"/>
            <w:tcBorders>
              <w:bottom w:val="single" w:sz="8" w:color="auto"/>
            </w:tcBorders>
          </w:tcPr>
          <w:p>
            <w:pPr>
              <w:spacing w:after="0"/>
              <w:rPr>
                <w:sz w:val="11"/>
                <w:szCs w:val="11"/>
                <w:color w:val="auto"/>
              </w:rPr>
            </w:pPr>
          </w:p>
        </w:tc>
        <w:tc>
          <w:tcPr>
            <w:tcW w:w="9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600" w:type="dxa"/>
            <w:vAlign w:val="bottom"/>
            <w:vMerge w:val="continue"/>
          </w:tcPr>
          <w:p>
            <w:pPr>
              <w:spacing w:after="0"/>
              <w:rPr>
                <w:sz w:val="6"/>
                <w:szCs w:val="6"/>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8.</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9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100"/>
        <w:spacing w:after="0"/>
        <w:tabs>
          <w:tab w:leader="none" w:pos="440" w:val="left"/>
        </w:tabs>
        <w:rPr>
          <w:sz w:val="20"/>
          <w:szCs w:val="20"/>
          <w:color w:val="auto"/>
        </w:rPr>
      </w:pPr>
      <w:r>
        <w:rPr>
          <w:rFonts w:ascii="Arial" w:cs="Arial" w:eastAsia="Arial" w:hAnsi="Arial"/>
          <w:sz w:val="18"/>
          <w:szCs w:val="18"/>
          <w:color w:val="auto"/>
        </w:rPr>
        <w:t>9.</w:t>
        <w:tab/>
        <w:t>AGGREGATE AMOUNT BENEFICIALLY OWNED BY EACH REPORTING PERSON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2,523,636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460" w:right="4120" w:hanging="459"/>
        <w:spacing w:after="0" w:line="231" w:lineRule="exact"/>
        <w:tabs>
          <w:tab w:leader="none" w:pos="440" w:val="left"/>
        </w:tabs>
        <w:rPr>
          <w:sz w:val="20"/>
          <w:szCs w:val="20"/>
          <w:color w:val="auto"/>
        </w:rPr>
      </w:pPr>
      <w:r>
        <w:rPr>
          <w:rFonts w:ascii="Arial" w:cs="Arial" w:eastAsia="Arial" w:hAnsi="Arial"/>
          <w:sz w:val="18"/>
          <w:szCs w:val="18"/>
          <w:color w:val="auto"/>
        </w:rPr>
        <w:t>10.</w:t>
        <w:tab/>
        <w:t xml:space="preserve">CHECK IF THE AGGREGATE AMOUNT IN ROW (9)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tabs>
          <w:tab w:leader="none" w:pos="440" w:val="left"/>
        </w:tabs>
        <w:rPr>
          <w:sz w:val="20"/>
          <w:szCs w:val="20"/>
          <w:color w:val="auto"/>
        </w:rPr>
      </w:pPr>
      <w:r>
        <w:rPr>
          <w:rFonts w:ascii="Arial" w:cs="Arial" w:eastAsia="Arial" w:hAnsi="Arial"/>
          <w:sz w:val="18"/>
          <w:szCs w:val="18"/>
          <w:color w:val="auto"/>
        </w:rPr>
        <w:t>11.</w:t>
        <w:tab/>
        <w:t>PERCENT OF CLASS REPRESENTED BY AMOUNT IN ROW (9)</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tab/>
        <w:t>TYPE OF REPORTING PERSON (see instructions)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27" w:right="339" w:bottom="1440" w:gutter="0" w:footer="0" w:header="0"/>
        </w:sectPr>
      </w:pPr>
    </w:p>
    <w:bookmarkStart w:id="3" w:name="page4"/>
    <w:bookmarkEnd w:id="3"/>
    <w:p>
      <w:pPr>
        <w:ind w:left="440" w:right="7980" w:hanging="357"/>
        <w:spacing w:after="0" w:line="440" w:lineRule="auto"/>
        <w:tabs>
          <w:tab w:leader="none" w:pos="4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NAMES OF REPORTING PERSONS Toronado Capital Management, LLC</w:t>
      </w:r>
    </w:p>
    <w:p>
      <w:pPr>
        <w:ind w:left="440" w:right="5800" w:hanging="357"/>
        <w:spacing w:after="0" w:line="258"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20" w:hanging="373"/>
        <w:spacing w:after="0" w:line="207" w:lineRule="exact"/>
        <w:tabs>
          <w:tab w:leader="none" w:pos="8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40" w:hanging="393"/>
        <w:spacing w:after="0" w:line="207" w:lineRule="exact"/>
        <w:tabs>
          <w:tab w:leader="none" w:pos="84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440" w:hanging="357"/>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2" w:lineRule="exact"/>
        <w:rPr>
          <w:rFonts w:ascii="Arial" w:cs="Arial" w:eastAsia="Arial" w:hAnsi="Arial"/>
          <w:sz w:val="18"/>
          <w:szCs w:val="18"/>
          <w:color w:val="auto"/>
        </w:rPr>
      </w:pPr>
    </w:p>
    <w:p>
      <w:pPr>
        <w:ind w:left="440" w:right="7100" w:hanging="357"/>
        <w:spacing w:after="0" w:line="383"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20" w:hanging="358"/>
        <w:spacing w:after="0"/>
        <w:tabs>
          <w:tab w:leader="none" w:pos="202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-1819275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-1390650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-833755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-550545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-130810</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24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2,523,636</w:t>
            </w:r>
          </w:p>
        </w:tc>
        <w:tc>
          <w:tcPr>
            <w:tcW w:w="0" w:type="dxa"/>
            <w:vAlign w:val="bottom"/>
          </w:tcPr>
          <w:p>
            <w:pPr>
              <w:spacing w:after="0"/>
              <w:rPr>
                <w:sz w:val="1"/>
                <w:szCs w:val="1"/>
                <w:color w:val="auto"/>
              </w:rPr>
            </w:pPr>
          </w:p>
        </w:tc>
      </w:tr>
      <w:tr>
        <w:trPr>
          <w:trHeight w:val="87"/>
        </w:trPr>
        <w:tc>
          <w:tcPr>
            <w:tcW w:w="1600" w:type="dxa"/>
            <w:vAlign w:val="bottom"/>
            <w:vMerge w:val="continue"/>
          </w:tcPr>
          <w:p>
            <w:pPr>
              <w:spacing w:after="0"/>
              <w:rPr>
                <w:sz w:val="7"/>
                <w:szCs w:val="7"/>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6.</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240" w:type="dxa"/>
            <w:vAlign w:val="bottom"/>
            <w:vMerge w:val="continue"/>
          </w:tcPr>
          <w:p>
            <w:pPr>
              <w:spacing w:after="0"/>
              <w:rPr>
                <w:sz w:val="11"/>
                <w:szCs w:val="11"/>
                <w:color w:val="auto"/>
              </w:rPr>
            </w:pPr>
          </w:p>
        </w:tc>
        <w:tc>
          <w:tcPr>
            <w:tcW w:w="9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23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9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7.</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EACH</w:t>
            </w:r>
          </w:p>
        </w:tc>
        <w:tc>
          <w:tcPr>
            <w:tcW w:w="240" w:type="dxa"/>
            <w:vAlign w:val="bottom"/>
            <w:vMerge w:val="continue"/>
          </w:tcPr>
          <w:p>
            <w:pPr>
              <w:spacing w:after="0"/>
              <w:rPr>
                <w:sz w:val="13"/>
                <w:szCs w:val="13"/>
                <w:color w:val="auto"/>
              </w:rPr>
            </w:pPr>
          </w:p>
        </w:tc>
        <w:tc>
          <w:tcPr>
            <w:tcW w:w="9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2,323,636</w:t>
            </w:r>
          </w:p>
        </w:tc>
        <w:tc>
          <w:tcPr>
            <w:tcW w:w="0" w:type="dxa"/>
            <w:vAlign w:val="bottom"/>
          </w:tcPr>
          <w:p>
            <w:pPr>
              <w:spacing w:after="0"/>
              <w:rPr>
                <w:sz w:val="1"/>
                <w:szCs w:val="1"/>
                <w:color w:val="auto"/>
              </w:rPr>
            </w:pPr>
          </w:p>
        </w:tc>
      </w:tr>
      <w:tr>
        <w:trPr>
          <w:trHeight w:val="136"/>
        </w:trPr>
        <w:tc>
          <w:tcPr>
            <w:tcW w:w="1600" w:type="dxa"/>
            <w:vAlign w:val="bottom"/>
            <w:vMerge w:val="restart"/>
          </w:tcPr>
          <w:p>
            <w:pPr>
              <w:jc w:val="center"/>
              <w:ind w:right="190"/>
              <w:spacing w:after="0"/>
              <w:rPr>
                <w:sz w:val="20"/>
                <w:szCs w:val="20"/>
                <w:color w:val="auto"/>
              </w:rPr>
            </w:pPr>
            <w:r>
              <w:rPr>
                <w:rFonts w:ascii="Arial" w:cs="Arial" w:eastAsia="Arial" w:hAnsi="Arial"/>
                <w:sz w:val="18"/>
                <w:szCs w:val="18"/>
                <w:color w:val="auto"/>
                <w:w w:val="94"/>
              </w:rPr>
              <w:t>PERSON WITH</w:t>
            </w:r>
          </w:p>
        </w:tc>
        <w:tc>
          <w:tcPr>
            <w:tcW w:w="240" w:type="dxa"/>
            <w:vAlign w:val="bottom"/>
            <w:tcBorders>
              <w:bottom w:val="single" w:sz="8" w:color="auto"/>
            </w:tcBorders>
          </w:tcPr>
          <w:p>
            <w:pPr>
              <w:spacing w:after="0"/>
              <w:rPr>
                <w:sz w:val="11"/>
                <w:szCs w:val="11"/>
                <w:color w:val="auto"/>
              </w:rPr>
            </w:pPr>
          </w:p>
        </w:tc>
        <w:tc>
          <w:tcPr>
            <w:tcW w:w="9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8.</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9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100"/>
        <w:spacing w:after="0"/>
        <w:tabs>
          <w:tab w:leader="none" w:pos="440" w:val="left"/>
        </w:tabs>
        <w:rPr>
          <w:sz w:val="20"/>
          <w:szCs w:val="20"/>
          <w:color w:val="auto"/>
        </w:rPr>
      </w:pPr>
      <w:r>
        <w:rPr>
          <w:rFonts w:ascii="Arial" w:cs="Arial" w:eastAsia="Arial" w:hAnsi="Arial"/>
          <w:sz w:val="18"/>
          <w:szCs w:val="18"/>
          <w:color w:val="auto"/>
        </w:rPr>
        <w:t>9.</w:t>
        <w:tab/>
        <w:t>AGGREGATE AMOUNT BENEFICIALLY OWNED BY EACH REPORTING PERSON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2,523,636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460" w:right="4120" w:hanging="459"/>
        <w:spacing w:after="0" w:line="231" w:lineRule="exact"/>
        <w:tabs>
          <w:tab w:leader="none" w:pos="440" w:val="left"/>
        </w:tabs>
        <w:rPr>
          <w:sz w:val="20"/>
          <w:szCs w:val="20"/>
          <w:color w:val="auto"/>
        </w:rPr>
      </w:pPr>
      <w:r>
        <w:rPr>
          <w:rFonts w:ascii="Arial" w:cs="Arial" w:eastAsia="Arial" w:hAnsi="Arial"/>
          <w:sz w:val="18"/>
          <w:szCs w:val="18"/>
          <w:color w:val="auto"/>
        </w:rPr>
        <w:t>10.</w:t>
        <w:tab/>
        <w:t xml:space="preserve">CHECK IF THE AGGREGATE AMOUNT IN ROW (9)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tabs>
          <w:tab w:leader="none" w:pos="440" w:val="left"/>
        </w:tabs>
        <w:rPr>
          <w:sz w:val="20"/>
          <w:szCs w:val="20"/>
          <w:color w:val="auto"/>
        </w:rPr>
      </w:pPr>
      <w:r>
        <w:rPr>
          <w:rFonts w:ascii="Arial" w:cs="Arial" w:eastAsia="Arial" w:hAnsi="Arial"/>
          <w:sz w:val="18"/>
          <w:szCs w:val="18"/>
          <w:color w:val="auto"/>
        </w:rPr>
        <w:t>11.</w:t>
        <w:tab/>
        <w:t>PERCENT OF CLASS REPRESENTED BY AMOUNT IN ROW (9)</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tab/>
        <w:t>TYPE OF REPORTING PERSON (see instructions)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27" w:right="339" w:bottom="1440" w:gutter="0" w:footer="0" w:header="0"/>
        </w:sectPr>
      </w:pPr>
    </w:p>
    <w:bookmarkStart w:id="4" w:name="page5"/>
    <w:bookmarkEnd w:id="4"/>
    <w:p>
      <w:pPr>
        <w:ind w:left="440" w:right="7980" w:hanging="357"/>
        <w:spacing w:after="0" w:line="391"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NAMES OF REPORTING PERSONS John Stephen Perkins</w:t>
      </w:r>
    </w:p>
    <w:p>
      <w:pPr>
        <w:ind w:left="440" w:right="5800" w:hanging="357"/>
        <w:spacing w:after="0" w:line="258"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 w:lineRule="exact"/>
        <w:rPr>
          <w:rFonts w:ascii="Arial" w:cs="Arial" w:eastAsia="Arial" w:hAnsi="Arial"/>
          <w:sz w:val="18"/>
          <w:szCs w:val="18"/>
          <w:color w:val="auto"/>
        </w:rPr>
      </w:pPr>
    </w:p>
    <w:p>
      <w:pPr>
        <w:ind w:left="820" w:hanging="373"/>
        <w:spacing w:after="0" w:line="207" w:lineRule="exact"/>
        <w:tabs>
          <w:tab w:leader="none" w:pos="82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840" w:hanging="393"/>
        <w:spacing w:after="0" w:line="207" w:lineRule="exact"/>
        <w:tabs>
          <w:tab w:leader="none" w:pos="84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440" w:hanging="357"/>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2" w:lineRule="exact"/>
        <w:rPr>
          <w:rFonts w:ascii="Arial" w:cs="Arial" w:eastAsia="Arial" w:hAnsi="Arial"/>
          <w:sz w:val="18"/>
          <w:szCs w:val="18"/>
          <w:color w:val="auto"/>
        </w:rPr>
      </w:pPr>
    </w:p>
    <w:p>
      <w:pPr>
        <w:ind w:left="440" w:right="7100" w:hanging="357"/>
        <w:spacing w:after="0" w:line="383"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1" w:lineRule="exact"/>
        <w:rPr>
          <w:rFonts w:ascii="Arial" w:cs="Arial" w:eastAsia="Arial" w:hAnsi="Arial"/>
          <w:sz w:val="18"/>
          <w:szCs w:val="18"/>
          <w:color w:val="auto"/>
        </w:rPr>
      </w:pPr>
    </w:p>
    <w:p>
      <w:pPr>
        <w:ind w:left="2020" w:hanging="358"/>
        <w:spacing w:after="0"/>
        <w:tabs>
          <w:tab w:leader="none" w:pos="202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-1819275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-1390650</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-833755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-550545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-130810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6"/>
              </w:rPr>
              <w:t>NUMBER OF</w:t>
            </w:r>
          </w:p>
        </w:tc>
        <w:tc>
          <w:tcPr>
            <w:tcW w:w="240" w:type="dxa"/>
            <w:vAlign w:val="bottom"/>
            <w:tcBorders>
              <w:bottom w:val="single" w:sz="8" w:color="auto"/>
            </w:tcBorders>
          </w:tcPr>
          <w:p>
            <w:pPr>
              <w:spacing w:after="0"/>
              <w:rPr>
                <w:sz w:val="20"/>
                <w:szCs w:val="20"/>
                <w:color w:val="auto"/>
              </w:rPr>
            </w:pPr>
          </w:p>
        </w:tc>
        <w:tc>
          <w:tcPr>
            <w:tcW w:w="9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2,523,636</w:t>
            </w:r>
          </w:p>
        </w:tc>
        <w:tc>
          <w:tcPr>
            <w:tcW w:w="0" w:type="dxa"/>
            <w:vAlign w:val="bottom"/>
          </w:tcPr>
          <w:p>
            <w:pPr>
              <w:spacing w:after="0"/>
              <w:rPr>
                <w:sz w:val="1"/>
                <w:szCs w:val="1"/>
                <w:color w:val="auto"/>
              </w:rPr>
            </w:pPr>
          </w:p>
        </w:tc>
      </w:tr>
      <w:tr>
        <w:trPr>
          <w:trHeight w:val="87"/>
        </w:trPr>
        <w:tc>
          <w:tcPr>
            <w:tcW w:w="1600" w:type="dxa"/>
            <w:vAlign w:val="bottom"/>
            <w:vMerge w:val="continue"/>
          </w:tcPr>
          <w:p>
            <w:pPr>
              <w:spacing w:after="0"/>
              <w:rPr>
                <w:sz w:val="7"/>
                <w:szCs w:val="7"/>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6.</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7"/>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4"/>
              </w:rPr>
              <w:t>SHARES</w:t>
            </w:r>
          </w:p>
        </w:tc>
        <w:tc>
          <w:tcPr>
            <w:tcW w:w="240" w:type="dxa"/>
            <w:vAlign w:val="bottom"/>
            <w:vMerge w:val="continue"/>
          </w:tcPr>
          <w:p>
            <w:pPr>
              <w:spacing w:after="0"/>
              <w:rPr>
                <w:sz w:val="11"/>
                <w:szCs w:val="11"/>
                <w:color w:val="auto"/>
              </w:rPr>
            </w:pPr>
          </w:p>
        </w:tc>
        <w:tc>
          <w:tcPr>
            <w:tcW w:w="9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9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23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00" w:type="dxa"/>
            <w:vAlign w:val="bottom"/>
            <w:vMerge w:val="restart"/>
          </w:tcPr>
          <w:p>
            <w:pPr>
              <w:jc w:val="center"/>
              <w:ind w:right="230"/>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10"/>
                <w:szCs w:val="10"/>
                <w:color w:val="auto"/>
              </w:rPr>
            </w:pPr>
          </w:p>
        </w:tc>
        <w:tc>
          <w:tcPr>
            <w:tcW w:w="93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600" w:type="dxa"/>
            <w:vAlign w:val="bottom"/>
            <w:vMerge w:val="continue"/>
          </w:tcPr>
          <w:p>
            <w:pPr>
              <w:spacing w:after="0"/>
              <w:rPr>
                <w:sz w:val="6"/>
                <w:szCs w:val="6"/>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7.</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60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EACH</w:t>
            </w:r>
          </w:p>
        </w:tc>
        <w:tc>
          <w:tcPr>
            <w:tcW w:w="240" w:type="dxa"/>
            <w:vAlign w:val="bottom"/>
            <w:vMerge w:val="continue"/>
          </w:tcPr>
          <w:p>
            <w:pPr>
              <w:spacing w:after="0"/>
              <w:rPr>
                <w:sz w:val="13"/>
                <w:szCs w:val="13"/>
                <w:color w:val="auto"/>
              </w:rPr>
            </w:pPr>
          </w:p>
        </w:tc>
        <w:tc>
          <w:tcPr>
            <w:tcW w:w="9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9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00" w:type="dxa"/>
            <w:vAlign w:val="bottom"/>
          </w:tcPr>
          <w:p>
            <w:pPr>
              <w:jc w:val="center"/>
              <w:ind w:right="230"/>
              <w:spacing w:after="0"/>
              <w:rPr>
                <w:sz w:val="20"/>
                <w:szCs w:val="20"/>
                <w:color w:val="auto"/>
              </w:rPr>
            </w:pPr>
            <w:r>
              <w:rPr>
                <w:rFonts w:ascii="Arial" w:cs="Arial" w:eastAsia="Arial" w:hAnsi="Arial"/>
                <w:sz w:val="18"/>
                <w:szCs w:val="18"/>
                <w:color w:val="auto"/>
                <w:w w:val="93"/>
              </w:rPr>
              <w:t>REPORTING</w:t>
            </w:r>
          </w:p>
        </w:tc>
        <w:tc>
          <w:tcPr>
            <w:tcW w:w="240" w:type="dxa"/>
            <w:vAlign w:val="bottom"/>
          </w:tcPr>
          <w:p>
            <w:pPr>
              <w:spacing w:after="0"/>
              <w:rPr>
                <w:sz w:val="18"/>
                <w:szCs w:val="18"/>
                <w:color w:val="auto"/>
              </w:rPr>
            </w:pP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2,323,636</w:t>
            </w:r>
          </w:p>
        </w:tc>
        <w:tc>
          <w:tcPr>
            <w:tcW w:w="0" w:type="dxa"/>
            <w:vAlign w:val="bottom"/>
          </w:tcPr>
          <w:p>
            <w:pPr>
              <w:spacing w:after="0"/>
              <w:rPr>
                <w:sz w:val="1"/>
                <w:szCs w:val="1"/>
                <w:color w:val="auto"/>
              </w:rPr>
            </w:pPr>
          </w:p>
        </w:tc>
      </w:tr>
      <w:tr>
        <w:trPr>
          <w:trHeight w:val="136"/>
        </w:trPr>
        <w:tc>
          <w:tcPr>
            <w:tcW w:w="1600" w:type="dxa"/>
            <w:vAlign w:val="bottom"/>
            <w:vMerge w:val="restart"/>
          </w:tcPr>
          <w:p>
            <w:pPr>
              <w:jc w:val="center"/>
              <w:ind w:right="190"/>
              <w:spacing w:after="0"/>
              <w:rPr>
                <w:sz w:val="20"/>
                <w:szCs w:val="20"/>
                <w:color w:val="auto"/>
              </w:rPr>
            </w:pPr>
            <w:r>
              <w:rPr>
                <w:rFonts w:ascii="Arial" w:cs="Arial" w:eastAsia="Arial" w:hAnsi="Arial"/>
                <w:sz w:val="18"/>
                <w:szCs w:val="18"/>
                <w:color w:val="auto"/>
                <w:w w:val="94"/>
              </w:rPr>
              <w:t>PERSON WITH</w:t>
            </w:r>
          </w:p>
        </w:tc>
        <w:tc>
          <w:tcPr>
            <w:tcW w:w="240" w:type="dxa"/>
            <w:vAlign w:val="bottom"/>
            <w:tcBorders>
              <w:bottom w:val="single" w:sz="8" w:color="auto"/>
            </w:tcBorders>
          </w:tcPr>
          <w:p>
            <w:pPr>
              <w:spacing w:after="0"/>
              <w:rPr>
                <w:sz w:val="11"/>
                <w:szCs w:val="11"/>
                <w:color w:val="auto"/>
              </w:rPr>
            </w:pPr>
          </w:p>
        </w:tc>
        <w:tc>
          <w:tcPr>
            <w:tcW w:w="93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600" w:type="dxa"/>
            <w:vAlign w:val="bottom"/>
            <w:vMerge w:val="continue"/>
          </w:tcPr>
          <w:p>
            <w:pPr>
              <w:spacing w:after="0"/>
              <w:rPr>
                <w:sz w:val="6"/>
                <w:szCs w:val="6"/>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8.</w:t>
            </w:r>
          </w:p>
        </w:tc>
        <w:tc>
          <w:tcPr>
            <w:tcW w:w="93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9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100"/>
        <w:spacing w:after="0"/>
        <w:tabs>
          <w:tab w:leader="none" w:pos="440" w:val="left"/>
        </w:tabs>
        <w:rPr>
          <w:sz w:val="20"/>
          <w:szCs w:val="20"/>
          <w:color w:val="auto"/>
        </w:rPr>
      </w:pPr>
      <w:r>
        <w:rPr>
          <w:rFonts w:ascii="Arial" w:cs="Arial" w:eastAsia="Arial" w:hAnsi="Arial"/>
          <w:sz w:val="18"/>
          <w:szCs w:val="18"/>
          <w:color w:val="auto"/>
        </w:rPr>
        <w:t>9.</w:t>
        <w:tab/>
        <w:t>AGGREGATE AMOUNT BENEFICIALLY OWNED BY EACH REPORTING PERSON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2,523,636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460" w:right="4120" w:hanging="459"/>
        <w:spacing w:after="0" w:line="231" w:lineRule="exact"/>
        <w:tabs>
          <w:tab w:leader="none" w:pos="440" w:val="left"/>
        </w:tabs>
        <w:rPr>
          <w:sz w:val="20"/>
          <w:szCs w:val="20"/>
          <w:color w:val="auto"/>
        </w:rPr>
      </w:pPr>
      <w:r>
        <w:rPr>
          <w:rFonts w:ascii="Arial" w:cs="Arial" w:eastAsia="Arial" w:hAnsi="Arial"/>
          <w:sz w:val="18"/>
          <w:szCs w:val="18"/>
          <w:color w:val="auto"/>
        </w:rPr>
        <w:t>10.</w:t>
        <w:tab/>
        <w:t xml:space="preserve">CHECK IF THE AGGREGATE AMOUNT IN ROW (9)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20"/>
        <w:spacing w:after="0"/>
        <w:tabs>
          <w:tab w:leader="none" w:pos="440" w:val="left"/>
        </w:tabs>
        <w:rPr>
          <w:sz w:val="20"/>
          <w:szCs w:val="20"/>
          <w:color w:val="auto"/>
        </w:rPr>
      </w:pPr>
      <w:r>
        <w:rPr>
          <w:rFonts w:ascii="Arial" w:cs="Arial" w:eastAsia="Arial" w:hAnsi="Arial"/>
          <w:sz w:val="18"/>
          <w:szCs w:val="18"/>
          <w:color w:val="auto"/>
        </w:rPr>
        <w:t>11.</w:t>
        <w:tab/>
        <w:t>PERCENT OF CLASS REPRESENTED BY AMOUNT IN ROW (9)</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12.</w:t>
        <w:tab/>
        <w:t>TYPE OF REPORTING PERSON (see instructions)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827"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680" w:hanging="335"/>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MagnaChip Semiconductor Corporation</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60 South Market Street, Suite 750</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San Jose, CA 95113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680" w:hanging="335"/>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680" w:right="7860"/>
        <w:spacing w:after="0" w:line="259" w:lineRule="auto"/>
        <w:rPr>
          <w:rFonts w:ascii="Arial" w:cs="Arial" w:eastAsia="Arial" w:hAnsi="Arial"/>
          <w:sz w:val="18"/>
          <w:szCs w:val="18"/>
          <w:color w:val="auto"/>
        </w:rPr>
      </w:pPr>
      <w:r>
        <w:rPr>
          <w:rFonts w:ascii="Arial" w:cs="Arial" w:eastAsia="Arial" w:hAnsi="Arial"/>
          <w:sz w:val="18"/>
          <w:szCs w:val="18"/>
          <w:color w:val="auto"/>
        </w:rPr>
        <w:t>Toronado Fund, L.P. Toronado Partners LLC Toronado Capital Management LLC John Stephen Perkins</w:t>
      </w:r>
    </w:p>
    <w:p>
      <w:pPr>
        <w:spacing w:after="0" w:line="186" w:lineRule="exact"/>
        <w:rPr>
          <w:rFonts w:ascii="Arial" w:cs="Arial" w:eastAsia="Arial" w:hAnsi="Arial"/>
          <w:sz w:val="18"/>
          <w:szCs w:val="18"/>
          <w:color w:val="auto"/>
        </w:rPr>
      </w:pPr>
    </w:p>
    <w:p>
      <w:pPr>
        <w:ind w:left="680" w:hanging="335"/>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Address of the Principal Office</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The principal business address of each reporting person is 44 Montgomery Street, Suite 1200, San Francisco, CA 94104.</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7"/>
          <w:szCs w:val="17"/>
          <w:color w:val="auto"/>
        </w:rPr>
        <w:t>Reference is made to Item 4 of pages 2–5 of this Schedule 13G (this “Schedule”), which Items are incorporated by reference herein.</w:t>
      </w:r>
    </w:p>
    <w:p>
      <w:pPr>
        <w:spacing w:after="0" w:line="236" w:lineRule="exact"/>
        <w:rPr>
          <w:rFonts w:ascii="Arial" w:cs="Arial" w:eastAsia="Arial" w:hAnsi="Arial"/>
          <w:sz w:val="18"/>
          <w:szCs w:val="18"/>
          <w:color w:val="auto"/>
        </w:rPr>
      </w:pPr>
    </w:p>
    <w:p>
      <w:pPr>
        <w:ind w:left="680" w:right="8280" w:hanging="335"/>
        <w:spacing w:after="0" w:line="563"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Title of Class of Securities Common Stock (the “Shares”)</w:t>
      </w:r>
    </w:p>
    <w:p>
      <w:pPr>
        <w:ind w:left="680" w:right="9340" w:hanging="335"/>
        <w:spacing w:after="0" w:line="560"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CUSIP Number 55933J203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96" w:lineRule="exact"/>
        <w:rPr>
          <w:sz w:val="20"/>
          <w:szCs w:val="20"/>
          <w:color w:val="auto"/>
        </w:rPr>
      </w:pPr>
    </w:p>
    <w:p>
      <w:pPr>
        <w:ind w:left="680" w:hanging="335"/>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§240.13d-1(b)(1)(ii)(E);</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225"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020" w:hanging="675"/>
        <w:spacing w:after="0" w:line="239" w:lineRule="exact"/>
        <w:tabs>
          <w:tab w:leader="none" w:pos="683"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680" w:hanging="335"/>
        <w:spacing w:after="0" w:line="207" w:lineRule="exact"/>
        <w:tabs>
          <w:tab w:leader="none" w:pos="6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810" w:right="41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4. Ownership.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Reference is hereby made to Items 5-9 of this Schedule, which Items are incorporated by reference herein.</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Toronado Fund, L.P. directly holds 2,323,636 Shares. Toronado Partners LLC acts as investment manager for the Toronado Fund, L.P., Toronado Capital Management LLC acts as general partner for Toronado Fund, L.P., and John Stephen Perkins acts as Managing Member of Toronado Partners LLC. Toronado Partners LLC, Toronado Capital Management LLC, and John Stephen Perkins directly or indirectly control an additional 200,000 for a cumulative total of 2,523,636 shares.</w:t>
      </w:r>
    </w:p>
    <w:p>
      <w:pPr>
        <w:spacing w:after="0" w:line="18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Based upon the foregoing, as of the date hereof, each of Toronado Fund, L.P., Toronado Partners LLC, Toronado Capital Management LLC, and John Stephen Perkins (collectively, the “Reporting Persons”) may be deemed to be the beneficial owner of the number of Shares set forth in Item 9 of such Reporting Person’s cover page hereto. Each Reporting Person disclaims beneficial ownership of the Shares not held directly by such Reporting Person.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percentage of beneficial ownership in item 11 was derived from Issuer’s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9" w:lineRule="exact"/>
        <w:rPr>
          <w:sz w:val="20"/>
          <w:szCs w:val="20"/>
          <w:color w:val="auto"/>
        </w:rPr>
      </w:pPr>
    </w:p>
    <w:p>
      <w:pPr>
        <w:ind w:right="40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To the best knowledge of the Reporting Persons, no one other than the Reporting Persons and the equity holders of the Reporting Persons has the right to receive or the power to direct the receipt of dividends from, or the proceeds from the sale of, the Shares.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Subsidiary Which Acquired the Security Being Reported on By the Parent Holding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Reporting Persons have agreed to jointly file this Schedule 13G in accordance with Rule 13d-1(k) of the Exchange Act, the agreement with respect to which is attached hereto as Exhibit 1. Each Reporting Person expressly disclaims beneficial ownership with respect to any Shares other than the Shares owned of record by such Reporting Person.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By signing below the undersigned certify that, to the best of their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810" w:right="459" w:bottom="1440" w:gutter="0" w:footer="0" w:header="0"/>
        </w:sectPr>
      </w:pPr>
    </w:p>
    <w:bookmarkStart w:id="7" w:name="page8"/>
    <w:bookmarkEnd w:id="7"/>
    <w:p>
      <w:pPr>
        <w:ind w:left="526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tabs>
          <w:tab w:leader="none" w:pos="5160" w:val="left"/>
        </w:tabs>
        <w:rPr>
          <w:sz w:val="20"/>
          <w:szCs w:val="20"/>
          <w:color w:val="auto"/>
        </w:rPr>
      </w:pPr>
      <w:r>
        <w:rPr>
          <w:rFonts w:ascii="Arial" w:cs="Arial" w:eastAsia="Arial" w:hAnsi="Arial"/>
          <w:sz w:val="18"/>
          <w:szCs w:val="18"/>
          <w:color w:val="auto"/>
        </w:rPr>
        <w:t>Dated: February 11, 2022</w:t>
      </w:r>
      <w:r>
        <w:rPr>
          <w:sz w:val="20"/>
          <w:szCs w:val="20"/>
          <w:color w:val="auto"/>
        </w:rPr>
        <w:tab/>
      </w:r>
      <w:r>
        <w:rPr>
          <w:rFonts w:ascii="Arial" w:cs="Arial" w:eastAsia="Arial" w:hAnsi="Arial"/>
          <w:sz w:val="16"/>
          <w:szCs w:val="16"/>
          <w:u w:val="single" w:color="auto"/>
          <w:color w:val="auto"/>
        </w:rPr>
        <w:t>Toronado Fund, L.P</w:t>
      </w:r>
      <w:r>
        <w:rPr>
          <w:rFonts w:ascii="Arial" w:cs="Arial" w:eastAsia="Arial" w:hAnsi="Arial"/>
          <w:sz w:val="16"/>
          <w:szCs w:val="16"/>
          <w:color w:val="auto"/>
        </w:rPr>
        <w:t>.</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Toronado Partners LLC, its investment manager</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John Stephen Perkins, its Managing Member</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By: /s/ John Stephen Perkins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John Stephen Perkins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Toronado Partners LLC</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John Stephen Perkins, its Managing Member</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By: /s/ John Stephen Perkins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John Stephen Perkins Title: Managing Member</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Toronado Capital Management LLC</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John Stephen Perkins, its Managing Member</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By: /s/ John Stephen Perkins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John Stephen Perkins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John Stephen Perkins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By: /s/ John Stephen Perkins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John Stephen Perkins</w:t>
      </w:r>
    </w:p>
    <w:p>
      <w:pPr>
        <w:spacing w:after="0" w:line="34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810" w:right="91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Rule 13d-1(k) promulgated under the Securities Exchange Act of 1934, as amended, the persons named below agree to the joint filing on behalf of each of them Statements on Schedule 13D or Schedule 13G, as applicable (including amendments thereto), with regard to the securities of MagnaChip Semiconductor Corporation, and further agree that this Joint Filing Agreement be included as an Exhibit to any such joint filings. In evidence thereof, the undersigned, being duly authorized, hereby execute this Agreement.</w:t>
      </w:r>
    </w:p>
    <w:p>
      <w:pPr>
        <w:spacing w:after="0" w:line="187" w:lineRule="exact"/>
        <w:rPr>
          <w:sz w:val="20"/>
          <w:szCs w:val="20"/>
          <w:color w:val="auto"/>
        </w:rPr>
      </w:pPr>
    </w:p>
    <w:p>
      <w:pPr>
        <w:spacing w:after="0"/>
        <w:tabs>
          <w:tab w:leader="none" w:pos="5160" w:val="left"/>
        </w:tabs>
        <w:rPr>
          <w:sz w:val="20"/>
          <w:szCs w:val="20"/>
          <w:color w:val="auto"/>
        </w:rPr>
      </w:pPr>
      <w:r>
        <w:rPr>
          <w:rFonts w:ascii="Arial" w:cs="Arial" w:eastAsia="Arial" w:hAnsi="Arial"/>
          <w:sz w:val="18"/>
          <w:szCs w:val="18"/>
          <w:color w:val="auto"/>
        </w:rPr>
        <w:t>Dated: February 11, 2022</w:t>
      </w:r>
      <w:r>
        <w:rPr>
          <w:sz w:val="20"/>
          <w:szCs w:val="20"/>
          <w:color w:val="auto"/>
        </w:rPr>
        <w:tab/>
      </w:r>
      <w:r>
        <w:rPr>
          <w:rFonts w:ascii="Arial" w:cs="Arial" w:eastAsia="Arial" w:hAnsi="Arial"/>
          <w:sz w:val="16"/>
          <w:szCs w:val="16"/>
          <w:u w:val="single" w:color="auto"/>
          <w:color w:val="auto"/>
        </w:rPr>
        <w:t>Toronado Fund, L.P</w:t>
      </w:r>
      <w:r>
        <w:rPr>
          <w:rFonts w:ascii="Arial" w:cs="Arial" w:eastAsia="Arial" w:hAnsi="Arial"/>
          <w:sz w:val="16"/>
          <w:szCs w:val="16"/>
          <w:color w:val="auto"/>
        </w:rPr>
        <w:t>.</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Toronado Partners LLC, its investment manager</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John Stephen Perkins, its Managing Member</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By: /s/ John Stephen Perkins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John Stephen Perkins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Toronado Partners LLC</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John Stephen Perkins, its Managing Member</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By: /s/ John Stephen Perkins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John Stephen Perkins Title: Managing Member</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Toronado Capital Management LLC</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By: John Stephen Perkins, its Managing Member</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By: /s/ John Stephen Perkins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John Stephen Perkins</w:t>
      </w:r>
    </w:p>
    <w:p>
      <w:pPr>
        <w:spacing w:after="0" w:line="9"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John Stephen Perkins</w:t>
      </w:r>
    </w:p>
    <w:p>
      <w:pPr>
        <w:spacing w:after="0" w:line="225" w:lineRule="exact"/>
        <w:rPr>
          <w:sz w:val="20"/>
          <w:szCs w:val="20"/>
          <w:color w:val="auto"/>
        </w:rPr>
      </w:pPr>
    </w:p>
    <w:p>
      <w:pPr>
        <w:ind w:left="5180"/>
        <w:spacing w:after="0"/>
        <w:rPr>
          <w:sz w:val="20"/>
          <w:szCs w:val="20"/>
          <w:color w:val="auto"/>
        </w:rPr>
      </w:pPr>
      <w:r>
        <w:rPr>
          <w:rFonts w:ascii="Arial" w:cs="Arial" w:eastAsia="Arial" w:hAnsi="Arial"/>
          <w:sz w:val="18"/>
          <w:szCs w:val="18"/>
          <w:u w:val="single" w:color="auto"/>
          <w:color w:val="auto"/>
        </w:rPr>
        <w:t>By: /s/ John Stephen Perkins</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Name: John Stephen Perkins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3">
    <w:nsid w:val="2EB14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4">
    <w:nsid w:val="41B71EFB"/>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
    <w:nsid w:val="79E2A9E3"/>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2022-02-12T02:05:00Z</dcterms:created>
  <dcterms:modified xsi:type="dcterms:W3CDTF">2022-02-12T02:05:00Z</dcterms:modified>
</cp:coreProperties>
</file>