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Magnachip Semiconductor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55933J203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55933J203</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2,355,000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2,355,000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2,355,000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55933J203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Magnachip Semiconductor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c/o Magnachip Semiconductor SA</w:t>
      </w:r>
    </w:p>
    <w:p>
      <w:pPr>
        <w:ind w:left="740"/>
        <w:spacing w:after="0"/>
        <w:rPr>
          <w:sz w:val="20"/>
          <w:szCs w:val="20"/>
          <w:color w:val="auto"/>
        </w:rPr>
      </w:pPr>
      <w:r>
        <w:rPr>
          <w:rFonts w:ascii="Courier New" w:cs="Courier New" w:eastAsia="Courier New" w:hAnsi="Courier New"/>
          <w:sz w:val="18"/>
          <w:szCs w:val="18"/>
          <w:color w:val="auto"/>
        </w:rPr>
        <w:t>74, Rule De Merl</w:t>
      </w:r>
    </w:p>
    <w:p>
      <w:pPr>
        <w:ind w:left="740"/>
        <w:spacing w:after="0" w:line="237" w:lineRule="auto"/>
        <w:rPr>
          <w:sz w:val="20"/>
          <w:szCs w:val="20"/>
          <w:color w:val="auto"/>
        </w:rPr>
      </w:pPr>
      <w:r>
        <w:rPr>
          <w:rFonts w:ascii="Courier New" w:cs="Courier New" w:eastAsia="Courier New" w:hAnsi="Courier New"/>
          <w:sz w:val="18"/>
          <w:szCs w:val="18"/>
          <w:color w:val="auto"/>
        </w:rPr>
        <w:t>N4 L-2146, Luxembourg</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55933J203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68" w:lineRule="auto"/>
        <w:rPr>
          <w:sz w:val="20"/>
          <w:szCs w:val="20"/>
          <w:color w:val="auto"/>
        </w:rPr>
      </w:pPr>
      <w:r>
        <w:rPr>
          <w:rFonts w:ascii="Courier New" w:cs="Courier New" w:eastAsia="Courier New" w:hAnsi="Courier New"/>
          <w:sz w:val="16"/>
          <w:szCs w:val="16"/>
          <w:color w:val="auto"/>
        </w:rPr>
        <w:t>Capital World Investors divisions of CRMC and Capital International Limited collectively provide investment management services under the name Capital World Investors. Capital World Investors is deemed to be the beneficial owner of 2,355,000 shares or 6.8% of the 34,138,289 shares believed to</w:t>
      </w:r>
    </w:p>
    <w:p>
      <w:pPr>
        <w:ind w:left="740"/>
        <w:spacing w:after="0" w:line="234" w:lineRule="auto"/>
        <w:rPr>
          <w:sz w:val="20"/>
          <w:szCs w:val="20"/>
          <w:color w:val="auto"/>
        </w:rPr>
      </w:pPr>
      <w:r>
        <w:rPr>
          <w:rFonts w:ascii="Courier New" w:cs="Courier New" w:eastAsia="Courier New" w:hAnsi="Courier New"/>
          <w:sz w:val="18"/>
          <w:szCs w:val="18"/>
          <w:color w:val="auto"/>
        </w:rPr>
        <w:t>be outstanding.</w:t>
      </w:r>
    </w:p>
    <w:p>
      <w:pPr>
        <w:spacing w:after="0"/>
        <w:tabs>
          <w:tab w:leader="none" w:pos="6720" w:val="left"/>
        </w:tabs>
        <w:rPr>
          <w:sz w:val="20"/>
          <w:szCs w:val="20"/>
          <w:color w:val="auto"/>
        </w:rPr>
      </w:pPr>
      <w:r>
        <w:rPr>
          <w:rFonts w:ascii="Courier New" w:cs="Courier New" w:eastAsia="Courier New" w:hAnsi="Courier New"/>
          <w:sz w:val="18"/>
          <w:szCs w:val="18"/>
          <w:color w:val="auto"/>
        </w:rPr>
        <w:t>CUSIP: 55933J203</w:t>
      </w:r>
      <w:r>
        <w:rPr>
          <w:sz w:val="20"/>
          <w:szCs w:val="20"/>
          <w:color w:val="auto"/>
        </w:rPr>
        <w:tab/>
      </w:r>
      <w:r>
        <w:rPr>
          <w:rFonts w:ascii="Courier New" w:cs="Courier New" w:eastAsia="Courier New" w:hAnsi="Courier New"/>
          <w:sz w:val="16"/>
          <w:szCs w:val="16"/>
          <w:color w:val="auto"/>
        </w:rPr>
        <w:t>Page 3 of 5</w:t>
      </w:r>
    </w:p>
    <w:p>
      <w:pPr>
        <w:spacing w:after="0" w:line="206"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72" w:lineRule="auto"/>
        <w:tabs>
          <w:tab w:leader="none" w:pos="7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 One or more clients of Capital World Investors have the right to receive or the power to direct the receipt of dividends from, or the proceeds from the sale of, the Common Stock of Magnachip Semiconductor Corporation. Capital World Investors holds more than five percent of the outstanding Common Stock of Magnachip Semiconductor Corporation as of December 29, 2017 on behalf of each of the following client(s):</w:t>
      </w:r>
    </w:p>
    <w:p>
      <w:pPr>
        <w:spacing w:after="0" w:line="38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SMALLCAP World Fund, Inc.</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8,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42" w:right="1440" w:bottom="335"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55933J203</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55933J203</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2019-12-07T01:05:59Z</dcterms:created>
  <dcterms:modified xsi:type="dcterms:W3CDTF">2019-12-07T01:05:59Z</dcterms:modified>
</cp:coreProperties>
</file>