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260"/>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26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241935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260"/>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260350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60"/>
        <w:spacing w:after="0"/>
        <w:rPr>
          <w:sz w:val="20"/>
          <w:szCs w:val="20"/>
          <w:color w:val="auto"/>
        </w:rPr>
      </w:pPr>
      <w:r>
        <w:rPr>
          <w:rFonts w:ascii="Arial" w:cs="Arial" w:eastAsia="Arial" w:hAnsi="Arial"/>
          <w:sz w:val="23"/>
          <w:szCs w:val="23"/>
          <w:b w:val="1"/>
          <w:bCs w:val="1"/>
          <w:color w:val="auto"/>
        </w:rPr>
        <w:t>CURRENT REPORT</w:t>
      </w:r>
    </w:p>
    <w:p>
      <w:pPr>
        <w:spacing w:after="0" w:line="10" w:lineRule="exact"/>
        <w:rPr>
          <w:sz w:val="24"/>
          <w:szCs w:val="24"/>
          <w:color w:val="auto"/>
        </w:rPr>
      </w:pPr>
    </w:p>
    <w:p>
      <w:pPr>
        <w:jc w:val="center"/>
        <w:ind w:right="-260"/>
        <w:spacing w:after="0"/>
        <w:rPr>
          <w:sz w:val="20"/>
          <w:szCs w:val="20"/>
          <w:color w:val="auto"/>
        </w:rPr>
      </w:pPr>
      <w:r>
        <w:rPr>
          <w:rFonts w:ascii="Arial" w:cs="Arial" w:eastAsia="Arial" w:hAnsi="Arial"/>
          <w:sz w:val="23"/>
          <w:szCs w:val="23"/>
          <w:b w:val="1"/>
          <w:bCs w:val="1"/>
          <w:color w:val="auto"/>
        </w:rPr>
        <w:t>Pursuant to Section 13 or 15(d)</w:t>
      </w:r>
    </w:p>
    <w:p>
      <w:pPr>
        <w:jc w:val="center"/>
        <w:ind w:right="-260"/>
        <w:spacing w:after="0"/>
        <w:rPr>
          <w:sz w:val="20"/>
          <w:szCs w:val="20"/>
          <w:color w:val="auto"/>
        </w:rPr>
      </w:pPr>
      <w:r>
        <w:rPr>
          <w:rFonts w:ascii="Arial" w:cs="Arial" w:eastAsia="Arial" w:hAnsi="Arial"/>
          <w:sz w:val="23"/>
          <w:szCs w:val="23"/>
          <w:b w:val="1"/>
          <w:bCs w:val="1"/>
          <w:color w:val="auto"/>
        </w:rPr>
        <w:t>of the Securities Exchange Act of 1934</w:t>
      </w:r>
    </w:p>
    <w:p>
      <w:pPr>
        <w:spacing w:after="0" w:line="194" w:lineRule="exact"/>
        <w:rPr>
          <w:sz w:val="24"/>
          <w:szCs w:val="24"/>
          <w:color w:val="auto"/>
        </w:rPr>
      </w:pPr>
    </w:p>
    <w:p>
      <w:pPr>
        <w:jc w:val="center"/>
        <w:ind w:right="-260"/>
        <w:spacing w:after="0"/>
        <w:rPr>
          <w:sz w:val="20"/>
          <w:szCs w:val="20"/>
          <w:color w:val="auto"/>
        </w:rPr>
      </w:pPr>
      <w:r>
        <w:rPr>
          <w:rFonts w:ascii="Arial" w:cs="Arial" w:eastAsia="Arial" w:hAnsi="Arial"/>
          <w:sz w:val="23"/>
          <w:szCs w:val="23"/>
          <w:b w:val="1"/>
          <w:bCs w:val="1"/>
          <w:color w:val="auto"/>
        </w:rPr>
        <w:t>Date of report (Date of earliest event reported): January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249555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260"/>
        <w:spacing w:after="0"/>
        <w:rPr>
          <w:sz w:val="20"/>
          <w:szCs w:val="20"/>
          <w:color w:val="auto"/>
        </w:rPr>
      </w:pPr>
      <w:r>
        <w:rPr>
          <w:rFonts w:ascii="Arial" w:cs="Arial" w:eastAsia="Arial" w:hAnsi="Arial"/>
          <w:sz w:val="46"/>
          <w:szCs w:val="46"/>
          <w:b w:val="1"/>
          <w:bCs w:val="1"/>
          <w:color w:val="auto"/>
        </w:rPr>
        <w:t>MagnaChip Semiconductor Corporation</w:t>
      </w:r>
    </w:p>
    <w:p>
      <w:pPr>
        <w:spacing w:after="0" w:line="45" w:lineRule="exact"/>
        <w:rPr>
          <w:sz w:val="24"/>
          <w:szCs w:val="24"/>
          <w:color w:val="auto"/>
        </w:rPr>
      </w:pPr>
    </w:p>
    <w:p>
      <w:pPr>
        <w:jc w:val="center"/>
        <w:ind w:right="-26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249555</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081" w:type="dxa"/>
        <w:tblCellMar>
          <w:top w:w="0" w:type="dxa"/>
          <w:left w:w="0" w:type="dxa"/>
          <w:bottom w:w="0" w:type="dxa"/>
          <w:right w:w="0" w:type="dxa"/>
        </w:tblCellMar>
      </w:tblPr>
      <w:tr>
        <w:trPr>
          <w:trHeight w:val="225"/>
        </w:trPr>
        <w:tc>
          <w:tcPr>
            <w:tcW w:w="4340" w:type="dxa"/>
            <w:vAlign w:val="bottom"/>
          </w:tcPr>
          <w:p>
            <w:pPr>
              <w:jc w:val="center"/>
              <w:ind w:right="2453"/>
              <w:spacing w:after="0"/>
              <w:rPr>
                <w:sz w:val="20"/>
                <w:szCs w:val="20"/>
                <w:color w:val="auto"/>
              </w:rPr>
            </w:pPr>
            <w:r>
              <w:rPr>
                <w:rFonts w:ascii="Arial" w:cs="Arial" w:eastAsia="Arial" w:hAnsi="Arial"/>
                <w:sz w:val="19"/>
                <w:szCs w:val="19"/>
                <w:b w:val="1"/>
                <w:bCs w:val="1"/>
                <w:color w:val="auto"/>
                <w:w w:val="91"/>
              </w:rPr>
              <w:t>Delaware</w:t>
            </w:r>
          </w:p>
        </w:tc>
        <w:tc>
          <w:tcPr>
            <w:tcW w:w="2360" w:type="dxa"/>
            <w:vAlign w:val="bottom"/>
          </w:tcPr>
          <w:p>
            <w:pPr>
              <w:ind w:left="100"/>
              <w:spacing w:after="0"/>
              <w:rPr>
                <w:sz w:val="20"/>
                <w:szCs w:val="20"/>
                <w:color w:val="auto"/>
              </w:rPr>
            </w:pPr>
            <w:r>
              <w:rPr>
                <w:rFonts w:ascii="Arial" w:cs="Arial" w:eastAsia="Arial" w:hAnsi="Arial"/>
                <w:sz w:val="19"/>
                <w:szCs w:val="19"/>
                <w:b w:val="1"/>
                <w:bCs w:val="1"/>
                <w:color w:val="auto"/>
              </w:rPr>
              <w:t>001-34791</w:t>
            </w:r>
          </w:p>
        </w:tc>
        <w:tc>
          <w:tcPr>
            <w:tcW w:w="2600" w:type="dxa"/>
            <w:vAlign w:val="bottom"/>
          </w:tcPr>
          <w:p>
            <w:pPr>
              <w:jc w:val="center"/>
              <w:ind w:left="1316"/>
              <w:spacing w:after="0"/>
              <w:rPr>
                <w:sz w:val="20"/>
                <w:szCs w:val="20"/>
                <w:color w:val="auto"/>
              </w:rPr>
            </w:pPr>
            <w:r>
              <w:rPr>
                <w:rFonts w:ascii="Arial" w:cs="Arial" w:eastAsia="Arial" w:hAnsi="Arial"/>
                <w:sz w:val="19"/>
                <w:szCs w:val="19"/>
                <w:b w:val="1"/>
                <w:bCs w:val="1"/>
                <w:color w:val="auto"/>
                <w:w w:val="90"/>
              </w:rPr>
              <w:t>83-0406195</w:t>
            </w:r>
          </w:p>
        </w:tc>
      </w:tr>
      <w:tr>
        <w:trPr>
          <w:trHeight w:val="157"/>
        </w:trPr>
        <w:tc>
          <w:tcPr>
            <w:tcW w:w="4340" w:type="dxa"/>
            <w:vAlign w:val="bottom"/>
          </w:tcPr>
          <w:p>
            <w:pPr>
              <w:jc w:val="center"/>
              <w:ind w:right="2453"/>
              <w:spacing w:after="0" w:line="157" w:lineRule="exact"/>
              <w:rPr>
                <w:sz w:val="20"/>
                <w:szCs w:val="20"/>
                <w:color w:val="auto"/>
              </w:rPr>
            </w:pPr>
            <w:r>
              <w:rPr>
                <w:rFonts w:ascii="Arial" w:cs="Arial" w:eastAsia="Arial" w:hAnsi="Arial"/>
                <w:sz w:val="15"/>
                <w:szCs w:val="15"/>
                <w:b w:val="1"/>
                <w:bCs w:val="1"/>
                <w:color w:val="auto"/>
                <w:w w:val="92"/>
              </w:rPr>
              <w:t>(State or Other Jurisdiction</w:t>
            </w:r>
          </w:p>
        </w:tc>
        <w:tc>
          <w:tcPr>
            <w:tcW w:w="2360" w:type="dxa"/>
            <w:vAlign w:val="bottom"/>
          </w:tcPr>
          <w:p>
            <w:pPr>
              <w:ind w:left="100"/>
              <w:spacing w:after="0" w:line="157" w:lineRule="exact"/>
              <w:rPr>
                <w:sz w:val="20"/>
                <w:szCs w:val="20"/>
                <w:color w:val="auto"/>
              </w:rPr>
            </w:pPr>
            <w:r>
              <w:rPr>
                <w:rFonts w:ascii="Arial" w:cs="Arial" w:eastAsia="Arial" w:hAnsi="Arial"/>
                <w:sz w:val="15"/>
                <w:szCs w:val="15"/>
                <w:b w:val="1"/>
                <w:bCs w:val="1"/>
                <w:color w:val="auto"/>
              </w:rPr>
              <w:t>(Commission</w:t>
            </w:r>
          </w:p>
        </w:tc>
        <w:tc>
          <w:tcPr>
            <w:tcW w:w="2600" w:type="dxa"/>
            <w:vAlign w:val="bottom"/>
          </w:tcPr>
          <w:p>
            <w:pPr>
              <w:jc w:val="center"/>
              <w:ind w:left="1296"/>
              <w:spacing w:after="0" w:line="157" w:lineRule="exact"/>
              <w:rPr>
                <w:sz w:val="20"/>
                <w:szCs w:val="20"/>
                <w:color w:val="auto"/>
              </w:rPr>
            </w:pPr>
            <w:r>
              <w:rPr>
                <w:rFonts w:ascii="Arial" w:cs="Arial" w:eastAsia="Arial" w:hAnsi="Arial"/>
                <w:sz w:val="15"/>
                <w:szCs w:val="15"/>
                <w:b w:val="1"/>
                <w:bCs w:val="1"/>
                <w:color w:val="auto"/>
                <w:w w:val="95"/>
              </w:rPr>
              <w:t>(IRS Employer</w:t>
            </w:r>
          </w:p>
        </w:tc>
      </w:tr>
      <w:tr>
        <w:trPr>
          <w:trHeight w:val="195"/>
        </w:trPr>
        <w:tc>
          <w:tcPr>
            <w:tcW w:w="4340" w:type="dxa"/>
            <w:vAlign w:val="bottom"/>
          </w:tcPr>
          <w:p>
            <w:pPr>
              <w:jc w:val="center"/>
              <w:ind w:right="2453"/>
              <w:spacing w:after="0"/>
              <w:rPr>
                <w:sz w:val="20"/>
                <w:szCs w:val="20"/>
                <w:color w:val="auto"/>
              </w:rPr>
            </w:pPr>
            <w:r>
              <w:rPr>
                <w:rFonts w:ascii="Arial" w:cs="Arial" w:eastAsia="Arial" w:hAnsi="Arial"/>
                <w:sz w:val="15"/>
                <w:szCs w:val="15"/>
                <w:b w:val="1"/>
                <w:bCs w:val="1"/>
                <w:color w:val="auto"/>
                <w:w w:val="93"/>
              </w:rPr>
              <w:t>of Incorporation)</w:t>
            </w:r>
          </w:p>
        </w:tc>
        <w:tc>
          <w:tcPr>
            <w:tcW w:w="2360" w:type="dxa"/>
            <w:vAlign w:val="bottom"/>
          </w:tcPr>
          <w:p>
            <w:pPr>
              <w:ind w:left="80"/>
              <w:spacing w:after="0"/>
              <w:rPr>
                <w:sz w:val="20"/>
                <w:szCs w:val="20"/>
                <w:color w:val="auto"/>
              </w:rPr>
            </w:pPr>
            <w:r>
              <w:rPr>
                <w:rFonts w:ascii="Arial" w:cs="Arial" w:eastAsia="Arial" w:hAnsi="Arial"/>
                <w:sz w:val="15"/>
                <w:szCs w:val="15"/>
                <w:b w:val="1"/>
                <w:bCs w:val="1"/>
                <w:color w:val="auto"/>
              </w:rPr>
              <w:t>File Number)</w:t>
            </w:r>
          </w:p>
        </w:tc>
        <w:tc>
          <w:tcPr>
            <w:tcW w:w="2600" w:type="dxa"/>
            <w:vAlign w:val="bottom"/>
          </w:tcPr>
          <w:p>
            <w:pPr>
              <w:jc w:val="center"/>
              <w:ind w:left="1316"/>
              <w:spacing w:after="0"/>
              <w:rPr>
                <w:sz w:val="20"/>
                <w:szCs w:val="20"/>
                <w:color w:val="auto"/>
              </w:rPr>
            </w:pPr>
            <w:r>
              <w:rPr>
                <w:rFonts w:ascii="Arial" w:cs="Arial" w:eastAsia="Arial" w:hAnsi="Arial"/>
                <w:sz w:val="15"/>
                <w:szCs w:val="15"/>
                <w:b w:val="1"/>
                <w:bCs w:val="1"/>
                <w:color w:val="auto"/>
                <w:w w:val="94"/>
              </w:rPr>
              <w:t>Identification No.)</w:t>
            </w:r>
          </w:p>
        </w:tc>
      </w:tr>
      <w:tr>
        <w:trPr>
          <w:trHeight w:val="435"/>
        </w:trPr>
        <w:tc>
          <w:tcPr>
            <w:tcW w:w="4340" w:type="dxa"/>
            <w:vAlign w:val="bottom"/>
          </w:tcPr>
          <w:p>
            <w:pPr>
              <w:jc w:val="center"/>
              <w:ind w:left="1213"/>
              <w:spacing w:after="0"/>
              <w:rPr>
                <w:sz w:val="20"/>
                <w:szCs w:val="20"/>
                <w:color w:val="auto"/>
              </w:rPr>
            </w:pPr>
            <w:r>
              <w:rPr>
                <w:rFonts w:ascii="Arial" w:cs="Arial" w:eastAsia="Arial" w:hAnsi="Arial"/>
                <w:sz w:val="19"/>
                <w:szCs w:val="19"/>
                <w:b w:val="1"/>
                <w:bCs w:val="1"/>
                <w:color w:val="auto"/>
                <w:w w:val="90"/>
              </w:rPr>
              <w:t>c/o MagnaChip Semiconductor S.A.</w:t>
            </w:r>
          </w:p>
        </w:tc>
        <w:tc>
          <w:tcPr>
            <w:tcW w:w="23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28"/>
        </w:trPr>
        <w:tc>
          <w:tcPr>
            <w:tcW w:w="4340" w:type="dxa"/>
            <w:vAlign w:val="bottom"/>
          </w:tcPr>
          <w:p>
            <w:pPr>
              <w:jc w:val="center"/>
              <w:ind w:left="1213"/>
              <w:spacing w:after="0"/>
              <w:rPr>
                <w:sz w:val="20"/>
                <w:szCs w:val="20"/>
                <w:color w:val="auto"/>
              </w:rPr>
            </w:pPr>
            <w:r>
              <w:rPr>
                <w:rFonts w:ascii="Arial" w:cs="Arial" w:eastAsia="Arial" w:hAnsi="Arial"/>
                <w:sz w:val="19"/>
                <w:szCs w:val="19"/>
                <w:b w:val="1"/>
                <w:bCs w:val="1"/>
                <w:color w:val="auto"/>
                <w:w w:val="89"/>
              </w:rPr>
              <w:t>1, Allée Scheffer, L-2520</w:t>
            </w:r>
          </w:p>
        </w:tc>
        <w:tc>
          <w:tcPr>
            <w:tcW w:w="236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240"/>
        </w:trPr>
        <w:tc>
          <w:tcPr>
            <w:tcW w:w="6700" w:type="dxa"/>
            <w:vAlign w:val="bottom"/>
            <w:gridSpan w:val="2"/>
          </w:tcPr>
          <w:p>
            <w:pPr>
              <w:jc w:val="center"/>
              <w:ind w:right="978"/>
              <w:spacing w:after="0"/>
              <w:rPr>
                <w:sz w:val="20"/>
                <w:szCs w:val="20"/>
                <w:color w:val="auto"/>
              </w:rPr>
            </w:pPr>
            <w:r>
              <w:rPr>
                <w:rFonts w:ascii="Arial" w:cs="Arial" w:eastAsia="Arial" w:hAnsi="Arial"/>
                <w:sz w:val="19"/>
                <w:szCs w:val="19"/>
                <w:b w:val="1"/>
                <w:bCs w:val="1"/>
                <w:color w:val="auto"/>
                <w:w w:val="91"/>
              </w:rPr>
              <w:t>Luxembourg, Grand Duchy of Luxembourg</w:t>
            </w:r>
          </w:p>
        </w:tc>
        <w:tc>
          <w:tcPr>
            <w:tcW w:w="2600" w:type="dxa"/>
            <w:vAlign w:val="bottom"/>
          </w:tcPr>
          <w:p>
            <w:pPr>
              <w:jc w:val="center"/>
              <w:ind w:left="1296"/>
              <w:spacing w:after="0"/>
              <w:rPr>
                <w:sz w:val="20"/>
                <w:szCs w:val="20"/>
                <w:color w:val="auto"/>
              </w:rPr>
            </w:pPr>
            <w:r>
              <w:rPr>
                <w:rFonts w:ascii="Arial" w:cs="Arial" w:eastAsia="Arial" w:hAnsi="Arial"/>
                <w:sz w:val="19"/>
                <w:szCs w:val="19"/>
                <w:b w:val="1"/>
                <w:bCs w:val="1"/>
                <w:color w:val="auto"/>
                <w:w w:val="91"/>
              </w:rPr>
              <w:t>Not Applicable</w:t>
            </w:r>
          </w:p>
        </w:tc>
      </w:tr>
      <w:tr>
        <w:trPr>
          <w:trHeight w:val="195"/>
        </w:trPr>
        <w:tc>
          <w:tcPr>
            <w:tcW w:w="4340" w:type="dxa"/>
            <w:vAlign w:val="bottom"/>
          </w:tcPr>
          <w:p>
            <w:pPr>
              <w:jc w:val="center"/>
              <w:ind w:left="1213"/>
              <w:spacing w:after="0"/>
              <w:rPr>
                <w:sz w:val="20"/>
                <w:szCs w:val="20"/>
                <w:color w:val="auto"/>
              </w:rPr>
            </w:pPr>
            <w:r>
              <w:rPr>
                <w:rFonts w:ascii="Arial" w:cs="Arial" w:eastAsia="Arial" w:hAnsi="Arial"/>
                <w:sz w:val="15"/>
                <w:szCs w:val="15"/>
                <w:b w:val="1"/>
                <w:bCs w:val="1"/>
                <w:color w:val="auto"/>
                <w:w w:val="91"/>
              </w:rPr>
              <w:t>(Address of Principal Executive Offices)</w:t>
            </w:r>
          </w:p>
        </w:tc>
        <w:tc>
          <w:tcPr>
            <w:tcW w:w="2360" w:type="dxa"/>
            <w:vAlign w:val="bottom"/>
          </w:tcPr>
          <w:p>
            <w:pPr>
              <w:spacing w:after="0"/>
              <w:rPr>
                <w:sz w:val="16"/>
                <w:szCs w:val="16"/>
                <w:color w:val="auto"/>
              </w:rPr>
            </w:pPr>
          </w:p>
        </w:tc>
        <w:tc>
          <w:tcPr>
            <w:tcW w:w="2600" w:type="dxa"/>
            <w:vAlign w:val="bottom"/>
          </w:tcPr>
          <w:p>
            <w:pPr>
              <w:jc w:val="center"/>
              <w:ind w:left="1296"/>
              <w:spacing w:after="0"/>
              <w:rPr>
                <w:sz w:val="20"/>
                <w:szCs w:val="20"/>
                <w:color w:val="auto"/>
              </w:rPr>
            </w:pPr>
            <w:r>
              <w:rPr>
                <w:rFonts w:ascii="Arial" w:cs="Arial" w:eastAsia="Arial" w:hAnsi="Arial"/>
                <w:sz w:val="15"/>
                <w:szCs w:val="15"/>
                <w:b w:val="1"/>
                <w:bCs w:val="1"/>
                <w:color w:val="auto"/>
                <w:w w:val="94"/>
              </w:rPr>
              <w:t>(Zip Code)</w:t>
            </w:r>
          </w:p>
        </w:tc>
      </w:tr>
    </w:tbl>
    <w:p>
      <w:pPr>
        <w:spacing w:after="0" w:line="192" w:lineRule="exact"/>
        <w:rPr>
          <w:sz w:val="24"/>
          <w:szCs w:val="24"/>
          <w:color w:val="auto"/>
        </w:rPr>
      </w:pPr>
    </w:p>
    <w:p>
      <w:pPr>
        <w:jc w:val="center"/>
        <w:ind w:right="-260"/>
        <w:spacing w:after="0"/>
        <w:rPr>
          <w:sz w:val="20"/>
          <w:szCs w:val="20"/>
          <w:color w:val="auto"/>
        </w:rPr>
      </w:pPr>
      <w:r>
        <w:rPr>
          <w:rFonts w:ascii="Arial" w:cs="Arial" w:eastAsia="Arial" w:hAnsi="Arial"/>
          <w:sz w:val="19"/>
          <w:szCs w:val="19"/>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263525</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 w:right="24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38" w:lineRule="exact"/>
        <w:rPr>
          <w:rFonts w:ascii="MS PGothic" w:cs="MS PGothic" w:eastAsia="MS PGothic" w:hAnsi="MS PGothic"/>
          <w:sz w:val="19"/>
          <w:szCs w:val="19"/>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38" w:lineRule="exact"/>
        <w:rPr>
          <w:sz w:val="24"/>
          <w:szCs w:val="24"/>
          <w:color w:val="auto"/>
        </w:rPr>
      </w:pPr>
    </w:p>
    <w:p>
      <w:pPr>
        <w:ind w:left="1"/>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49" w:lineRule="exact"/>
        <w:rPr>
          <w:sz w:val="24"/>
          <w:szCs w:val="24"/>
          <w:color w:val="auto"/>
        </w:rPr>
      </w:pPr>
    </w:p>
    <w:p>
      <w:pPr>
        <w:ind w:left="1"/>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73" w:lineRule="exact"/>
        <w:rPr>
          <w:sz w:val="24"/>
          <w:szCs w:val="24"/>
          <w:color w:val="auto"/>
        </w:rPr>
      </w:pPr>
    </w:p>
    <w:p>
      <w:pPr>
        <w:ind w:left="1" w:right="6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187325</wp:posOffset>
            </wp:positionV>
            <wp:extent cx="7389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381"/>
          </w:cols>
          <w:pgMar w:left="299" w:top="239" w:right="560"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 (e)</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On January 9, 2019 (the “</w:t>
      </w:r>
      <w:r>
        <w:rPr>
          <w:rFonts w:ascii="Arial" w:cs="Arial" w:eastAsia="Arial" w:hAnsi="Arial"/>
          <w:sz w:val="19"/>
          <w:szCs w:val="19"/>
          <w:u w:val="single" w:color="auto"/>
          <w:color w:val="auto"/>
        </w:rPr>
        <w:t>Resignation Date</w:t>
      </w:r>
      <w:r>
        <w:rPr>
          <w:rFonts w:ascii="Arial" w:cs="Arial" w:eastAsia="Arial" w:hAnsi="Arial"/>
          <w:sz w:val="19"/>
          <w:szCs w:val="19"/>
          <w:color w:val="auto"/>
        </w:rPr>
        <w:t>”), effective immediately, Tae Jong Lee resigned as the Executive Vice President and General Manager of the Foundry Services Group of MagnaChip Semiconductor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from all other positions with the Company and its subsidiaries.</w:t>
      </w:r>
    </w:p>
    <w:p>
      <w:pPr>
        <w:spacing w:after="0" w:line="194"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Mr. Lee entered into a separation agreement dated as of January 9, 2019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with the Company and the Company’s Korean subsidiary MagnaChip Semiconductor, Ltd. (“</w:t>
      </w:r>
      <w:r>
        <w:rPr>
          <w:rFonts w:ascii="Arial" w:cs="Arial" w:eastAsia="Arial" w:hAnsi="Arial"/>
          <w:sz w:val="18"/>
          <w:szCs w:val="18"/>
          <w:u w:val="single" w:color="auto"/>
          <w:color w:val="auto"/>
        </w:rPr>
        <w:t>MSK</w:t>
      </w:r>
      <w:r>
        <w:rPr>
          <w:rFonts w:ascii="Arial" w:cs="Arial" w:eastAsia="Arial" w:hAnsi="Arial"/>
          <w:sz w:val="18"/>
          <w:szCs w:val="18"/>
          <w:color w:val="auto"/>
        </w:rPr>
        <w:t>”). The Separation Agreement provides for a separation payment of an aggregate of</w:t>
      </w:r>
    </w:p>
    <w:p>
      <w:pPr>
        <w:spacing w:after="0" w:line="283" w:lineRule="auto"/>
        <w:rPr>
          <w:sz w:val="20"/>
          <w:szCs w:val="20"/>
          <w:color w:val="auto"/>
        </w:rPr>
      </w:pPr>
      <w:r>
        <w:rPr>
          <w:rFonts w:ascii="Arial" w:cs="Arial" w:eastAsia="Arial" w:hAnsi="Arial"/>
          <w:sz w:val="17"/>
          <w:szCs w:val="17"/>
          <w:color w:val="auto"/>
        </w:rPr>
        <w:t>KRW 350,000,000 to be paid in two installments of KRW 175,000,000 each (provided that, if a change of control of the Company occurs within three months of the Resignation Date, the second installment will be KRW 525,000,000) with the first installment to be paid within 14 days of the Resignation Date and the second installment to be paid on the first anniversary of the Resignation Date, with each payment contingent on Mr. Lee’s compliance with the terms and conditions of the Separation Agreement (the “</w:t>
      </w:r>
      <w:r>
        <w:rPr>
          <w:rFonts w:ascii="Arial" w:cs="Arial" w:eastAsia="Arial" w:hAnsi="Arial"/>
          <w:sz w:val="17"/>
          <w:szCs w:val="17"/>
          <w:u w:val="single" w:color="auto"/>
          <w:color w:val="auto"/>
        </w:rPr>
        <w:t>Separation Payment</w:t>
      </w:r>
      <w:r>
        <w:rPr>
          <w:rFonts w:ascii="Arial" w:cs="Arial" w:eastAsia="Arial" w:hAnsi="Arial"/>
          <w:sz w:val="17"/>
          <w:szCs w:val="17"/>
          <w:color w:val="auto"/>
        </w:rPr>
        <w:t>”). The Separation Payment will be made in lieu of the base-salary based cash severance payment under the Severance Agreement, dated November 3, 2015, among Mr. Lee, MSK and the Company (the “</w:t>
      </w:r>
      <w:r>
        <w:rPr>
          <w:rFonts w:ascii="Arial" w:cs="Arial" w:eastAsia="Arial" w:hAnsi="Arial"/>
          <w:sz w:val="17"/>
          <w:szCs w:val="17"/>
          <w:u w:val="single" w:color="auto"/>
          <w:color w:val="auto"/>
        </w:rPr>
        <w:t>Severance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 copy of which has been filed as an exhibit to the Company’s Annual Report on Form 10-K for the fiscal year ended December 31, 2017 filed with the Securities and Exchange Commission on February 22, 2018. All other material terms of the Severance Agreement remain in full force and effect. Under the Separation Agreement, Mr. Lee is additionally: (i) prohibited from owning any equity interest (excluding passive equity interests of not more than five percent), or working or otherwise providing services to, any business anywhere in the world that competes with any of the businesses of the Company for 12 months following his departure, (ii) prohibited from soliciting Company employees, consultants, customers or suppliers for 36 months following his departure, (iii) obligated to keep Company information confidential, and (iv) prohibited from disparaging the Company and its related parties. In connection with the Separation Agreement, Mr. Lee has also entered into a release whereby Mr. Lee will release all claims he may have against the Company, MSK or their respective affiliates, representatives and other related parties in exchange for the Separation Payment and the other applicable severance benefits set forth in the Severance Agreement.</w:t>
      </w:r>
    </w:p>
    <w:p>
      <w:pPr>
        <w:spacing w:after="0" w:line="183" w:lineRule="exact"/>
        <w:rPr>
          <w:sz w:val="20"/>
          <w:szCs w:val="20"/>
          <w:color w:val="auto"/>
        </w:rPr>
      </w:pPr>
    </w:p>
    <w:p>
      <w:pPr>
        <w:ind w:right="300"/>
        <w:spacing w:after="0" w:line="275" w:lineRule="auto"/>
        <w:rPr>
          <w:sz w:val="20"/>
          <w:szCs w:val="20"/>
          <w:color w:val="auto"/>
        </w:rPr>
      </w:pPr>
      <w:r>
        <w:rPr>
          <w:rFonts w:ascii="Arial" w:cs="Arial" w:eastAsia="Arial" w:hAnsi="Arial"/>
          <w:sz w:val="19"/>
          <w:szCs w:val="19"/>
          <w:color w:val="auto"/>
        </w:rPr>
        <w:t>Effective January 9, 2019, Young-Joon Kim, Chief Executive Officer of the Company, will serve as acting General Manager of the Foundry Services Group of the Company.</w:t>
      </w:r>
    </w:p>
    <w:p>
      <w:pPr>
        <w:sectPr>
          <w:pgSz w:w="12240" w:h="15840" w:orient="portrait"/>
          <w:cols w:equalWidth="0" w:num="1">
            <w:col w:w="11620"/>
          </w:cols>
          <w:pgMar w:left="300" w:top="136" w:right="32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w:t>
      </w:r>
    </w:p>
    <w:p>
      <w:pPr>
        <w:spacing w:after="0" w:line="244" w:lineRule="exact"/>
        <w:rPr>
          <w:sz w:val="20"/>
          <w:szCs w:val="20"/>
          <w:color w:val="auto"/>
        </w:rPr>
      </w:pPr>
    </w:p>
    <w:p>
      <w:pPr>
        <w:ind w:firstLine="465"/>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MAGNACHIP SEMICONDUCTOR CORPORATION</w:t>
      </w:r>
    </w:p>
    <w:p>
      <w:pPr>
        <w:spacing w:after="0" w:line="238" w:lineRule="exact"/>
        <w:rPr>
          <w:sz w:val="20"/>
          <w:szCs w:val="20"/>
          <w:color w:val="auto"/>
        </w:rPr>
      </w:pPr>
    </w:p>
    <w:p>
      <w:pPr>
        <w:spacing w:after="0"/>
        <w:tabs>
          <w:tab w:leader="none" w:pos="5980" w:val="left"/>
        </w:tabs>
        <w:rPr>
          <w:sz w:val="20"/>
          <w:szCs w:val="20"/>
          <w:color w:val="auto"/>
        </w:rPr>
      </w:pPr>
      <w:r>
        <w:rPr>
          <w:rFonts w:ascii="Arial" w:cs="Arial" w:eastAsia="Arial" w:hAnsi="Arial"/>
          <w:sz w:val="19"/>
          <w:szCs w:val="19"/>
          <w:color w:val="auto"/>
        </w:rPr>
        <w:t>Dated: January 11, 2019</w:t>
      </w:r>
      <w:r>
        <w:rPr>
          <w:sz w:val="20"/>
          <w:szCs w:val="20"/>
          <w:color w:val="auto"/>
        </w:rPr>
        <w:tab/>
      </w:r>
      <w:r>
        <w:rPr>
          <w:rFonts w:ascii="Arial" w:cs="Arial" w:eastAsia="Arial" w:hAnsi="Arial"/>
          <w:sz w:val="18"/>
          <w:szCs w:val="18"/>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15240</wp:posOffset>
            </wp:positionV>
            <wp:extent cx="3323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3590" cy="8890"/>
                    </a:xfrm>
                    <a:prstGeom prst="rect">
                      <a:avLst/>
                    </a:prstGeom>
                    <a:noFill/>
                  </pic:spPr>
                </pic:pic>
              </a:graphicData>
            </a:graphic>
          </wp:anchor>
        </w:drawing>
      </w:r>
    </w:p>
    <w:p>
      <w:pPr>
        <w:spacing w:after="0" w:line="1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Theodore Kim</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Compliance Officer, Executive Vice President, General</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Counsel and Secretary</w:t>
      </w:r>
    </w:p>
    <w:sectPr>
      <w:pgSz w:w="12240" w:h="15840" w:orient="portrait"/>
      <w:cols w:equalWidth="0" w:num="1">
        <w:col w:w="11320"/>
      </w:cols>
      <w:pgMar w:left="300" w:top="136" w:right="6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2019-12-15T12:21:02Z</dcterms:created>
  <dcterms:modified xsi:type="dcterms:W3CDTF">2019-12-15T12:21:02Z</dcterms:modified>
</cp:coreProperties>
</file>