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6"/>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276860</wp:posOffset>
            </wp:positionH>
            <wp:positionV relativeFrom="page">
              <wp:posOffset>166370</wp:posOffset>
            </wp:positionV>
            <wp:extent cx="699516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page">
              <wp:posOffset>276860</wp:posOffset>
            </wp:positionH>
            <wp:positionV relativeFrom="page">
              <wp:posOffset>208915</wp:posOffset>
            </wp:positionV>
            <wp:extent cx="699516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95160" cy="8255"/>
                    </a:xfrm>
                    <a:prstGeom prst="rect">
                      <a:avLst/>
                    </a:prstGeom>
                    <a:noFill/>
                  </pic:spPr>
                </pic:pic>
              </a:graphicData>
            </a:graphic>
          </wp:anchor>
        </w:drawing>
        <w:t>UNITED STATES</w:t>
      </w:r>
    </w:p>
    <w:p>
      <w:pPr>
        <w:spacing w:after="0" w:line="31" w:lineRule="exact"/>
        <w:rPr>
          <w:sz w:val="24"/>
          <w:szCs w:val="24"/>
          <w:color w:val="auto"/>
        </w:rPr>
      </w:pPr>
    </w:p>
    <w:p>
      <w:pPr>
        <w:jc w:val="center"/>
        <w:ind w:right="16"/>
        <w:spacing w:after="0"/>
        <w:rPr>
          <w:sz w:val="20"/>
          <w:szCs w:val="20"/>
          <w:color w:val="auto"/>
        </w:rPr>
      </w:pPr>
      <w:r>
        <w:rPr>
          <w:rFonts w:ascii="Arial" w:cs="Arial" w:eastAsia="Arial" w:hAnsi="Arial"/>
          <w:sz w:val="32"/>
          <w:szCs w:val="32"/>
          <w:b w:val="1"/>
          <w:bCs w:val="1"/>
          <w:color w:val="auto"/>
        </w:rPr>
        <w:t>SECURITIES AND EXCHANGE COMMISSION</w:t>
      </w:r>
    </w:p>
    <w:p>
      <w:pPr>
        <w:jc w:val="center"/>
        <w:ind w:right="16"/>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210185</wp:posOffset>
            </wp:positionV>
            <wp:extent cx="147447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259" w:lineRule="exact"/>
        <w:rPr>
          <w:sz w:val="24"/>
          <w:szCs w:val="24"/>
          <w:color w:val="auto"/>
        </w:rPr>
      </w:pPr>
    </w:p>
    <w:p>
      <w:pPr>
        <w:jc w:val="center"/>
        <w:ind w:right="16"/>
        <w:spacing w:after="0"/>
        <w:rPr>
          <w:sz w:val="20"/>
          <w:szCs w:val="20"/>
          <w:color w:val="auto"/>
        </w:rPr>
      </w:pPr>
      <w:r>
        <w:rPr>
          <w:rFonts w:ascii="Arial" w:cs="Arial" w:eastAsia="Arial" w:hAnsi="Arial"/>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229870</wp:posOffset>
            </wp:positionV>
            <wp:extent cx="147447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17" w:lineRule="exact"/>
        <w:rPr>
          <w:sz w:val="24"/>
          <w:szCs w:val="24"/>
          <w:color w:val="auto"/>
        </w:rPr>
      </w:pPr>
    </w:p>
    <w:p>
      <w:pPr>
        <w:jc w:val="center"/>
        <w:ind w:right="16"/>
        <w:spacing w:after="0"/>
        <w:rPr>
          <w:sz w:val="20"/>
          <w:szCs w:val="20"/>
          <w:color w:val="auto"/>
        </w:rPr>
      </w:pPr>
      <w:r>
        <w:rPr>
          <w:rFonts w:ascii="Arial" w:cs="Arial" w:eastAsia="Arial" w:hAnsi="Arial"/>
          <w:sz w:val="22"/>
          <w:szCs w:val="22"/>
          <w:b w:val="1"/>
          <w:bCs w:val="1"/>
          <w:color w:val="auto"/>
        </w:rPr>
        <w:t>CURRENT REPORT</w:t>
      </w:r>
    </w:p>
    <w:p>
      <w:pPr>
        <w:spacing w:after="0" w:line="4" w:lineRule="exact"/>
        <w:rPr>
          <w:sz w:val="24"/>
          <w:szCs w:val="24"/>
          <w:color w:val="auto"/>
        </w:rPr>
      </w:pPr>
    </w:p>
    <w:p>
      <w:pPr>
        <w:jc w:val="center"/>
        <w:ind w:right="16"/>
        <w:spacing w:after="0"/>
        <w:rPr>
          <w:sz w:val="20"/>
          <w:szCs w:val="20"/>
          <w:color w:val="auto"/>
        </w:rPr>
      </w:pPr>
      <w:r>
        <w:rPr>
          <w:rFonts w:ascii="Arial" w:cs="Arial" w:eastAsia="Arial" w:hAnsi="Arial"/>
          <w:sz w:val="22"/>
          <w:szCs w:val="22"/>
          <w:b w:val="1"/>
          <w:bCs w:val="1"/>
          <w:color w:val="auto"/>
        </w:rPr>
        <w:t>Pursuant to Section 13 or 15(d)</w:t>
      </w:r>
    </w:p>
    <w:p>
      <w:pPr>
        <w:jc w:val="center"/>
        <w:ind w:right="16"/>
        <w:spacing w:after="0"/>
        <w:rPr>
          <w:sz w:val="20"/>
          <w:szCs w:val="20"/>
          <w:color w:val="auto"/>
        </w:rPr>
      </w:pPr>
      <w:r>
        <w:rPr>
          <w:rFonts w:ascii="Arial" w:cs="Arial" w:eastAsia="Arial" w:hAnsi="Arial"/>
          <w:sz w:val="22"/>
          <w:szCs w:val="22"/>
          <w:b w:val="1"/>
          <w:bCs w:val="1"/>
          <w:color w:val="auto"/>
        </w:rPr>
        <w:t>of the Securities Exchange Act of 1934</w:t>
      </w:r>
    </w:p>
    <w:p>
      <w:pPr>
        <w:spacing w:after="0" w:line="142" w:lineRule="exact"/>
        <w:rPr>
          <w:sz w:val="24"/>
          <w:szCs w:val="24"/>
          <w:color w:val="auto"/>
        </w:rPr>
      </w:pPr>
    </w:p>
    <w:p>
      <w:pPr>
        <w:jc w:val="center"/>
        <w:ind w:right="16"/>
        <w:spacing w:after="0"/>
        <w:rPr>
          <w:sz w:val="20"/>
          <w:szCs w:val="20"/>
          <w:color w:val="auto"/>
        </w:rPr>
      </w:pPr>
      <w:r>
        <w:rPr>
          <w:rFonts w:ascii="Arial" w:cs="Arial" w:eastAsia="Arial" w:hAnsi="Arial"/>
          <w:sz w:val="22"/>
          <w:szCs w:val="22"/>
          <w:b w:val="1"/>
          <w:bCs w:val="1"/>
          <w:color w:val="auto"/>
        </w:rPr>
        <w:t>Date of report (Date of earliest event reported): August 8, 2022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216535</wp:posOffset>
            </wp:positionV>
            <wp:extent cx="147447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281" w:lineRule="exact"/>
        <w:rPr>
          <w:sz w:val="24"/>
          <w:szCs w:val="24"/>
          <w:color w:val="auto"/>
        </w:rPr>
      </w:pPr>
    </w:p>
    <w:p>
      <w:pPr>
        <w:jc w:val="center"/>
        <w:ind w:right="16"/>
        <w:spacing w:after="0"/>
        <w:rPr>
          <w:sz w:val="20"/>
          <w:szCs w:val="20"/>
          <w:color w:val="auto"/>
        </w:rPr>
      </w:pPr>
      <w:r>
        <w:rPr>
          <w:rFonts w:ascii="Arial" w:cs="Arial" w:eastAsia="Arial" w:hAnsi="Arial"/>
          <w:sz w:val="39"/>
          <w:szCs w:val="39"/>
          <w:b w:val="1"/>
          <w:bCs w:val="1"/>
          <w:color w:val="auto"/>
        </w:rPr>
        <w:t>Magnachip Semiconductor Corporation</w:t>
      </w:r>
    </w:p>
    <w:p>
      <w:pPr>
        <w:spacing w:after="0" w:line="96" w:lineRule="exact"/>
        <w:rPr>
          <w:sz w:val="24"/>
          <w:szCs w:val="24"/>
          <w:color w:val="auto"/>
        </w:rPr>
      </w:pPr>
    </w:p>
    <w:p>
      <w:pPr>
        <w:jc w:val="center"/>
        <w:ind w:right="16"/>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210185</wp:posOffset>
            </wp:positionV>
            <wp:extent cx="147447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ectPr>
          <w:pgSz w:w="11900" w:h="16838" w:orient="portrait"/>
          <w:cols w:equalWidth="0" w:num="1">
            <w:col w:w="11024"/>
          </w:cols>
          <w:pgMar w:left="436" w:top="368" w:right="439" w:bottom="1440" w:gutter="0" w:footer="0" w:header="0"/>
        </w:sectPr>
      </w:pPr>
    </w:p>
    <w:p>
      <w:pPr>
        <w:spacing w:after="0" w:line="200" w:lineRule="exact"/>
        <w:rPr>
          <w:sz w:val="24"/>
          <w:szCs w:val="24"/>
          <w:color w:val="auto"/>
        </w:rPr>
      </w:pPr>
    </w:p>
    <w:p>
      <w:pPr>
        <w:spacing w:after="0" w:line="383" w:lineRule="exact"/>
        <w:rPr>
          <w:sz w:val="24"/>
          <w:szCs w:val="24"/>
          <w:color w:val="auto"/>
        </w:rPr>
      </w:pPr>
    </w:p>
    <w:p>
      <w:pPr>
        <w:ind w:left="1504"/>
        <w:spacing w:after="0"/>
        <w:rPr>
          <w:sz w:val="20"/>
          <w:szCs w:val="20"/>
          <w:color w:val="auto"/>
        </w:rPr>
      </w:pPr>
      <w:r>
        <w:rPr>
          <w:rFonts w:ascii="Arial" w:cs="Arial" w:eastAsia="Arial" w:hAnsi="Arial"/>
          <w:sz w:val="16"/>
          <w:szCs w:val="16"/>
          <w:b w:val="1"/>
          <w:bCs w:val="1"/>
          <w:color w:val="auto"/>
        </w:rPr>
        <w:t>Delaware</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363" w:lineRule="exact"/>
        <w:rPr>
          <w:sz w:val="24"/>
          <w:szCs w:val="24"/>
          <w:color w:val="auto"/>
        </w:rPr>
      </w:pPr>
    </w:p>
    <w:p>
      <w:pPr>
        <w:jc w:val="center"/>
        <w:ind w:right="2100"/>
        <w:spacing w:after="0"/>
        <w:rPr>
          <w:sz w:val="20"/>
          <w:szCs w:val="20"/>
          <w:color w:val="auto"/>
        </w:rPr>
      </w:pPr>
      <w:r>
        <w:rPr>
          <w:rFonts w:ascii="Arial" w:cs="Arial" w:eastAsia="Arial" w:hAnsi="Arial"/>
          <w:sz w:val="16"/>
          <w:szCs w:val="16"/>
          <w:b w:val="1"/>
          <w:bCs w:val="1"/>
          <w:color w:val="auto"/>
        </w:rPr>
        <w:t>001-34791</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363" w:lineRule="exact"/>
        <w:rPr>
          <w:sz w:val="24"/>
          <w:szCs w:val="24"/>
          <w:color w:val="auto"/>
        </w:rPr>
      </w:pPr>
    </w:p>
    <w:p>
      <w:pPr>
        <w:spacing w:after="0"/>
        <w:rPr>
          <w:sz w:val="20"/>
          <w:szCs w:val="20"/>
          <w:color w:val="auto"/>
        </w:rPr>
      </w:pPr>
      <w:r>
        <w:rPr>
          <w:rFonts w:ascii="Arial" w:cs="Arial" w:eastAsia="Arial" w:hAnsi="Arial"/>
          <w:sz w:val="16"/>
          <w:szCs w:val="16"/>
          <w:b w:val="1"/>
          <w:bCs w:val="1"/>
          <w:color w:val="auto"/>
        </w:rPr>
        <w:t>83-0406195</w:t>
      </w:r>
    </w:p>
    <w:p>
      <w:pPr>
        <w:spacing w:after="0" w:line="31" w:lineRule="exact"/>
        <w:rPr>
          <w:sz w:val="24"/>
          <w:szCs w:val="24"/>
          <w:color w:val="auto"/>
        </w:rPr>
      </w:pPr>
    </w:p>
    <w:p>
      <w:pPr>
        <w:sectPr>
          <w:pgSz w:w="11900" w:h="16838" w:orient="portrait"/>
          <w:cols w:equalWidth="0" w:num="3">
            <w:col w:w="4504" w:space="720"/>
            <w:col w:w="2880" w:space="720"/>
            <w:col w:w="2200"/>
          </w:cols>
          <w:pgMar w:left="436" w:top="368" w:right="439" w:bottom="1440" w:gutter="0" w:footer="0" w:header="0"/>
          <w:type w:val="continuous"/>
        </w:sectPr>
      </w:pPr>
    </w:p>
    <w:p>
      <w:pPr>
        <w:spacing w:after="0" w:line="12" w:lineRule="exact"/>
        <w:rPr>
          <w:sz w:val="24"/>
          <w:szCs w:val="24"/>
          <w:color w:val="auto"/>
        </w:rPr>
      </w:pPr>
    </w:p>
    <w:p>
      <w:pPr>
        <w:jc w:val="center"/>
        <w:ind w:right="736"/>
        <w:spacing w:after="0"/>
        <w:rPr>
          <w:sz w:val="20"/>
          <w:szCs w:val="20"/>
          <w:color w:val="auto"/>
        </w:rPr>
      </w:pPr>
      <w:r>
        <w:rPr>
          <w:rFonts w:ascii="Arial" w:cs="Arial" w:eastAsia="Arial" w:hAnsi="Arial"/>
          <w:sz w:val="13"/>
          <w:szCs w:val="13"/>
          <w:b w:val="1"/>
          <w:bCs w:val="1"/>
          <w:color w:val="auto"/>
        </w:rPr>
        <w:t>(State or Other Jurisdiction</w:t>
      </w:r>
    </w:p>
    <w:p>
      <w:pPr>
        <w:jc w:val="center"/>
        <w:ind w:right="736"/>
        <w:spacing w:after="0"/>
        <w:rPr>
          <w:sz w:val="20"/>
          <w:szCs w:val="20"/>
          <w:color w:val="auto"/>
        </w:rPr>
      </w:pPr>
      <w:r>
        <w:rPr>
          <w:rFonts w:ascii="Arial" w:cs="Arial" w:eastAsia="Arial" w:hAnsi="Arial"/>
          <w:sz w:val="14"/>
          <w:szCs w:val="14"/>
          <w:b w:val="1"/>
          <w:bCs w:val="1"/>
          <w:color w:val="auto"/>
        </w:rPr>
        <w:t>of Incorporation)</w:t>
      </w:r>
    </w:p>
    <w:p>
      <w:pPr>
        <w:spacing w:after="0" w:line="20" w:lineRule="exact"/>
        <w:rPr>
          <w:sz w:val="24"/>
          <w:szCs w:val="24"/>
          <w:color w:val="auto"/>
        </w:rPr>
      </w:pPr>
      <w:r>
        <w:rPr>
          <w:sz w:val="24"/>
          <w:szCs w:val="24"/>
          <w:color w:val="auto"/>
        </w:rPr>
        <w:br w:type="column"/>
      </w:r>
    </w:p>
    <w:p>
      <w:pPr>
        <w:ind w:left="20"/>
        <w:spacing w:after="0"/>
        <w:rPr>
          <w:sz w:val="20"/>
          <w:szCs w:val="20"/>
          <w:color w:val="auto"/>
        </w:rPr>
      </w:pPr>
      <w:r>
        <w:rPr>
          <w:rFonts w:ascii="Arial" w:cs="Arial" w:eastAsia="Arial" w:hAnsi="Arial"/>
          <w:sz w:val="12"/>
          <w:szCs w:val="12"/>
          <w:b w:val="1"/>
          <w:bCs w:val="1"/>
          <w:color w:val="auto"/>
        </w:rPr>
        <w:t>(Commission</w:t>
      </w:r>
    </w:p>
    <w:p>
      <w:pPr>
        <w:spacing w:after="0" w:line="4" w:lineRule="exact"/>
        <w:rPr>
          <w:sz w:val="24"/>
          <w:szCs w:val="24"/>
          <w:color w:val="auto"/>
        </w:rPr>
      </w:pPr>
    </w:p>
    <w:p>
      <w:pPr>
        <w:spacing w:after="0"/>
        <w:rPr>
          <w:sz w:val="20"/>
          <w:szCs w:val="20"/>
          <w:color w:val="auto"/>
        </w:rPr>
      </w:pPr>
      <w:r>
        <w:rPr>
          <w:rFonts w:ascii="Arial" w:cs="Arial" w:eastAsia="Arial" w:hAnsi="Arial"/>
          <w:sz w:val="13"/>
          <w:szCs w:val="13"/>
          <w:b w:val="1"/>
          <w:bCs w:val="1"/>
          <w:color w:val="auto"/>
        </w:rPr>
        <w:t>File Number)</w:t>
      </w:r>
    </w:p>
    <w:p>
      <w:pPr>
        <w:spacing w:after="0" w:line="20" w:lineRule="exact"/>
        <w:rPr>
          <w:sz w:val="24"/>
          <w:szCs w:val="24"/>
          <w:color w:val="auto"/>
        </w:rPr>
      </w:pPr>
      <w:r>
        <w:rPr>
          <w:sz w:val="24"/>
          <w:szCs w:val="24"/>
          <w:color w:val="auto"/>
        </w:rPr>
        <w:br w:type="column"/>
      </w:r>
    </w:p>
    <w:p>
      <w:pPr>
        <w:jc w:val="center"/>
        <w:ind w:right="1200"/>
        <w:spacing w:after="0"/>
        <w:rPr>
          <w:sz w:val="20"/>
          <w:szCs w:val="20"/>
          <w:color w:val="auto"/>
        </w:rPr>
      </w:pPr>
      <w:r>
        <w:rPr>
          <w:rFonts w:ascii="Arial" w:cs="Arial" w:eastAsia="Arial" w:hAnsi="Arial"/>
          <w:sz w:val="14"/>
          <w:szCs w:val="14"/>
          <w:b w:val="1"/>
          <w:bCs w:val="1"/>
          <w:color w:val="auto"/>
        </w:rPr>
        <w:t>(IRS Employer</w:t>
      </w:r>
    </w:p>
    <w:p>
      <w:pPr>
        <w:jc w:val="center"/>
        <w:ind w:right="1200"/>
        <w:spacing w:after="0"/>
        <w:rPr>
          <w:sz w:val="20"/>
          <w:szCs w:val="20"/>
          <w:color w:val="auto"/>
        </w:rPr>
      </w:pPr>
      <w:r>
        <w:rPr>
          <w:rFonts w:ascii="Arial" w:cs="Arial" w:eastAsia="Arial" w:hAnsi="Arial"/>
          <w:sz w:val="13"/>
          <w:szCs w:val="13"/>
          <w:b w:val="1"/>
          <w:bCs w:val="1"/>
          <w:color w:val="auto"/>
        </w:rPr>
        <w:t>Identification No.)</w:t>
      </w:r>
    </w:p>
    <w:p>
      <w:pPr>
        <w:spacing w:after="0" w:line="211" w:lineRule="exact"/>
        <w:rPr>
          <w:sz w:val="24"/>
          <w:szCs w:val="24"/>
          <w:color w:val="auto"/>
        </w:rPr>
      </w:pPr>
    </w:p>
    <w:p>
      <w:pPr>
        <w:sectPr>
          <w:pgSz w:w="11900" w:h="16838" w:orient="portrait"/>
          <w:cols w:equalWidth="0" w:num="3">
            <w:col w:w="4484" w:space="720"/>
            <w:col w:w="2760" w:space="720"/>
            <w:col w:w="2340"/>
          </w:cols>
          <w:pgMar w:left="436" w:top="368" w:right="439" w:bottom="1440" w:gutter="0" w:footer="0" w:header="0"/>
          <w:type w:val="continuous"/>
        </w:sectPr>
      </w:pPr>
    </w:p>
    <w:p>
      <w:pPr>
        <w:spacing w:after="0" w:line="5" w:lineRule="exact"/>
        <w:rPr>
          <w:sz w:val="24"/>
          <w:szCs w:val="24"/>
          <w:color w:val="auto"/>
        </w:rPr>
      </w:pPr>
    </w:p>
    <w:p>
      <w:pPr>
        <w:jc w:val="center"/>
        <w:ind w:right="1476"/>
        <w:spacing w:after="0"/>
        <w:rPr>
          <w:sz w:val="20"/>
          <w:szCs w:val="20"/>
          <w:color w:val="auto"/>
        </w:rPr>
      </w:pPr>
      <w:r>
        <w:rPr>
          <w:rFonts w:ascii="Arial" w:cs="Arial" w:eastAsia="Arial" w:hAnsi="Arial"/>
          <w:sz w:val="18"/>
          <w:szCs w:val="18"/>
          <w:b w:val="1"/>
          <w:bCs w:val="1"/>
          <w:color w:val="auto"/>
        </w:rPr>
        <w:t>c/o MagnaChip Semiconductor S.A.</w:t>
      </w:r>
    </w:p>
    <w:p>
      <w:pPr>
        <w:spacing w:after="0" w:line="27" w:lineRule="exact"/>
        <w:rPr>
          <w:sz w:val="24"/>
          <w:szCs w:val="24"/>
          <w:color w:val="auto"/>
        </w:rPr>
      </w:pPr>
    </w:p>
    <w:p>
      <w:pPr>
        <w:jc w:val="center"/>
        <w:ind w:right="1476"/>
        <w:spacing w:after="0"/>
        <w:rPr>
          <w:sz w:val="20"/>
          <w:szCs w:val="20"/>
          <w:color w:val="auto"/>
        </w:rPr>
      </w:pPr>
      <w:r>
        <w:rPr>
          <w:rFonts w:ascii="Arial" w:cs="Arial" w:eastAsia="Arial" w:hAnsi="Arial"/>
          <w:sz w:val="18"/>
          <w:szCs w:val="18"/>
          <w:b w:val="1"/>
          <w:bCs w:val="1"/>
          <w:color w:val="auto"/>
        </w:rPr>
        <w:t>1, Allée Scheffer, L-2520</w:t>
      </w:r>
    </w:p>
    <w:p>
      <w:pPr>
        <w:spacing w:after="0" w:line="9" w:lineRule="exact"/>
        <w:rPr>
          <w:sz w:val="24"/>
          <w:szCs w:val="24"/>
          <w:color w:val="auto"/>
        </w:rPr>
      </w:pPr>
    </w:p>
    <w:p>
      <w:pPr>
        <w:jc w:val="center"/>
        <w:ind w:right="1476"/>
        <w:spacing w:after="0"/>
        <w:rPr>
          <w:sz w:val="20"/>
          <w:szCs w:val="20"/>
          <w:color w:val="auto"/>
        </w:rPr>
      </w:pPr>
      <w:r>
        <w:rPr>
          <w:rFonts w:ascii="Arial" w:cs="Arial" w:eastAsia="Arial" w:hAnsi="Arial"/>
          <w:sz w:val="16"/>
          <w:szCs w:val="16"/>
          <w:b w:val="1"/>
          <w:bCs w:val="1"/>
          <w:color w:val="auto"/>
        </w:rPr>
        <w:t>Luxembourg , Grand Duchy of Luxembourg</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31" w:lineRule="exact"/>
        <w:rPr>
          <w:sz w:val="24"/>
          <w:szCs w:val="24"/>
          <w:color w:val="auto"/>
        </w:rPr>
      </w:pPr>
    </w:p>
    <w:p>
      <w:pPr>
        <w:spacing w:after="0"/>
        <w:rPr>
          <w:sz w:val="20"/>
          <w:szCs w:val="20"/>
          <w:color w:val="auto"/>
        </w:rPr>
      </w:pPr>
      <w:r>
        <w:rPr>
          <w:rFonts w:ascii="Arial" w:cs="Arial" w:eastAsia="Arial" w:hAnsi="Arial"/>
          <w:sz w:val="16"/>
          <w:szCs w:val="16"/>
          <w:b w:val="1"/>
          <w:bCs w:val="1"/>
          <w:color w:val="auto"/>
        </w:rPr>
        <w:t>Not Applicable</w:t>
      </w:r>
    </w:p>
    <w:p>
      <w:pPr>
        <w:spacing w:after="0" w:line="50" w:lineRule="exact"/>
        <w:rPr>
          <w:sz w:val="24"/>
          <w:szCs w:val="24"/>
          <w:color w:val="auto"/>
        </w:rPr>
      </w:pPr>
    </w:p>
    <w:p>
      <w:pPr>
        <w:sectPr>
          <w:pgSz w:w="11900" w:h="16838" w:orient="portrait"/>
          <w:cols w:equalWidth="0" w:num="2">
            <w:col w:w="7044" w:space="720"/>
            <w:col w:w="3260"/>
          </w:cols>
          <w:pgMar w:left="436" w:top="368" w:right="439" w:bottom="1440" w:gutter="0" w:footer="0" w:header="0"/>
          <w:type w:val="continuous"/>
        </w:sectPr>
      </w:pPr>
    </w:p>
    <w:p>
      <w:pPr>
        <w:ind w:left="1544"/>
        <w:spacing w:after="0"/>
        <w:rPr>
          <w:sz w:val="20"/>
          <w:szCs w:val="20"/>
          <w:color w:val="auto"/>
        </w:rPr>
      </w:pPr>
      <w:r>
        <w:rPr>
          <w:rFonts w:ascii="Arial" w:cs="Arial" w:eastAsia="Arial" w:hAnsi="Arial"/>
          <w:sz w:val="12"/>
          <w:szCs w:val="12"/>
          <w:b w:val="1"/>
          <w:bCs w:val="1"/>
          <w:color w:val="auto"/>
        </w:rPr>
        <w:t>(Address of Principal Executive Offices)</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b w:val="1"/>
          <w:bCs w:val="1"/>
          <w:color w:val="auto"/>
        </w:rPr>
        <w:t>(Zip Code)</w:t>
      </w:r>
    </w:p>
    <w:p>
      <w:pPr>
        <w:spacing w:after="0" w:line="156" w:lineRule="exact"/>
        <w:rPr>
          <w:sz w:val="24"/>
          <w:szCs w:val="24"/>
          <w:color w:val="auto"/>
        </w:rPr>
      </w:pPr>
    </w:p>
    <w:p>
      <w:pPr>
        <w:sectPr>
          <w:pgSz w:w="11900" w:h="16838" w:orient="portrait"/>
          <w:cols w:equalWidth="0" w:num="2">
            <w:col w:w="7284" w:space="720"/>
            <w:col w:w="3020"/>
          </w:cols>
          <w:pgMar w:left="436" w:top="368" w:right="439" w:bottom="1440" w:gutter="0" w:footer="0" w:header="0"/>
          <w:type w:val="continuous"/>
        </w:sectPr>
      </w:pPr>
    </w:p>
    <w:p>
      <w:pPr>
        <w:jc w:val="center"/>
        <w:ind w:right="-3"/>
        <w:spacing w:after="0"/>
        <w:rPr>
          <w:sz w:val="20"/>
          <w:szCs w:val="20"/>
          <w:color w:val="auto"/>
        </w:rPr>
      </w:pPr>
      <w:r>
        <w:rPr>
          <w:rFonts w:ascii="Arial" w:cs="Arial" w:eastAsia="Arial" w:hAnsi="Arial"/>
          <w:sz w:val="18"/>
          <w:szCs w:val="18"/>
          <w:b w:val="1"/>
          <w:bCs w:val="1"/>
          <w:color w:val="auto"/>
        </w:rPr>
        <w:t>Registrant’s telephone number, including area code: (352) 45-62-62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222885</wp:posOffset>
            </wp:positionV>
            <wp:extent cx="147447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20" w:lineRule="exact"/>
        <w:rPr>
          <w:sz w:val="24"/>
          <w:szCs w:val="24"/>
          <w:color w:val="auto"/>
        </w:rPr>
      </w:pPr>
    </w:p>
    <w:p>
      <w:pPr>
        <w:ind w:left="4" w:right="480"/>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76" w:lineRule="exact"/>
        <w:rPr>
          <w:sz w:val="24"/>
          <w:szCs w:val="24"/>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130" w:lineRule="exact"/>
        <w:rPr>
          <w:rFonts w:ascii="MS PGothic" w:cs="MS PGothic" w:eastAsia="MS PGothic" w:hAnsi="MS PGothic"/>
          <w:sz w:val="18"/>
          <w:szCs w:val="18"/>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130" w:lineRule="exact"/>
        <w:rPr>
          <w:rFonts w:ascii="MS PGothic" w:cs="MS PGothic" w:eastAsia="MS PGothic" w:hAnsi="MS PGothic"/>
          <w:sz w:val="18"/>
          <w:szCs w:val="18"/>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130" w:lineRule="exact"/>
        <w:rPr>
          <w:rFonts w:ascii="MS PGothic" w:cs="MS PGothic" w:eastAsia="MS PGothic" w:hAnsi="MS PGothic"/>
          <w:sz w:val="18"/>
          <w:szCs w:val="18"/>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185" w:lineRule="exact"/>
        <w:rPr>
          <w:sz w:val="24"/>
          <w:szCs w:val="24"/>
          <w:color w:val="auto"/>
        </w:rPr>
      </w:pPr>
    </w:p>
    <w:p>
      <w:pPr>
        <w:ind w:left="4"/>
        <w:spacing w:after="0"/>
        <w:rPr>
          <w:sz w:val="20"/>
          <w:szCs w:val="20"/>
          <w:color w:val="auto"/>
        </w:rPr>
      </w:pPr>
      <w:r>
        <w:rPr>
          <w:rFonts w:ascii="Arial" w:cs="Arial" w:eastAsia="Arial" w:hAnsi="Arial"/>
          <w:sz w:val="18"/>
          <w:szCs w:val="18"/>
          <w:color w:val="auto"/>
        </w:rPr>
        <w:t>Securities registered pursuant to Section 12(b) of the Act:</w:t>
      </w:r>
    </w:p>
    <w:p>
      <w:pPr>
        <w:spacing w:after="0" w:line="204" w:lineRule="exact"/>
        <w:rPr>
          <w:sz w:val="24"/>
          <w:szCs w:val="24"/>
          <w:color w:val="auto"/>
        </w:rPr>
      </w:pPr>
    </w:p>
    <w:tbl>
      <w:tblPr>
        <w:tblLayout w:type="fixed"/>
        <w:tblInd w:w="4" w:type="dxa"/>
        <w:tblCellMar>
          <w:top w:w="0" w:type="dxa"/>
          <w:left w:w="0" w:type="dxa"/>
          <w:bottom w:w="0" w:type="dxa"/>
          <w:right w:w="0" w:type="dxa"/>
        </w:tblCellMar>
      </w:tblPr>
      <w:tr>
        <w:trPr>
          <w:trHeight w:val="161"/>
        </w:trPr>
        <w:tc>
          <w:tcPr>
            <w:tcW w:w="3860" w:type="dxa"/>
            <w:vAlign w:val="bottom"/>
            <w:gridSpan w:val="2"/>
            <w:vMerge w:val="restart"/>
          </w:tcPr>
          <w:p>
            <w:pPr>
              <w:jc w:val="center"/>
              <w:ind w:right="140"/>
              <w:spacing w:after="0"/>
              <w:rPr>
                <w:sz w:val="20"/>
                <w:szCs w:val="20"/>
                <w:color w:val="auto"/>
              </w:rPr>
            </w:pPr>
            <w:r>
              <w:rPr>
                <w:rFonts w:ascii="Arial" w:cs="Arial" w:eastAsia="Arial" w:hAnsi="Arial"/>
                <w:sz w:val="14"/>
                <w:szCs w:val="14"/>
                <w:b w:val="1"/>
                <w:bCs w:val="1"/>
                <w:color w:val="auto"/>
                <w:w w:val="89"/>
              </w:rPr>
              <w:t>Title of each class</w:t>
            </w:r>
          </w:p>
        </w:tc>
        <w:tc>
          <w:tcPr>
            <w:tcW w:w="362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3"/>
              </w:rPr>
              <w:t>Trading</w:t>
            </w:r>
          </w:p>
        </w:tc>
        <w:tc>
          <w:tcPr>
            <w:tcW w:w="3540" w:type="dxa"/>
            <w:vAlign w:val="bottom"/>
          </w:tcPr>
          <w:p>
            <w:pPr>
              <w:jc w:val="center"/>
              <w:spacing w:after="0"/>
              <w:rPr>
                <w:sz w:val="20"/>
                <w:szCs w:val="20"/>
                <w:color w:val="auto"/>
              </w:rPr>
            </w:pPr>
            <w:r>
              <w:rPr>
                <w:rFonts w:ascii="Arial" w:cs="Arial" w:eastAsia="Arial" w:hAnsi="Arial"/>
                <w:sz w:val="14"/>
                <w:szCs w:val="14"/>
                <w:b w:val="1"/>
                <w:bCs w:val="1"/>
                <w:color w:val="auto"/>
                <w:w w:val="88"/>
              </w:rPr>
              <w:t>Name of each exchange</w:t>
            </w:r>
          </w:p>
        </w:tc>
        <w:tc>
          <w:tcPr>
            <w:tcW w:w="0" w:type="dxa"/>
            <w:vAlign w:val="bottom"/>
          </w:tcPr>
          <w:p>
            <w:pPr>
              <w:spacing w:after="0"/>
              <w:rPr>
                <w:sz w:val="1"/>
                <w:szCs w:val="1"/>
                <w:color w:val="auto"/>
              </w:rPr>
            </w:pPr>
          </w:p>
        </w:tc>
      </w:tr>
      <w:tr>
        <w:trPr>
          <w:trHeight w:val="185"/>
        </w:trPr>
        <w:tc>
          <w:tcPr>
            <w:tcW w:w="3860" w:type="dxa"/>
            <w:vAlign w:val="bottom"/>
            <w:gridSpan w:val="2"/>
            <w:vMerge w:val="continue"/>
          </w:tcPr>
          <w:p>
            <w:pPr>
              <w:spacing w:after="0"/>
              <w:rPr>
                <w:sz w:val="16"/>
                <w:szCs w:val="16"/>
                <w:color w:val="auto"/>
              </w:rPr>
            </w:pPr>
          </w:p>
        </w:tc>
        <w:tc>
          <w:tcPr>
            <w:tcW w:w="362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4"/>
              </w:rPr>
              <w:t>Symbol</w:t>
            </w:r>
          </w:p>
        </w:tc>
        <w:tc>
          <w:tcPr>
            <w:tcW w:w="3540" w:type="dxa"/>
            <w:vAlign w:val="bottom"/>
          </w:tcPr>
          <w:p>
            <w:pPr>
              <w:jc w:val="center"/>
              <w:spacing w:after="0"/>
              <w:rPr>
                <w:sz w:val="20"/>
                <w:szCs w:val="20"/>
                <w:color w:val="auto"/>
              </w:rPr>
            </w:pPr>
            <w:r>
              <w:rPr>
                <w:rFonts w:ascii="Arial" w:cs="Arial" w:eastAsia="Arial" w:hAnsi="Arial"/>
                <w:sz w:val="14"/>
                <w:szCs w:val="14"/>
                <w:b w:val="1"/>
                <w:bCs w:val="1"/>
                <w:color w:val="auto"/>
                <w:w w:val="92"/>
              </w:rPr>
              <w:t>on which registered</w:t>
            </w:r>
          </w:p>
        </w:tc>
        <w:tc>
          <w:tcPr>
            <w:tcW w:w="0" w:type="dxa"/>
            <w:vAlign w:val="bottom"/>
          </w:tcPr>
          <w:p>
            <w:pPr>
              <w:spacing w:after="0"/>
              <w:rPr>
                <w:sz w:val="1"/>
                <w:szCs w:val="1"/>
                <w:color w:val="auto"/>
              </w:rPr>
            </w:pPr>
          </w:p>
        </w:tc>
      </w:tr>
      <w:tr>
        <w:trPr>
          <w:trHeight w:val="191"/>
        </w:trPr>
        <w:tc>
          <w:tcPr>
            <w:tcW w:w="3740" w:type="dxa"/>
            <w:vAlign w:val="bottom"/>
            <w:tcBorders>
              <w:top w:val="single" w:sz="8" w:color="auto"/>
            </w:tcBorders>
          </w:tcPr>
          <w:p>
            <w:pPr>
              <w:jc w:val="center"/>
              <w:spacing w:after="0" w:line="191" w:lineRule="exact"/>
              <w:rPr>
                <w:sz w:val="20"/>
                <w:szCs w:val="20"/>
                <w:color w:val="auto"/>
              </w:rPr>
            </w:pPr>
            <w:r>
              <w:rPr>
                <w:rFonts w:ascii="Arial" w:cs="Arial" w:eastAsia="Arial" w:hAnsi="Arial"/>
                <w:sz w:val="18"/>
                <w:szCs w:val="18"/>
                <w:b w:val="1"/>
                <w:bCs w:val="1"/>
                <w:color w:val="auto"/>
                <w:w w:val="90"/>
              </w:rPr>
              <w:t>Common Stock, par value $0.01 per share</w:t>
            </w:r>
          </w:p>
        </w:tc>
        <w:tc>
          <w:tcPr>
            <w:tcW w:w="120" w:type="dxa"/>
            <w:vAlign w:val="bottom"/>
          </w:tcPr>
          <w:p>
            <w:pPr>
              <w:spacing w:after="0"/>
              <w:rPr>
                <w:sz w:val="16"/>
                <w:szCs w:val="16"/>
                <w:color w:val="auto"/>
              </w:rPr>
            </w:pPr>
          </w:p>
        </w:tc>
        <w:tc>
          <w:tcPr>
            <w:tcW w:w="3520" w:type="dxa"/>
            <w:vAlign w:val="bottom"/>
            <w:tcBorders>
              <w:top w:val="single" w:sz="8" w:color="auto"/>
            </w:tcBorders>
          </w:tcPr>
          <w:p>
            <w:pPr>
              <w:jc w:val="center"/>
              <w:spacing w:after="0" w:line="191" w:lineRule="exact"/>
              <w:rPr>
                <w:sz w:val="20"/>
                <w:szCs w:val="20"/>
                <w:color w:val="auto"/>
              </w:rPr>
            </w:pPr>
            <w:r>
              <w:rPr>
                <w:rFonts w:ascii="Arial" w:cs="Arial" w:eastAsia="Arial" w:hAnsi="Arial"/>
                <w:sz w:val="18"/>
                <w:szCs w:val="18"/>
                <w:b w:val="1"/>
                <w:bCs w:val="1"/>
                <w:color w:val="auto"/>
              </w:rPr>
              <w:t>MX</w:t>
            </w:r>
          </w:p>
        </w:tc>
        <w:tc>
          <w:tcPr>
            <w:tcW w:w="100" w:type="dxa"/>
            <w:vAlign w:val="bottom"/>
          </w:tcPr>
          <w:p>
            <w:pPr>
              <w:spacing w:after="0"/>
              <w:rPr>
                <w:sz w:val="16"/>
                <w:szCs w:val="16"/>
                <w:color w:val="auto"/>
              </w:rPr>
            </w:pPr>
          </w:p>
        </w:tc>
        <w:tc>
          <w:tcPr>
            <w:tcW w:w="3540" w:type="dxa"/>
            <w:vAlign w:val="bottom"/>
            <w:tcBorders>
              <w:top w:val="single" w:sz="8" w:color="auto"/>
            </w:tcBorders>
          </w:tcPr>
          <w:p>
            <w:pPr>
              <w:jc w:val="center"/>
              <w:spacing w:after="0" w:line="191" w:lineRule="exact"/>
              <w:rPr>
                <w:sz w:val="20"/>
                <w:szCs w:val="20"/>
                <w:color w:val="auto"/>
              </w:rPr>
            </w:pPr>
            <w:r>
              <w:rPr>
                <w:rFonts w:ascii="Arial" w:cs="Arial" w:eastAsia="Arial" w:hAnsi="Arial"/>
                <w:sz w:val="18"/>
                <w:szCs w:val="18"/>
                <w:b w:val="1"/>
                <w:bCs w:val="1"/>
                <w:color w:val="auto"/>
                <w:w w:val="89"/>
              </w:rPr>
              <w:t>New York Stock Exchange</w:t>
            </w:r>
          </w:p>
        </w:tc>
        <w:tc>
          <w:tcPr>
            <w:tcW w:w="0" w:type="dxa"/>
            <w:vAlign w:val="bottom"/>
          </w:tcPr>
          <w:p>
            <w:pPr>
              <w:spacing w:after="0"/>
              <w:rPr>
                <w:sz w:val="1"/>
                <w:szCs w:val="1"/>
                <w:color w:val="auto"/>
              </w:rPr>
            </w:pPr>
          </w:p>
        </w:tc>
      </w:tr>
      <w:tr>
        <w:trPr>
          <w:trHeight w:val="234"/>
        </w:trPr>
        <w:tc>
          <w:tcPr>
            <w:tcW w:w="3860" w:type="dxa"/>
            <w:vAlign w:val="bottom"/>
            <w:gridSpan w:val="2"/>
          </w:tcPr>
          <w:p>
            <w:pPr>
              <w:jc w:val="center"/>
              <w:ind w:right="140"/>
              <w:spacing w:after="0"/>
              <w:rPr>
                <w:sz w:val="20"/>
                <w:szCs w:val="20"/>
                <w:color w:val="auto"/>
              </w:rPr>
            </w:pPr>
            <w:r>
              <w:rPr>
                <w:rFonts w:ascii="Arial" w:cs="Arial" w:eastAsia="Arial" w:hAnsi="Arial"/>
                <w:sz w:val="18"/>
                <w:szCs w:val="18"/>
                <w:b w:val="1"/>
                <w:bCs w:val="1"/>
                <w:color w:val="auto"/>
                <w:w w:val="89"/>
              </w:rPr>
              <w:t>Preferred Stock Purchase Rights</w:t>
            </w:r>
          </w:p>
        </w:tc>
        <w:tc>
          <w:tcPr>
            <w:tcW w:w="35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540" w:type="dxa"/>
            <w:vAlign w:val="bottom"/>
          </w:tcPr>
          <w:p>
            <w:pPr>
              <w:jc w:val="center"/>
              <w:spacing w:after="0"/>
              <w:rPr>
                <w:sz w:val="20"/>
                <w:szCs w:val="20"/>
                <w:color w:val="auto"/>
              </w:rPr>
            </w:pPr>
            <w:r>
              <w:rPr>
                <w:rFonts w:ascii="Arial" w:cs="Arial" w:eastAsia="Arial" w:hAnsi="Arial"/>
                <w:sz w:val="18"/>
                <w:szCs w:val="18"/>
                <w:b w:val="1"/>
                <w:bCs w:val="1"/>
                <w:color w:val="auto"/>
                <w:w w:val="89"/>
              </w:rPr>
              <w:t>New York Stock Exchange</w:t>
            </w:r>
          </w:p>
        </w:tc>
        <w:tc>
          <w:tcPr>
            <w:tcW w:w="0" w:type="dxa"/>
            <w:vAlign w:val="bottom"/>
          </w:tcPr>
          <w:p>
            <w:pPr>
              <w:spacing w:after="0"/>
              <w:rPr>
                <w:sz w:val="1"/>
                <w:szCs w:val="1"/>
                <w:color w:val="auto"/>
              </w:rPr>
            </w:pPr>
          </w:p>
        </w:tc>
      </w:tr>
    </w:tbl>
    <w:p>
      <w:pPr>
        <w:spacing w:after="0" w:line="161" w:lineRule="exact"/>
        <w:rPr>
          <w:sz w:val="24"/>
          <w:szCs w:val="24"/>
          <w:color w:val="auto"/>
        </w:rPr>
      </w:pPr>
    </w:p>
    <w:p>
      <w:pPr>
        <w:ind w:left="4" w:right="260"/>
        <w:spacing w:after="0" w:line="277" w:lineRule="auto"/>
        <w:rPr>
          <w:sz w:val="20"/>
          <w:szCs w:val="20"/>
          <w:color w:val="auto"/>
        </w:rPr>
      </w:pPr>
      <w:r>
        <w:rPr>
          <w:rFonts w:ascii="Arial" w:cs="Arial" w:eastAsia="Arial" w:hAnsi="Arial"/>
          <w:sz w:val="18"/>
          <w:szCs w:val="18"/>
          <w:color w:val="auto"/>
        </w:rPr>
        <w:t>Indicate by check mark whether the registrant is an emerging growth company as defined in Rule 405 of the Securities Act of 1933 (§ 230.405 of this chapter) or Rule 12b-2 of the Securities Exchange Act of 1934 (§ 240.12b-2 of this chapter).</w:t>
      </w:r>
    </w:p>
    <w:p>
      <w:pPr>
        <w:spacing w:after="0" w:line="111" w:lineRule="exact"/>
        <w:rPr>
          <w:sz w:val="24"/>
          <w:szCs w:val="24"/>
          <w:color w:val="auto"/>
        </w:rPr>
      </w:pPr>
    </w:p>
    <w:p>
      <w:pPr>
        <w:ind w:left="4"/>
        <w:spacing w:after="0" w:line="207" w:lineRule="exact"/>
        <w:rPr>
          <w:sz w:val="20"/>
          <w:szCs w:val="20"/>
          <w:color w:val="auto"/>
        </w:rPr>
      </w:pPr>
      <w:r>
        <w:rPr>
          <w:rFonts w:ascii="Arial" w:cs="Arial" w:eastAsia="Arial" w:hAnsi="Arial"/>
          <w:sz w:val="18"/>
          <w:szCs w:val="18"/>
          <w:color w:val="auto"/>
        </w:rPr>
        <w:t xml:space="preserve">Emerging growth company </w:t>
      </w:r>
      <w:r>
        <w:rPr>
          <w:rFonts w:ascii="MS PGothic" w:cs="MS PGothic" w:eastAsia="MS PGothic" w:hAnsi="MS PGothic"/>
          <w:sz w:val="18"/>
          <w:szCs w:val="18"/>
          <w:color w:val="auto"/>
        </w:rPr>
        <w:t>☐</w:t>
      </w:r>
    </w:p>
    <w:p>
      <w:pPr>
        <w:spacing w:after="0" w:line="217" w:lineRule="exact"/>
        <w:rPr>
          <w:sz w:val="24"/>
          <w:szCs w:val="24"/>
          <w:color w:val="auto"/>
        </w:rPr>
      </w:pPr>
    </w:p>
    <w:p>
      <w:pPr>
        <w:ind w:left="4" w:right="300"/>
        <w:spacing w:after="0" w:line="233"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133350</wp:posOffset>
            </wp:positionV>
            <wp:extent cx="699516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995160" cy="889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176530</wp:posOffset>
            </wp:positionV>
            <wp:extent cx="699516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ectPr>
          <w:pgSz w:w="11900" w:h="16838" w:orient="portrait"/>
          <w:cols w:equalWidth="0" w:num="1">
            <w:col w:w="11024"/>
          </w:cols>
          <w:pgMar w:left="436" w:top="368" w:right="439" w:bottom="1440" w:gutter="0" w:footer="0" w:header="0"/>
          <w:type w:val="continuous"/>
        </w:sectPr>
      </w:pPr>
    </w:p>
    <w:bookmarkStart w:id="1" w:name="page2"/>
    <w:bookmarkEnd w:id="1"/>
    <w:p>
      <w:pPr>
        <w:ind w:left="4"/>
        <w:spacing w:after="0"/>
        <w:tabs>
          <w:tab w:leader="none" w:pos="1184" w:val="left"/>
        </w:tabs>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74865" cy="55880"/>
                    </a:xfrm>
                    <a:prstGeom prst="rect">
                      <a:avLst/>
                    </a:prstGeom>
                    <a:noFill/>
                  </pic:spPr>
                </pic:pic>
              </a:graphicData>
            </a:graphic>
          </wp:anchor>
        </w:drawing>
        <w:t>Item 2.02.</w:t>
      </w:r>
      <w:r>
        <w:rPr>
          <w:sz w:val="20"/>
          <w:szCs w:val="20"/>
          <w:color w:val="auto"/>
        </w:rPr>
        <w:tab/>
      </w:r>
      <w:r>
        <w:rPr>
          <w:rFonts w:ascii="Arial" w:cs="Arial" w:eastAsia="Arial" w:hAnsi="Arial"/>
          <w:sz w:val="16"/>
          <w:szCs w:val="16"/>
          <w:b w:val="1"/>
          <w:bCs w:val="1"/>
          <w:color w:val="auto"/>
        </w:rPr>
        <w:t>Results of Operations and Financial Condition.</w:t>
      </w:r>
    </w:p>
    <w:p>
      <w:pPr>
        <w:spacing w:after="0" w:line="121" w:lineRule="exact"/>
        <w:rPr>
          <w:sz w:val="20"/>
          <w:szCs w:val="20"/>
          <w:color w:val="auto"/>
        </w:rPr>
      </w:pPr>
    </w:p>
    <w:p>
      <w:pPr>
        <w:ind w:left="4" w:right="600"/>
        <w:spacing w:after="0" w:line="308" w:lineRule="auto"/>
        <w:rPr>
          <w:sz w:val="20"/>
          <w:szCs w:val="20"/>
          <w:color w:val="auto"/>
        </w:rPr>
      </w:pPr>
      <w:r>
        <w:rPr>
          <w:rFonts w:ascii="Arial" w:cs="Arial" w:eastAsia="Arial" w:hAnsi="Arial"/>
          <w:sz w:val="17"/>
          <w:szCs w:val="17"/>
          <w:color w:val="auto"/>
        </w:rPr>
        <w:t>Attached hereto as Exhibit 99.1 and incorporated by reference herein is financial information for Magnachip Semiconductor Corporation and its consolidated subsidiaries for the second quarter ended June 30, 2022, as presented in a press release dated August 8, 2022.</w:t>
      </w:r>
    </w:p>
    <w:p>
      <w:pPr>
        <w:spacing w:after="0" w:line="146" w:lineRule="exact"/>
        <w:rPr>
          <w:sz w:val="20"/>
          <w:szCs w:val="20"/>
          <w:color w:val="auto"/>
        </w:rPr>
      </w:pPr>
    </w:p>
    <w:p>
      <w:pPr>
        <w:ind w:left="4" w:right="180"/>
        <w:spacing w:after="0" w:line="263" w:lineRule="auto"/>
        <w:rPr>
          <w:sz w:val="20"/>
          <w:szCs w:val="20"/>
          <w:color w:val="auto"/>
        </w:rPr>
      </w:pPr>
      <w:r>
        <w:rPr>
          <w:rFonts w:ascii="Arial" w:cs="Arial" w:eastAsia="Arial" w:hAnsi="Arial"/>
          <w:sz w:val="18"/>
          <w:szCs w:val="18"/>
          <w:color w:val="auto"/>
        </w:rPr>
        <w:t>The information disclosed under this Item 2.02, including Exhibit 99.1 hereto, shall not be deemed “filed” for purposes of Section 18 of the Securities Exchange Act of 1934, as amended, and shall not be deemed incorporated by reference into any filing made under the Securities Act of 1933, as amended, except as expressly set forth by specific reference in such filing.</w:t>
      </w:r>
    </w:p>
    <w:p>
      <w:pPr>
        <w:spacing w:after="0" w:line="328" w:lineRule="exact"/>
        <w:rPr>
          <w:sz w:val="20"/>
          <w:szCs w:val="20"/>
          <w:color w:val="auto"/>
        </w:rPr>
      </w:pPr>
    </w:p>
    <w:p>
      <w:pPr>
        <w:ind w:left="4"/>
        <w:spacing w:after="0"/>
        <w:tabs>
          <w:tab w:leader="none" w:pos="1184" w:val="left"/>
        </w:tabs>
        <w:rPr>
          <w:sz w:val="20"/>
          <w:szCs w:val="20"/>
          <w:color w:val="auto"/>
        </w:rPr>
      </w:pPr>
      <w:r>
        <w:rPr>
          <w:rFonts w:ascii="Arial" w:cs="Arial" w:eastAsia="Arial" w:hAnsi="Arial"/>
          <w:sz w:val="18"/>
          <w:szCs w:val="18"/>
          <w:b w:val="1"/>
          <w:bCs w:val="1"/>
          <w:color w:val="auto"/>
        </w:rPr>
        <w:t>Item 9.01.</w:t>
      </w:r>
      <w:r>
        <w:rPr>
          <w:sz w:val="20"/>
          <w:szCs w:val="20"/>
          <w:color w:val="auto"/>
        </w:rPr>
        <w:tab/>
      </w:r>
      <w:r>
        <w:rPr>
          <w:rFonts w:ascii="Arial" w:cs="Arial" w:eastAsia="Arial" w:hAnsi="Arial"/>
          <w:sz w:val="16"/>
          <w:szCs w:val="16"/>
          <w:b w:val="1"/>
          <w:bCs w:val="1"/>
          <w:color w:val="auto"/>
        </w:rPr>
        <w:t>Financial Statements and Exhibits.</w:t>
      </w:r>
    </w:p>
    <w:p>
      <w:pPr>
        <w:spacing w:after="0" w:line="131" w:lineRule="exact"/>
        <w:rPr>
          <w:sz w:val="20"/>
          <w:szCs w:val="20"/>
          <w:color w:val="auto"/>
        </w:rPr>
      </w:pPr>
    </w:p>
    <w:p>
      <w:pPr>
        <w:ind w:left="424" w:hanging="424"/>
        <w:spacing w:after="0"/>
        <w:tabs>
          <w:tab w:leader="none" w:pos="424" w:val="left"/>
        </w:tabs>
        <w:numPr>
          <w:ilvl w:val="0"/>
          <w:numId w:val="2"/>
        </w:numPr>
        <w:rPr>
          <w:rFonts w:ascii="Arial" w:cs="Arial" w:eastAsia="Arial" w:hAnsi="Arial"/>
          <w:sz w:val="18"/>
          <w:szCs w:val="18"/>
          <w:b w:val="1"/>
          <w:bCs w:val="1"/>
          <w:color w:val="auto"/>
        </w:rPr>
      </w:pPr>
      <w:r>
        <w:rPr>
          <w:rFonts w:ascii="Arial" w:cs="Arial" w:eastAsia="Arial" w:hAnsi="Arial"/>
          <w:sz w:val="18"/>
          <w:szCs w:val="18"/>
          <w:b w:val="1"/>
          <w:bCs w:val="1"/>
          <w:color w:val="auto"/>
        </w:rPr>
        <w:t>Exhibits.</w:t>
      </w:r>
    </w:p>
    <w:p>
      <w:pPr>
        <w:spacing w:after="0" w:line="121" w:lineRule="exact"/>
        <w:rPr>
          <w:sz w:val="20"/>
          <w:szCs w:val="20"/>
          <w:color w:val="auto"/>
        </w:rPr>
      </w:pPr>
    </w:p>
    <w:p>
      <w:pPr>
        <w:ind w:left="4"/>
        <w:spacing w:after="0"/>
        <w:rPr>
          <w:sz w:val="20"/>
          <w:szCs w:val="20"/>
          <w:color w:val="auto"/>
        </w:rPr>
      </w:pPr>
      <w:r>
        <w:rPr>
          <w:rFonts w:ascii="Arial" w:cs="Arial" w:eastAsia="Arial" w:hAnsi="Arial"/>
          <w:sz w:val="18"/>
          <w:szCs w:val="18"/>
          <w:color w:val="auto"/>
        </w:rPr>
        <w:t>The following exhibit is furnished as part of this report:</w:t>
      </w:r>
    </w:p>
    <w:p>
      <w:pPr>
        <w:spacing w:after="0" w:line="231" w:lineRule="exact"/>
        <w:rPr>
          <w:sz w:val="20"/>
          <w:szCs w:val="20"/>
          <w:color w:val="auto"/>
        </w:rPr>
      </w:pPr>
    </w:p>
    <w:tbl>
      <w:tblPr>
        <w:tblLayout w:type="fixed"/>
        <w:tblInd w:w="4" w:type="dxa"/>
        <w:tblCellMar>
          <w:top w:w="0" w:type="dxa"/>
          <w:left w:w="0" w:type="dxa"/>
          <w:bottom w:w="0" w:type="dxa"/>
          <w:right w:w="0" w:type="dxa"/>
        </w:tblCellMar>
      </w:tblPr>
      <w:tr>
        <w:trPr>
          <w:trHeight w:val="161"/>
        </w:trPr>
        <w:tc>
          <w:tcPr>
            <w:tcW w:w="460" w:type="dxa"/>
            <w:vAlign w:val="bottom"/>
          </w:tcPr>
          <w:p>
            <w:pPr>
              <w:jc w:val="center"/>
              <w:spacing w:after="0"/>
              <w:rPr>
                <w:sz w:val="20"/>
                <w:szCs w:val="20"/>
                <w:color w:val="auto"/>
              </w:rPr>
            </w:pPr>
            <w:r>
              <w:rPr>
                <w:rFonts w:ascii="Arial" w:cs="Arial" w:eastAsia="Arial" w:hAnsi="Arial"/>
                <w:sz w:val="14"/>
                <w:szCs w:val="14"/>
                <w:b w:val="1"/>
                <w:bCs w:val="1"/>
                <w:color w:val="auto"/>
                <w:w w:val="98"/>
              </w:rPr>
              <w:t>Exhibit</w:t>
            </w:r>
          </w:p>
        </w:tc>
        <w:tc>
          <w:tcPr>
            <w:tcW w:w="4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4300" w:type="dxa"/>
            <w:vAlign w:val="bottom"/>
          </w:tcPr>
          <w:p>
            <w:pPr>
              <w:spacing w:after="0"/>
              <w:rPr>
                <w:sz w:val="14"/>
                <w:szCs w:val="14"/>
                <w:color w:val="auto"/>
              </w:rPr>
            </w:pPr>
          </w:p>
        </w:tc>
        <w:tc>
          <w:tcPr>
            <w:tcW w:w="720" w:type="dxa"/>
            <w:vAlign w:val="bottom"/>
            <w:vMerge w:val="restart"/>
          </w:tcPr>
          <w:p>
            <w:pPr>
              <w:spacing w:after="0"/>
              <w:rPr>
                <w:sz w:val="20"/>
                <w:szCs w:val="20"/>
                <w:color w:val="auto"/>
              </w:rPr>
            </w:pPr>
            <w:r>
              <w:rPr>
                <w:rFonts w:ascii="Arial" w:cs="Arial" w:eastAsia="Arial" w:hAnsi="Arial"/>
                <w:sz w:val="14"/>
                <w:szCs w:val="14"/>
                <w:b w:val="1"/>
                <w:bCs w:val="1"/>
                <w:color w:val="auto"/>
                <w:w w:val="90"/>
              </w:rPr>
              <w:t>Description</w:t>
            </w:r>
          </w:p>
        </w:tc>
        <w:tc>
          <w:tcPr>
            <w:tcW w:w="4680" w:type="dxa"/>
            <w:vAlign w:val="bottom"/>
            <w:vMerge w:val="restart"/>
          </w:tcPr>
          <w:p>
            <w:pPr>
              <w:spacing w:after="0"/>
              <w:rPr>
                <w:sz w:val="14"/>
                <w:szCs w:val="14"/>
                <w:color w:val="auto"/>
              </w:rPr>
            </w:pPr>
          </w:p>
        </w:tc>
        <w:tc>
          <w:tcPr>
            <w:tcW w:w="0" w:type="dxa"/>
            <w:vAlign w:val="bottom"/>
          </w:tcPr>
          <w:p>
            <w:pPr>
              <w:spacing w:after="0"/>
              <w:rPr>
                <w:sz w:val="1"/>
                <w:szCs w:val="1"/>
                <w:color w:val="auto"/>
              </w:rPr>
            </w:pPr>
          </w:p>
        </w:tc>
      </w:tr>
      <w:tr>
        <w:trPr>
          <w:trHeight w:val="165"/>
        </w:trPr>
        <w:tc>
          <w:tcPr>
            <w:tcW w:w="460" w:type="dxa"/>
            <w:vAlign w:val="bottom"/>
            <w:tcBorders>
              <w:bottom w:val="single" w:sz="8" w:color="auto"/>
            </w:tcBorders>
          </w:tcPr>
          <w:p>
            <w:pPr>
              <w:jc w:val="center"/>
              <w:spacing w:after="0" w:line="158" w:lineRule="exact"/>
              <w:rPr>
                <w:sz w:val="20"/>
                <w:szCs w:val="20"/>
                <w:color w:val="auto"/>
              </w:rPr>
            </w:pPr>
            <w:r>
              <w:rPr>
                <w:rFonts w:ascii="Arial" w:cs="Arial" w:eastAsia="Arial" w:hAnsi="Arial"/>
                <w:sz w:val="14"/>
                <w:szCs w:val="14"/>
                <w:b w:val="1"/>
                <w:bCs w:val="1"/>
                <w:color w:val="auto"/>
                <w:w w:val="97"/>
              </w:rPr>
              <w:t>No.</w:t>
            </w:r>
          </w:p>
        </w:tc>
        <w:tc>
          <w:tcPr>
            <w:tcW w:w="4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4300" w:type="dxa"/>
            <w:vAlign w:val="bottom"/>
          </w:tcPr>
          <w:p>
            <w:pPr>
              <w:spacing w:after="0"/>
              <w:rPr>
                <w:sz w:val="14"/>
                <w:szCs w:val="14"/>
                <w:color w:val="auto"/>
              </w:rPr>
            </w:pPr>
          </w:p>
        </w:tc>
        <w:tc>
          <w:tcPr>
            <w:tcW w:w="720" w:type="dxa"/>
            <w:vAlign w:val="bottom"/>
            <w:tcBorders>
              <w:bottom w:val="single" w:sz="8" w:color="auto"/>
            </w:tcBorders>
            <w:vMerge w:val="continue"/>
          </w:tcPr>
          <w:p>
            <w:pPr>
              <w:spacing w:after="0"/>
              <w:rPr>
                <w:sz w:val="14"/>
                <w:szCs w:val="14"/>
                <w:color w:val="auto"/>
              </w:rPr>
            </w:pPr>
          </w:p>
        </w:tc>
        <w:tc>
          <w:tcPr>
            <w:tcW w:w="468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70"/>
        </w:trPr>
        <w:tc>
          <w:tcPr>
            <w:tcW w:w="460" w:type="dxa"/>
            <w:vAlign w:val="bottom"/>
          </w:tcPr>
          <w:p>
            <w:pPr>
              <w:spacing w:after="0"/>
              <w:rPr>
                <w:sz w:val="20"/>
                <w:szCs w:val="20"/>
                <w:color w:val="auto"/>
              </w:rPr>
            </w:pPr>
            <w:r>
              <w:rPr>
                <w:rFonts w:ascii="Arial" w:cs="Arial" w:eastAsia="Arial" w:hAnsi="Arial"/>
                <w:sz w:val="18"/>
                <w:szCs w:val="18"/>
                <w:color w:val="auto"/>
              </w:rPr>
              <w:t>99.1</w:t>
            </w:r>
          </w:p>
        </w:tc>
        <w:tc>
          <w:tcPr>
            <w:tcW w:w="420" w:type="dxa"/>
            <w:vAlign w:val="bottom"/>
          </w:tcPr>
          <w:p>
            <w:pPr>
              <w:spacing w:after="0"/>
              <w:rPr>
                <w:sz w:val="23"/>
                <w:szCs w:val="23"/>
                <w:color w:val="auto"/>
              </w:rPr>
            </w:pPr>
          </w:p>
        </w:tc>
        <w:tc>
          <w:tcPr>
            <w:tcW w:w="10100" w:type="dxa"/>
            <w:vAlign w:val="bottom"/>
            <w:tcBorders>
              <w:bottom w:val="single" w:sz="8" w:color="0000EE"/>
            </w:tcBorders>
            <w:gridSpan w:val="4"/>
          </w:tcPr>
          <w:p>
            <w:pPr>
              <w:spacing w:after="0"/>
              <w:rPr>
                <w:rFonts w:ascii="Arial" w:cs="Arial" w:eastAsia="Arial" w:hAnsi="Arial"/>
                <w:sz w:val="18"/>
                <w:szCs w:val="18"/>
                <w:color w:val="0000EE"/>
                <w:w w:val="89"/>
              </w:rPr>
            </w:pPr>
            <w:hyperlink w:anchor="page4">
              <w:r>
                <w:rPr>
                  <w:rFonts w:ascii="Arial" w:cs="Arial" w:eastAsia="Arial" w:hAnsi="Arial"/>
                  <w:sz w:val="18"/>
                  <w:szCs w:val="18"/>
                  <w:color w:val="0000EE"/>
                  <w:w w:val="89"/>
                </w:rPr>
                <w:t>Press release for Magnachip Semiconductor Corporation dated August 8, 2022, announcing the results for the second quarter ended June 30,</w:t>
              </w:r>
            </w:hyperlink>
          </w:p>
        </w:tc>
        <w:tc>
          <w:tcPr>
            <w:tcW w:w="0" w:type="dxa"/>
            <w:vAlign w:val="bottom"/>
          </w:tcPr>
          <w:p>
            <w:pPr>
              <w:spacing w:after="0"/>
              <w:rPr>
                <w:sz w:val="1"/>
                <w:szCs w:val="1"/>
                <w:color w:val="auto"/>
              </w:rPr>
            </w:pPr>
          </w:p>
        </w:tc>
      </w:tr>
      <w:tr>
        <w:trPr>
          <w:trHeight w:val="196"/>
        </w:trPr>
        <w:tc>
          <w:tcPr>
            <w:tcW w:w="460" w:type="dxa"/>
            <w:vAlign w:val="bottom"/>
          </w:tcPr>
          <w:p>
            <w:pPr>
              <w:spacing w:after="0"/>
              <w:rPr>
                <w:sz w:val="17"/>
                <w:szCs w:val="17"/>
                <w:color w:val="auto"/>
              </w:rPr>
            </w:pPr>
          </w:p>
        </w:tc>
        <w:tc>
          <w:tcPr>
            <w:tcW w:w="820" w:type="dxa"/>
            <w:vAlign w:val="bottom"/>
            <w:gridSpan w:val="2"/>
          </w:tcPr>
          <w:p>
            <w:pPr>
              <w:ind w:left="420"/>
              <w:spacing w:after="0" w:line="196" w:lineRule="exact"/>
              <w:rPr>
                <w:rFonts w:ascii="Arial" w:cs="Arial" w:eastAsia="Arial" w:hAnsi="Arial"/>
                <w:sz w:val="18"/>
                <w:szCs w:val="18"/>
                <w:color w:val="0000EE"/>
                <w:w w:val="84"/>
              </w:rPr>
            </w:pPr>
            <w:hyperlink w:anchor="page4">
              <w:r>
                <w:rPr>
                  <w:rFonts w:ascii="Arial" w:cs="Arial" w:eastAsia="Arial" w:hAnsi="Arial"/>
                  <w:sz w:val="18"/>
                  <w:szCs w:val="18"/>
                  <w:color w:val="0000EE"/>
                  <w:w w:val="84"/>
                </w:rPr>
                <w:t>2022.</w:t>
              </w:r>
            </w:hyperlink>
          </w:p>
        </w:tc>
        <w:tc>
          <w:tcPr>
            <w:tcW w:w="43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46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4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9700" w:type="dxa"/>
            <w:vAlign w:val="bottom"/>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45"/>
        </w:trPr>
        <w:tc>
          <w:tcPr>
            <w:tcW w:w="460" w:type="dxa"/>
            <w:vAlign w:val="bottom"/>
          </w:tcPr>
          <w:p>
            <w:pPr>
              <w:spacing w:after="0"/>
              <w:rPr>
                <w:sz w:val="20"/>
                <w:szCs w:val="20"/>
                <w:color w:val="auto"/>
              </w:rPr>
            </w:pPr>
            <w:r>
              <w:rPr>
                <w:rFonts w:ascii="Arial" w:cs="Arial" w:eastAsia="Arial" w:hAnsi="Arial"/>
                <w:sz w:val="18"/>
                <w:szCs w:val="18"/>
                <w:color w:val="auto"/>
              </w:rPr>
              <w:t>104</w:t>
            </w:r>
          </w:p>
        </w:tc>
        <w:tc>
          <w:tcPr>
            <w:tcW w:w="420" w:type="dxa"/>
            <w:vAlign w:val="bottom"/>
          </w:tcPr>
          <w:p>
            <w:pPr>
              <w:spacing w:after="0"/>
              <w:rPr>
                <w:sz w:val="24"/>
                <w:szCs w:val="24"/>
                <w:color w:val="auto"/>
              </w:rPr>
            </w:pPr>
          </w:p>
        </w:tc>
        <w:tc>
          <w:tcPr>
            <w:tcW w:w="10100" w:type="dxa"/>
            <w:vAlign w:val="bottom"/>
            <w:gridSpan w:val="4"/>
          </w:tcPr>
          <w:p>
            <w:pPr>
              <w:spacing w:after="0"/>
              <w:rPr>
                <w:sz w:val="20"/>
                <w:szCs w:val="20"/>
                <w:color w:val="auto"/>
              </w:rPr>
            </w:pPr>
            <w:r>
              <w:rPr>
                <w:rFonts w:ascii="Arial" w:cs="Arial" w:eastAsia="Arial" w:hAnsi="Arial"/>
                <w:sz w:val="18"/>
                <w:szCs w:val="18"/>
                <w:color w:val="auto"/>
              </w:rPr>
              <w:t>Cover Page Interactive Data File (embedded within the Inline XBRL document).</w:t>
            </w:r>
          </w:p>
        </w:tc>
        <w:tc>
          <w:tcPr>
            <w:tcW w:w="0" w:type="dxa"/>
            <w:vAlign w:val="bottom"/>
          </w:tcPr>
          <w:p>
            <w:pPr>
              <w:spacing w:after="0"/>
              <w:rPr>
                <w:sz w:val="1"/>
                <w:szCs w:val="1"/>
                <w:color w:val="auto"/>
              </w:rPr>
            </w:pPr>
          </w:p>
        </w:tc>
      </w:tr>
    </w:tbl>
    <w:p>
      <w:pPr>
        <w:sectPr>
          <w:pgSz w:w="11900" w:h="16838" w:orient="portrait"/>
          <w:cols w:equalWidth="0" w:num="1">
            <w:col w:w="10984"/>
          </w:cols>
          <w:pgMar w:left="436" w:top="297" w:right="479" w:bottom="1440" w:gutter="0" w:footer="0" w:header="0"/>
        </w:sectPr>
      </w:pPr>
    </w:p>
    <w:bookmarkStart w:id="2" w:name="page3"/>
    <w:bookmarkEnd w:id="2"/>
    <w:p>
      <w:pPr>
        <w:jc w:val="center"/>
        <w:ind w:right="-29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74865" cy="55245"/>
                    </a:xfrm>
                    <a:prstGeom prst="rect">
                      <a:avLst/>
                    </a:prstGeom>
                    <a:noFill/>
                  </pic:spPr>
                </pic:pic>
              </a:graphicData>
            </a:graphic>
          </wp:anchor>
        </w:drawing>
        <w:t>SIGNATURE</w:t>
      </w:r>
    </w:p>
    <w:p>
      <w:pPr>
        <w:spacing w:after="0" w:line="229" w:lineRule="exact"/>
        <w:rPr>
          <w:sz w:val="20"/>
          <w:szCs w:val="20"/>
          <w:color w:val="auto"/>
        </w:rPr>
      </w:pPr>
    </w:p>
    <w:p>
      <w:pPr>
        <w:ind w:firstLine="440"/>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197"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MAGNACHIP SEMICONDUCTOR CORPORATION</w:t>
      </w:r>
    </w:p>
    <w:p>
      <w:pPr>
        <w:spacing w:after="0" w:line="225" w:lineRule="exact"/>
        <w:rPr>
          <w:sz w:val="20"/>
          <w:szCs w:val="20"/>
          <w:color w:val="auto"/>
        </w:rPr>
      </w:pPr>
    </w:p>
    <w:p>
      <w:pPr>
        <w:spacing w:after="0"/>
        <w:tabs>
          <w:tab w:leader="none" w:pos="5600" w:val="left"/>
          <w:tab w:leader="none" w:pos="6040" w:val="left"/>
        </w:tabs>
        <w:rPr>
          <w:sz w:val="20"/>
          <w:szCs w:val="20"/>
          <w:color w:val="auto"/>
        </w:rPr>
      </w:pPr>
      <w:r>
        <w:rPr>
          <w:rFonts w:ascii="Arial" w:cs="Arial" w:eastAsia="Arial" w:hAnsi="Arial"/>
          <w:sz w:val="18"/>
          <w:szCs w:val="18"/>
          <w:color w:val="auto"/>
        </w:rPr>
        <w:t>Dated: August 8, 2022</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Theodore Kim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3846195</wp:posOffset>
            </wp:positionH>
            <wp:positionV relativeFrom="paragraph">
              <wp:posOffset>14605</wp:posOffset>
            </wp:positionV>
            <wp:extent cx="3145790"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3145790" cy="8255"/>
                    </a:xfrm>
                    <a:prstGeom prst="rect">
                      <a:avLst/>
                    </a:prstGeom>
                    <a:noFill/>
                  </pic:spPr>
                </pic:pic>
              </a:graphicData>
            </a:graphic>
          </wp:anchor>
        </w:drawing>
      </w:r>
    </w:p>
    <w:p>
      <w:pPr>
        <w:spacing w:after="0" w:line="30"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Theodore Kim</w:t>
      </w:r>
    </w:p>
    <w:p>
      <w:pPr>
        <w:spacing w:after="0" w:line="9"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Chief Compliance Officer, General Counsel and Secretary</w:t>
      </w:r>
    </w:p>
    <w:p>
      <w:pPr>
        <w:sectPr>
          <w:pgSz w:w="11900" w:h="16838" w:orient="portrait"/>
          <w:cols w:equalWidth="0" w:num="1">
            <w:col w:w="10700"/>
          </w:cols>
          <w:pgMar w:left="440" w:top="297" w:right="759" w:bottom="1440" w:gutter="0" w:footer="0" w:header="0"/>
        </w:sectPr>
      </w:pPr>
    </w:p>
    <w:bookmarkStart w:id="3" w:name="page4"/>
    <w:bookmarkEnd w:id="3"/>
    <w:p>
      <w:pPr>
        <w:jc w:val="right"/>
        <w:spacing w:after="0"/>
        <w:rPr>
          <w:sz w:val="20"/>
          <w:szCs w:val="20"/>
          <w:color w:val="auto"/>
        </w:rPr>
      </w:pPr>
      <w:r>
        <w:rPr>
          <w:rFonts w:ascii="Arial" w:cs="Arial" w:eastAsia="Arial" w:hAnsi="Arial"/>
          <w:sz w:val="18"/>
          <w:szCs w:val="18"/>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171450</wp:posOffset>
            </wp:positionV>
            <wp:extent cx="2297430" cy="56578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2297430" cy="5657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Magnachip Reports Results for Second Quarter 2022 and Reaffirms Previously-Announced Stock Buyback Program</w:t>
      </w:r>
    </w:p>
    <w:p>
      <w:pPr>
        <w:spacing w:after="0" w:line="131" w:lineRule="exact"/>
        <w:rPr>
          <w:sz w:val="20"/>
          <w:szCs w:val="20"/>
          <w:color w:val="auto"/>
        </w:rPr>
      </w:pPr>
    </w:p>
    <w:p>
      <w:pPr>
        <w:ind w:left="960" w:right="160" w:hanging="424"/>
        <w:spacing w:after="0" w:line="266" w:lineRule="auto"/>
        <w:tabs>
          <w:tab w:leader="none" w:pos="960" w:val="left"/>
        </w:tabs>
        <w:numPr>
          <w:ilvl w:val="0"/>
          <w:numId w:val="3"/>
        </w:numPr>
        <w:rPr>
          <w:rFonts w:ascii="Arial" w:cs="Arial" w:eastAsia="Arial" w:hAnsi="Arial"/>
          <w:sz w:val="18"/>
          <w:szCs w:val="18"/>
          <w:b w:val="1"/>
          <w:bCs w:val="1"/>
          <w:color w:val="auto"/>
        </w:rPr>
      </w:pPr>
      <w:r>
        <w:rPr>
          <w:rFonts w:ascii="Arial" w:cs="Arial" w:eastAsia="Arial" w:hAnsi="Arial"/>
          <w:sz w:val="18"/>
          <w:szCs w:val="18"/>
          <w:b w:val="1"/>
          <w:bCs w:val="1"/>
          <w:color w:val="auto"/>
        </w:rPr>
        <w:t>Revenue of $101.4 million was down 2.6% sequentially and down 11.0% year-over-year (YoY). The YoY decrease was mainly due to severe supply shortages for 28nm 12” OLED wafers, partially offset by an 11.1% YoY increase in Power solutions business revenue.</w:t>
      </w:r>
    </w:p>
    <w:p>
      <w:pPr>
        <w:spacing w:after="0" w:line="81" w:lineRule="exact"/>
        <w:rPr>
          <w:rFonts w:ascii="Arial" w:cs="Arial" w:eastAsia="Arial" w:hAnsi="Arial"/>
          <w:sz w:val="18"/>
          <w:szCs w:val="18"/>
          <w:b w:val="1"/>
          <w:bCs w:val="1"/>
          <w:color w:val="auto"/>
        </w:rPr>
      </w:pPr>
    </w:p>
    <w:p>
      <w:pPr>
        <w:ind w:left="960" w:right="60" w:hanging="424"/>
        <w:spacing w:after="0" w:line="303" w:lineRule="auto"/>
        <w:tabs>
          <w:tab w:leader="none" w:pos="960" w:val="left"/>
        </w:tabs>
        <w:numPr>
          <w:ilvl w:val="0"/>
          <w:numId w:val="3"/>
        </w:numPr>
        <w:rPr>
          <w:rFonts w:ascii="Arial" w:cs="Arial" w:eastAsia="Arial" w:hAnsi="Arial"/>
          <w:sz w:val="16"/>
          <w:szCs w:val="16"/>
          <w:b w:val="1"/>
          <w:bCs w:val="1"/>
          <w:color w:val="auto"/>
        </w:rPr>
      </w:pPr>
      <w:r>
        <w:rPr>
          <w:rFonts w:ascii="Arial" w:cs="Arial" w:eastAsia="Arial" w:hAnsi="Arial"/>
          <w:sz w:val="16"/>
          <w:szCs w:val="16"/>
          <w:b w:val="1"/>
          <w:bCs w:val="1"/>
          <w:color w:val="auto"/>
        </w:rPr>
        <w:t>Gross profit margin was 28.6%, down 890 basis points from Q1 and down 120 basis points from Q2 a year ago. The sequential decrease was primarily the result of: 1) the prior quarter benefiting 200 basis points from a one-time timing mismatch of lower cost 12” wafers, 2) lower demand for China smartphones resulting in an inventory reserve of approximately $4.7 million related to 12” display products, 3) higher foundry cost relating to 12” wafers and 4) unfavorable product mix.</w:t>
      </w:r>
    </w:p>
    <w:p>
      <w:pPr>
        <w:spacing w:after="0" w:line="56" w:lineRule="exact"/>
        <w:rPr>
          <w:rFonts w:ascii="Arial" w:cs="Arial" w:eastAsia="Arial" w:hAnsi="Arial"/>
          <w:sz w:val="16"/>
          <w:szCs w:val="16"/>
          <w:b w:val="1"/>
          <w:bCs w:val="1"/>
          <w:color w:val="auto"/>
        </w:rPr>
      </w:pPr>
    </w:p>
    <w:p>
      <w:pPr>
        <w:ind w:left="960" w:hanging="424"/>
        <w:spacing w:after="0"/>
        <w:tabs>
          <w:tab w:leader="none" w:pos="960" w:val="left"/>
        </w:tabs>
        <w:numPr>
          <w:ilvl w:val="0"/>
          <w:numId w:val="3"/>
        </w:numPr>
        <w:rPr>
          <w:rFonts w:ascii="Arial" w:cs="Arial" w:eastAsia="Arial" w:hAnsi="Arial"/>
          <w:sz w:val="18"/>
          <w:szCs w:val="18"/>
          <w:b w:val="1"/>
          <w:bCs w:val="1"/>
          <w:color w:val="auto"/>
        </w:rPr>
      </w:pPr>
      <w:r>
        <w:rPr>
          <w:rFonts w:ascii="Arial" w:cs="Arial" w:eastAsia="Arial" w:hAnsi="Arial"/>
          <w:sz w:val="18"/>
          <w:szCs w:val="18"/>
          <w:b w:val="1"/>
          <w:bCs w:val="1"/>
          <w:color w:val="auto"/>
        </w:rPr>
        <w:t>GAAP diluted loss per share was $0.07.</w:t>
      </w:r>
    </w:p>
    <w:p>
      <w:pPr>
        <w:spacing w:after="0" w:line="130" w:lineRule="exact"/>
        <w:rPr>
          <w:rFonts w:ascii="Arial" w:cs="Arial" w:eastAsia="Arial" w:hAnsi="Arial"/>
          <w:sz w:val="18"/>
          <w:szCs w:val="18"/>
          <w:b w:val="1"/>
          <w:bCs w:val="1"/>
          <w:color w:val="auto"/>
        </w:rPr>
      </w:pPr>
    </w:p>
    <w:p>
      <w:pPr>
        <w:ind w:left="960" w:hanging="424"/>
        <w:spacing w:after="0"/>
        <w:tabs>
          <w:tab w:leader="none" w:pos="960" w:val="left"/>
        </w:tabs>
        <w:numPr>
          <w:ilvl w:val="0"/>
          <w:numId w:val="3"/>
        </w:numPr>
        <w:rPr>
          <w:rFonts w:ascii="Arial" w:cs="Arial" w:eastAsia="Arial" w:hAnsi="Arial"/>
          <w:sz w:val="18"/>
          <w:szCs w:val="18"/>
          <w:b w:val="1"/>
          <w:bCs w:val="1"/>
          <w:color w:val="auto"/>
        </w:rPr>
      </w:pPr>
      <w:r>
        <w:rPr>
          <w:rFonts w:ascii="Arial" w:cs="Arial" w:eastAsia="Arial" w:hAnsi="Arial"/>
          <w:sz w:val="18"/>
          <w:szCs w:val="18"/>
          <w:b w:val="1"/>
          <w:bCs w:val="1"/>
          <w:color w:val="auto"/>
        </w:rPr>
        <w:t>Non-GAAP diluted earnings per share (EPS) was $0.23.</w:t>
      </w:r>
    </w:p>
    <w:p>
      <w:pPr>
        <w:spacing w:after="0" w:line="225" w:lineRule="exact"/>
        <w:rPr>
          <w:sz w:val="20"/>
          <w:szCs w:val="20"/>
          <w:color w:val="auto"/>
        </w:rPr>
      </w:pPr>
    </w:p>
    <w:p>
      <w:pPr>
        <w:ind w:right="220"/>
        <w:spacing w:after="0" w:line="282" w:lineRule="auto"/>
        <w:rPr>
          <w:sz w:val="20"/>
          <w:szCs w:val="20"/>
          <w:color w:val="auto"/>
        </w:rPr>
      </w:pPr>
      <w:r>
        <w:rPr>
          <w:rFonts w:ascii="Arial" w:cs="Arial" w:eastAsia="Arial" w:hAnsi="Arial"/>
          <w:sz w:val="18"/>
          <w:szCs w:val="18"/>
          <w:b w:val="1"/>
          <w:bCs w:val="1"/>
          <w:color w:val="auto"/>
        </w:rPr>
        <w:t xml:space="preserve">SEOUL, South Korea, August 8, 2022 </w:t>
      </w:r>
      <w:r>
        <w:rPr>
          <w:rFonts w:ascii="Arial" w:cs="Arial" w:eastAsia="Arial" w:hAnsi="Arial"/>
          <w:sz w:val="18"/>
          <w:szCs w:val="18"/>
          <w:color w:val="auto"/>
        </w:rPr>
        <w:t>— Magnachip Semiconductor Corporation (NYSE: MX) (“Magnachip” or the “Company”) today announced</w:t>
      </w:r>
      <w:r>
        <w:rPr>
          <w:rFonts w:ascii="Arial" w:cs="Arial" w:eastAsia="Arial" w:hAnsi="Arial"/>
          <w:sz w:val="18"/>
          <w:szCs w:val="18"/>
          <w:b w:val="1"/>
          <w:bCs w:val="1"/>
          <w:color w:val="auto"/>
        </w:rPr>
        <w:t xml:space="preserve"> </w:t>
      </w:r>
      <w:r>
        <w:rPr>
          <w:rFonts w:ascii="Arial" w:cs="Arial" w:eastAsia="Arial" w:hAnsi="Arial"/>
          <w:sz w:val="18"/>
          <w:szCs w:val="18"/>
          <w:color w:val="auto"/>
        </w:rPr>
        <w:t>financial results for the second quarter of 2022.</w:t>
      </w:r>
    </w:p>
    <w:p>
      <w:pPr>
        <w:spacing w:after="0" w:line="166" w:lineRule="exact"/>
        <w:rPr>
          <w:sz w:val="20"/>
          <w:szCs w:val="20"/>
          <w:color w:val="auto"/>
        </w:rPr>
      </w:pPr>
    </w:p>
    <w:p>
      <w:pPr>
        <w:ind w:right="260"/>
        <w:spacing w:after="0" w:line="259" w:lineRule="auto"/>
        <w:rPr>
          <w:sz w:val="20"/>
          <w:szCs w:val="20"/>
          <w:color w:val="auto"/>
        </w:rPr>
      </w:pPr>
      <w:r>
        <w:rPr>
          <w:rFonts w:ascii="Arial" w:cs="Arial" w:eastAsia="Arial" w:hAnsi="Arial"/>
          <w:sz w:val="18"/>
          <w:szCs w:val="18"/>
          <w:color w:val="auto"/>
        </w:rPr>
        <w:t>Commenting on the results for the second quarter of 2022, YJ Kim, Magnachip’s chief executive officer stated, “In the second quarter of 2022, we reported revenue of $101.4 million and non-GAAP diluted EPS of $0.23 despite an increasingly challenging macroeconomic environment. Similar to last quarter, our OLED revenue continued to be impacted by severe supply shortages for 28nm 12-inch wafers and our Power solutions business continued its positive momentum of double-digit YoY growth.”</w:t>
      </w:r>
    </w:p>
    <w:p>
      <w:pPr>
        <w:spacing w:after="0" w:line="187" w:lineRule="exact"/>
        <w:rPr>
          <w:sz w:val="20"/>
          <w:szCs w:val="20"/>
          <w:color w:val="auto"/>
        </w:rPr>
      </w:pPr>
    </w:p>
    <w:p>
      <w:pPr>
        <w:ind w:right="20"/>
        <w:spacing w:after="0" w:line="271" w:lineRule="auto"/>
        <w:rPr>
          <w:sz w:val="20"/>
          <w:szCs w:val="20"/>
          <w:color w:val="auto"/>
        </w:rPr>
      </w:pPr>
      <w:r>
        <w:rPr>
          <w:rFonts w:ascii="Arial" w:cs="Arial" w:eastAsia="Arial" w:hAnsi="Arial"/>
          <w:sz w:val="17"/>
          <w:szCs w:val="17"/>
          <w:color w:val="auto"/>
        </w:rPr>
        <w:t>YJ Kim continued, “Looking ahead, we are facing several challenges in the 2nd half of 2022 that will further impact our near-term results before we expect recovery in 2023. First, lower allocation of 28nm wafers impacted timing of design wins. Second, our new customer ramp schedule will be delayed due to product feature changes. And third, we are seeing a slowdown of the smartphone market. However, we have successfully sampled the full working chip to our new OLED customer, and we expect to get better wafer allocations starting at the end of 2022. We are confident that we will begin to see a recovery of our OLED business in 2023. Accordingly, our Board of Directors has reaffirmed the remaining $37.5 million stock repurchase program that we announced previously. We have also activated the Strategic Review Committee to assist the Board in reviewing, considering, exploring and evaluating strategic alternatives that may be available to the Company to maximize shareholder value while we focus on executing our OLED recovery plan in 2023 and continuing our success in the Power solutions business.”</w:t>
      </w:r>
    </w:p>
    <w:p>
      <w:pPr>
        <w:spacing w:after="0" w:line="2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Stock Repurchase Program and Strategic Review Committee</w:t>
      </w:r>
    </w:p>
    <w:p>
      <w:pPr>
        <w:spacing w:after="0" w:line="121" w:lineRule="exact"/>
        <w:rPr>
          <w:sz w:val="20"/>
          <w:szCs w:val="20"/>
          <w:color w:val="auto"/>
        </w:rPr>
      </w:pPr>
    </w:p>
    <w:p>
      <w:pPr>
        <w:ind w:right="360"/>
        <w:spacing w:after="0" w:line="311" w:lineRule="auto"/>
        <w:rPr>
          <w:sz w:val="20"/>
          <w:szCs w:val="20"/>
          <w:color w:val="auto"/>
        </w:rPr>
      </w:pPr>
      <w:r>
        <w:rPr>
          <w:rFonts w:ascii="Arial" w:cs="Arial" w:eastAsia="Arial" w:hAnsi="Arial"/>
          <w:sz w:val="16"/>
          <w:szCs w:val="16"/>
          <w:color w:val="auto"/>
        </w:rPr>
        <w:t>The Company’s Board of Directors reaffirmed the remaining $37.5 million stock repurchase program that was announced previously. Magnachip believes that this stock repurchase program and continuing to drive its OLED business recovery plan combined with the continued momentum of its Power solutions business, the Company is well positioned to drive significant accretion and value for shareholders over the coming years.</w:t>
      </w:r>
    </w:p>
    <w:p>
      <w:pPr>
        <w:spacing w:after="0" w:line="149" w:lineRule="exact"/>
        <w:rPr>
          <w:sz w:val="20"/>
          <w:szCs w:val="20"/>
          <w:color w:val="auto"/>
        </w:rPr>
      </w:pPr>
    </w:p>
    <w:p>
      <w:pPr>
        <w:ind w:right="200"/>
        <w:spacing w:after="0" w:line="296" w:lineRule="auto"/>
        <w:rPr>
          <w:sz w:val="20"/>
          <w:szCs w:val="20"/>
          <w:color w:val="auto"/>
        </w:rPr>
      </w:pPr>
      <w:r>
        <w:rPr>
          <w:rFonts w:ascii="Arial" w:cs="Arial" w:eastAsia="Arial" w:hAnsi="Arial"/>
          <w:sz w:val="16"/>
          <w:szCs w:val="16"/>
          <w:color w:val="auto"/>
        </w:rPr>
        <w:t>Magnachip also announced today that the Board of Directors has activated the Strategic Review Committee to assist the Board in reviewing, considering, exploring and evaluating strategic alternatives that may be available to the Company to maximize shareholder value. The committee’s mandate is to review the Company’s capital allocation plans and actively explore potential strategic and transactional opportunities, including, but not limited to, joint ventures, strategic partnerships and M&amp;A possibilities that may arise in the future, and make recommendations to the Board regarding those matters, as appropriate. The Strategic Review Committee includes directors Melvin Keating, Ilbok Lee, Camillo Martino and Gary Tanner.</w:t>
      </w:r>
    </w:p>
    <w:p>
      <w:pPr>
        <w:sectPr>
          <w:pgSz w:w="11900" w:h="16838" w:orient="portrait"/>
          <w:cols w:equalWidth="0" w:num="1">
            <w:col w:w="11020"/>
          </w:cols>
          <w:pgMar w:left="440" w:top="121" w:right="439" w:bottom="1440" w:gutter="0" w:footer="0" w:header="0"/>
        </w:sectPr>
      </w:pPr>
    </w:p>
    <w:bookmarkStart w:id="4" w:name="page5"/>
    <w:bookmarkEnd w:id="4"/>
    <w:p>
      <w:pPr>
        <w:ind w:left="4"/>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74865" cy="38735"/>
                    </a:xfrm>
                    <a:prstGeom prst="rect">
                      <a:avLst/>
                    </a:prstGeom>
                    <a:noFill/>
                  </pic:spPr>
                </pic:pic>
              </a:graphicData>
            </a:graphic>
          </wp:anchor>
        </w:drawing>
        <w:drawing>
          <wp:anchor simplePos="0" relativeHeight="251657728" behindDoc="1" locked="0" layoutInCell="0" allowOverlap="1">
            <wp:simplePos x="0" y="0"/>
            <wp:positionH relativeFrom="page">
              <wp:posOffset>5814695</wp:posOffset>
            </wp:positionH>
            <wp:positionV relativeFrom="page">
              <wp:posOffset>183515</wp:posOffset>
            </wp:positionV>
            <wp:extent cx="1457325" cy="41973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clrChange>
                        <a:clrFrom>
                          <a:srgbClr val="FFFFFF"/>
                        </a:clrFrom>
                        <a:clrTo>
                          <a:srgbClr val="FFFFFF">
                            <a:alpha val="0"/>
                          </a:srgbClr>
                        </a:clrTo>
                      </a:clrChange>
                      <a:extLst>
                        <a:ext uri="{28A0092B-C50C-407E-A947-70E740481C1C}"/>
                      </a:extLst>
                    </a:blip>
                    <a:srcRect/>
                    <a:stretch>
                      <a:fillRect/>
                    </a:stretch>
                  </pic:blipFill>
                  <pic:spPr bwMode="auto">
                    <a:xfrm>
                      <a:off x="0" y="0"/>
                      <a:ext cx="1457325" cy="419735"/>
                    </a:xfrm>
                    <a:prstGeom prst="rect">
                      <a:avLst/>
                    </a:prstGeom>
                    <a:noFill/>
                  </pic:spPr>
                </pic:pic>
              </a:graphicData>
            </a:graphic>
          </wp:anchor>
        </w:drawing>
        <w:t>Q2 2022 Financial Highlights</w:t>
      </w:r>
    </w:p>
    <w:p>
      <w:pPr>
        <w:spacing w:after="0" w:line="252" w:lineRule="exact"/>
        <w:rPr>
          <w:sz w:val="20"/>
          <w:szCs w:val="20"/>
          <w:color w:val="auto"/>
        </w:rPr>
      </w:pPr>
    </w:p>
    <w:tbl>
      <w:tblPr>
        <w:tblLayout w:type="fixed"/>
        <w:tblInd w:w="4" w:type="dxa"/>
        <w:tblCellMar>
          <w:top w:w="0" w:type="dxa"/>
          <w:left w:w="0" w:type="dxa"/>
          <w:bottom w:w="0" w:type="dxa"/>
          <w:right w:w="0" w:type="dxa"/>
        </w:tblCellMar>
      </w:tblPr>
      <w:tr>
        <w:trPr>
          <w:trHeight w:val="167"/>
        </w:trPr>
        <w:tc>
          <w:tcPr>
            <w:tcW w:w="5560" w:type="dxa"/>
            <w:vAlign w:val="bottom"/>
          </w:tcPr>
          <w:p>
            <w:pPr>
              <w:spacing w:after="0"/>
              <w:rPr>
                <w:sz w:val="14"/>
                <w:szCs w:val="14"/>
                <w:color w:val="auto"/>
              </w:rPr>
            </w:pPr>
          </w:p>
        </w:tc>
        <w:tc>
          <w:tcPr>
            <w:tcW w:w="560" w:type="dxa"/>
            <w:vAlign w:val="bottom"/>
            <w:tcBorders>
              <w:bottom w:val="single" w:sz="8" w:color="auto"/>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3200" w:type="dxa"/>
            <w:vAlign w:val="bottom"/>
            <w:tcBorders>
              <w:bottom w:val="single" w:sz="8" w:color="auto"/>
            </w:tcBorders>
            <w:gridSpan w:val="7"/>
          </w:tcPr>
          <w:p>
            <w:pPr>
              <w:jc w:val="center"/>
              <w:ind w:left="75"/>
              <w:spacing w:after="0"/>
              <w:rPr>
                <w:sz w:val="20"/>
                <w:szCs w:val="20"/>
                <w:color w:val="auto"/>
              </w:rPr>
            </w:pPr>
            <w:r>
              <w:rPr>
                <w:rFonts w:ascii="Arial" w:cs="Arial" w:eastAsia="Arial" w:hAnsi="Arial"/>
                <w:sz w:val="14"/>
                <w:szCs w:val="14"/>
                <w:color w:val="auto"/>
                <w:w w:val="92"/>
              </w:rPr>
              <w:t>In thousands of U.S. dollars, except share data</w:t>
            </w:r>
          </w:p>
        </w:tc>
        <w:tc>
          <w:tcPr>
            <w:tcW w:w="580" w:type="dxa"/>
            <w:vAlign w:val="bottom"/>
            <w:tcBorders>
              <w:bottom w:val="single" w:sz="8" w:color="auto"/>
            </w:tcBorders>
          </w:tcPr>
          <w:p>
            <w:pPr>
              <w:spacing w:after="0"/>
              <w:rPr>
                <w:sz w:val="14"/>
                <w:szCs w:val="14"/>
                <w:color w:val="auto"/>
              </w:rPr>
            </w:pPr>
          </w:p>
        </w:tc>
        <w:tc>
          <w:tcPr>
            <w:tcW w:w="420" w:type="dxa"/>
            <w:vAlign w:val="bottom"/>
            <w:tcBorders>
              <w:bottom w:val="single" w:sz="8" w:color="auto"/>
            </w:tcBorders>
          </w:tcPr>
          <w:p>
            <w:pPr>
              <w:spacing w:after="0"/>
              <w:rPr>
                <w:sz w:val="14"/>
                <w:szCs w:val="14"/>
                <w:color w:val="auto"/>
              </w:rPr>
            </w:pPr>
          </w:p>
        </w:tc>
        <w:tc>
          <w:tcPr>
            <w:tcW w:w="420" w:type="dxa"/>
            <w:vAlign w:val="bottom"/>
          </w:tcPr>
          <w:p>
            <w:pPr>
              <w:spacing w:after="0"/>
              <w:rPr>
                <w:sz w:val="14"/>
                <w:szCs w:val="14"/>
                <w:color w:val="auto"/>
              </w:rPr>
            </w:pPr>
          </w:p>
        </w:tc>
      </w:tr>
      <w:tr>
        <w:trPr>
          <w:trHeight w:val="142"/>
        </w:trPr>
        <w:tc>
          <w:tcPr>
            <w:tcW w:w="5560" w:type="dxa"/>
            <w:vAlign w:val="bottom"/>
          </w:tcPr>
          <w:p>
            <w:pPr>
              <w:spacing w:after="0"/>
              <w:rPr>
                <w:sz w:val="12"/>
                <w:szCs w:val="12"/>
                <w:color w:val="auto"/>
              </w:rPr>
            </w:pPr>
          </w:p>
        </w:tc>
        <w:tc>
          <w:tcPr>
            <w:tcW w:w="560" w:type="dxa"/>
            <w:vAlign w:val="bottom"/>
            <w:tcBorders>
              <w:bottom w:val="single" w:sz="8" w:color="auto"/>
            </w:tcBorders>
          </w:tcPr>
          <w:p>
            <w:pPr>
              <w:spacing w:after="0"/>
              <w:rPr>
                <w:sz w:val="12"/>
                <w:szCs w:val="12"/>
                <w:color w:val="auto"/>
              </w:rPr>
            </w:pPr>
          </w:p>
        </w:tc>
        <w:tc>
          <w:tcPr>
            <w:tcW w:w="280" w:type="dxa"/>
            <w:vAlign w:val="bottom"/>
            <w:tcBorders>
              <w:bottom w:val="single" w:sz="8" w:color="auto"/>
            </w:tcBorders>
          </w:tcPr>
          <w:p>
            <w:pPr>
              <w:spacing w:after="0"/>
              <w:rPr>
                <w:sz w:val="12"/>
                <w:szCs w:val="12"/>
                <w:color w:val="auto"/>
              </w:rPr>
            </w:pPr>
          </w:p>
        </w:tc>
        <w:tc>
          <w:tcPr>
            <w:tcW w:w="560" w:type="dxa"/>
            <w:vAlign w:val="bottom"/>
            <w:tcBorders>
              <w:bottom w:val="single" w:sz="8" w:color="auto"/>
            </w:tcBorders>
          </w:tcPr>
          <w:p>
            <w:pPr>
              <w:spacing w:after="0"/>
              <w:rPr>
                <w:sz w:val="12"/>
                <w:szCs w:val="12"/>
                <w:color w:val="auto"/>
              </w:rPr>
            </w:pPr>
          </w:p>
        </w:tc>
        <w:tc>
          <w:tcPr>
            <w:tcW w:w="300" w:type="dxa"/>
            <w:vAlign w:val="bottom"/>
            <w:tcBorders>
              <w:bottom w:val="single" w:sz="8" w:color="auto"/>
            </w:tcBorders>
          </w:tcPr>
          <w:p>
            <w:pPr>
              <w:spacing w:after="0"/>
              <w:rPr>
                <w:sz w:val="12"/>
                <w:szCs w:val="12"/>
                <w:color w:val="auto"/>
              </w:rPr>
            </w:pPr>
          </w:p>
        </w:tc>
        <w:tc>
          <w:tcPr>
            <w:tcW w:w="540" w:type="dxa"/>
            <w:vAlign w:val="bottom"/>
            <w:tcBorders>
              <w:bottom w:val="single" w:sz="8" w:color="auto"/>
            </w:tcBorders>
          </w:tcPr>
          <w:p>
            <w:pPr>
              <w:spacing w:after="0"/>
              <w:rPr>
                <w:sz w:val="12"/>
                <w:szCs w:val="12"/>
                <w:color w:val="auto"/>
              </w:rPr>
            </w:pPr>
          </w:p>
        </w:tc>
        <w:tc>
          <w:tcPr>
            <w:tcW w:w="960" w:type="dxa"/>
            <w:vAlign w:val="bottom"/>
            <w:tcBorders>
              <w:bottom w:val="single" w:sz="8" w:color="auto"/>
            </w:tcBorders>
            <w:gridSpan w:val="2"/>
          </w:tcPr>
          <w:p>
            <w:pPr>
              <w:jc w:val="center"/>
              <w:ind w:right="400"/>
              <w:spacing w:after="0" w:line="142" w:lineRule="exact"/>
              <w:rPr>
                <w:sz w:val="20"/>
                <w:szCs w:val="20"/>
                <w:color w:val="auto"/>
              </w:rPr>
            </w:pPr>
            <w:r>
              <w:rPr>
                <w:rFonts w:ascii="Arial" w:cs="Arial" w:eastAsia="Arial" w:hAnsi="Arial"/>
                <w:sz w:val="14"/>
                <w:szCs w:val="14"/>
                <w:b w:val="1"/>
                <w:bCs w:val="1"/>
                <w:color w:val="auto"/>
                <w:w w:val="98"/>
              </w:rPr>
              <w:t>GAAP</w:t>
            </w:r>
          </w:p>
        </w:tc>
        <w:tc>
          <w:tcPr>
            <w:tcW w:w="560" w:type="dxa"/>
            <w:vAlign w:val="bottom"/>
            <w:tcBorders>
              <w:bottom w:val="single" w:sz="8" w:color="auto"/>
            </w:tcBorders>
          </w:tcPr>
          <w:p>
            <w:pPr>
              <w:spacing w:after="0"/>
              <w:rPr>
                <w:sz w:val="12"/>
                <w:szCs w:val="12"/>
                <w:color w:val="auto"/>
              </w:rPr>
            </w:pPr>
          </w:p>
        </w:tc>
        <w:tc>
          <w:tcPr>
            <w:tcW w:w="280" w:type="dxa"/>
            <w:vAlign w:val="bottom"/>
            <w:tcBorders>
              <w:bottom w:val="single" w:sz="8" w:color="auto"/>
            </w:tcBorders>
          </w:tcPr>
          <w:p>
            <w:pPr>
              <w:spacing w:after="0"/>
              <w:rPr>
                <w:sz w:val="12"/>
                <w:szCs w:val="12"/>
                <w:color w:val="auto"/>
              </w:rPr>
            </w:pPr>
          </w:p>
        </w:tc>
        <w:tc>
          <w:tcPr>
            <w:tcW w:w="580" w:type="dxa"/>
            <w:vAlign w:val="bottom"/>
            <w:tcBorders>
              <w:bottom w:val="single" w:sz="8" w:color="auto"/>
            </w:tcBorders>
          </w:tcPr>
          <w:p>
            <w:pPr>
              <w:spacing w:after="0"/>
              <w:rPr>
                <w:sz w:val="12"/>
                <w:szCs w:val="12"/>
                <w:color w:val="auto"/>
              </w:rPr>
            </w:pPr>
          </w:p>
        </w:tc>
        <w:tc>
          <w:tcPr>
            <w:tcW w:w="420" w:type="dxa"/>
            <w:vAlign w:val="bottom"/>
            <w:tcBorders>
              <w:bottom w:val="single" w:sz="8" w:color="auto"/>
            </w:tcBorders>
          </w:tcPr>
          <w:p>
            <w:pPr>
              <w:spacing w:after="0"/>
              <w:rPr>
                <w:sz w:val="12"/>
                <w:szCs w:val="12"/>
                <w:color w:val="auto"/>
              </w:rPr>
            </w:pPr>
          </w:p>
        </w:tc>
        <w:tc>
          <w:tcPr>
            <w:tcW w:w="420" w:type="dxa"/>
            <w:vAlign w:val="bottom"/>
          </w:tcPr>
          <w:p>
            <w:pPr>
              <w:spacing w:after="0"/>
              <w:rPr>
                <w:sz w:val="12"/>
                <w:szCs w:val="12"/>
                <w:color w:val="auto"/>
              </w:rPr>
            </w:pPr>
          </w:p>
        </w:tc>
      </w:tr>
      <w:tr>
        <w:trPr>
          <w:trHeight w:val="142"/>
        </w:trPr>
        <w:tc>
          <w:tcPr>
            <w:tcW w:w="5560" w:type="dxa"/>
            <w:vAlign w:val="bottom"/>
          </w:tcPr>
          <w:p>
            <w:pPr>
              <w:spacing w:after="0"/>
              <w:rPr>
                <w:sz w:val="12"/>
                <w:szCs w:val="12"/>
                <w:color w:val="auto"/>
              </w:rPr>
            </w:pPr>
          </w:p>
        </w:tc>
        <w:tc>
          <w:tcPr>
            <w:tcW w:w="840" w:type="dxa"/>
            <w:vAlign w:val="bottom"/>
            <w:gridSpan w:val="2"/>
          </w:tcPr>
          <w:p>
            <w:pPr>
              <w:jc w:val="right"/>
              <w:ind w:right="320"/>
              <w:spacing w:after="0" w:line="142" w:lineRule="exact"/>
              <w:rPr>
                <w:sz w:val="20"/>
                <w:szCs w:val="20"/>
                <w:color w:val="auto"/>
              </w:rPr>
            </w:pPr>
            <w:r>
              <w:rPr>
                <w:rFonts w:ascii="Arial" w:cs="Arial" w:eastAsia="Arial" w:hAnsi="Arial"/>
                <w:sz w:val="14"/>
                <w:szCs w:val="14"/>
                <w:b w:val="1"/>
                <w:bCs w:val="1"/>
                <w:color w:val="auto"/>
                <w:w w:val="93"/>
              </w:rPr>
              <w:t>Q2 2022</w:t>
            </w:r>
          </w:p>
        </w:tc>
        <w:tc>
          <w:tcPr>
            <w:tcW w:w="860" w:type="dxa"/>
            <w:vAlign w:val="bottom"/>
            <w:gridSpan w:val="2"/>
          </w:tcPr>
          <w:p>
            <w:pPr>
              <w:jc w:val="right"/>
              <w:ind w:right="320"/>
              <w:spacing w:after="0" w:line="142" w:lineRule="exact"/>
              <w:rPr>
                <w:sz w:val="20"/>
                <w:szCs w:val="20"/>
                <w:color w:val="auto"/>
              </w:rPr>
            </w:pPr>
            <w:r>
              <w:rPr>
                <w:rFonts w:ascii="Arial" w:cs="Arial" w:eastAsia="Arial" w:hAnsi="Arial"/>
                <w:sz w:val="14"/>
                <w:szCs w:val="14"/>
                <w:b w:val="1"/>
                <w:bCs w:val="1"/>
                <w:color w:val="auto"/>
                <w:w w:val="96"/>
              </w:rPr>
              <w:t>Q1 2022</w:t>
            </w:r>
          </w:p>
        </w:tc>
        <w:tc>
          <w:tcPr>
            <w:tcW w:w="1500" w:type="dxa"/>
            <w:vAlign w:val="bottom"/>
            <w:gridSpan w:val="3"/>
          </w:tcPr>
          <w:p>
            <w:pPr>
              <w:jc w:val="right"/>
              <w:ind w:right="640"/>
              <w:spacing w:after="0" w:line="142" w:lineRule="exact"/>
              <w:rPr>
                <w:sz w:val="20"/>
                <w:szCs w:val="20"/>
                <w:color w:val="auto"/>
              </w:rPr>
            </w:pPr>
            <w:r>
              <w:rPr>
                <w:rFonts w:ascii="Arial" w:cs="Arial" w:eastAsia="Arial" w:hAnsi="Arial"/>
                <w:sz w:val="14"/>
                <w:szCs w:val="14"/>
                <w:b w:val="1"/>
                <w:bCs w:val="1"/>
                <w:color w:val="auto"/>
              </w:rPr>
              <w:t>Q/Q change</w:t>
            </w:r>
          </w:p>
        </w:tc>
        <w:tc>
          <w:tcPr>
            <w:tcW w:w="840" w:type="dxa"/>
            <w:vAlign w:val="bottom"/>
            <w:gridSpan w:val="2"/>
          </w:tcPr>
          <w:p>
            <w:pPr>
              <w:jc w:val="right"/>
              <w:ind w:right="320"/>
              <w:spacing w:after="0" w:line="142" w:lineRule="exact"/>
              <w:rPr>
                <w:sz w:val="20"/>
                <w:szCs w:val="20"/>
                <w:color w:val="auto"/>
              </w:rPr>
            </w:pPr>
            <w:r>
              <w:rPr>
                <w:rFonts w:ascii="Arial" w:cs="Arial" w:eastAsia="Arial" w:hAnsi="Arial"/>
                <w:sz w:val="14"/>
                <w:szCs w:val="14"/>
                <w:b w:val="1"/>
                <w:bCs w:val="1"/>
                <w:color w:val="auto"/>
                <w:w w:val="93"/>
              </w:rPr>
              <w:t>Q2 2021</w:t>
            </w:r>
          </w:p>
        </w:tc>
        <w:tc>
          <w:tcPr>
            <w:tcW w:w="1000" w:type="dxa"/>
            <w:vAlign w:val="bottom"/>
            <w:gridSpan w:val="2"/>
          </w:tcPr>
          <w:p>
            <w:pPr>
              <w:ind w:left="140"/>
              <w:spacing w:after="0" w:line="142" w:lineRule="exact"/>
              <w:rPr>
                <w:sz w:val="20"/>
                <w:szCs w:val="20"/>
                <w:color w:val="auto"/>
              </w:rPr>
            </w:pPr>
            <w:r>
              <w:rPr>
                <w:rFonts w:ascii="Arial" w:cs="Arial" w:eastAsia="Arial" w:hAnsi="Arial"/>
                <w:sz w:val="14"/>
                <w:szCs w:val="14"/>
                <w:b w:val="1"/>
                <w:bCs w:val="1"/>
                <w:color w:val="auto"/>
              </w:rPr>
              <w:t>Y/Y change</w:t>
            </w:r>
          </w:p>
        </w:tc>
        <w:tc>
          <w:tcPr>
            <w:tcW w:w="420" w:type="dxa"/>
            <w:vAlign w:val="bottom"/>
          </w:tcPr>
          <w:p>
            <w:pPr>
              <w:spacing w:after="0"/>
              <w:rPr>
                <w:sz w:val="12"/>
                <w:szCs w:val="12"/>
                <w:color w:val="auto"/>
              </w:rPr>
            </w:pPr>
          </w:p>
        </w:tc>
      </w:tr>
      <w:tr>
        <w:trPr>
          <w:trHeight w:val="210"/>
        </w:trPr>
        <w:tc>
          <w:tcPr>
            <w:tcW w:w="556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Revenues</w:t>
            </w:r>
          </w:p>
        </w:tc>
        <w:tc>
          <w:tcPr>
            <w:tcW w:w="560" w:type="dxa"/>
            <w:vAlign w:val="bottom"/>
            <w:tcBorders>
              <w:top w:val="single" w:sz="8" w:color="auto"/>
            </w:tcBorders>
            <w:shd w:val="clear" w:color="auto" w:fill="CCEEFF"/>
          </w:tcPr>
          <w:p>
            <w:pPr>
              <w:spacing w:after="0"/>
              <w:rPr>
                <w:sz w:val="18"/>
                <w:szCs w:val="18"/>
                <w:color w:val="auto"/>
              </w:rPr>
            </w:pPr>
          </w:p>
        </w:tc>
        <w:tc>
          <w:tcPr>
            <w:tcW w:w="280" w:type="dxa"/>
            <w:vAlign w:val="bottom"/>
            <w:tcBorders>
              <w:top w:val="single" w:sz="8" w:color="CCEEFF"/>
            </w:tcBorders>
            <w:shd w:val="clear" w:color="auto" w:fill="CCEEFF"/>
          </w:tcPr>
          <w:p>
            <w:pPr>
              <w:spacing w:after="0"/>
              <w:rPr>
                <w:sz w:val="18"/>
                <w:szCs w:val="18"/>
                <w:color w:val="auto"/>
              </w:rPr>
            </w:pPr>
          </w:p>
        </w:tc>
        <w:tc>
          <w:tcPr>
            <w:tcW w:w="560" w:type="dxa"/>
            <w:vAlign w:val="bottom"/>
            <w:tcBorders>
              <w:top w:val="single" w:sz="8" w:color="auto"/>
            </w:tcBorders>
            <w:shd w:val="clear" w:color="auto" w:fill="CCEEFF"/>
          </w:tcPr>
          <w:p>
            <w:pPr>
              <w:spacing w:after="0"/>
              <w:rPr>
                <w:sz w:val="18"/>
                <w:szCs w:val="18"/>
                <w:color w:val="auto"/>
              </w:rPr>
            </w:pPr>
          </w:p>
        </w:tc>
        <w:tc>
          <w:tcPr>
            <w:tcW w:w="300" w:type="dxa"/>
            <w:vAlign w:val="bottom"/>
            <w:tcBorders>
              <w:top w:val="single" w:sz="8" w:color="CCEEFF"/>
            </w:tcBorders>
            <w:shd w:val="clear" w:color="auto" w:fill="CCEEFF"/>
          </w:tcPr>
          <w:p>
            <w:pPr>
              <w:spacing w:after="0"/>
              <w:rPr>
                <w:sz w:val="18"/>
                <w:szCs w:val="18"/>
                <w:color w:val="auto"/>
              </w:rPr>
            </w:pPr>
          </w:p>
        </w:tc>
        <w:tc>
          <w:tcPr>
            <w:tcW w:w="540" w:type="dxa"/>
            <w:vAlign w:val="bottom"/>
            <w:tcBorders>
              <w:top w:val="single" w:sz="8" w:color="auto"/>
            </w:tcBorders>
            <w:shd w:val="clear" w:color="auto" w:fill="CCEEFF"/>
          </w:tcPr>
          <w:p>
            <w:pPr>
              <w:spacing w:after="0"/>
              <w:rPr>
                <w:sz w:val="18"/>
                <w:szCs w:val="18"/>
                <w:color w:val="auto"/>
              </w:rPr>
            </w:pPr>
          </w:p>
        </w:tc>
        <w:tc>
          <w:tcPr>
            <w:tcW w:w="460" w:type="dxa"/>
            <w:vAlign w:val="bottom"/>
            <w:tcBorders>
              <w:top w:val="single" w:sz="8" w:color="auto"/>
            </w:tcBorders>
            <w:shd w:val="clear" w:color="auto" w:fill="CCEEFF"/>
          </w:tcPr>
          <w:p>
            <w:pPr>
              <w:spacing w:after="0"/>
              <w:rPr>
                <w:sz w:val="18"/>
                <w:szCs w:val="18"/>
                <w:color w:val="auto"/>
              </w:rPr>
            </w:pPr>
          </w:p>
        </w:tc>
        <w:tc>
          <w:tcPr>
            <w:tcW w:w="500" w:type="dxa"/>
            <w:vAlign w:val="bottom"/>
            <w:tcBorders>
              <w:top w:val="single" w:sz="8" w:color="CCEEFF"/>
            </w:tcBorders>
            <w:shd w:val="clear" w:color="auto" w:fill="CCEEFF"/>
          </w:tcPr>
          <w:p>
            <w:pPr>
              <w:spacing w:after="0"/>
              <w:rPr>
                <w:sz w:val="18"/>
                <w:szCs w:val="18"/>
                <w:color w:val="auto"/>
              </w:rPr>
            </w:pPr>
          </w:p>
        </w:tc>
        <w:tc>
          <w:tcPr>
            <w:tcW w:w="560" w:type="dxa"/>
            <w:vAlign w:val="bottom"/>
            <w:tcBorders>
              <w:top w:val="single" w:sz="8" w:color="auto"/>
            </w:tcBorders>
            <w:shd w:val="clear" w:color="auto" w:fill="CCEEFF"/>
          </w:tcPr>
          <w:p>
            <w:pPr>
              <w:spacing w:after="0"/>
              <w:rPr>
                <w:sz w:val="18"/>
                <w:szCs w:val="18"/>
                <w:color w:val="auto"/>
              </w:rPr>
            </w:pPr>
          </w:p>
        </w:tc>
        <w:tc>
          <w:tcPr>
            <w:tcW w:w="280" w:type="dxa"/>
            <w:vAlign w:val="bottom"/>
            <w:tcBorders>
              <w:top w:val="single" w:sz="8" w:color="CCEEFF"/>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spacing w:after="0"/>
              <w:rPr>
                <w:sz w:val="18"/>
                <w:szCs w:val="18"/>
                <w:color w:val="auto"/>
              </w:rPr>
            </w:pPr>
          </w:p>
        </w:tc>
        <w:tc>
          <w:tcPr>
            <w:tcW w:w="420" w:type="dxa"/>
            <w:vAlign w:val="bottom"/>
            <w:tcBorders>
              <w:top w:val="single" w:sz="8" w:color="auto"/>
            </w:tcBorders>
            <w:shd w:val="clear" w:color="auto" w:fill="CCEEFF"/>
          </w:tcPr>
          <w:p>
            <w:pPr>
              <w:spacing w:after="0"/>
              <w:rPr>
                <w:sz w:val="18"/>
                <w:szCs w:val="18"/>
                <w:color w:val="auto"/>
              </w:rPr>
            </w:pPr>
          </w:p>
        </w:tc>
        <w:tc>
          <w:tcPr>
            <w:tcW w:w="420" w:type="dxa"/>
            <w:vAlign w:val="bottom"/>
            <w:tcBorders>
              <w:top w:val="single" w:sz="8" w:color="CCEEFF"/>
            </w:tcBorders>
            <w:shd w:val="clear" w:color="auto" w:fill="CCEEFF"/>
          </w:tcPr>
          <w:p>
            <w:pPr>
              <w:spacing w:after="0"/>
              <w:rPr>
                <w:sz w:val="18"/>
                <w:szCs w:val="18"/>
                <w:color w:val="auto"/>
              </w:rPr>
            </w:pPr>
          </w:p>
        </w:tc>
      </w:tr>
      <w:tr>
        <w:trPr>
          <w:trHeight w:val="216"/>
        </w:trPr>
        <w:tc>
          <w:tcPr>
            <w:tcW w:w="5560" w:type="dxa"/>
            <w:vAlign w:val="bottom"/>
          </w:tcPr>
          <w:p>
            <w:pPr>
              <w:spacing w:after="0"/>
              <w:rPr>
                <w:sz w:val="20"/>
                <w:szCs w:val="20"/>
                <w:color w:val="auto"/>
              </w:rPr>
            </w:pPr>
            <w:r>
              <w:rPr>
                <w:rFonts w:ascii="Arial" w:cs="Arial" w:eastAsia="Arial" w:hAnsi="Arial"/>
                <w:sz w:val="18"/>
                <w:szCs w:val="18"/>
                <w:color w:val="auto"/>
              </w:rPr>
              <w:t>Standard Products Business</w:t>
            </w:r>
          </w:p>
        </w:tc>
        <w:tc>
          <w:tcPr>
            <w:tcW w:w="5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420" w:type="dxa"/>
            <w:vAlign w:val="bottom"/>
          </w:tcPr>
          <w:p>
            <w:pPr>
              <w:spacing w:after="0"/>
              <w:rPr>
                <w:sz w:val="18"/>
                <w:szCs w:val="18"/>
                <w:color w:val="auto"/>
              </w:rPr>
            </w:pPr>
          </w:p>
        </w:tc>
      </w:tr>
      <w:tr>
        <w:trPr>
          <w:trHeight w:val="216"/>
        </w:trPr>
        <w:tc>
          <w:tcPr>
            <w:tcW w:w="5560" w:type="dxa"/>
            <w:vAlign w:val="bottom"/>
            <w:shd w:val="clear" w:color="auto" w:fill="CCEEFF"/>
          </w:tcPr>
          <w:p>
            <w:pPr>
              <w:spacing w:after="0"/>
              <w:rPr>
                <w:sz w:val="20"/>
                <w:szCs w:val="20"/>
                <w:color w:val="auto"/>
              </w:rPr>
            </w:pPr>
            <w:r>
              <w:rPr>
                <w:rFonts w:ascii="Arial" w:cs="Arial" w:eastAsia="Arial" w:hAnsi="Arial"/>
                <w:sz w:val="18"/>
                <w:szCs w:val="18"/>
                <w:color w:val="auto"/>
              </w:rPr>
              <w:t>Display Solutions</w:t>
            </w:r>
          </w:p>
        </w:tc>
        <w:tc>
          <w:tcPr>
            <w:tcW w:w="8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w w:val="98"/>
              </w:rPr>
              <w:t>28,336</w:t>
            </w:r>
          </w:p>
        </w:tc>
        <w:tc>
          <w:tcPr>
            <w:tcW w:w="8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w w:val="98"/>
              </w:rPr>
              <w:t>29,185</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down</w:t>
            </w:r>
          </w:p>
        </w:tc>
        <w:tc>
          <w:tcPr>
            <w:tcW w:w="96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2.9%</w:t>
            </w:r>
          </w:p>
        </w:tc>
        <w:tc>
          <w:tcPr>
            <w:tcW w:w="8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w w:val="98"/>
              </w:rPr>
              <w:t>46,601</w:t>
            </w:r>
          </w:p>
        </w:tc>
        <w:tc>
          <w:tcPr>
            <w:tcW w:w="580" w:type="dxa"/>
            <w:vAlign w:val="bottom"/>
            <w:shd w:val="clear" w:color="auto" w:fill="CCEEFF"/>
          </w:tcPr>
          <w:p>
            <w:pPr>
              <w:jc w:val="right"/>
              <w:ind w:right="33"/>
              <w:spacing w:after="0"/>
              <w:rPr>
                <w:sz w:val="20"/>
                <w:szCs w:val="20"/>
                <w:color w:val="auto"/>
              </w:rPr>
            </w:pPr>
            <w:r>
              <w:rPr>
                <w:rFonts w:ascii="Arial" w:cs="Arial" w:eastAsia="Arial" w:hAnsi="Arial"/>
                <w:sz w:val="18"/>
                <w:szCs w:val="18"/>
                <w:color w:val="auto"/>
              </w:rPr>
              <w:t>down</w:t>
            </w:r>
          </w:p>
        </w:tc>
        <w:tc>
          <w:tcPr>
            <w:tcW w:w="8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39.2%</w:t>
            </w:r>
          </w:p>
        </w:tc>
      </w:tr>
      <w:tr>
        <w:trPr>
          <w:trHeight w:val="216"/>
        </w:trPr>
        <w:tc>
          <w:tcPr>
            <w:tcW w:w="5560" w:type="dxa"/>
            <w:vAlign w:val="bottom"/>
          </w:tcPr>
          <w:p>
            <w:pPr>
              <w:spacing w:after="0"/>
              <w:rPr>
                <w:sz w:val="20"/>
                <w:szCs w:val="20"/>
                <w:color w:val="auto"/>
              </w:rPr>
            </w:pPr>
            <w:r>
              <w:rPr>
                <w:rFonts w:ascii="Arial" w:cs="Arial" w:eastAsia="Arial" w:hAnsi="Arial"/>
                <w:sz w:val="18"/>
                <w:szCs w:val="18"/>
                <w:color w:val="auto"/>
              </w:rPr>
              <w:t>Power Solutions</w:t>
            </w:r>
          </w:p>
        </w:tc>
        <w:tc>
          <w:tcPr>
            <w:tcW w:w="840" w:type="dxa"/>
            <w:vAlign w:val="bottom"/>
            <w:gridSpan w:val="2"/>
          </w:tcPr>
          <w:p>
            <w:pPr>
              <w:jc w:val="right"/>
              <w:ind w:right="280"/>
              <w:spacing w:after="0"/>
              <w:rPr>
                <w:sz w:val="20"/>
                <w:szCs w:val="20"/>
                <w:color w:val="auto"/>
              </w:rPr>
            </w:pPr>
            <w:r>
              <w:rPr>
                <w:rFonts w:ascii="Arial" w:cs="Arial" w:eastAsia="Arial" w:hAnsi="Arial"/>
                <w:sz w:val="18"/>
                <w:szCs w:val="18"/>
                <w:color w:val="auto"/>
                <w:w w:val="98"/>
              </w:rPr>
              <w:t>62,952</w:t>
            </w:r>
          </w:p>
        </w:tc>
        <w:tc>
          <w:tcPr>
            <w:tcW w:w="860" w:type="dxa"/>
            <w:vAlign w:val="bottom"/>
            <w:gridSpan w:val="2"/>
          </w:tcPr>
          <w:p>
            <w:pPr>
              <w:jc w:val="right"/>
              <w:ind w:right="300"/>
              <w:spacing w:after="0"/>
              <w:rPr>
                <w:sz w:val="20"/>
                <w:szCs w:val="20"/>
                <w:color w:val="auto"/>
              </w:rPr>
            </w:pPr>
            <w:r>
              <w:rPr>
                <w:rFonts w:ascii="Arial" w:cs="Arial" w:eastAsia="Arial" w:hAnsi="Arial"/>
                <w:sz w:val="18"/>
                <w:szCs w:val="18"/>
                <w:color w:val="auto"/>
                <w:w w:val="98"/>
              </w:rPr>
              <w:t>64,825</w:t>
            </w:r>
          </w:p>
        </w:tc>
        <w:tc>
          <w:tcPr>
            <w:tcW w:w="540" w:type="dxa"/>
            <w:vAlign w:val="bottom"/>
          </w:tcPr>
          <w:p>
            <w:pPr>
              <w:jc w:val="right"/>
              <w:spacing w:after="0"/>
              <w:rPr>
                <w:sz w:val="20"/>
                <w:szCs w:val="20"/>
                <w:color w:val="auto"/>
              </w:rPr>
            </w:pPr>
            <w:r>
              <w:rPr>
                <w:rFonts w:ascii="Arial" w:cs="Arial" w:eastAsia="Arial" w:hAnsi="Arial"/>
                <w:sz w:val="18"/>
                <w:szCs w:val="18"/>
                <w:color w:val="auto"/>
              </w:rPr>
              <w:t>down</w:t>
            </w:r>
          </w:p>
        </w:tc>
        <w:tc>
          <w:tcPr>
            <w:tcW w:w="960" w:type="dxa"/>
            <w:vAlign w:val="bottom"/>
            <w:gridSpan w:val="2"/>
          </w:tcPr>
          <w:p>
            <w:pPr>
              <w:jc w:val="right"/>
              <w:ind w:right="360"/>
              <w:spacing w:after="0"/>
              <w:rPr>
                <w:sz w:val="20"/>
                <w:szCs w:val="20"/>
                <w:color w:val="auto"/>
              </w:rPr>
            </w:pPr>
            <w:r>
              <w:rPr>
                <w:rFonts w:ascii="Arial" w:cs="Arial" w:eastAsia="Arial" w:hAnsi="Arial"/>
                <w:sz w:val="18"/>
                <w:szCs w:val="18"/>
                <w:color w:val="auto"/>
              </w:rPr>
              <w:t>2.9%</w:t>
            </w:r>
          </w:p>
        </w:tc>
        <w:tc>
          <w:tcPr>
            <w:tcW w:w="840" w:type="dxa"/>
            <w:vAlign w:val="bottom"/>
            <w:gridSpan w:val="2"/>
          </w:tcPr>
          <w:p>
            <w:pPr>
              <w:jc w:val="right"/>
              <w:ind w:right="280"/>
              <w:spacing w:after="0"/>
              <w:rPr>
                <w:sz w:val="20"/>
                <w:szCs w:val="20"/>
                <w:color w:val="auto"/>
              </w:rPr>
            </w:pPr>
            <w:r>
              <w:rPr>
                <w:rFonts w:ascii="Arial" w:cs="Arial" w:eastAsia="Arial" w:hAnsi="Arial"/>
                <w:sz w:val="18"/>
                <w:szCs w:val="18"/>
                <w:color w:val="auto"/>
                <w:w w:val="98"/>
              </w:rPr>
              <w:t>56,667</w:t>
            </w:r>
          </w:p>
        </w:tc>
        <w:tc>
          <w:tcPr>
            <w:tcW w:w="580" w:type="dxa"/>
            <w:vAlign w:val="bottom"/>
          </w:tcPr>
          <w:p>
            <w:pPr>
              <w:jc w:val="right"/>
              <w:ind w:right="33"/>
              <w:spacing w:after="0"/>
              <w:rPr>
                <w:sz w:val="20"/>
                <w:szCs w:val="20"/>
                <w:color w:val="auto"/>
              </w:rPr>
            </w:pPr>
            <w:r>
              <w:rPr>
                <w:rFonts w:ascii="Arial" w:cs="Arial" w:eastAsia="Arial" w:hAnsi="Arial"/>
                <w:sz w:val="18"/>
                <w:szCs w:val="18"/>
                <w:color w:val="auto"/>
              </w:rPr>
              <w:t>up</w:t>
            </w:r>
          </w:p>
        </w:tc>
        <w:tc>
          <w:tcPr>
            <w:tcW w:w="840" w:type="dxa"/>
            <w:vAlign w:val="bottom"/>
            <w:gridSpan w:val="2"/>
          </w:tcPr>
          <w:p>
            <w:pPr>
              <w:jc w:val="right"/>
              <w:ind w:right="260"/>
              <w:spacing w:after="0"/>
              <w:rPr>
                <w:sz w:val="20"/>
                <w:szCs w:val="20"/>
                <w:color w:val="auto"/>
              </w:rPr>
            </w:pPr>
            <w:r>
              <w:rPr>
                <w:rFonts w:ascii="Arial" w:cs="Arial" w:eastAsia="Arial" w:hAnsi="Arial"/>
                <w:sz w:val="18"/>
                <w:szCs w:val="18"/>
                <w:color w:val="auto"/>
              </w:rPr>
              <w:t>11.1%</w:t>
            </w:r>
          </w:p>
        </w:tc>
      </w:tr>
      <w:tr>
        <w:trPr>
          <w:trHeight w:val="216"/>
        </w:trPr>
        <w:tc>
          <w:tcPr>
            <w:tcW w:w="5560" w:type="dxa"/>
            <w:vAlign w:val="bottom"/>
            <w:shd w:val="clear" w:color="auto" w:fill="CCEEFF"/>
          </w:tcPr>
          <w:p>
            <w:pPr>
              <w:spacing w:after="0" w:line="216" w:lineRule="exact"/>
              <w:rPr>
                <w:sz w:val="20"/>
                <w:szCs w:val="20"/>
                <w:color w:val="auto"/>
              </w:rPr>
            </w:pPr>
            <w:r>
              <w:rPr>
                <w:rFonts w:ascii="Arial" w:cs="Arial" w:eastAsia="Arial" w:hAnsi="Arial"/>
                <w:sz w:val="17"/>
                <w:szCs w:val="17"/>
                <w:color w:val="auto"/>
              </w:rPr>
              <w:t>Transitional Fab 3 foundry services</w:t>
            </w:r>
            <w:r>
              <w:rPr>
                <w:rFonts w:ascii="Arial" w:cs="Arial" w:eastAsia="Arial" w:hAnsi="Arial"/>
                <w:sz w:val="25"/>
                <w:szCs w:val="25"/>
                <w:color w:val="auto"/>
                <w:vertAlign w:val="superscript"/>
              </w:rPr>
              <w:t>(1)</w:t>
            </w:r>
          </w:p>
        </w:tc>
        <w:tc>
          <w:tcPr>
            <w:tcW w:w="8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w w:val="98"/>
              </w:rPr>
              <w:t>10,088</w:t>
            </w:r>
          </w:p>
        </w:tc>
        <w:tc>
          <w:tcPr>
            <w:tcW w:w="8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w w:val="98"/>
              </w:rPr>
              <w:t>10,083</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up</w:t>
            </w:r>
          </w:p>
        </w:tc>
        <w:tc>
          <w:tcPr>
            <w:tcW w:w="96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0.0%</w:t>
            </w:r>
          </w:p>
        </w:tc>
        <w:tc>
          <w:tcPr>
            <w:tcW w:w="8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w w:val="98"/>
              </w:rPr>
              <w:t>10,608</w:t>
            </w:r>
          </w:p>
        </w:tc>
        <w:tc>
          <w:tcPr>
            <w:tcW w:w="580" w:type="dxa"/>
            <w:vAlign w:val="bottom"/>
            <w:shd w:val="clear" w:color="auto" w:fill="CCEEFF"/>
          </w:tcPr>
          <w:p>
            <w:pPr>
              <w:jc w:val="right"/>
              <w:ind w:right="33"/>
              <w:spacing w:after="0"/>
              <w:rPr>
                <w:sz w:val="20"/>
                <w:szCs w:val="20"/>
                <w:color w:val="auto"/>
              </w:rPr>
            </w:pPr>
            <w:r>
              <w:rPr>
                <w:rFonts w:ascii="Arial" w:cs="Arial" w:eastAsia="Arial" w:hAnsi="Arial"/>
                <w:sz w:val="18"/>
                <w:szCs w:val="18"/>
                <w:color w:val="auto"/>
              </w:rPr>
              <w:t>down</w:t>
            </w:r>
          </w:p>
        </w:tc>
        <w:tc>
          <w:tcPr>
            <w:tcW w:w="8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4.9%</w:t>
            </w:r>
          </w:p>
        </w:tc>
      </w:tr>
      <w:tr>
        <w:trPr>
          <w:trHeight w:val="216"/>
        </w:trPr>
        <w:tc>
          <w:tcPr>
            <w:tcW w:w="5560" w:type="dxa"/>
            <w:vAlign w:val="bottom"/>
          </w:tcPr>
          <w:p>
            <w:pPr>
              <w:spacing w:after="0"/>
              <w:rPr>
                <w:sz w:val="20"/>
                <w:szCs w:val="20"/>
                <w:color w:val="auto"/>
              </w:rPr>
            </w:pPr>
            <w:r>
              <w:rPr>
                <w:rFonts w:ascii="Arial" w:cs="Arial" w:eastAsia="Arial" w:hAnsi="Arial"/>
                <w:sz w:val="18"/>
                <w:szCs w:val="18"/>
                <w:b w:val="1"/>
                <w:bCs w:val="1"/>
                <w:color w:val="auto"/>
              </w:rPr>
              <w:t>Gross Profit Margin</w:t>
            </w:r>
          </w:p>
        </w:tc>
        <w:tc>
          <w:tcPr>
            <w:tcW w:w="840" w:type="dxa"/>
            <w:vAlign w:val="bottom"/>
            <w:gridSpan w:val="2"/>
          </w:tcPr>
          <w:p>
            <w:pPr>
              <w:jc w:val="right"/>
              <w:ind w:right="140"/>
              <w:spacing w:after="0"/>
              <w:rPr>
                <w:sz w:val="20"/>
                <w:szCs w:val="20"/>
                <w:color w:val="auto"/>
              </w:rPr>
            </w:pPr>
            <w:r>
              <w:rPr>
                <w:rFonts w:ascii="Arial" w:cs="Arial" w:eastAsia="Arial" w:hAnsi="Arial"/>
                <w:sz w:val="18"/>
                <w:szCs w:val="18"/>
                <w:color w:val="auto"/>
              </w:rPr>
              <w:t>28.6%</w:t>
            </w:r>
          </w:p>
        </w:tc>
        <w:tc>
          <w:tcPr>
            <w:tcW w:w="860" w:type="dxa"/>
            <w:vAlign w:val="bottom"/>
            <w:gridSpan w:val="2"/>
          </w:tcPr>
          <w:p>
            <w:pPr>
              <w:jc w:val="right"/>
              <w:ind w:right="140"/>
              <w:spacing w:after="0"/>
              <w:rPr>
                <w:sz w:val="20"/>
                <w:szCs w:val="20"/>
                <w:color w:val="auto"/>
              </w:rPr>
            </w:pPr>
            <w:r>
              <w:rPr>
                <w:rFonts w:ascii="Arial" w:cs="Arial" w:eastAsia="Arial" w:hAnsi="Arial"/>
                <w:sz w:val="18"/>
                <w:szCs w:val="18"/>
                <w:color w:val="auto"/>
              </w:rPr>
              <w:t>37.5%</w:t>
            </w:r>
          </w:p>
        </w:tc>
        <w:tc>
          <w:tcPr>
            <w:tcW w:w="540" w:type="dxa"/>
            <w:vAlign w:val="bottom"/>
          </w:tcPr>
          <w:p>
            <w:pPr>
              <w:jc w:val="right"/>
              <w:spacing w:after="0"/>
              <w:rPr>
                <w:sz w:val="20"/>
                <w:szCs w:val="20"/>
                <w:color w:val="auto"/>
              </w:rPr>
            </w:pPr>
            <w:r>
              <w:rPr>
                <w:rFonts w:ascii="Arial" w:cs="Arial" w:eastAsia="Arial" w:hAnsi="Arial"/>
                <w:sz w:val="18"/>
                <w:szCs w:val="18"/>
                <w:color w:val="auto"/>
              </w:rPr>
              <w:t>down</w:t>
            </w:r>
          </w:p>
        </w:tc>
        <w:tc>
          <w:tcPr>
            <w:tcW w:w="960" w:type="dxa"/>
            <w:vAlign w:val="bottom"/>
            <w:gridSpan w:val="2"/>
          </w:tcPr>
          <w:p>
            <w:pPr>
              <w:jc w:val="right"/>
              <w:ind w:right="140"/>
              <w:spacing w:after="0"/>
              <w:rPr>
                <w:sz w:val="20"/>
                <w:szCs w:val="20"/>
                <w:color w:val="auto"/>
              </w:rPr>
            </w:pPr>
            <w:r>
              <w:rPr>
                <w:rFonts w:ascii="Arial" w:cs="Arial" w:eastAsia="Arial" w:hAnsi="Arial"/>
                <w:sz w:val="18"/>
                <w:szCs w:val="18"/>
                <w:color w:val="auto"/>
              </w:rPr>
              <w:t>8.9%pts</w:t>
            </w:r>
          </w:p>
        </w:tc>
        <w:tc>
          <w:tcPr>
            <w:tcW w:w="840" w:type="dxa"/>
            <w:vAlign w:val="bottom"/>
            <w:gridSpan w:val="2"/>
          </w:tcPr>
          <w:p>
            <w:pPr>
              <w:jc w:val="right"/>
              <w:ind w:right="140"/>
              <w:spacing w:after="0"/>
              <w:rPr>
                <w:sz w:val="20"/>
                <w:szCs w:val="20"/>
                <w:color w:val="auto"/>
              </w:rPr>
            </w:pPr>
            <w:r>
              <w:rPr>
                <w:rFonts w:ascii="Arial" w:cs="Arial" w:eastAsia="Arial" w:hAnsi="Arial"/>
                <w:sz w:val="18"/>
                <w:szCs w:val="18"/>
                <w:color w:val="auto"/>
              </w:rPr>
              <w:t>29.8%</w:t>
            </w:r>
          </w:p>
        </w:tc>
        <w:tc>
          <w:tcPr>
            <w:tcW w:w="580" w:type="dxa"/>
            <w:vAlign w:val="bottom"/>
          </w:tcPr>
          <w:p>
            <w:pPr>
              <w:jc w:val="right"/>
              <w:ind w:right="33"/>
              <w:spacing w:after="0"/>
              <w:rPr>
                <w:sz w:val="20"/>
                <w:szCs w:val="20"/>
                <w:color w:val="auto"/>
              </w:rPr>
            </w:pPr>
            <w:r>
              <w:rPr>
                <w:rFonts w:ascii="Arial" w:cs="Arial" w:eastAsia="Arial" w:hAnsi="Arial"/>
                <w:sz w:val="18"/>
                <w:szCs w:val="18"/>
                <w:color w:val="auto"/>
              </w:rPr>
              <w:t>down</w:t>
            </w:r>
          </w:p>
        </w:tc>
        <w:tc>
          <w:tcPr>
            <w:tcW w:w="840" w:type="dxa"/>
            <w:vAlign w:val="bottom"/>
            <w:gridSpan w:val="2"/>
          </w:tcPr>
          <w:p>
            <w:pPr>
              <w:jc w:val="right"/>
              <w:ind w:right="60"/>
              <w:spacing w:after="0"/>
              <w:rPr>
                <w:sz w:val="20"/>
                <w:szCs w:val="20"/>
                <w:color w:val="auto"/>
              </w:rPr>
            </w:pPr>
            <w:r>
              <w:rPr>
                <w:rFonts w:ascii="Arial" w:cs="Arial" w:eastAsia="Arial" w:hAnsi="Arial"/>
                <w:sz w:val="18"/>
                <w:szCs w:val="18"/>
                <w:color w:val="auto"/>
              </w:rPr>
              <w:t>1.2%pts</w:t>
            </w:r>
          </w:p>
        </w:tc>
      </w:tr>
      <w:tr>
        <w:trPr>
          <w:trHeight w:val="216"/>
        </w:trPr>
        <w:tc>
          <w:tcPr>
            <w:tcW w:w="5560" w:type="dxa"/>
            <w:vAlign w:val="bottom"/>
            <w:shd w:val="clear" w:color="auto" w:fill="CCEEFF"/>
          </w:tcPr>
          <w:p>
            <w:pPr>
              <w:spacing w:after="0" w:line="216" w:lineRule="exact"/>
              <w:rPr>
                <w:sz w:val="20"/>
                <w:szCs w:val="20"/>
                <w:color w:val="auto"/>
              </w:rPr>
            </w:pPr>
            <w:r>
              <w:rPr>
                <w:rFonts w:ascii="Arial" w:cs="Arial" w:eastAsia="Arial" w:hAnsi="Arial"/>
                <w:sz w:val="17"/>
                <w:szCs w:val="17"/>
                <w:b w:val="1"/>
                <w:bCs w:val="1"/>
                <w:color w:val="auto"/>
              </w:rPr>
              <w:t>Operating Income</w:t>
            </w:r>
            <w:r>
              <w:rPr>
                <w:rFonts w:ascii="Arial" w:cs="Arial" w:eastAsia="Arial" w:hAnsi="Arial"/>
                <w:sz w:val="25"/>
                <w:szCs w:val="25"/>
                <w:color w:val="auto"/>
                <w:vertAlign w:val="superscript"/>
              </w:rPr>
              <w:t>(2)</w:t>
            </w:r>
          </w:p>
        </w:tc>
        <w:tc>
          <w:tcPr>
            <w:tcW w:w="8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2,002</w:t>
            </w:r>
          </w:p>
        </w:tc>
        <w:tc>
          <w:tcPr>
            <w:tcW w:w="8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w w:val="98"/>
              </w:rPr>
              <w:t>12,879</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down</w:t>
            </w:r>
          </w:p>
        </w:tc>
        <w:tc>
          <w:tcPr>
            <w:tcW w:w="96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84.5%</w:t>
            </w:r>
          </w:p>
        </w:tc>
        <w:tc>
          <w:tcPr>
            <w:tcW w:w="8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1,627</w:t>
            </w:r>
          </w:p>
        </w:tc>
        <w:tc>
          <w:tcPr>
            <w:tcW w:w="580" w:type="dxa"/>
            <w:vAlign w:val="bottom"/>
            <w:shd w:val="clear" w:color="auto" w:fill="CCEEFF"/>
          </w:tcPr>
          <w:p>
            <w:pPr>
              <w:jc w:val="right"/>
              <w:ind w:right="33"/>
              <w:spacing w:after="0"/>
              <w:rPr>
                <w:sz w:val="20"/>
                <w:szCs w:val="20"/>
                <w:color w:val="auto"/>
              </w:rPr>
            </w:pPr>
            <w:r>
              <w:rPr>
                <w:rFonts w:ascii="Arial" w:cs="Arial" w:eastAsia="Arial" w:hAnsi="Arial"/>
                <w:sz w:val="18"/>
                <w:szCs w:val="18"/>
                <w:color w:val="auto"/>
              </w:rPr>
              <w:t>up</w:t>
            </w:r>
          </w:p>
        </w:tc>
        <w:tc>
          <w:tcPr>
            <w:tcW w:w="8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23.0%</w:t>
            </w:r>
          </w:p>
        </w:tc>
      </w:tr>
      <w:tr>
        <w:trPr>
          <w:trHeight w:val="216"/>
        </w:trPr>
        <w:tc>
          <w:tcPr>
            <w:tcW w:w="5560" w:type="dxa"/>
            <w:vAlign w:val="bottom"/>
          </w:tcPr>
          <w:p>
            <w:pPr>
              <w:spacing w:after="0"/>
              <w:rPr>
                <w:sz w:val="20"/>
                <w:szCs w:val="20"/>
                <w:color w:val="auto"/>
              </w:rPr>
            </w:pPr>
            <w:r>
              <w:rPr>
                <w:rFonts w:ascii="Arial" w:cs="Arial" w:eastAsia="Arial" w:hAnsi="Arial"/>
                <w:sz w:val="18"/>
                <w:szCs w:val="18"/>
                <w:b w:val="1"/>
                <w:bCs w:val="1"/>
                <w:color w:val="auto"/>
              </w:rPr>
              <w:t>Net Income (Loss)</w:t>
            </w:r>
          </w:p>
        </w:tc>
        <w:tc>
          <w:tcPr>
            <w:tcW w:w="840" w:type="dxa"/>
            <w:vAlign w:val="bottom"/>
            <w:gridSpan w:val="2"/>
          </w:tcPr>
          <w:p>
            <w:pPr>
              <w:jc w:val="right"/>
              <w:ind w:right="220"/>
              <w:spacing w:after="0"/>
              <w:rPr>
                <w:sz w:val="20"/>
                <w:szCs w:val="20"/>
                <w:color w:val="auto"/>
              </w:rPr>
            </w:pPr>
            <w:r>
              <w:rPr>
                <w:rFonts w:ascii="Arial" w:cs="Arial" w:eastAsia="Arial" w:hAnsi="Arial"/>
                <w:sz w:val="18"/>
                <w:szCs w:val="18"/>
                <w:color w:val="auto"/>
              </w:rPr>
              <w:t>(3,340)</w:t>
            </w:r>
          </w:p>
        </w:tc>
        <w:tc>
          <w:tcPr>
            <w:tcW w:w="860" w:type="dxa"/>
            <w:vAlign w:val="bottom"/>
            <w:gridSpan w:val="2"/>
          </w:tcPr>
          <w:p>
            <w:pPr>
              <w:jc w:val="right"/>
              <w:ind w:right="300"/>
              <w:spacing w:after="0"/>
              <w:rPr>
                <w:sz w:val="20"/>
                <w:szCs w:val="20"/>
                <w:color w:val="auto"/>
              </w:rPr>
            </w:pPr>
            <w:r>
              <w:rPr>
                <w:rFonts w:ascii="Arial" w:cs="Arial" w:eastAsia="Arial" w:hAnsi="Arial"/>
                <w:sz w:val="18"/>
                <w:szCs w:val="18"/>
                <w:color w:val="auto"/>
              </w:rPr>
              <w:t>9,528</w:t>
            </w:r>
          </w:p>
        </w:tc>
        <w:tc>
          <w:tcPr>
            <w:tcW w:w="540" w:type="dxa"/>
            <w:vAlign w:val="bottom"/>
          </w:tcPr>
          <w:p>
            <w:pPr>
              <w:jc w:val="right"/>
              <w:spacing w:after="0"/>
              <w:rPr>
                <w:sz w:val="20"/>
                <w:szCs w:val="20"/>
                <w:color w:val="auto"/>
              </w:rPr>
            </w:pPr>
            <w:r>
              <w:rPr>
                <w:rFonts w:ascii="Arial" w:cs="Arial" w:eastAsia="Arial" w:hAnsi="Arial"/>
                <w:sz w:val="18"/>
                <w:szCs w:val="18"/>
                <w:color w:val="auto"/>
              </w:rPr>
              <w:t>down</w:t>
            </w:r>
          </w:p>
        </w:tc>
        <w:tc>
          <w:tcPr>
            <w:tcW w:w="960" w:type="dxa"/>
            <w:vAlign w:val="bottom"/>
            <w:gridSpan w:val="2"/>
          </w:tcPr>
          <w:p>
            <w:pPr>
              <w:jc w:val="right"/>
              <w:ind w:right="500"/>
              <w:spacing w:after="0"/>
              <w:rPr>
                <w:sz w:val="20"/>
                <w:szCs w:val="20"/>
                <w:color w:val="auto"/>
              </w:rPr>
            </w:pPr>
            <w:r>
              <w:rPr>
                <w:rFonts w:ascii="Arial" w:cs="Arial" w:eastAsia="Arial" w:hAnsi="Arial"/>
                <w:sz w:val="18"/>
                <w:szCs w:val="18"/>
                <w:color w:val="auto"/>
              </w:rPr>
              <w:t>n/a</w:t>
            </w:r>
          </w:p>
        </w:tc>
        <w:tc>
          <w:tcPr>
            <w:tcW w:w="840" w:type="dxa"/>
            <w:vAlign w:val="bottom"/>
            <w:gridSpan w:val="2"/>
          </w:tcPr>
          <w:p>
            <w:pPr>
              <w:jc w:val="right"/>
              <w:ind w:right="220"/>
              <w:spacing w:after="0"/>
              <w:rPr>
                <w:sz w:val="20"/>
                <w:szCs w:val="20"/>
                <w:color w:val="auto"/>
              </w:rPr>
            </w:pPr>
            <w:r>
              <w:rPr>
                <w:rFonts w:ascii="Arial" w:cs="Arial" w:eastAsia="Arial" w:hAnsi="Arial"/>
                <w:sz w:val="18"/>
                <w:szCs w:val="18"/>
                <w:color w:val="auto"/>
              </w:rPr>
              <w:t>(198)</w:t>
            </w:r>
          </w:p>
        </w:tc>
        <w:tc>
          <w:tcPr>
            <w:tcW w:w="580" w:type="dxa"/>
            <w:vAlign w:val="bottom"/>
          </w:tcPr>
          <w:p>
            <w:pPr>
              <w:jc w:val="right"/>
              <w:ind w:right="33"/>
              <w:spacing w:after="0"/>
              <w:rPr>
                <w:sz w:val="20"/>
                <w:szCs w:val="20"/>
                <w:color w:val="auto"/>
              </w:rPr>
            </w:pPr>
            <w:r>
              <w:rPr>
                <w:rFonts w:ascii="Arial" w:cs="Arial" w:eastAsia="Arial" w:hAnsi="Arial"/>
                <w:sz w:val="18"/>
                <w:szCs w:val="18"/>
                <w:color w:val="auto"/>
              </w:rPr>
              <w:t>down</w:t>
            </w:r>
          </w:p>
        </w:tc>
        <w:tc>
          <w:tcPr>
            <w:tcW w:w="840" w:type="dxa"/>
            <w:vAlign w:val="bottom"/>
            <w:gridSpan w:val="2"/>
          </w:tcPr>
          <w:p>
            <w:pPr>
              <w:jc w:val="right"/>
              <w:ind w:right="420"/>
              <w:spacing w:after="0"/>
              <w:rPr>
                <w:sz w:val="20"/>
                <w:szCs w:val="20"/>
                <w:color w:val="auto"/>
              </w:rPr>
            </w:pPr>
            <w:r>
              <w:rPr>
                <w:rFonts w:ascii="Arial" w:cs="Arial" w:eastAsia="Arial" w:hAnsi="Arial"/>
                <w:sz w:val="18"/>
                <w:szCs w:val="18"/>
                <w:color w:val="auto"/>
              </w:rPr>
              <w:t>n/a</w:t>
            </w:r>
          </w:p>
        </w:tc>
      </w:tr>
      <w:tr>
        <w:trPr>
          <w:trHeight w:val="216"/>
        </w:trPr>
        <w:tc>
          <w:tcPr>
            <w:tcW w:w="55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Basic Earnings (Loss) per Common Share</w:t>
            </w:r>
          </w:p>
        </w:tc>
        <w:tc>
          <w:tcPr>
            <w:tcW w:w="8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(0.07)</w:t>
            </w:r>
          </w:p>
        </w:tc>
        <w:tc>
          <w:tcPr>
            <w:tcW w:w="8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0.21</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down</w:t>
            </w:r>
          </w:p>
        </w:tc>
        <w:tc>
          <w:tcPr>
            <w:tcW w:w="96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n/a</w:t>
            </w:r>
          </w:p>
        </w:tc>
        <w:tc>
          <w:tcPr>
            <w:tcW w:w="8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(0.00)</w:t>
            </w:r>
          </w:p>
        </w:tc>
        <w:tc>
          <w:tcPr>
            <w:tcW w:w="580" w:type="dxa"/>
            <w:vAlign w:val="bottom"/>
            <w:shd w:val="clear" w:color="auto" w:fill="CCEEFF"/>
          </w:tcPr>
          <w:p>
            <w:pPr>
              <w:jc w:val="right"/>
              <w:ind w:right="33"/>
              <w:spacing w:after="0"/>
              <w:rPr>
                <w:sz w:val="20"/>
                <w:szCs w:val="20"/>
                <w:color w:val="auto"/>
              </w:rPr>
            </w:pPr>
            <w:r>
              <w:rPr>
                <w:rFonts w:ascii="Arial" w:cs="Arial" w:eastAsia="Arial" w:hAnsi="Arial"/>
                <w:sz w:val="18"/>
                <w:szCs w:val="18"/>
                <w:color w:val="auto"/>
              </w:rPr>
              <w:t>down</w:t>
            </w:r>
          </w:p>
        </w:tc>
        <w:tc>
          <w:tcPr>
            <w:tcW w:w="84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n/a</w:t>
            </w:r>
          </w:p>
        </w:tc>
      </w:tr>
      <w:tr>
        <w:trPr>
          <w:trHeight w:val="234"/>
        </w:trPr>
        <w:tc>
          <w:tcPr>
            <w:tcW w:w="5560" w:type="dxa"/>
            <w:vAlign w:val="bottom"/>
          </w:tcPr>
          <w:p>
            <w:pPr>
              <w:spacing w:after="0"/>
              <w:rPr>
                <w:sz w:val="20"/>
                <w:szCs w:val="20"/>
                <w:color w:val="auto"/>
              </w:rPr>
            </w:pPr>
            <w:r>
              <w:rPr>
                <w:rFonts w:ascii="Arial" w:cs="Arial" w:eastAsia="Arial" w:hAnsi="Arial"/>
                <w:sz w:val="18"/>
                <w:szCs w:val="18"/>
                <w:b w:val="1"/>
                <w:bCs w:val="1"/>
                <w:color w:val="auto"/>
              </w:rPr>
              <w:t>Diluted Earnings (Loss) per Common Share</w:t>
            </w:r>
          </w:p>
        </w:tc>
        <w:tc>
          <w:tcPr>
            <w:tcW w:w="840" w:type="dxa"/>
            <w:vAlign w:val="bottom"/>
            <w:gridSpan w:val="2"/>
          </w:tcPr>
          <w:p>
            <w:pPr>
              <w:jc w:val="right"/>
              <w:ind w:right="220"/>
              <w:spacing w:after="0"/>
              <w:rPr>
                <w:sz w:val="20"/>
                <w:szCs w:val="20"/>
                <w:color w:val="auto"/>
              </w:rPr>
            </w:pPr>
            <w:r>
              <w:rPr>
                <w:rFonts w:ascii="Arial" w:cs="Arial" w:eastAsia="Arial" w:hAnsi="Arial"/>
                <w:sz w:val="18"/>
                <w:szCs w:val="18"/>
                <w:color w:val="auto"/>
              </w:rPr>
              <w:t>(0.07)</w:t>
            </w:r>
          </w:p>
        </w:tc>
        <w:tc>
          <w:tcPr>
            <w:tcW w:w="860" w:type="dxa"/>
            <w:vAlign w:val="bottom"/>
            <w:gridSpan w:val="2"/>
          </w:tcPr>
          <w:p>
            <w:pPr>
              <w:jc w:val="right"/>
              <w:ind w:right="300"/>
              <w:spacing w:after="0"/>
              <w:rPr>
                <w:sz w:val="20"/>
                <w:szCs w:val="20"/>
                <w:color w:val="auto"/>
              </w:rPr>
            </w:pPr>
            <w:r>
              <w:rPr>
                <w:rFonts w:ascii="Arial" w:cs="Arial" w:eastAsia="Arial" w:hAnsi="Arial"/>
                <w:sz w:val="18"/>
                <w:szCs w:val="18"/>
                <w:color w:val="auto"/>
              </w:rPr>
              <w:t>0.20</w:t>
            </w:r>
          </w:p>
        </w:tc>
        <w:tc>
          <w:tcPr>
            <w:tcW w:w="540" w:type="dxa"/>
            <w:vAlign w:val="bottom"/>
          </w:tcPr>
          <w:p>
            <w:pPr>
              <w:jc w:val="right"/>
              <w:spacing w:after="0"/>
              <w:rPr>
                <w:sz w:val="20"/>
                <w:szCs w:val="20"/>
                <w:color w:val="auto"/>
              </w:rPr>
            </w:pPr>
            <w:r>
              <w:rPr>
                <w:rFonts w:ascii="Arial" w:cs="Arial" w:eastAsia="Arial" w:hAnsi="Arial"/>
                <w:sz w:val="18"/>
                <w:szCs w:val="18"/>
                <w:color w:val="auto"/>
              </w:rPr>
              <w:t>down</w:t>
            </w:r>
          </w:p>
        </w:tc>
        <w:tc>
          <w:tcPr>
            <w:tcW w:w="960" w:type="dxa"/>
            <w:vAlign w:val="bottom"/>
            <w:gridSpan w:val="2"/>
          </w:tcPr>
          <w:p>
            <w:pPr>
              <w:jc w:val="right"/>
              <w:ind w:right="500"/>
              <w:spacing w:after="0"/>
              <w:rPr>
                <w:sz w:val="20"/>
                <w:szCs w:val="20"/>
                <w:color w:val="auto"/>
              </w:rPr>
            </w:pPr>
            <w:r>
              <w:rPr>
                <w:rFonts w:ascii="Arial" w:cs="Arial" w:eastAsia="Arial" w:hAnsi="Arial"/>
                <w:sz w:val="18"/>
                <w:szCs w:val="18"/>
                <w:color w:val="auto"/>
              </w:rPr>
              <w:t>n/a</w:t>
            </w:r>
          </w:p>
        </w:tc>
        <w:tc>
          <w:tcPr>
            <w:tcW w:w="840" w:type="dxa"/>
            <w:vAlign w:val="bottom"/>
            <w:gridSpan w:val="2"/>
          </w:tcPr>
          <w:p>
            <w:pPr>
              <w:jc w:val="right"/>
              <w:ind w:right="220"/>
              <w:spacing w:after="0"/>
              <w:rPr>
                <w:sz w:val="20"/>
                <w:szCs w:val="20"/>
                <w:color w:val="auto"/>
              </w:rPr>
            </w:pPr>
            <w:r>
              <w:rPr>
                <w:rFonts w:ascii="Arial" w:cs="Arial" w:eastAsia="Arial" w:hAnsi="Arial"/>
                <w:sz w:val="18"/>
                <w:szCs w:val="18"/>
                <w:color w:val="auto"/>
              </w:rPr>
              <w:t>(0.00)</w:t>
            </w:r>
          </w:p>
        </w:tc>
        <w:tc>
          <w:tcPr>
            <w:tcW w:w="580" w:type="dxa"/>
            <w:vAlign w:val="bottom"/>
          </w:tcPr>
          <w:p>
            <w:pPr>
              <w:jc w:val="right"/>
              <w:ind w:right="33"/>
              <w:spacing w:after="0"/>
              <w:rPr>
                <w:sz w:val="20"/>
                <w:szCs w:val="20"/>
                <w:color w:val="auto"/>
              </w:rPr>
            </w:pPr>
            <w:r>
              <w:rPr>
                <w:rFonts w:ascii="Arial" w:cs="Arial" w:eastAsia="Arial" w:hAnsi="Arial"/>
                <w:sz w:val="18"/>
                <w:szCs w:val="18"/>
                <w:color w:val="auto"/>
              </w:rPr>
              <w:t>down</w:t>
            </w:r>
          </w:p>
        </w:tc>
        <w:tc>
          <w:tcPr>
            <w:tcW w:w="840" w:type="dxa"/>
            <w:vAlign w:val="bottom"/>
            <w:gridSpan w:val="2"/>
          </w:tcPr>
          <w:p>
            <w:pPr>
              <w:jc w:val="right"/>
              <w:ind w:right="420"/>
              <w:spacing w:after="0"/>
              <w:rPr>
                <w:sz w:val="20"/>
                <w:szCs w:val="20"/>
                <w:color w:val="auto"/>
              </w:rPr>
            </w:pPr>
            <w:r>
              <w:rPr>
                <w:rFonts w:ascii="Arial" w:cs="Arial" w:eastAsia="Arial" w:hAnsi="Arial"/>
                <w:sz w:val="18"/>
                <w:szCs w:val="18"/>
                <w:color w:val="auto"/>
              </w:rPr>
              <w:t>n/a</w:t>
            </w:r>
          </w:p>
        </w:tc>
      </w:tr>
      <w:tr>
        <w:trPr>
          <w:trHeight w:val="346"/>
        </w:trPr>
        <w:tc>
          <w:tcPr>
            <w:tcW w:w="5560" w:type="dxa"/>
            <w:vAlign w:val="bottom"/>
          </w:tcPr>
          <w:p>
            <w:pPr>
              <w:spacing w:after="0"/>
              <w:rPr>
                <w:sz w:val="24"/>
                <w:szCs w:val="24"/>
                <w:color w:val="auto"/>
              </w:rPr>
            </w:pPr>
          </w:p>
        </w:tc>
        <w:tc>
          <w:tcPr>
            <w:tcW w:w="56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3200" w:type="dxa"/>
            <w:vAlign w:val="bottom"/>
            <w:tcBorders>
              <w:bottom w:val="single" w:sz="8" w:color="auto"/>
            </w:tcBorders>
            <w:gridSpan w:val="7"/>
          </w:tcPr>
          <w:p>
            <w:pPr>
              <w:jc w:val="center"/>
              <w:ind w:left="75"/>
              <w:spacing w:after="0"/>
              <w:rPr>
                <w:sz w:val="20"/>
                <w:szCs w:val="20"/>
                <w:color w:val="auto"/>
              </w:rPr>
            </w:pPr>
            <w:r>
              <w:rPr>
                <w:rFonts w:ascii="Arial" w:cs="Arial" w:eastAsia="Arial" w:hAnsi="Arial"/>
                <w:sz w:val="14"/>
                <w:szCs w:val="14"/>
                <w:color w:val="auto"/>
                <w:w w:val="92"/>
              </w:rPr>
              <w:t>In thousands of U.S. dollars, except share data</w:t>
            </w:r>
          </w:p>
        </w:tc>
        <w:tc>
          <w:tcPr>
            <w:tcW w:w="580" w:type="dxa"/>
            <w:vAlign w:val="bottom"/>
            <w:tcBorders>
              <w:bottom w:val="single" w:sz="8" w:color="auto"/>
            </w:tcBorders>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420" w:type="dxa"/>
            <w:vAlign w:val="bottom"/>
          </w:tcPr>
          <w:p>
            <w:pPr>
              <w:spacing w:after="0"/>
              <w:rPr>
                <w:sz w:val="24"/>
                <w:szCs w:val="24"/>
                <w:color w:val="auto"/>
              </w:rPr>
            </w:pPr>
          </w:p>
        </w:tc>
      </w:tr>
      <w:tr>
        <w:trPr>
          <w:trHeight w:val="142"/>
        </w:trPr>
        <w:tc>
          <w:tcPr>
            <w:tcW w:w="5560" w:type="dxa"/>
            <w:vAlign w:val="bottom"/>
          </w:tcPr>
          <w:p>
            <w:pPr>
              <w:spacing w:after="0"/>
              <w:rPr>
                <w:sz w:val="12"/>
                <w:szCs w:val="12"/>
                <w:color w:val="auto"/>
              </w:rPr>
            </w:pPr>
          </w:p>
        </w:tc>
        <w:tc>
          <w:tcPr>
            <w:tcW w:w="560" w:type="dxa"/>
            <w:vAlign w:val="bottom"/>
            <w:tcBorders>
              <w:bottom w:val="single" w:sz="8" w:color="auto"/>
            </w:tcBorders>
          </w:tcPr>
          <w:p>
            <w:pPr>
              <w:spacing w:after="0"/>
              <w:rPr>
                <w:sz w:val="12"/>
                <w:szCs w:val="12"/>
                <w:color w:val="auto"/>
              </w:rPr>
            </w:pPr>
          </w:p>
        </w:tc>
        <w:tc>
          <w:tcPr>
            <w:tcW w:w="280" w:type="dxa"/>
            <w:vAlign w:val="bottom"/>
            <w:tcBorders>
              <w:bottom w:val="single" w:sz="8" w:color="auto"/>
            </w:tcBorders>
          </w:tcPr>
          <w:p>
            <w:pPr>
              <w:spacing w:after="0"/>
              <w:rPr>
                <w:sz w:val="12"/>
                <w:szCs w:val="12"/>
                <w:color w:val="auto"/>
              </w:rPr>
            </w:pPr>
          </w:p>
        </w:tc>
        <w:tc>
          <w:tcPr>
            <w:tcW w:w="560" w:type="dxa"/>
            <w:vAlign w:val="bottom"/>
            <w:tcBorders>
              <w:bottom w:val="single" w:sz="8" w:color="auto"/>
            </w:tcBorders>
          </w:tcPr>
          <w:p>
            <w:pPr>
              <w:spacing w:after="0"/>
              <w:rPr>
                <w:sz w:val="12"/>
                <w:szCs w:val="12"/>
                <w:color w:val="auto"/>
              </w:rPr>
            </w:pPr>
          </w:p>
        </w:tc>
        <w:tc>
          <w:tcPr>
            <w:tcW w:w="300" w:type="dxa"/>
            <w:vAlign w:val="bottom"/>
            <w:tcBorders>
              <w:bottom w:val="single" w:sz="8" w:color="auto"/>
            </w:tcBorders>
          </w:tcPr>
          <w:p>
            <w:pPr>
              <w:spacing w:after="0"/>
              <w:rPr>
                <w:sz w:val="12"/>
                <w:szCs w:val="12"/>
                <w:color w:val="auto"/>
              </w:rPr>
            </w:pPr>
          </w:p>
        </w:tc>
        <w:tc>
          <w:tcPr>
            <w:tcW w:w="1500" w:type="dxa"/>
            <w:vAlign w:val="bottom"/>
            <w:tcBorders>
              <w:bottom w:val="single" w:sz="8" w:color="auto"/>
            </w:tcBorders>
            <w:gridSpan w:val="3"/>
          </w:tcPr>
          <w:p>
            <w:pPr>
              <w:jc w:val="center"/>
              <w:ind w:left="54"/>
              <w:spacing w:after="0" w:line="142" w:lineRule="exact"/>
              <w:rPr>
                <w:sz w:val="20"/>
                <w:szCs w:val="20"/>
                <w:color w:val="auto"/>
              </w:rPr>
            </w:pPr>
            <w:r>
              <w:rPr>
                <w:rFonts w:ascii="Arial" w:cs="Arial" w:eastAsia="Arial" w:hAnsi="Arial"/>
                <w:sz w:val="14"/>
                <w:szCs w:val="14"/>
                <w:b w:val="1"/>
                <w:bCs w:val="1"/>
                <w:color w:val="auto"/>
                <w:w w:val="99"/>
              </w:rPr>
              <w:t>Non-GAAP</w:t>
            </w:r>
            <w:r>
              <w:rPr>
                <w:rFonts w:ascii="Arial" w:cs="Arial" w:eastAsia="Arial" w:hAnsi="Arial"/>
                <w:sz w:val="10"/>
                <w:szCs w:val="10"/>
                <w:b w:val="1"/>
                <w:bCs w:val="1"/>
                <w:color w:val="auto"/>
                <w:w w:val="99"/>
              </w:rPr>
              <w:t>(3)</w:t>
            </w:r>
          </w:p>
        </w:tc>
        <w:tc>
          <w:tcPr>
            <w:tcW w:w="560" w:type="dxa"/>
            <w:vAlign w:val="bottom"/>
            <w:tcBorders>
              <w:bottom w:val="single" w:sz="8" w:color="auto"/>
            </w:tcBorders>
          </w:tcPr>
          <w:p>
            <w:pPr>
              <w:spacing w:after="0"/>
              <w:rPr>
                <w:sz w:val="12"/>
                <w:szCs w:val="12"/>
                <w:color w:val="auto"/>
              </w:rPr>
            </w:pPr>
          </w:p>
        </w:tc>
        <w:tc>
          <w:tcPr>
            <w:tcW w:w="280" w:type="dxa"/>
            <w:vAlign w:val="bottom"/>
            <w:tcBorders>
              <w:bottom w:val="single" w:sz="8" w:color="auto"/>
            </w:tcBorders>
          </w:tcPr>
          <w:p>
            <w:pPr>
              <w:spacing w:after="0"/>
              <w:rPr>
                <w:sz w:val="12"/>
                <w:szCs w:val="12"/>
                <w:color w:val="auto"/>
              </w:rPr>
            </w:pPr>
          </w:p>
        </w:tc>
        <w:tc>
          <w:tcPr>
            <w:tcW w:w="580" w:type="dxa"/>
            <w:vAlign w:val="bottom"/>
            <w:tcBorders>
              <w:bottom w:val="single" w:sz="8" w:color="auto"/>
            </w:tcBorders>
          </w:tcPr>
          <w:p>
            <w:pPr>
              <w:spacing w:after="0"/>
              <w:rPr>
                <w:sz w:val="12"/>
                <w:szCs w:val="12"/>
                <w:color w:val="auto"/>
              </w:rPr>
            </w:pPr>
          </w:p>
        </w:tc>
        <w:tc>
          <w:tcPr>
            <w:tcW w:w="420" w:type="dxa"/>
            <w:vAlign w:val="bottom"/>
            <w:tcBorders>
              <w:bottom w:val="single" w:sz="8" w:color="auto"/>
            </w:tcBorders>
          </w:tcPr>
          <w:p>
            <w:pPr>
              <w:spacing w:after="0"/>
              <w:rPr>
                <w:sz w:val="12"/>
                <w:szCs w:val="12"/>
                <w:color w:val="auto"/>
              </w:rPr>
            </w:pPr>
          </w:p>
        </w:tc>
        <w:tc>
          <w:tcPr>
            <w:tcW w:w="420" w:type="dxa"/>
            <w:vAlign w:val="bottom"/>
          </w:tcPr>
          <w:p>
            <w:pPr>
              <w:spacing w:after="0"/>
              <w:rPr>
                <w:sz w:val="12"/>
                <w:szCs w:val="12"/>
                <w:color w:val="auto"/>
              </w:rPr>
            </w:pPr>
          </w:p>
        </w:tc>
      </w:tr>
      <w:tr>
        <w:trPr>
          <w:trHeight w:val="142"/>
        </w:trPr>
        <w:tc>
          <w:tcPr>
            <w:tcW w:w="5560" w:type="dxa"/>
            <w:vAlign w:val="bottom"/>
            <w:tcBorders>
              <w:bottom w:val="single" w:sz="8" w:color="CCEEFF"/>
            </w:tcBorders>
          </w:tcPr>
          <w:p>
            <w:pPr>
              <w:spacing w:after="0"/>
              <w:rPr>
                <w:sz w:val="12"/>
                <w:szCs w:val="12"/>
                <w:color w:val="auto"/>
              </w:rPr>
            </w:pPr>
          </w:p>
        </w:tc>
        <w:tc>
          <w:tcPr>
            <w:tcW w:w="56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w w:val="93"/>
              </w:rPr>
              <w:t>Q2 2022</w:t>
            </w:r>
          </w:p>
        </w:tc>
        <w:tc>
          <w:tcPr>
            <w:tcW w:w="280" w:type="dxa"/>
            <w:vAlign w:val="bottom"/>
            <w:tcBorders>
              <w:bottom w:val="single" w:sz="8" w:color="CCEEFF"/>
            </w:tcBorders>
          </w:tcPr>
          <w:p>
            <w:pPr>
              <w:spacing w:after="0"/>
              <w:rPr>
                <w:sz w:val="12"/>
                <w:szCs w:val="12"/>
                <w:color w:val="auto"/>
              </w:rPr>
            </w:pPr>
          </w:p>
        </w:tc>
        <w:tc>
          <w:tcPr>
            <w:tcW w:w="56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w w:val="96"/>
              </w:rPr>
              <w:t>Q1 2022</w:t>
            </w:r>
          </w:p>
        </w:tc>
        <w:tc>
          <w:tcPr>
            <w:tcW w:w="300" w:type="dxa"/>
            <w:vAlign w:val="bottom"/>
            <w:tcBorders>
              <w:bottom w:val="single" w:sz="8" w:color="CCEEFF"/>
            </w:tcBorders>
          </w:tcPr>
          <w:p>
            <w:pPr>
              <w:spacing w:after="0"/>
              <w:rPr>
                <w:sz w:val="12"/>
                <w:szCs w:val="12"/>
                <w:color w:val="auto"/>
              </w:rPr>
            </w:pPr>
          </w:p>
        </w:tc>
        <w:tc>
          <w:tcPr>
            <w:tcW w:w="1000" w:type="dxa"/>
            <w:vAlign w:val="bottom"/>
            <w:tcBorders>
              <w:bottom w:val="single" w:sz="8" w:color="auto"/>
            </w:tcBorders>
            <w:gridSpan w:val="2"/>
          </w:tcPr>
          <w:p>
            <w:pPr>
              <w:jc w:val="right"/>
              <w:ind w:right="51"/>
              <w:spacing w:after="0" w:line="142" w:lineRule="exact"/>
              <w:rPr>
                <w:sz w:val="20"/>
                <w:szCs w:val="20"/>
                <w:color w:val="auto"/>
              </w:rPr>
            </w:pPr>
            <w:r>
              <w:rPr>
                <w:rFonts w:ascii="Arial" w:cs="Arial" w:eastAsia="Arial" w:hAnsi="Arial"/>
                <w:sz w:val="14"/>
                <w:szCs w:val="14"/>
                <w:b w:val="1"/>
                <w:bCs w:val="1"/>
                <w:color w:val="auto"/>
              </w:rPr>
              <w:t>Q/Q change</w:t>
            </w:r>
          </w:p>
        </w:tc>
        <w:tc>
          <w:tcPr>
            <w:tcW w:w="500" w:type="dxa"/>
            <w:vAlign w:val="bottom"/>
            <w:tcBorders>
              <w:bottom w:val="single" w:sz="8" w:color="CCEEFF"/>
            </w:tcBorders>
          </w:tcPr>
          <w:p>
            <w:pPr>
              <w:spacing w:after="0"/>
              <w:rPr>
                <w:sz w:val="12"/>
                <w:szCs w:val="12"/>
                <w:color w:val="auto"/>
              </w:rPr>
            </w:pPr>
          </w:p>
        </w:tc>
        <w:tc>
          <w:tcPr>
            <w:tcW w:w="56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w w:val="93"/>
              </w:rPr>
              <w:t>Q2 2021</w:t>
            </w:r>
          </w:p>
        </w:tc>
        <w:tc>
          <w:tcPr>
            <w:tcW w:w="280" w:type="dxa"/>
            <w:vAlign w:val="bottom"/>
            <w:tcBorders>
              <w:bottom w:val="single" w:sz="8" w:color="CCEEFF"/>
            </w:tcBorders>
          </w:tcPr>
          <w:p>
            <w:pPr>
              <w:spacing w:after="0"/>
              <w:rPr>
                <w:sz w:val="12"/>
                <w:szCs w:val="12"/>
                <w:color w:val="auto"/>
              </w:rPr>
            </w:pPr>
          </w:p>
        </w:tc>
        <w:tc>
          <w:tcPr>
            <w:tcW w:w="1000" w:type="dxa"/>
            <w:vAlign w:val="bottom"/>
            <w:tcBorders>
              <w:bottom w:val="single" w:sz="8" w:color="auto"/>
            </w:tcBorders>
            <w:gridSpan w:val="2"/>
          </w:tcPr>
          <w:p>
            <w:pPr>
              <w:ind w:left="140"/>
              <w:spacing w:after="0" w:line="142" w:lineRule="exact"/>
              <w:rPr>
                <w:sz w:val="20"/>
                <w:szCs w:val="20"/>
                <w:color w:val="auto"/>
              </w:rPr>
            </w:pPr>
            <w:r>
              <w:rPr>
                <w:rFonts w:ascii="Arial" w:cs="Arial" w:eastAsia="Arial" w:hAnsi="Arial"/>
                <w:sz w:val="14"/>
                <w:szCs w:val="14"/>
                <w:b w:val="1"/>
                <w:bCs w:val="1"/>
                <w:color w:val="auto"/>
              </w:rPr>
              <w:t>Y/Y change</w:t>
            </w:r>
          </w:p>
        </w:tc>
        <w:tc>
          <w:tcPr>
            <w:tcW w:w="420" w:type="dxa"/>
            <w:vAlign w:val="bottom"/>
            <w:tcBorders>
              <w:bottom w:val="single" w:sz="8" w:color="CCEEFF"/>
            </w:tcBorders>
          </w:tcPr>
          <w:p>
            <w:pPr>
              <w:spacing w:after="0"/>
              <w:rPr>
                <w:sz w:val="12"/>
                <w:szCs w:val="12"/>
                <w:color w:val="auto"/>
              </w:rPr>
            </w:pPr>
          </w:p>
        </w:tc>
      </w:tr>
      <w:tr>
        <w:trPr>
          <w:trHeight w:val="210"/>
        </w:trPr>
        <w:tc>
          <w:tcPr>
            <w:tcW w:w="55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Adjusted Operating Income</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4,787</w:t>
            </w:r>
          </w:p>
        </w:tc>
        <w:tc>
          <w:tcPr>
            <w:tcW w:w="28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14,517</w:t>
            </w:r>
          </w:p>
        </w:tc>
        <w:tc>
          <w:tcPr>
            <w:tcW w:w="30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down</w:t>
            </w:r>
          </w:p>
        </w:tc>
        <w:tc>
          <w:tcPr>
            <w:tcW w:w="96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67.0%</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9,052</w:t>
            </w:r>
          </w:p>
        </w:tc>
        <w:tc>
          <w:tcPr>
            <w:tcW w:w="280" w:type="dxa"/>
            <w:vAlign w:val="bottom"/>
            <w:shd w:val="clear" w:color="auto" w:fill="CCEEFF"/>
          </w:tcPr>
          <w:p>
            <w:pPr>
              <w:spacing w:after="0"/>
              <w:rPr>
                <w:sz w:val="18"/>
                <w:szCs w:val="18"/>
                <w:color w:val="auto"/>
              </w:rPr>
            </w:pPr>
          </w:p>
        </w:tc>
        <w:tc>
          <w:tcPr>
            <w:tcW w:w="580" w:type="dxa"/>
            <w:vAlign w:val="bottom"/>
            <w:shd w:val="clear" w:color="auto" w:fill="CCEEFF"/>
          </w:tcPr>
          <w:p>
            <w:pPr>
              <w:jc w:val="right"/>
              <w:ind w:right="33"/>
              <w:spacing w:after="0"/>
              <w:rPr>
                <w:sz w:val="20"/>
                <w:szCs w:val="20"/>
                <w:color w:val="auto"/>
              </w:rPr>
            </w:pPr>
            <w:r>
              <w:rPr>
                <w:rFonts w:ascii="Arial" w:cs="Arial" w:eastAsia="Arial" w:hAnsi="Arial"/>
                <w:sz w:val="18"/>
                <w:szCs w:val="18"/>
                <w:color w:val="auto"/>
              </w:rPr>
              <w:t>down</w:t>
            </w:r>
          </w:p>
        </w:tc>
        <w:tc>
          <w:tcPr>
            <w:tcW w:w="8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47.1%</w:t>
            </w:r>
          </w:p>
        </w:tc>
      </w:tr>
      <w:tr>
        <w:trPr>
          <w:trHeight w:val="216"/>
        </w:trPr>
        <w:tc>
          <w:tcPr>
            <w:tcW w:w="5560" w:type="dxa"/>
            <w:vAlign w:val="bottom"/>
          </w:tcPr>
          <w:p>
            <w:pPr>
              <w:spacing w:after="0"/>
              <w:rPr>
                <w:sz w:val="20"/>
                <w:szCs w:val="20"/>
                <w:color w:val="auto"/>
              </w:rPr>
            </w:pPr>
            <w:r>
              <w:rPr>
                <w:rFonts w:ascii="Arial" w:cs="Arial" w:eastAsia="Arial" w:hAnsi="Arial"/>
                <w:sz w:val="18"/>
                <w:szCs w:val="18"/>
                <w:b w:val="1"/>
                <w:bCs w:val="1"/>
                <w:color w:val="auto"/>
              </w:rPr>
              <w:t>Adjusted EBITDA</w:t>
            </w:r>
          </w:p>
        </w:tc>
        <w:tc>
          <w:tcPr>
            <w:tcW w:w="840" w:type="dxa"/>
            <w:vAlign w:val="bottom"/>
            <w:gridSpan w:val="2"/>
          </w:tcPr>
          <w:p>
            <w:pPr>
              <w:jc w:val="right"/>
              <w:ind w:right="280"/>
              <w:spacing w:after="0"/>
              <w:rPr>
                <w:sz w:val="20"/>
                <w:szCs w:val="20"/>
                <w:color w:val="auto"/>
              </w:rPr>
            </w:pPr>
            <w:r>
              <w:rPr>
                <w:rFonts w:ascii="Arial" w:cs="Arial" w:eastAsia="Arial" w:hAnsi="Arial"/>
                <w:sz w:val="18"/>
                <w:szCs w:val="18"/>
                <w:color w:val="auto"/>
              </w:rPr>
              <w:t>8,525</w:t>
            </w:r>
          </w:p>
        </w:tc>
        <w:tc>
          <w:tcPr>
            <w:tcW w:w="860" w:type="dxa"/>
            <w:vAlign w:val="bottom"/>
            <w:gridSpan w:val="2"/>
          </w:tcPr>
          <w:p>
            <w:pPr>
              <w:jc w:val="right"/>
              <w:ind w:right="300"/>
              <w:spacing w:after="0"/>
              <w:rPr>
                <w:sz w:val="20"/>
                <w:szCs w:val="20"/>
                <w:color w:val="auto"/>
              </w:rPr>
            </w:pPr>
            <w:r>
              <w:rPr>
                <w:rFonts w:ascii="Arial" w:cs="Arial" w:eastAsia="Arial" w:hAnsi="Arial"/>
                <w:sz w:val="18"/>
                <w:szCs w:val="18"/>
                <w:color w:val="auto"/>
                <w:w w:val="98"/>
              </w:rPr>
              <w:t>18,755</w:t>
            </w:r>
          </w:p>
        </w:tc>
        <w:tc>
          <w:tcPr>
            <w:tcW w:w="540" w:type="dxa"/>
            <w:vAlign w:val="bottom"/>
          </w:tcPr>
          <w:p>
            <w:pPr>
              <w:jc w:val="right"/>
              <w:spacing w:after="0"/>
              <w:rPr>
                <w:sz w:val="20"/>
                <w:szCs w:val="20"/>
                <w:color w:val="auto"/>
              </w:rPr>
            </w:pPr>
            <w:r>
              <w:rPr>
                <w:rFonts w:ascii="Arial" w:cs="Arial" w:eastAsia="Arial" w:hAnsi="Arial"/>
                <w:sz w:val="18"/>
                <w:szCs w:val="18"/>
                <w:color w:val="auto"/>
              </w:rPr>
              <w:t>down</w:t>
            </w:r>
          </w:p>
        </w:tc>
        <w:tc>
          <w:tcPr>
            <w:tcW w:w="960" w:type="dxa"/>
            <w:vAlign w:val="bottom"/>
            <w:gridSpan w:val="2"/>
          </w:tcPr>
          <w:p>
            <w:pPr>
              <w:jc w:val="right"/>
              <w:ind w:right="360"/>
              <w:spacing w:after="0"/>
              <w:rPr>
                <w:sz w:val="20"/>
                <w:szCs w:val="20"/>
                <w:color w:val="auto"/>
              </w:rPr>
            </w:pPr>
            <w:r>
              <w:rPr>
                <w:rFonts w:ascii="Arial" w:cs="Arial" w:eastAsia="Arial" w:hAnsi="Arial"/>
                <w:sz w:val="18"/>
                <w:szCs w:val="18"/>
                <w:color w:val="auto"/>
              </w:rPr>
              <w:t>54.5%</w:t>
            </w:r>
          </w:p>
        </w:tc>
        <w:tc>
          <w:tcPr>
            <w:tcW w:w="840" w:type="dxa"/>
            <w:vAlign w:val="bottom"/>
            <w:gridSpan w:val="2"/>
          </w:tcPr>
          <w:p>
            <w:pPr>
              <w:jc w:val="right"/>
              <w:ind w:right="280"/>
              <w:spacing w:after="0"/>
              <w:rPr>
                <w:sz w:val="20"/>
                <w:szCs w:val="20"/>
                <w:color w:val="auto"/>
              </w:rPr>
            </w:pPr>
            <w:r>
              <w:rPr>
                <w:rFonts w:ascii="Arial" w:cs="Arial" w:eastAsia="Arial" w:hAnsi="Arial"/>
                <w:sz w:val="18"/>
                <w:szCs w:val="18"/>
                <w:color w:val="auto"/>
                <w:w w:val="98"/>
              </w:rPr>
              <w:t>12,692</w:t>
            </w:r>
          </w:p>
        </w:tc>
        <w:tc>
          <w:tcPr>
            <w:tcW w:w="580" w:type="dxa"/>
            <w:vAlign w:val="bottom"/>
          </w:tcPr>
          <w:p>
            <w:pPr>
              <w:jc w:val="right"/>
              <w:ind w:right="33"/>
              <w:spacing w:after="0"/>
              <w:rPr>
                <w:sz w:val="20"/>
                <w:szCs w:val="20"/>
                <w:color w:val="auto"/>
              </w:rPr>
            </w:pPr>
            <w:r>
              <w:rPr>
                <w:rFonts w:ascii="Arial" w:cs="Arial" w:eastAsia="Arial" w:hAnsi="Arial"/>
                <w:sz w:val="18"/>
                <w:szCs w:val="18"/>
                <w:color w:val="auto"/>
              </w:rPr>
              <w:t>down</w:t>
            </w:r>
          </w:p>
        </w:tc>
        <w:tc>
          <w:tcPr>
            <w:tcW w:w="840" w:type="dxa"/>
            <w:vAlign w:val="bottom"/>
            <w:gridSpan w:val="2"/>
          </w:tcPr>
          <w:p>
            <w:pPr>
              <w:jc w:val="right"/>
              <w:ind w:right="260"/>
              <w:spacing w:after="0"/>
              <w:rPr>
                <w:sz w:val="20"/>
                <w:szCs w:val="20"/>
                <w:color w:val="auto"/>
              </w:rPr>
            </w:pPr>
            <w:r>
              <w:rPr>
                <w:rFonts w:ascii="Arial" w:cs="Arial" w:eastAsia="Arial" w:hAnsi="Arial"/>
                <w:sz w:val="18"/>
                <w:szCs w:val="18"/>
                <w:color w:val="auto"/>
              </w:rPr>
              <w:t>32.8%</w:t>
            </w:r>
          </w:p>
        </w:tc>
      </w:tr>
      <w:tr>
        <w:trPr>
          <w:trHeight w:val="216"/>
        </w:trPr>
        <w:tc>
          <w:tcPr>
            <w:tcW w:w="55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Adjusted Net Income</w:t>
            </w:r>
          </w:p>
        </w:tc>
        <w:tc>
          <w:tcPr>
            <w:tcW w:w="8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w w:val="98"/>
              </w:rPr>
              <w:t>10,567</w:t>
            </w:r>
          </w:p>
        </w:tc>
        <w:tc>
          <w:tcPr>
            <w:tcW w:w="8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w w:val="98"/>
              </w:rPr>
              <w:t>12,936</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down</w:t>
            </w:r>
          </w:p>
        </w:tc>
        <w:tc>
          <w:tcPr>
            <w:tcW w:w="96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18.3%</w:t>
            </w:r>
          </w:p>
        </w:tc>
        <w:tc>
          <w:tcPr>
            <w:tcW w:w="8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7,034</w:t>
            </w:r>
          </w:p>
        </w:tc>
        <w:tc>
          <w:tcPr>
            <w:tcW w:w="580" w:type="dxa"/>
            <w:vAlign w:val="bottom"/>
            <w:shd w:val="clear" w:color="auto" w:fill="CCEEFF"/>
          </w:tcPr>
          <w:p>
            <w:pPr>
              <w:jc w:val="right"/>
              <w:ind w:right="33"/>
              <w:spacing w:after="0"/>
              <w:rPr>
                <w:sz w:val="20"/>
                <w:szCs w:val="20"/>
                <w:color w:val="auto"/>
              </w:rPr>
            </w:pPr>
            <w:r>
              <w:rPr>
                <w:rFonts w:ascii="Arial" w:cs="Arial" w:eastAsia="Arial" w:hAnsi="Arial"/>
                <w:sz w:val="18"/>
                <w:szCs w:val="18"/>
                <w:color w:val="auto"/>
              </w:rPr>
              <w:t>up</w:t>
            </w:r>
          </w:p>
        </w:tc>
        <w:tc>
          <w:tcPr>
            <w:tcW w:w="8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50.2%</w:t>
            </w:r>
          </w:p>
        </w:tc>
      </w:tr>
      <w:tr>
        <w:trPr>
          <w:trHeight w:val="234"/>
        </w:trPr>
        <w:tc>
          <w:tcPr>
            <w:tcW w:w="5560" w:type="dxa"/>
            <w:vAlign w:val="bottom"/>
          </w:tcPr>
          <w:p>
            <w:pPr>
              <w:spacing w:after="0"/>
              <w:rPr>
                <w:sz w:val="20"/>
                <w:szCs w:val="20"/>
                <w:color w:val="auto"/>
              </w:rPr>
            </w:pPr>
            <w:r>
              <w:rPr>
                <w:rFonts w:ascii="Arial" w:cs="Arial" w:eastAsia="Arial" w:hAnsi="Arial"/>
                <w:sz w:val="18"/>
                <w:szCs w:val="18"/>
                <w:b w:val="1"/>
                <w:bCs w:val="1"/>
                <w:color w:val="auto"/>
              </w:rPr>
              <w:t>Adjusted Earnings per Common Share—Diluted</w:t>
            </w:r>
          </w:p>
        </w:tc>
        <w:tc>
          <w:tcPr>
            <w:tcW w:w="840" w:type="dxa"/>
            <w:vAlign w:val="bottom"/>
            <w:gridSpan w:val="2"/>
          </w:tcPr>
          <w:p>
            <w:pPr>
              <w:jc w:val="right"/>
              <w:ind w:right="280"/>
              <w:spacing w:after="0"/>
              <w:rPr>
                <w:sz w:val="20"/>
                <w:szCs w:val="20"/>
                <w:color w:val="auto"/>
              </w:rPr>
            </w:pPr>
            <w:r>
              <w:rPr>
                <w:rFonts w:ascii="Arial" w:cs="Arial" w:eastAsia="Arial" w:hAnsi="Arial"/>
                <w:sz w:val="18"/>
                <w:szCs w:val="18"/>
                <w:color w:val="auto"/>
              </w:rPr>
              <w:t>0.23</w:t>
            </w:r>
          </w:p>
        </w:tc>
        <w:tc>
          <w:tcPr>
            <w:tcW w:w="860" w:type="dxa"/>
            <w:vAlign w:val="bottom"/>
            <w:gridSpan w:val="2"/>
          </w:tcPr>
          <w:p>
            <w:pPr>
              <w:jc w:val="right"/>
              <w:ind w:right="300"/>
              <w:spacing w:after="0"/>
              <w:rPr>
                <w:sz w:val="20"/>
                <w:szCs w:val="20"/>
                <w:color w:val="auto"/>
              </w:rPr>
            </w:pPr>
            <w:r>
              <w:rPr>
                <w:rFonts w:ascii="Arial" w:cs="Arial" w:eastAsia="Arial" w:hAnsi="Arial"/>
                <w:sz w:val="18"/>
                <w:szCs w:val="18"/>
                <w:color w:val="auto"/>
              </w:rPr>
              <w:t>0.28</w:t>
            </w:r>
          </w:p>
        </w:tc>
        <w:tc>
          <w:tcPr>
            <w:tcW w:w="540" w:type="dxa"/>
            <w:vAlign w:val="bottom"/>
          </w:tcPr>
          <w:p>
            <w:pPr>
              <w:jc w:val="right"/>
              <w:spacing w:after="0"/>
              <w:rPr>
                <w:sz w:val="20"/>
                <w:szCs w:val="20"/>
                <w:color w:val="auto"/>
              </w:rPr>
            </w:pPr>
            <w:r>
              <w:rPr>
                <w:rFonts w:ascii="Arial" w:cs="Arial" w:eastAsia="Arial" w:hAnsi="Arial"/>
                <w:sz w:val="18"/>
                <w:szCs w:val="18"/>
                <w:color w:val="auto"/>
              </w:rPr>
              <w:t>down</w:t>
            </w:r>
          </w:p>
        </w:tc>
        <w:tc>
          <w:tcPr>
            <w:tcW w:w="960" w:type="dxa"/>
            <w:vAlign w:val="bottom"/>
            <w:gridSpan w:val="2"/>
          </w:tcPr>
          <w:p>
            <w:pPr>
              <w:jc w:val="right"/>
              <w:ind w:right="360"/>
              <w:spacing w:after="0"/>
              <w:rPr>
                <w:sz w:val="20"/>
                <w:szCs w:val="20"/>
                <w:color w:val="auto"/>
              </w:rPr>
            </w:pPr>
            <w:r>
              <w:rPr>
                <w:rFonts w:ascii="Arial" w:cs="Arial" w:eastAsia="Arial" w:hAnsi="Arial"/>
                <w:sz w:val="18"/>
                <w:szCs w:val="18"/>
                <w:color w:val="auto"/>
              </w:rPr>
              <w:t>17.9%</w:t>
            </w:r>
          </w:p>
        </w:tc>
        <w:tc>
          <w:tcPr>
            <w:tcW w:w="840" w:type="dxa"/>
            <w:vAlign w:val="bottom"/>
            <w:gridSpan w:val="2"/>
          </w:tcPr>
          <w:p>
            <w:pPr>
              <w:jc w:val="right"/>
              <w:ind w:right="280"/>
              <w:spacing w:after="0"/>
              <w:rPr>
                <w:sz w:val="20"/>
                <w:szCs w:val="20"/>
                <w:color w:val="auto"/>
              </w:rPr>
            </w:pPr>
            <w:r>
              <w:rPr>
                <w:rFonts w:ascii="Arial" w:cs="Arial" w:eastAsia="Arial" w:hAnsi="Arial"/>
                <w:sz w:val="18"/>
                <w:szCs w:val="18"/>
                <w:color w:val="auto"/>
              </w:rPr>
              <w:t>0.15</w:t>
            </w:r>
          </w:p>
        </w:tc>
        <w:tc>
          <w:tcPr>
            <w:tcW w:w="580" w:type="dxa"/>
            <w:vAlign w:val="bottom"/>
          </w:tcPr>
          <w:p>
            <w:pPr>
              <w:jc w:val="right"/>
              <w:ind w:right="33"/>
              <w:spacing w:after="0"/>
              <w:rPr>
                <w:sz w:val="20"/>
                <w:szCs w:val="20"/>
                <w:color w:val="auto"/>
              </w:rPr>
            </w:pPr>
            <w:r>
              <w:rPr>
                <w:rFonts w:ascii="Arial" w:cs="Arial" w:eastAsia="Arial" w:hAnsi="Arial"/>
                <w:sz w:val="18"/>
                <w:szCs w:val="18"/>
                <w:color w:val="auto"/>
              </w:rPr>
              <w:t>up</w:t>
            </w:r>
          </w:p>
        </w:tc>
        <w:tc>
          <w:tcPr>
            <w:tcW w:w="840" w:type="dxa"/>
            <w:vAlign w:val="bottom"/>
            <w:gridSpan w:val="2"/>
          </w:tcPr>
          <w:p>
            <w:pPr>
              <w:jc w:val="right"/>
              <w:ind w:right="260"/>
              <w:spacing w:after="0"/>
              <w:rPr>
                <w:sz w:val="20"/>
                <w:szCs w:val="20"/>
                <w:color w:val="auto"/>
              </w:rPr>
            </w:pPr>
            <w:r>
              <w:rPr>
                <w:rFonts w:ascii="Arial" w:cs="Arial" w:eastAsia="Arial" w:hAnsi="Arial"/>
                <w:sz w:val="18"/>
                <w:szCs w:val="18"/>
                <w:color w:val="auto"/>
              </w:rPr>
              <w:t>53.3%</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74295</wp:posOffset>
            </wp:positionV>
            <wp:extent cx="771525" cy="825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71525" cy="8255"/>
                    </a:xfrm>
                    <a:prstGeom prst="rect">
                      <a:avLst/>
                    </a:prstGeom>
                    <a:noFill/>
                  </pic:spPr>
                </pic:pic>
              </a:graphicData>
            </a:graphic>
          </wp:anchor>
        </w:drawing>
      </w:r>
    </w:p>
    <w:p>
      <w:pPr>
        <w:spacing w:after="0" w:line="136" w:lineRule="exact"/>
        <w:rPr>
          <w:sz w:val="20"/>
          <w:szCs w:val="20"/>
          <w:color w:val="auto"/>
        </w:rPr>
      </w:pPr>
    </w:p>
    <w:p>
      <w:pPr>
        <w:ind w:left="424" w:right="60" w:hanging="424"/>
        <w:spacing w:after="0" w:line="253" w:lineRule="auto"/>
        <w:tabs>
          <w:tab w:leader="none" w:pos="424" w:val="left"/>
        </w:tabs>
        <w:numPr>
          <w:ilvl w:val="0"/>
          <w:numId w:val="4"/>
        </w:numPr>
        <w:rPr>
          <w:rFonts w:ascii="Arial" w:cs="Arial" w:eastAsia="Arial" w:hAnsi="Arial"/>
          <w:sz w:val="18"/>
          <w:szCs w:val="18"/>
          <w:color w:val="auto"/>
        </w:rPr>
      </w:pPr>
      <w:r>
        <w:rPr>
          <w:rFonts w:ascii="Arial" w:cs="Arial" w:eastAsia="Arial" w:hAnsi="Arial"/>
          <w:sz w:val="18"/>
          <w:szCs w:val="18"/>
          <w:color w:val="auto"/>
        </w:rPr>
        <w:t>Following the consummation of the sale of the Foundry Services Group business and Fab 4 in Q3 2020, and for a period of up to three years, we will provide transitional foundry services to the buyer for foundry products manufactured in our fabrication facility located in Gumi (“Transitional Fab 3 Foundry Services”). Management believes that disclosing revenue of Transitional Fab 3 Foundry Services separately from the standard products business allows investors to better understand the results of our core standard products display solutions and power solutions business lines.</w:t>
      </w:r>
    </w:p>
    <w:p>
      <w:pPr>
        <w:spacing w:after="0" w:line="3" w:lineRule="exact"/>
        <w:rPr>
          <w:rFonts w:ascii="Arial" w:cs="Arial" w:eastAsia="Arial" w:hAnsi="Arial"/>
          <w:sz w:val="18"/>
          <w:szCs w:val="18"/>
          <w:color w:val="auto"/>
        </w:rPr>
      </w:pPr>
    </w:p>
    <w:p>
      <w:pPr>
        <w:ind w:left="424" w:right="140" w:hanging="424"/>
        <w:spacing w:after="0" w:line="250" w:lineRule="auto"/>
        <w:tabs>
          <w:tab w:leader="none" w:pos="424" w:val="left"/>
        </w:tabs>
        <w:numPr>
          <w:ilvl w:val="0"/>
          <w:numId w:val="4"/>
        </w:numPr>
        <w:rPr>
          <w:rFonts w:ascii="Arial" w:cs="Arial" w:eastAsia="Arial" w:hAnsi="Arial"/>
          <w:sz w:val="18"/>
          <w:szCs w:val="18"/>
          <w:color w:val="auto"/>
        </w:rPr>
      </w:pPr>
      <w:r>
        <w:rPr>
          <w:rFonts w:ascii="Arial" w:cs="Arial" w:eastAsia="Arial" w:hAnsi="Arial"/>
          <w:sz w:val="18"/>
          <w:szCs w:val="18"/>
          <w:color w:val="auto"/>
        </w:rPr>
        <w:t>In Q2 2022, operating income of $2.0 million included professional service fees and expenses of $0.8 million incurred in connection with certain strategic evaluations. In Q2 2021, operating income of $1.6 million included professional service fees and expenses of $2.5 million incurred in connection with the contemplated merger transaction and non-recurring professional service fees and expenses of $2.6 million incurred in connection with the regulatory requests.</w:t>
      </w:r>
    </w:p>
    <w:p>
      <w:pPr>
        <w:spacing w:after="0" w:line="1" w:lineRule="exact"/>
        <w:rPr>
          <w:rFonts w:ascii="Arial" w:cs="Arial" w:eastAsia="Arial" w:hAnsi="Arial"/>
          <w:sz w:val="18"/>
          <w:szCs w:val="18"/>
          <w:color w:val="auto"/>
        </w:rPr>
      </w:pPr>
    </w:p>
    <w:p>
      <w:pPr>
        <w:ind w:left="424" w:right="140" w:hanging="424"/>
        <w:spacing w:after="0" w:line="253" w:lineRule="auto"/>
        <w:tabs>
          <w:tab w:leader="none" w:pos="424" w:val="left"/>
        </w:tabs>
        <w:numPr>
          <w:ilvl w:val="0"/>
          <w:numId w:val="4"/>
        </w:numPr>
        <w:rPr>
          <w:rFonts w:ascii="Arial" w:cs="Arial" w:eastAsia="Arial" w:hAnsi="Arial"/>
          <w:sz w:val="18"/>
          <w:szCs w:val="18"/>
          <w:color w:val="auto"/>
        </w:rPr>
      </w:pPr>
      <w:r>
        <w:rPr>
          <w:rFonts w:ascii="Arial" w:cs="Arial" w:eastAsia="Arial" w:hAnsi="Arial"/>
          <w:sz w:val="18"/>
          <w:szCs w:val="18"/>
          <w:color w:val="auto"/>
        </w:rPr>
        <w:t>Management believes that non-GAAP financial measures, when viewed in conjunction with GAAP results, can provide a meaningful understanding of the factors and trends affecting our business and operations and assist in evaluating our core operating performance. However, such non-GAAP financial measures have limitations and should not be considered as a substitute for net income (loss) or as a better indicator of our operating performance than measures that are presented in accordance with GAAP. A reconciliation of GAAP results to non-GAAP results is included in this press release.</w:t>
      </w:r>
    </w:p>
    <w:p>
      <w:pPr>
        <w:spacing w:after="0" w:line="295" w:lineRule="exact"/>
        <w:rPr>
          <w:sz w:val="20"/>
          <w:szCs w:val="20"/>
          <w:color w:val="auto"/>
        </w:rPr>
      </w:pPr>
    </w:p>
    <w:p>
      <w:pPr>
        <w:ind w:left="4"/>
        <w:spacing w:after="0"/>
        <w:rPr>
          <w:sz w:val="20"/>
          <w:szCs w:val="20"/>
          <w:color w:val="auto"/>
        </w:rPr>
      </w:pPr>
      <w:r>
        <w:rPr>
          <w:rFonts w:ascii="Arial" w:cs="Arial" w:eastAsia="Arial" w:hAnsi="Arial"/>
          <w:sz w:val="18"/>
          <w:szCs w:val="18"/>
          <w:b w:val="1"/>
          <w:bCs w:val="1"/>
          <w:color w:val="auto"/>
        </w:rPr>
        <w:t>Q3 2022 Financial Guidance</w:t>
      </w:r>
    </w:p>
    <w:p>
      <w:pPr>
        <w:spacing w:after="0" w:line="121" w:lineRule="exact"/>
        <w:rPr>
          <w:sz w:val="20"/>
          <w:szCs w:val="20"/>
          <w:color w:val="auto"/>
        </w:rPr>
      </w:pPr>
    </w:p>
    <w:p>
      <w:pPr>
        <w:ind w:left="4" w:right="340"/>
        <w:spacing w:after="0" w:line="286" w:lineRule="auto"/>
        <w:rPr>
          <w:sz w:val="20"/>
          <w:szCs w:val="20"/>
          <w:color w:val="auto"/>
        </w:rPr>
      </w:pPr>
      <w:r>
        <w:rPr>
          <w:rFonts w:ascii="Arial" w:cs="Arial" w:eastAsia="Arial" w:hAnsi="Arial"/>
          <w:sz w:val="17"/>
          <w:szCs w:val="17"/>
          <w:color w:val="auto"/>
        </w:rPr>
        <w:t>The Company’s near-term outlook is being challenged by further OLED wafer shortages, pushout of initial mass production ramp of our new OLED customer outside of Korea, weakening demand in consumer end markets on growing recession fears and cost increases, including labor, due to inflationary pressures. While actual results may vary, looking into the next quarter, Magnachip currently expects:</w:t>
      </w:r>
    </w:p>
    <w:p>
      <w:pPr>
        <w:spacing w:after="0" w:line="71" w:lineRule="exact"/>
        <w:rPr>
          <w:sz w:val="20"/>
          <w:szCs w:val="20"/>
          <w:color w:val="auto"/>
        </w:rPr>
      </w:pPr>
    </w:p>
    <w:p>
      <w:pPr>
        <w:ind w:left="964" w:hanging="424"/>
        <w:spacing w:after="0"/>
        <w:tabs>
          <w:tab w:leader="none" w:pos="964" w:val="left"/>
        </w:tabs>
        <w:numPr>
          <w:ilvl w:val="0"/>
          <w:numId w:val="5"/>
        </w:numPr>
        <w:rPr>
          <w:rFonts w:ascii="Arial" w:cs="Arial" w:eastAsia="Arial" w:hAnsi="Arial"/>
          <w:sz w:val="18"/>
          <w:szCs w:val="18"/>
          <w:color w:val="auto"/>
        </w:rPr>
      </w:pPr>
      <w:r>
        <w:rPr>
          <w:rFonts w:ascii="Arial" w:cs="Arial" w:eastAsia="Arial" w:hAnsi="Arial"/>
          <w:sz w:val="18"/>
          <w:szCs w:val="18"/>
          <w:color w:val="auto"/>
        </w:rPr>
        <w:t>Revenue to be in the range of $70 million to $75 million, including about $9 million of Transitional Fab 3 Foundry Services.</w:t>
      </w:r>
    </w:p>
    <w:p>
      <w:pPr>
        <w:spacing w:after="0" w:line="130" w:lineRule="exact"/>
        <w:rPr>
          <w:rFonts w:ascii="Arial" w:cs="Arial" w:eastAsia="Arial" w:hAnsi="Arial"/>
          <w:sz w:val="18"/>
          <w:szCs w:val="18"/>
          <w:color w:val="auto"/>
        </w:rPr>
      </w:pPr>
    </w:p>
    <w:p>
      <w:pPr>
        <w:ind w:left="964" w:hanging="424"/>
        <w:spacing w:after="0"/>
        <w:tabs>
          <w:tab w:leader="none" w:pos="964" w:val="left"/>
        </w:tabs>
        <w:numPr>
          <w:ilvl w:val="0"/>
          <w:numId w:val="5"/>
        </w:numPr>
        <w:rPr>
          <w:rFonts w:ascii="Arial" w:cs="Arial" w:eastAsia="Arial" w:hAnsi="Arial"/>
          <w:sz w:val="18"/>
          <w:szCs w:val="18"/>
          <w:color w:val="auto"/>
        </w:rPr>
      </w:pPr>
      <w:r>
        <w:rPr>
          <w:rFonts w:ascii="Arial" w:cs="Arial" w:eastAsia="Arial" w:hAnsi="Arial"/>
          <w:sz w:val="18"/>
          <w:szCs w:val="18"/>
          <w:color w:val="auto"/>
        </w:rPr>
        <w:t>Gross profit margin to be in the range of 26.5% to 28.5%.</w:t>
      </w:r>
    </w:p>
    <w:p>
      <w:pPr>
        <w:spacing w:after="0" w:line="329" w:lineRule="exact"/>
        <w:rPr>
          <w:sz w:val="20"/>
          <w:szCs w:val="20"/>
          <w:color w:val="auto"/>
        </w:rPr>
      </w:pPr>
    </w:p>
    <w:p>
      <w:pPr>
        <w:ind w:left="4"/>
        <w:spacing w:after="0"/>
        <w:rPr>
          <w:sz w:val="20"/>
          <w:szCs w:val="20"/>
          <w:color w:val="auto"/>
        </w:rPr>
      </w:pPr>
      <w:r>
        <w:rPr>
          <w:rFonts w:ascii="Arial" w:cs="Arial" w:eastAsia="Arial" w:hAnsi="Arial"/>
          <w:sz w:val="18"/>
          <w:szCs w:val="18"/>
          <w:b w:val="1"/>
          <w:bCs w:val="1"/>
          <w:color w:val="auto"/>
        </w:rPr>
        <w:t>Q2 2022 Earnings Conference Call</w:t>
      </w:r>
    </w:p>
    <w:p>
      <w:pPr>
        <w:spacing w:after="0" w:line="121" w:lineRule="exact"/>
        <w:rPr>
          <w:sz w:val="20"/>
          <w:szCs w:val="20"/>
          <w:color w:val="auto"/>
        </w:rPr>
      </w:pPr>
    </w:p>
    <w:p>
      <w:pPr>
        <w:ind w:left="4" w:right="20"/>
        <w:spacing w:after="0" w:line="257" w:lineRule="auto"/>
        <w:rPr>
          <w:sz w:val="20"/>
          <w:szCs w:val="20"/>
          <w:color w:val="auto"/>
        </w:rPr>
      </w:pPr>
      <w:r>
        <w:rPr>
          <w:rFonts w:ascii="Arial" w:cs="Arial" w:eastAsia="Arial" w:hAnsi="Arial"/>
          <w:sz w:val="18"/>
          <w:szCs w:val="18"/>
          <w:color w:val="auto"/>
        </w:rPr>
        <w:t>Magnachip will host a corresponding conference call at 2:00 p.m. PT / 5:00 p.m. ET on Monday, August 8, 2022, to discuss its financial results. In advance of the conference call, all participants must use the following link to complete the online registration process. Upon registering, each participant will receive access details for this event including the dial-in numbers, a PIN number, and an e-mail with detailed instructions to join the conference call. A live and archived webcast of the conference call and a copy of earnings release will be accessible from the ‘Investors’ section of the Company’s website at www.magnachip.com.</w:t>
      </w:r>
    </w:p>
    <w:p>
      <w:pPr>
        <w:spacing w:after="0" w:line="120"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024"/>
          </w:cols>
          <w:pgMar w:left="436" w:top="1080" w:right="439" w:bottom="1440" w:gutter="0" w:footer="0" w:header="0"/>
        </w:sectPr>
      </w:pPr>
    </w:p>
    <w:bookmarkStart w:id="5" w:name="page6"/>
    <w:bookmarkEnd w:id="5"/>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74865" cy="38735"/>
                    </a:xfrm>
                    <a:prstGeom prst="rect">
                      <a:avLst/>
                    </a:prstGeom>
                    <a:noFill/>
                  </pic:spPr>
                </pic:pic>
              </a:graphicData>
            </a:graphic>
          </wp:anchor>
        </w:drawing>
        <w:drawing>
          <wp:anchor simplePos="0" relativeHeight="251657728" behindDoc="1" locked="0" layoutInCell="0" allowOverlap="1">
            <wp:simplePos x="0" y="0"/>
            <wp:positionH relativeFrom="page">
              <wp:posOffset>5814695</wp:posOffset>
            </wp:positionH>
            <wp:positionV relativeFrom="page">
              <wp:posOffset>182880</wp:posOffset>
            </wp:positionV>
            <wp:extent cx="1457325" cy="41973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clrChange>
                        <a:clrFrom>
                          <a:srgbClr val="FFFFFF"/>
                        </a:clrFrom>
                        <a:clrTo>
                          <a:srgbClr val="FFFFFF">
                            <a:alpha val="0"/>
                          </a:srgbClr>
                        </a:clrTo>
                      </a:clrChange>
                      <a:extLst>
                        <a:ext uri="{28A0092B-C50C-407E-A947-70E740481C1C}"/>
                      </a:extLst>
                    </a:blip>
                    <a:srcRect/>
                    <a:stretch>
                      <a:fillRect/>
                    </a:stretch>
                  </pic:blipFill>
                  <pic:spPr bwMode="auto">
                    <a:xfrm>
                      <a:off x="0" y="0"/>
                      <a:ext cx="1457325" cy="419735"/>
                    </a:xfrm>
                    <a:prstGeom prst="rect">
                      <a:avLst/>
                    </a:prstGeom>
                    <a:noFill/>
                  </pic:spPr>
                </pic:pic>
              </a:graphicData>
            </a:graphic>
          </wp:anchor>
        </w:drawing>
        <w:t xml:space="preserve">Online registration: </w:t>
      </w:r>
      <w:r>
        <w:rPr>
          <w:rFonts w:ascii="Arial" w:cs="Arial" w:eastAsia="Arial" w:hAnsi="Arial"/>
          <w:sz w:val="18"/>
          <w:szCs w:val="18"/>
          <w:u w:val="single" w:color="auto"/>
          <w:color w:val="auto"/>
        </w:rPr>
        <w:t>https://register.vevent.com/register/BI726a270135494c57a56defb9ec4da9d0</w:t>
      </w:r>
    </w:p>
    <w:p>
      <w:pPr>
        <w:spacing w:after="0" w:line="3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Safe Harbor for Forward-Looking Statements</w:t>
      </w:r>
    </w:p>
    <w:p>
      <w:pPr>
        <w:spacing w:after="0" w:line="121" w:lineRule="exact"/>
        <w:rPr>
          <w:sz w:val="20"/>
          <w:szCs w:val="20"/>
          <w:color w:val="auto"/>
        </w:rPr>
      </w:pPr>
    </w:p>
    <w:p>
      <w:pPr>
        <w:spacing w:after="0" w:line="284" w:lineRule="auto"/>
        <w:rPr>
          <w:sz w:val="20"/>
          <w:szCs w:val="20"/>
          <w:color w:val="auto"/>
        </w:rPr>
      </w:pPr>
      <w:r>
        <w:rPr>
          <w:rFonts w:ascii="Arial" w:cs="Arial" w:eastAsia="Arial" w:hAnsi="Arial"/>
          <w:sz w:val="16"/>
          <w:szCs w:val="16"/>
          <w:color w:val="auto"/>
        </w:rPr>
        <w:t>Information in this release regarding Magnachip’s forecasts, business outlook, expectations and beliefs are forward-looking statements within the meaning of the Private Securities Litigation Reform Act of 1995 that involve risks and uncertainties. These statements include expectations about estimated historical or future operating results and financial performance, outlook and business plans, including third quarter 2022 revenue and gross profit margin expectations, and the impact of market conditions associated with inflation and rising interest rates, the COVID-19 pandemic or the emergence of various variants of the virus, geopolitical conflict between Russia and Ukraine, and escalated trade tensions and supply constraints on Magnachip’s third quarter 2022 and future operating results. All forward-looking statements included in this release are based upon information available to Magnachip as of the date of this release, which may change, and we assume no obligation to update any such forward-looking statements. These statements are not guarantees of future performance and actual results could differ materially from our current expectations. Factors that could cause or contribute to such differences include, among others: the impact of changes in macroeconomic and/or general economic conditions, including those caused by or related to inflation, potential recessions or other deteriorations, economic instability or civil unrest the COVID-19 pandemic or the emergence of various variants of the virus or other outbreaks of disease, and governmental lock-downs or other measures implemented in response thereto, and the Russia-Ukraine conflict; manufacturing capacity constraints or supply chain disruptions that may impact our ability to deliver our products or affect the price of components, which may lead to an increase in our costs, as well as impacting demand for our products from customers who are similarly affected by such capacity constraints or disruptions; the impact of competitive products and pricing; timely design acceptance by our customers; timely introduction of new products and technologies; ability to ramp new products into volume production; industry wide shifts in supply and demand for semiconductor products; industry and/or company overcapacity; effective and cost efficient utilization of manufacturing capacity; financial stability in foreign markets and the impact of foreign exchange rates; unanticipated costs and expenses or the inability to identify expenses which can be eliminated; compliance with U.S. and international trade and export laws and regulations by us, our customers and our distributors, including those related to the Russia-Ukraine conflict; change or ratification of local or international laws and regulations, including those related to environment, health and safety; public health issues, including the COVID-19 pandemic or the emergence of various variants of the virus; other business interruptions that could disrupt supply or delivery of, or demand for, Magnachip’s products, including uncertainties regarding the impacts of the COVID-19 pandemic or the emergence of various variants of the virus that may result in factory closures, reduced workforces, scarcity of raw materials and goods produced in infected areas, as well as reduced consumer and business spending affecting demand for Magnachip’s products due to government and private sector mandatory business closures, travel restrictions or the like to prevent the spread of disease; and other risks detailed from time to time in Magnachip’s filings with the U.S. Securities and Exchange Commission (the “SEC”), including our Form 10-K filed on February 23, 2022 and subsequent registration statements, amendments or other reports that we may file from time to time with the SEC and/or make available on our website. Magnachip assumes no obligation and does not intend to update the forward-looking statements provided, whether as a result of new information, future events or otherwise.</w:t>
      </w:r>
    </w:p>
    <w:p>
      <w:pPr>
        <w:spacing w:after="0" w:line="200" w:lineRule="exact"/>
        <w:rPr>
          <w:sz w:val="20"/>
          <w:szCs w:val="20"/>
          <w:color w:val="auto"/>
        </w:rPr>
      </w:pPr>
    </w:p>
    <w:p>
      <w:pPr>
        <w:spacing w:after="0" w:line="2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About Magnachip Semiconductor</w:t>
      </w:r>
    </w:p>
    <w:p>
      <w:pPr>
        <w:spacing w:after="0" w:line="121"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Magnachip is a designer and manufacturer of analog and mixed-signal semiconductor platform solutions for communications, IoT, consumer, computing, industrial and automotive applications. The Company provides a broad range of standard products to customers worldwide. Magnachip, with more than 40 years of operating history, owns a portfolio of approximately 1,100 registered patents and pending applications, and has extensive engineering, design and manufacturing process expertise. For more information, please visit www.magnachip.com. Information on or accessible through Magnachip’s website is not a part of, and is not incorporated into, this release.</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CONTACT:</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Yujia Zhai</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The Blueshirt Group</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Tel. (860) 214-0809</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Yujia@blueshirtgroup.com</w:t>
      </w:r>
    </w:p>
    <w:p>
      <w:pPr>
        <w:spacing w:after="0" w:line="14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000"/>
          </w:cols>
          <w:pgMar w:left="440" w:top="1080" w:right="459" w:bottom="1440" w:gutter="0" w:footer="0" w:header="0"/>
        </w:sectPr>
      </w:pPr>
    </w:p>
    <w:bookmarkStart w:id="6" w:name="page7"/>
    <w:bookmarkEnd w:id="6"/>
    <w:p>
      <w:pPr>
        <w:jc w:val="center"/>
        <w:spacing w:after="0" w:line="263" w:lineRule="auto"/>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74865" cy="38100"/>
                    </a:xfrm>
                    <a:prstGeom prst="rect">
                      <a:avLst/>
                    </a:prstGeom>
                    <a:noFill/>
                  </pic:spPr>
                </pic:pic>
              </a:graphicData>
            </a:graphic>
          </wp:anchor>
        </w:drawing>
        <w:drawing>
          <wp:anchor simplePos="0" relativeHeight="251657728" behindDoc="1" locked="0" layoutInCell="0" allowOverlap="1">
            <wp:simplePos x="0" y="0"/>
            <wp:positionH relativeFrom="page">
              <wp:posOffset>5814695</wp:posOffset>
            </wp:positionH>
            <wp:positionV relativeFrom="page">
              <wp:posOffset>182880</wp:posOffset>
            </wp:positionV>
            <wp:extent cx="1457325" cy="41973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clrChange>
                        <a:clrFrom>
                          <a:srgbClr val="FFFFFF"/>
                        </a:clrFrom>
                        <a:clrTo>
                          <a:srgbClr val="FFFFFF">
                            <a:alpha val="0"/>
                          </a:srgbClr>
                        </a:clrTo>
                      </a:clrChange>
                      <a:extLst>
                        <a:ext uri="{28A0092B-C50C-407E-A947-70E740481C1C}"/>
                      </a:extLst>
                    </a:blip>
                    <a:srcRect/>
                    <a:stretch>
                      <a:fillRect/>
                    </a:stretch>
                  </pic:blipFill>
                  <pic:spPr bwMode="auto">
                    <a:xfrm>
                      <a:off x="0" y="0"/>
                      <a:ext cx="1457325" cy="419735"/>
                    </a:xfrm>
                    <a:prstGeom prst="rect">
                      <a:avLst/>
                    </a:prstGeom>
                    <a:noFill/>
                  </pic:spPr>
                </pic:pic>
              </a:graphicData>
            </a:graphic>
          </wp:anchor>
        </w:drawing>
        <w:t>MAGNACHIP SEMICONDUCTOR CORPORATION AND SUBSIDIARIES CONSOLIDATED STATEMENTS OF OPERATIONS (In thousands of U.S. dollars, except share data) (Unaudited)</w:t>
      </w:r>
    </w:p>
    <w:p>
      <w:pPr>
        <w:spacing w:after="0" w:line="200" w:lineRule="exact"/>
        <w:rPr>
          <w:sz w:val="20"/>
          <w:szCs w:val="20"/>
          <w:color w:val="auto"/>
        </w:rPr>
      </w:pPr>
    </w:p>
    <w:p>
      <w:pPr>
        <w:spacing w:after="0" w:line="222"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43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700" w:type="dxa"/>
            <w:vAlign w:val="bottom"/>
            <w:gridSpan w:val="4"/>
          </w:tcPr>
          <w:p>
            <w:pPr>
              <w:jc w:val="center"/>
              <w:ind w:right="160"/>
              <w:spacing w:after="0"/>
              <w:rPr>
                <w:sz w:val="20"/>
                <w:szCs w:val="20"/>
                <w:color w:val="auto"/>
              </w:rPr>
            </w:pPr>
            <w:r>
              <w:rPr>
                <w:rFonts w:ascii="Arial" w:cs="Arial" w:eastAsia="Arial" w:hAnsi="Arial"/>
                <w:sz w:val="14"/>
                <w:szCs w:val="14"/>
                <w:b w:val="1"/>
                <w:bCs w:val="1"/>
                <w:color w:val="auto"/>
                <w:w w:val="93"/>
              </w:rPr>
              <w:t>Three Months Ended</w:t>
            </w:r>
          </w:p>
        </w:tc>
        <w:tc>
          <w:tcPr>
            <w:tcW w:w="1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420" w:type="dxa"/>
            <w:vAlign w:val="bottom"/>
            <w:gridSpan w:val="5"/>
          </w:tcPr>
          <w:p>
            <w:pPr>
              <w:jc w:val="right"/>
              <w:ind w:right="800"/>
              <w:spacing w:after="0"/>
              <w:rPr>
                <w:sz w:val="20"/>
                <w:szCs w:val="20"/>
                <w:color w:val="auto"/>
              </w:rPr>
            </w:pPr>
            <w:r>
              <w:rPr>
                <w:rFonts w:ascii="Arial" w:cs="Arial" w:eastAsia="Arial" w:hAnsi="Arial"/>
                <w:sz w:val="14"/>
                <w:szCs w:val="14"/>
                <w:b w:val="1"/>
                <w:bCs w:val="1"/>
                <w:color w:val="auto"/>
              </w:rPr>
              <w:t>Six Months Ended</w:t>
            </w:r>
          </w:p>
        </w:tc>
      </w:tr>
      <w:tr>
        <w:trPr>
          <w:trHeight w:val="119"/>
        </w:trPr>
        <w:tc>
          <w:tcPr>
            <w:tcW w:w="4340" w:type="dxa"/>
            <w:vAlign w:val="bottom"/>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980" w:type="dxa"/>
            <w:vAlign w:val="bottom"/>
            <w:tcBorders>
              <w:top w:val="single" w:sz="8" w:color="auto"/>
            </w:tcBorders>
            <w:gridSpan w:val="2"/>
          </w:tcPr>
          <w:p>
            <w:pPr>
              <w:jc w:val="right"/>
              <w:ind w:right="360"/>
              <w:spacing w:after="0" w:line="119" w:lineRule="exact"/>
              <w:rPr>
                <w:sz w:val="20"/>
                <w:szCs w:val="20"/>
                <w:color w:val="auto"/>
              </w:rPr>
            </w:pPr>
            <w:r>
              <w:rPr>
                <w:rFonts w:ascii="Arial" w:cs="Arial" w:eastAsia="Arial" w:hAnsi="Arial"/>
                <w:sz w:val="13"/>
                <w:szCs w:val="13"/>
                <w:b w:val="1"/>
                <w:bCs w:val="1"/>
                <w:color w:val="auto"/>
              </w:rPr>
              <w:t>June 30,</w:t>
            </w:r>
          </w:p>
        </w:tc>
        <w:tc>
          <w:tcPr>
            <w:tcW w:w="320" w:type="dxa"/>
            <w:vAlign w:val="bottom"/>
            <w:tcBorders>
              <w:top w:val="single" w:sz="8" w:color="auto"/>
            </w:tcBorders>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1300" w:type="dxa"/>
            <w:vAlign w:val="bottom"/>
            <w:tcBorders>
              <w:top w:val="single" w:sz="8" w:color="auto"/>
            </w:tcBorders>
            <w:gridSpan w:val="2"/>
          </w:tcPr>
          <w:p>
            <w:pPr>
              <w:jc w:val="center"/>
              <w:ind w:right="560"/>
              <w:spacing w:after="0" w:line="119" w:lineRule="exact"/>
              <w:rPr>
                <w:sz w:val="20"/>
                <w:szCs w:val="20"/>
                <w:color w:val="auto"/>
              </w:rPr>
            </w:pPr>
            <w:r>
              <w:rPr>
                <w:rFonts w:ascii="Arial" w:cs="Arial" w:eastAsia="Arial" w:hAnsi="Arial"/>
                <w:sz w:val="13"/>
                <w:szCs w:val="13"/>
                <w:b w:val="1"/>
                <w:bCs w:val="1"/>
                <w:color w:val="auto"/>
              </w:rPr>
              <w:t>March 31,</w:t>
            </w:r>
          </w:p>
        </w:tc>
        <w:tc>
          <w:tcPr>
            <w:tcW w:w="100" w:type="dxa"/>
            <w:vAlign w:val="bottom"/>
            <w:tcBorders>
              <w:top w:val="single" w:sz="8" w:color="auto"/>
            </w:tcBorders>
          </w:tcPr>
          <w:p>
            <w:pPr>
              <w:spacing w:after="0"/>
              <w:rPr>
                <w:sz w:val="10"/>
                <w:szCs w:val="10"/>
                <w:color w:val="auto"/>
              </w:rPr>
            </w:pPr>
          </w:p>
        </w:tc>
        <w:tc>
          <w:tcPr>
            <w:tcW w:w="800" w:type="dxa"/>
            <w:vAlign w:val="bottom"/>
            <w:tcBorders>
              <w:top w:val="single" w:sz="8" w:color="auto"/>
            </w:tcBorders>
          </w:tcPr>
          <w:p>
            <w:pPr>
              <w:jc w:val="right"/>
              <w:ind w:right="92"/>
              <w:spacing w:after="0" w:line="119" w:lineRule="exact"/>
              <w:rPr>
                <w:sz w:val="20"/>
                <w:szCs w:val="20"/>
                <w:color w:val="auto"/>
              </w:rPr>
            </w:pPr>
            <w:r>
              <w:rPr>
                <w:rFonts w:ascii="Arial" w:cs="Arial" w:eastAsia="Arial" w:hAnsi="Arial"/>
                <w:sz w:val="13"/>
                <w:szCs w:val="13"/>
                <w:b w:val="1"/>
                <w:bCs w:val="1"/>
                <w:color w:val="auto"/>
              </w:rPr>
              <w:t>June 30,</w:t>
            </w:r>
          </w:p>
        </w:tc>
        <w:tc>
          <w:tcPr>
            <w:tcW w:w="3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1300" w:type="dxa"/>
            <w:vAlign w:val="bottom"/>
            <w:tcBorders>
              <w:top w:val="single" w:sz="8" w:color="auto"/>
            </w:tcBorders>
            <w:gridSpan w:val="2"/>
          </w:tcPr>
          <w:p>
            <w:pPr>
              <w:jc w:val="right"/>
              <w:ind w:right="680"/>
              <w:spacing w:after="0" w:line="119" w:lineRule="exact"/>
              <w:rPr>
                <w:sz w:val="20"/>
                <w:szCs w:val="20"/>
                <w:color w:val="auto"/>
              </w:rPr>
            </w:pPr>
            <w:r>
              <w:rPr>
                <w:rFonts w:ascii="Arial" w:cs="Arial" w:eastAsia="Arial" w:hAnsi="Arial"/>
                <w:sz w:val="13"/>
                <w:szCs w:val="13"/>
                <w:b w:val="1"/>
                <w:bCs w:val="1"/>
                <w:color w:val="auto"/>
              </w:rPr>
              <w:t>June 30,</w:t>
            </w:r>
          </w:p>
        </w:tc>
        <w:tc>
          <w:tcPr>
            <w:tcW w:w="100" w:type="dxa"/>
            <w:vAlign w:val="bottom"/>
            <w:tcBorders>
              <w:top w:val="single" w:sz="8" w:color="auto"/>
            </w:tcBorders>
          </w:tcPr>
          <w:p>
            <w:pPr>
              <w:spacing w:after="0"/>
              <w:rPr>
                <w:sz w:val="10"/>
                <w:szCs w:val="10"/>
                <w:color w:val="auto"/>
              </w:rPr>
            </w:pPr>
          </w:p>
        </w:tc>
        <w:tc>
          <w:tcPr>
            <w:tcW w:w="800" w:type="dxa"/>
            <w:vAlign w:val="bottom"/>
            <w:tcBorders>
              <w:top w:val="single" w:sz="8" w:color="auto"/>
            </w:tcBorders>
          </w:tcPr>
          <w:p>
            <w:pPr>
              <w:jc w:val="right"/>
              <w:ind w:right="92"/>
              <w:spacing w:after="0" w:line="119" w:lineRule="exact"/>
              <w:rPr>
                <w:sz w:val="20"/>
                <w:szCs w:val="20"/>
                <w:color w:val="auto"/>
              </w:rPr>
            </w:pPr>
            <w:r>
              <w:rPr>
                <w:rFonts w:ascii="Arial" w:cs="Arial" w:eastAsia="Arial" w:hAnsi="Arial"/>
                <w:sz w:val="13"/>
                <w:szCs w:val="13"/>
                <w:b w:val="1"/>
                <w:bCs w:val="1"/>
                <w:color w:val="auto"/>
              </w:rPr>
              <w:t>June 30,</w:t>
            </w:r>
          </w:p>
        </w:tc>
        <w:tc>
          <w:tcPr>
            <w:tcW w:w="220" w:type="dxa"/>
            <w:vAlign w:val="bottom"/>
          </w:tcPr>
          <w:p>
            <w:pPr>
              <w:spacing w:after="0"/>
              <w:rPr>
                <w:sz w:val="10"/>
                <w:szCs w:val="10"/>
                <w:color w:val="auto"/>
              </w:rPr>
            </w:pPr>
          </w:p>
        </w:tc>
      </w:tr>
      <w:tr>
        <w:trPr>
          <w:trHeight w:val="171"/>
        </w:trPr>
        <w:tc>
          <w:tcPr>
            <w:tcW w:w="434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jc w:val="right"/>
              <w:ind w:right="212"/>
              <w:spacing w:after="0"/>
              <w:rPr>
                <w:sz w:val="20"/>
                <w:szCs w:val="20"/>
                <w:color w:val="auto"/>
              </w:rPr>
            </w:pPr>
            <w:r>
              <w:rPr>
                <w:rFonts w:ascii="Arial" w:cs="Arial" w:eastAsia="Arial" w:hAnsi="Arial"/>
                <w:sz w:val="14"/>
                <w:szCs w:val="14"/>
                <w:b w:val="1"/>
                <w:bCs w:val="1"/>
                <w:color w:val="auto"/>
              </w:rPr>
              <w:t>2022</w:t>
            </w:r>
          </w:p>
        </w:tc>
        <w:tc>
          <w:tcPr>
            <w:tcW w:w="180" w:type="dxa"/>
            <w:vAlign w:val="bottom"/>
            <w:tcBorders>
              <w:bottom w:val="single" w:sz="8" w:color="CCEEFF"/>
            </w:tcBorders>
          </w:tcPr>
          <w:p>
            <w:pPr>
              <w:spacing w:after="0"/>
              <w:rPr>
                <w:sz w:val="14"/>
                <w:szCs w:val="14"/>
                <w:color w:val="auto"/>
              </w:rPr>
            </w:pPr>
          </w:p>
        </w:tc>
        <w:tc>
          <w:tcPr>
            <w:tcW w:w="320" w:type="dxa"/>
            <w:vAlign w:val="bottom"/>
            <w:tcBorders>
              <w:bottom w:val="single" w:sz="8" w:color="CCEEFF"/>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jc w:val="center"/>
              <w:ind w:right="12"/>
              <w:spacing w:after="0"/>
              <w:rPr>
                <w:sz w:val="20"/>
                <w:szCs w:val="20"/>
                <w:color w:val="auto"/>
              </w:rPr>
            </w:pPr>
            <w:r>
              <w:rPr>
                <w:rFonts w:ascii="Arial" w:cs="Arial" w:eastAsia="Arial" w:hAnsi="Arial"/>
                <w:sz w:val="14"/>
                <w:szCs w:val="14"/>
                <w:b w:val="1"/>
                <w:bCs w:val="1"/>
                <w:color w:val="auto"/>
                <w:w w:val="89"/>
              </w:rPr>
              <w:t>2022</w:t>
            </w:r>
          </w:p>
        </w:tc>
        <w:tc>
          <w:tcPr>
            <w:tcW w:w="48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jc w:val="right"/>
              <w:ind w:right="212"/>
              <w:spacing w:after="0"/>
              <w:rPr>
                <w:sz w:val="20"/>
                <w:szCs w:val="20"/>
                <w:color w:val="auto"/>
              </w:rPr>
            </w:pPr>
            <w:r>
              <w:rPr>
                <w:rFonts w:ascii="Arial" w:cs="Arial" w:eastAsia="Arial" w:hAnsi="Arial"/>
                <w:sz w:val="14"/>
                <w:szCs w:val="14"/>
                <w:b w:val="1"/>
                <w:bCs w:val="1"/>
                <w:color w:val="auto"/>
              </w:rPr>
              <w:t>2021</w:t>
            </w:r>
          </w:p>
        </w:tc>
        <w:tc>
          <w:tcPr>
            <w:tcW w:w="320" w:type="dxa"/>
            <w:vAlign w:val="bottom"/>
            <w:tcBorders>
              <w:bottom w:val="single" w:sz="8" w:color="CCEEFF"/>
            </w:tcBorders>
          </w:tcPr>
          <w:p>
            <w:pPr>
              <w:spacing w:after="0"/>
              <w:rPr>
                <w:sz w:val="14"/>
                <w:szCs w:val="14"/>
                <w:color w:val="auto"/>
              </w:rPr>
            </w:pPr>
          </w:p>
        </w:tc>
        <w:tc>
          <w:tcPr>
            <w:tcW w:w="180" w:type="dxa"/>
            <w:vAlign w:val="bottom"/>
            <w:tcBorders>
              <w:bottom w:val="single" w:sz="8" w:color="CCEEFF"/>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jc w:val="right"/>
              <w:ind w:right="212"/>
              <w:spacing w:after="0"/>
              <w:rPr>
                <w:sz w:val="20"/>
                <w:szCs w:val="20"/>
                <w:color w:val="auto"/>
              </w:rPr>
            </w:pPr>
            <w:r>
              <w:rPr>
                <w:rFonts w:ascii="Arial" w:cs="Arial" w:eastAsia="Arial" w:hAnsi="Arial"/>
                <w:sz w:val="14"/>
                <w:szCs w:val="14"/>
                <w:b w:val="1"/>
                <w:bCs w:val="1"/>
                <w:color w:val="auto"/>
              </w:rPr>
              <w:t>2022</w:t>
            </w:r>
          </w:p>
        </w:tc>
        <w:tc>
          <w:tcPr>
            <w:tcW w:w="48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jc w:val="right"/>
              <w:ind w:right="212"/>
              <w:spacing w:after="0"/>
              <w:rPr>
                <w:sz w:val="20"/>
                <w:szCs w:val="20"/>
                <w:color w:val="auto"/>
              </w:rPr>
            </w:pPr>
            <w:r>
              <w:rPr>
                <w:rFonts w:ascii="Arial" w:cs="Arial" w:eastAsia="Arial" w:hAnsi="Arial"/>
                <w:sz w:val="14"/>
                <w:szCs w:val="14"/>
                <w:b w:val="1"/>
                <w:bCs w:val="1"/>
                <w:color w:val="auto"/>
              </w:rPr>
              <w:t>2021</w:t>
            </w:r>
          </w:p>
        </w:tc>
        <w:tc>
          <w:tcPr>
            <w:tcW w:w="220" w:type="dxa"/>
            <w:vAlign w:val="bottom"/>
            <w:tcBorders>
              <w:bottom w:val="single" w:sz="8" w:color="CCEEFF"/>
            </w:tcBorders>
          </w:tcPr>
          <w:p>
            <w:pPr>
              <w:spacing w:after="0"/>
              <w:rPr>
                <w:sz w:val="14"/>
                <w:szCs w:val="14"/>
                <w:color w:val="auto"/>
              </w:rPr>
            </w:pPr>
          </w:p>
        </w:tc>
      </w:tr>
      <w:tr>
        <w:trPr>
          <w:trHeight w:val="196"/>
        </w:trPr>
        <w:tc>
          <w:tcPr>
            <w:tcW w:w="434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Revenues:</w:t>
            </w:r>
          </w:p>
        </w:tc>
        <w:tc>
          <w:tcPr>
            <w:tcW w:w="10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r>
      <w:tr>
        <w:trPr>
          <w:trHeight w:val="216"/>
        </w:trPr>
        <w:tc>
          <w:tcPr>
            <w:tcW w:w="4340" w:type="dxa"/>
            <w:vAlign w:val="bottom"/>
          </w:tcPr>
          <w:p>
            <w:pPr>
              <w:ind w:left="360"/>
              <w:spacing w:after="0"/>
              <w:rPr>
                <w:sz w:val="20"/>
                <w:szCs w:val="20"/>
                <w:color w:val="auto"/>
              </w:rPr>
            </w:pPr>
            <w:r>
              <w:rPr>
                <w:rFonts w:ascii="Arial" w:cs="Arial" w:eastAsia="Arial" w:hAnsi="Arial"/>
                <w:sz w:val="18"/>
                <w:szCs w:val="18"/>
                <w:color w:val="auto"/>
              </w:rPr>
              <w:t>Net sales – standard products business</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gridSpan w:val="2"/>
          </w:tcPr>
          <w:p>
            <w:pPr>
              <w:jc w:val="right"/>
              <w:ind w:right="180"/>
              <w:spacing w:after="0"/>
              <w:rPr>
                <w:sz w:val="20"/>
                <w:szCs w:val="20"/>
                <w:color w:val="auto"/>
              </w:rPr>
            </w:pPr>
            <w:r>
              <w:rPr>
                <w:rFonts w:ascii="Arial" w:cs="Arial" w:eastAsia="Arial" w:hAnsi="Arial"/>
                <w:sz w:val="18"/>
                <w:szCs w:val="18"/>
                <w:color w:val="auto"/>
              </w:rPr>
              <w:t>91,288</w:t>
            </w:r>
          </w:p>
        </w:tc>
        <w:tc>
          <w:tcPr>
            <w:tcW w:w="4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300" w:type="dxa"/>
            <w:vAlign w:val="bottom"/>
            <w:gridSpan w:val="2"/>
          </w:tcPr>
          <w:p>
            <w:pPr>
              <w:jc w:val="right"/>
              <w:ind w:right="480"/>
              <w:spacing w:after="0"/>
              <w:rPr>
                <w:sz w:val="20"/>
                <w:szCs w:val="20"/>
                <w:color w:val="auto"/>
              </w:rPr>
            </w:pPr>
            <w:r>
              <w:rPr>
                <w:rFonts w:ascii="Arial" w:cs="Arial" w:eastAsia="Arial" w:hAnsi="Arial"/>
                <w:sz w:val="18"/>
                <w:szCs w:val="18"/>
                <w:color w:val="auto"/>
              </w:rPr>
              <w:t>94,010</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gridSpan w:val="2"/>
          </w:tcPr>
          <w:p>
            <w:pPr>
              <w:jc w:val="right"/>
              <w:ind w:right="320"/>
              <w:spacing w:after="0"/>
              <w:rPr>
                <w:sz w:val="20"/>
                <w:szCs w:val="20"/>
                <w:color w:val="auto"/>
              </w:rPr>
            </w:pPr>
            <w:r>
              <w:rPr>
                <w:rFonts w:ascii="Arial" w:cs="Arial" w:eastAsia="Arial" w:hAnsi="Arial"/>
                <w:sz w:val="18"/>
                <w:szCs w:val="18"/>
                <w:color w:val="auto"/>
              </w:rPr>
              <w:t>103,268</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300" w:type="dxa"/>
            <w:vAlign w:val="bottom"/>
            <w:gridSpan w:val="2"/>
          </w:tcPr>
          <w:p>
            <w:pPr>
              <w:jc w:val="right"/>
              <w:ind w:right="480"/>
              <w:spacing w:after="0"/>
              <w:rPr>
                <w:sz w:val="20"/>
                <w:szCs w:val="20"/>
                <w:color w:val="auto"/>
              </w:rPr>
            </w:pPr>
            <w:r>
              <w:rPr>
                <w:rFonts w:ascii="Arial" w:cs="Arial" w:eastAsia="Arial" w:hAnsi="Arial"/>
                <w:sz w:val="18"/>
                <w:szCs w:val="18"/>
                <w:color w:val="auto"/>
              </w:rPr>
              <w:t>185,298</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gridSpan w:val="2"/>
          </w:tcPr>
          <w:p>
            <w:pPr>
              <w:jc w:val="right"/>
              <w:ind w:right="220"/>
              <w:spacing w:after="0"/>
              <w:rPr>
                <w:sz w:val="20"/>
                <w:szCs w:val="20"/>
                <w:color w:val="auto"/>
              </w:rPr>
            </w:pPr>
            <w:r>
              <w:rPr>
                <w:rFonts w:ascii="Arial" w:cs="Arial" w:eastAsia="Arial" w:hAnsi="Arial"/>
                <w:sz w:val="18"/>
                <w:szCs w:val="18"/>
                <w:color w:val="auto"/>
              </w:rPr>
              <w:t>216,174</w:t>
            </w:r>
          </w:p>
        </w:tc>
      </w:tr>
      <w:tr>
        <w:trPr>
          <w:trHeight w:val="216"/>
        </w:trPr>
        <w:tc>
          <w:tcPr>
            <w:tcW w:w="43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Net sales – transitional Fab 3 foundry services</w:t>
            </w: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10,088</w:t>
            </w:r>
          </w:p>
        </w:tc>
        <w:tc>
          <w:tcPr>
            <w:tcW w:w="3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10,083</w:t>
            </w: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10,608</w:t>
            </w: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20,171</w:t>
            </w: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20,721</w:t>
            </w:r>
          </w:p>
        </w:tc>
      </w:tr>
      <w:tr>
        <w:trPr>
          <w:trHeight w:val="223"/>
        </w:trPr>
        <w:tc>
          <w:tcPr>
            <w:tcW w:w="4340" w:type="dxa"/>
            <w:vAlign w:val="bottom"/>
          </w:tcPr>
          <w:p>
            <w:pPr>
              <w:ind w:left="720"/>
              <w:spacing w:after="0"/>
              <w:rPr>
                <w:sz w:val="20"/>
                <w:szCs w:val="20"/>
                <w:color w:val="auto"/>
              </w:rPr>
            </w:pPr>
            <w:r>
              <w:rPr>
                <w:rFonts w:ascii="Arial" w:cs="Arial" w:eastAsia="Arial" w:hAnsi="Arial"/>
                <w:sz w:val="18"/>
                <w:szCs w:val="18"/>
                <w:color w:val="auto"/>
              </w:rPr>
              <w:t>Total revenues</w:t>
            </w:r>
          </w:p>
        </w:tc>
        <w:tc>
          <w:tcPr>
            <w:tcW w:w="100" w:type="dxa"/>
            <w:vAlign w:val="bottom"/>
            <w:tcBorders>
              <w:top w:val="single" w:sz="8" w:color="auto"/>
            </w:tcBorders>
          </w:tcPr>
          <w:p>
            <w:pPr>
              <w:spacing w:after="0"/>
              <w:rPr>
                <w:sz w:val="19"/>
                <w:szCs w:val="19"/>
                <w:color w:val="auto"/>
              </w:rPr>
            </w:pPr>
          </w:p>
        </w:tc>
        <w:tc>
          <w:tcPr>
            <w:tcW w:w="8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101,376</w:t>
            </w:r>
          </w:p>
        </w:tc>
        <w:tc>
          <w:tcPr>
            <w:tcW w:w="1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8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104,093</w:t>
            </w:r>
          </w:p>
        </w:tc>
        <w:tc>
          <w:tcPr>
            <w:tcW w:w="48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8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113,876</w:t>
            </w:r>
          </w:p>
        </w:tc>
        <w:tc>
          <w:tcPr>
            <w:tcW w:w="3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8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205,469</w:t>
            </w:r>
          </w:p>
        </w:tc>
        <w:tc>
          <w:tcPr>
            <w:tcW w:w="48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8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236,895</w:t>
            </w:r>
          </w:p>
        </w:tc>
        <w:tc>
          <w:tcPr>
            <w:tcW w:w="220" w:type="dxa"/>
            <w:vAlign w:val="bottom"/>
          </w:tcPr>
          <w:p>
            <w:pPr>
              <w:spacing w:after="0"/>
              <w:rPr>
                <w:sz w:val="19"/>
                <w:szCs w:val="19"/>
                <w:color w:val="auto"/>
              </w:rPr>
            </w:pPr>
          </w:p>
        </w:tc>
      </w:tr>
      <w:tr>
        <w:trPr>
          <w:trHeight w:val="216"/>
        </w:trPr>
        <w:tc>
          <w:tcPr>
            <w:tcW w:w="4340" w:type="dxa"/>
            <w:vAlign w:val="bottom"/>
            <w:shd w:val="clear" w:color="auto" w:fill="CCEEFF"/>
          </w:tcPr>
          <w:p>
            <w:pPr>
              <w:spacing w:after="0"/>
              <w:rPr>
                <w:sz w:val="20"/>
                <w:szCs w:val="20"/>
                <w:color w:val="auto"/>
              </w:rPr>
            </w:pPr>
            <w:r>
              <w:rPr>
                <w:rFonts w:ascii="Arial" w:cs="Arial" w:eastAsia="Arial" w:hAnsi="Arial"/>
                <w:sz w:val="18"/>
                <w:szCs w:val="18"/>
                <w:color w:val="auto"/>
              </w:rPr>
              <w:t>Cost of sales:</w:t>
            </w: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r>
      <w:tr>
        <w:trPr>
          <w:trHeight w:val="216"/>
        </w:trPr>
        <w:tc>
          <w:tcPr>
            <w:tcW w:w="4340" w:type="dxa"/>
            <w:vAlign w:val="bottom"/>
          </w:tcPr>
          <w:p>
            <w:pPr>
              <w:ind w:left="360"/>
              <w:spacing w:after="0"/>
              <w:rPr>
                <w:sz w:val="20"/>
                <w:szCs w:val="20"/>
                <w:color w:val="auto"/>
              </w:rPr>
            </w:pPr>
            <w:r>
              <w:rPr>
                <w:rFonts w:ascii="Arial" w:cs="Arial" w:eastAsia="Arial" w:hAnsi="Arial"/>
                <w:sz w:val="18"/>
                <w:szCs w:val="18"/>
                <w:color w:val="auto"/>
              </w:rPr>
              <w:t>Cost of sales – standard products business</w:t>
            </w:r>
          </w:p>
        </w:tc>
        <w:tc>
          <w:tcPr>
            <w:tcW w:w="100" w:type="dxa"/>
            <w:vAlign w:val="bottom"/>
          </w:tcPr>
          <w:p>
            <w:pPr>
              <w:spacing w:after="0"/>
              <w:rPr>
                <w:sz w:val="18"/>
                <w:szCs w:val="18"/>
                <w:color w:val="auto"/>
              </w:rPr>
            </w:pPr>
          </w:p>
        </w:tc>
        <w:tc>
          <w:tcPr>
            <w:tcW w:w="980" w:type="dxa"/>
            <w:vAlign w:val="bottom"/>
            <w:gridSpan w:val="2"/>
          </w:tcPr>
          <w:p>
            <w:pPr>
              <w:jc w:val="right"/>
              <w:ind w:right="180"/>
              <w:spacing w:after="0"/>
              <w:rPr>
                <w:sz w:val="20"/>
                <w:szCs w:val="20"/>
                <w:color w:val="auto"/>
              </w:rPr>
            </w:pPr>
            <w:r>
              <w:rPr>
                <w:rFonts w:ascii="Arial" w:cs="Arial" w:eastAsia="Arial" w:hAnsi="Arial"/>
                <w:sz w:val="18"/>
                <w:szCs w:val="18"/>
                <w:color w:val="auto"/>
              </w:rPr>
              <w:t>63,620</w:t>
            </w:r>
          </w:p>
        </w:tc>
        <w:tc>
          <w:tcPr>
            <w:tcW w:w="3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300" w:type="dxa"/>
            <w:vAlign w:val="bottom"/>
            <w:gridSpan w:val="2"/>
          </w:tcPr>
          <w:p>
            <w:pPr>
              <w:jc w:val="right"/>
              <w:ind w:right="480"/>
              <w:spacing w:after="0"/>
              <w:rPr>
                <w:sz w:val="20"/>
                <w:szCs w:val="20"/>
                <w:color w:val="auto"/>
              </w:rPr>
            </w:pPr>
            <w:r>
              <w:rPr>
                <w:rFonts w:ascii="Arial" w:cs="Arial" w:eastAsia="Arial" w:hAnsi="Arial"/>
                <w:sz w:val="18"/>
                <w:szCs w:val="18"/>
                <w:color w:val="auto"/>
              </w:rPr>
              <w:t>56,080</w:t>
            </w:r>
          </w:p>
        </w:tc>
        <w:tc>
          <w:tcPr>
            <w:tcW w:w="100" w:type="dxa"/>
            <w:vAlign w:val="bottom"/>
          </w:tcPr>
          <w:p>
            <w:pPr>
              <w:spacing w:after="0"/>
              <w:rPr>
                <w:sz w:val="18"/>
                <w:szCs w:val="18"/>
                <w:color w:val="auto"/>
              </w:rPr>
            </w:pPr>
          </w:p>
        </w:tc>
        <w:tc>
          <w:tcPr>
            <w:tcW w:w="1120" w:type="dxa"/>
            <w:vAlign w:val="bottom"/>
            <w:gridSpan w:val="2"/>
          </w:tcPr>
          <w:p>
            <w:pPr>
              <w:jc w:val="right"/>
              <w:ind w:right="320"/>
              <w:spacing w:after="0"/>
              <w:rPr>
                <w:sz w:val="20"/>
                <w:szCs w:val="20"/>
                <w:color w:val="auto"/>
              </w:rPr>
            </w:pPr>
            <w:r>
              <w:rPr>
                <w:rFonts w:ascii="Arial" w:cs="Arial" w:eastAsia="Arial" w:hAnsi="Arial"/>
                <w:sz w:val="18"/>
                <w:szCs w:val="18"/>
                <w:color w:val="auto"/>
              </w:rPr>
              <w:t>70,409</w:t>
            </w: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300" w:type="dxa"/>
            <w:vAlign w:val="bottom"/>
            <w:gridSpan w:val="2"/>
          </w:tcPr>
          <w:p>
            <w:pPr>
              <w:jc w:val="right"/>
              <w:ind w:right="480"/>
              <w:spacing w:after="0"/>
              <w:rPr>
                <w:sz w:val="20"/>
                <w:szCs w:val="20"/>
                <w:color w:val="auto"/>
              </w:rPr>
            </w:pPr>
            <w:r>
              <w:rPr>
                <w:rFonts w:ascii="Arial" w:cs="Arial" w:eastAsia="Arial" w:hAnsi="Arial"/>
                <w:sz w:val="18"/>
                <w:szCs w:val="18"/>
                <w:color w:val="auto"/>
              </w:rPr>
              <w:t>119,700</w:t>
            </w:r>
          </w:p>
        </w:tc>
        <w:tc>
          <w:tcPr>
            <w:tcW w:w="100" w:type="dxa"/>
            <w:vAlign w:val="bottom"/>
          </w:tcPr>
          <w:p>
            <w:pPr>
              <w:spacing w:after="0"/>
              <w:rPr>
                <w:sz w:val="18"/>
                <w:szCs w:val="18"/>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8"/>
                <w:szCs w:val="18"/>
                <w:color w:val="auto"/>
              </w:rPr>
              <w:t>149,656</w:t>
            </w:r>
          </w:p>
        </w:tc>
      </w:tr>
      <w:tr>
        <w:trPr>
          <w:trHeight w:val="216"/>
        </w:trPr>
        <w:tc>
          <w:tcPr>
            <w:tcW w:w="4340" w:type="dxa"/>
            <w:vAlign w:val="bottom"/>
            <w:shd w:val="clear" w:color="auto" w:fill="CCEEFF"/>
          </w:tcPr>
          <w:p>
            <w:pPr>
              <w:ind w:left="360"/>
              <w:spacing w:after="0"/>
              <w:rPr>
                <w:sz w:val="20"/>
                <w:szCs w:val="20"/>
                <w:color w:val="auto"/>
              </w:rPr>
            </w:pPr>
            <w:r>
              <w:rPr>
                <w:rFonts w:ascii="Arial" w:cs="Arial" w:eastAsia="Arial" w:hAnsi="Arial"/>
                <w:sz w:val="18"/>
                <w:szCs w:val="18"/>
                <w:color w:val="auto"/>
                <w:w w:val="99"/>
              </w:rPr>
              <w:t>Cost of sales – transitional Fab 3 foundry services</w:t>
            </w: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8,811</w:t>
            </w:r>
          </w:p>
        </w:tc>
        <w:tc>
          <w:tcPr>
            <w:tcW w:w="3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9,017</w:t>
            </w: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9,497</w:t>
            </w: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17,828</w:t>
            </w: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18,887</w:t>
            </w:r>
          </w:p>
        </w:tc>
      </w:tr>
      <w:tr>
        <w:trPr>
          <w:trHeight w:val="230"/>
        </w:trPr>
        <w:tc>
          <w:tcPr>
            <w:tcW w:w="4340" w:type="dxa"/>
            <w:vAlign w:val="bottom"/>
          </w:tcPr>
          <w:p>
            <w:pPr>
              <w:ind w:left="720"/>
              <w:spacing w:after="0"/>
              <w:rPr>
                <w:sz w:val="20"/>
                <w:szCs w:val="20"/>
                <w:color w:val="auto"/>
              </w:rPr>
            </w:pPr>
            <w:r>
              <w:rPr>
                <w:rFonts w:ascii="Arial" w:cs="Arial" w:eastAsia="Arial" w:hAnsi="Arial"/>
                <w:sz w:val="18"/>
                <w:szCs w:val="18"/>
                <w:color w:val="auto"/>
              </w:rPr>
              <w:t>Total cost of sales</w:t>
            </w:r>
          </w:p>
        </w:tc>
        <w:tc>
          <w:tcPr>
            <w:tcW w:w="100" w:type="dxa"/>
            <w:vAlign w:val="bottom"/>
            <w:tcBorders>
              <w:top w:val="single" w:sz="8" w:color="auto"/>
              <w:bottom w:val="single" w:sz="8" w:color="auto"/>
            </w:tcBorders>
          </w:tcPr>
          <w:p>
            <w:pPr>
              <w:spacing w:after="0"/>
              <w:rPr>
                <w:sz w:val="20"/>
                <w:szCs w:val="20"/>
                <w:color w:val="auto"/>
              </w:rPr>
            </w:pP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72,431</w:t>
            </w:r>
          </w:p>
        </w:tc>
        <w:tc>
          <w:tcPr>
            <w:tcW w:w="1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80" w:type="dxa"/>
            <w:vAlign w:val="bottom"/>
            <w:tcBorders>
              <w:top w:val="single" w:sz="8" w:color="auto"/>
              <w:bottom w:val="single" w:sz="8" w:color="auto"/>
            </w:tcBorders>
          </w:tcPr>
          <w:p>
            <w:pPr>
              <w:spacing w:after="0"/>
              <w:rPr>
                <w:sz w:val="20"/>
                <w:szCs w:val="20"/>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65,097</w:t>
            </w:r>
          </w:p>
        </w:tc>
        <w:tc>
          <w:tcPr>
            <w:tcW w:w="48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79,906</w:t>
            </w:r>
          </w:p>
        </w:tc>
        <w:tc>
          <w:tcPr>
            <w:tcW w:w="3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0" w:type="dxa"/>
            <w:vAlign w:val="bottom"/>
            <w:tcBorders>
              <w:top w:val="single" w:sz="8" w:color="auto"/>
              <w:bottom w:val="single" w:sz="8" w:color="auto"/>
            </w:tcBorders>
          </w:tcPr>
          <w:p>
            <w:pPr>
              <w:spacing w:after="0"/>
              <w:rPr>
                <w:sz w:val="20"/>
                <w:szCs w:val="20"/>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137,528</w:t>
            </w:r>
          </w:p>
        </w:tc>
        <w:tc>
          <w:tcPr>
            <w:tcW w:w="48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168,543</w:t>
            </w:r>
          </w:p>
        </w:tc>
        <w:tc>
          <w:tcPr>
            <w:tcW w:w="220" w:type="dxa"/>
            <w:vAlign w:val="bottom"/>
          </w:tcPr>
          <w:p>
            <w:pPr>
              <w:spacing w:after="0"/>
              <w:rPr>
                <w:sz w:val="20"/>
                <w:szCs w:val="20"/>
                <w:color w:val="auto"/>
              </w:rPr>
            </w:pPr>
          </w:p>
        </w:tc>
      </w:tr>
      <w:tr>
        <w:trPr>
          <w:trHeight w:val="216"/>
        </w:trPr>
        <w:tc>
          <w:tcPr>
            <w:tcW w:w="4340" w:type="dxa"/>
            <w:vAlign w:val="bottom"/>
            <w:shd w:val="clear" w:color="auto" w:fill="CCEEFF"/>
          </w:tcPr>
          <w:p>
            <w:pPr>
              <w:spacing w:after="0"/>
              <w:rPr>
                <w:sz w:val="20"/>
                <w:szCs w:val="20"/>
                <w:color w:val="auto"/>
              </w:rPr>
            </w:pPr>
            <w:r>
              <w:rPr>
                <w:rFonts w:ascii="Arial" w:cs="Arial" w:eastAsia="Arial" w:hAnsi="Arial"/>
                <w:sz w:val="18"/>
                <w:szCs w:val="18"/>
                <w:color w:val="auto"/>
              </w:rPr>
              <w:t>Gross profit</w:t>
            </w: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28,945</w:t>
            </w:r>
          </w:p>
        </w:tc>
        <w:tc>
          <w:tcPr>
            <w:tcW w:w="3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38,996</w:t>
            </w: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33,970</w:t>
            </w: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67,941</w:t>
            </w: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68,352</w:t>
            </w:r>
          </w:p>
        </w:tc>
      </w:tr>
      <w:tr>
        <w:trPr>
          <w:trHeight w:val="202"/>
        </w:trPr>
        <w:tc>
          <w:tcPr>
            <w:tcW w:w="4340" w:type="dxa"/>
            <w:vAlign w:val="bottom"/>
          </w:tcPr>
          <w:p>
            <w:pPr>
              <w:spacing w:after="0" w:line="201" w:lineRule="exact"/>
              <w:rPr>
                <w:sz w:val="20"/>
                <w:szCs w:val="20"/>
                <w:color w:val="auto"/>
              </w:rPr>
            </w:pPr>
            <w:r>
              <w:rPr>
                <w:rFonts w:ascii="Arial" w:cs="Arial" w:eastAsia="Arial" w:hAnsi="Arial"/>
                <w:sz w:val="18"/>
                <w:szCs w:val="18"/>
                <w:color w:val="auto"/>
              </w:rPr>
              <w:t>Gross profit as a percentage of standard products</w:t>
            </w:r>
          </w:p>
        </w:tc>
        <w:tc>
          <w:tcPr>
            <w:tcW w:w="1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20" w:type="dxa"/>
            <w:vAlign w:val="bottom"/>
          </w:tcPr>
          <w:p>
            <w:pPr>
              <w:spacing w:after="0"/>
              <w:rPr>
                <w:sz w:val="17"/>
                <w:szCs w:val="17"/>
                <w:color w:val="auto"/>
              </w:rPr>
            </w:pPr>
          </w:p>
        </w:tc>
      </w:tr>
      <w:tr>
        <w:trPr>
          <w:trHeight w:val="230"/>
        </w:trPr>
        <w:tc>
          <w:tcPr>
            <w:tcW w:w="4340" w:type="dxa"/>
            <w:vAlign w:val="bottom"/>
          </w:tcPr>
          <w:p>
            <w:pPr>
              <w:ind w:left="180"/>
              <w:spacing w:after="0"/>
              <w:rPr>
                <w:sz w:val="20"/>
                <w:szCs w:val="20"/>
                <w:color w:val="auto"/>
              </w:rPr>
            </w:pPr>
            <w:r>
              <w:rPr>
                <w:rFonts w:ascii="Arial" w:cs="Arial" w:eastAsia="Arial" w:hAnsi="Arial"/>
                <w:sz w:val="18"/>
                <w:szCs w:val="18"/>
                <w:color w:val="auto"/>
              </w:rPr>
              <w:t>business net sales</w:t>
            </w:r>
          </w:p>
        </w:tc>
        <w:tc>
          <w:tcPr>
            <w:tcW w:w="100" w:type="dxa"/>
            <w:vAlign w:val="bottom"/>
          </w:tcPr>
          <w:p>
            <w:pPr>
              <w:spacing w:after="0"/>
              <w:rPr>
                <w:sz w:val="20"/>
                <w:szCs w:val="20"/>
                <w:color w:val="auto"/>
              </w:rPr>
            </w:pPr>
          </w:p>
        </w:tc>
        <w:tc>
          <w:tcPr>
            <w:tcW w:w="980" w:type="dxa"/>
            <w:vAlign w:val="bottom"/>
            <w:gridSpan w:val="2"/>
          </w:tcPr>
          <w:p>
            <w:pPr>
              <w:jc w:val="right"/>
              <w:ind w:right="20"/>
              <w:spacing w:after="0"/>
              <w:rPr>
                <w:sz w:val="20"/>
                <w:szCs w:val="20"/>
                <w:color w:val="auto"/>
              </w:rPr>
            </w:pPr>
            <w:r>
              <w:rPr>
                <w:rFonts w:ascii="Arial" w:cs="Arial" w:eastAsia="Arial" w:hAnsi="Arial"/>
                <w:sz w:val="18"/>
                <w:szCs w:val="18"/>
                <w:color w:val="auto"/>
              </w:rPr>
              <w:t>30.3%</w:t>
            </w:r>
          </w:p>
        </w:tc>
        <w:tc>
          <w:tcPr>
            <w:tcW w:w="3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300" w:type="dxa"/>
            <w:vAlign w:val="bottom"/>
            <w:gridSpan w:val="2"/>
          </w:tcPr>
          <w:p>
            <w:pPr>
              <w:jc w:val="right"/>
              <w:ind w:right="340"/>
              <w:spacing w:after="0"/>
              <w:rPr>
                <w:sz w:val="20"/>
                <w:szCs w:val="20"/>
                <w:color w:val="auto"/>
              </w:rPr>
            </w:pPr>
            <w:r>
              <w:rPr>
                <w:rFonts w:ascii="Arial" w:cs="Arial" w:eastAsia="Arial" w:hAnsi="Arial"/>
                <w:sz w:val="18"/>
                <w:szCs w:val="18"/>
                <w:color w:val="auto"/>
              </w:rPr>
              <w:t>40.3%</w:t>
            </w:r>
          </w:p>
        </w:tc>
        <w:tc>
          <w:tcPr>
            <w:tcW w:w="100" w:type="dxa"/>
            <w:vAlign w:val="bottom"/>
          </w:tcPr>
          <w:p>
            <w:pPr>
              <w:spacing w:after="0"/>
              <w:rPr>
                <w:sz w:val="20"/>
                <w:szCs w:val="20"/>
                <w:color w:val="auto"/>
              </w:rPr>
            </w:pPr>
          </w:p>
        </w:tc>
        <w:tc>
          <w:tcPr>
            <w:tcW w:w="1120" w:type="dxa"/>
            <w:vAlign w:val="bottom"/>
            <w:gridSpan w:val="2"/>
          </w:tcPr>
          <w:p>
            <w:pPr>
              <w:jc w:val="right"/>
              <w:ind w:right="160"/>
              <w:spacing w:after="0"/>
              <w:rPr>
                <w:sz w:val="20"/>
                <w:szCs w:val="20"/>
                <w:color w:val="auto"/>
              </w:rPr>
            </w:pPr>
            <w:r>
              <w:rPr>
                <w:rFonts w:ascii="Arial" w:cs="Arial" w:eastAsia="Arial" w:hAnsi="Arial"/>
                <w:sz w:val="18"/>
                <w:szCs w:val="18"/>
                <w:color w:val="auto"/>
              </w:rPr>
              <w:t>31.8%</w:t>
            </w:r>
          </w:p>
        </w:tc>
        <w:tc>
          <w:tcPr>
            <w:tcW w:w="1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300" w:type="dxa"/>
            <w:vAlign w:val="bottom"/>
            <w:gridSpan w:val="2"/>
          </w:tcPr>
          <w:p>
            <w:pPr>
              <w:jc w:val="right"/>
              <w:ind w:right="340"/>
              <w:spacing w:after="0"/>
              <w:rPr>
                <w:sz w:val="20"/>
                <w:szCs w:val="20"/>
                <w:color w:val="auto"/>
              </w:rPr>
            </w:pPr>
            <w:r>
              <w:rPr>
                <w:rFonts w:ascii="Arial" w:cs="Arial" w:eastAsia="Arial" w:hAnsi="Arial"/>
                <w:sz w:val="18"/>
                <w:szCs w:val="18"/>
                <w:color w:val="auto"/>
              </w:rPr>
              <w:t>35.4%</w:t>
            </w:r>
          </w:p>
        </w:tc>
        <w:tc>
          <w:tcPr>
            <w:tcW w:w="100" w:type="dxa"/>
            <w:vAlign w:val="bottom"/>
          </w:tcPr>
          <w:p>
            <w:pPr>
              <w:spacing w:after="0"/>
              <w:rPr>
                <w:sz w:val="20"/>
                <w:szCs w:val="20"/>
                <w:color w:val="auto"/>
              </w:rPr>
            </w:pPr>
          </w:p>
        </w:tc>
        <w:tc>
          <w:tcPr>
            <w:tcW w:w="1020" w:type="dxa"/>
            <w:vAlign w:val="bottom"/>
            <w:gridSpan w:val="2"/>
          </w:tcPr>
          <w:p>
            <w:pPr>
              <w:jc w:val="right"/>
              <w:ind w:right="60"/>
              <w:spacing w:after="0"/>
              <w:rPr>
                <w:sz w:val="20"/>
                <w:szCs w:val="20"/>
                <w:color w:val="auto"/>
              </w:rPr>
            </w:pPr>
            <w:r>
              <w:rPr>
                <w:rFonts w:ascii="Arial" w:cs="Arial" w:eastAsia="Arial" w:hAnsi="Arial"/>
                <w:sz w:val="18"/>
                <w:szCs w:val="18"/>
                <w:color w:val="auto"/>
              </w:rPr>
              <w:t>30.8%</w:t>
            </w:r>
          </w:p>
        </w:tc>
      </w:tr>
      <w:tr>
        <w:trPr>
          <w:trHeight w:val="216"/>
        </w:trPr>
        <w:tc>
          <w:tcPr>
            <w:tcW w:w="4340" w:type="dxa"/>
            <w:vAlign w:val="bottom"/>
            <w:shd w:val="clear" w:color="auto" w:fill="CCEEFF"/>
          </w:tcPr>
          <w:p>
            <w:pPr>
              <w:spacing w:after="0"/>
              <w:rPr>
                <w:sz w:val="20"/>
                <w:szCs w:val="20"/>
                <w:color w:val="auto"/>
              </w:rPr>
            </w:pPr>
            <w:r>
              <w:rPr>
                <w:rFonts w:ascii="Arial" w:cs="Arial" w:eastAsia="Arial" w:hAnsi="Arial"/>
                <w:sz w:val="18"/>
                <w:szCs w:val="18"/>
                <w:color w:val="auto"/>
              </w:rPr>
              <w:t>Gross profit as a percentage of total revenues</w:t>
            </w: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28.6%</w:t>
            </w:r>
          </w:p>
        </w:tc>
        <w:tc>
          <w:tcPr>
            <w:tcW w:w="3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37.5%</w:t>
            </w: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29.8%</w:t>
            </w: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33.1%</w:t>
            </w: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28.9%</w:t>
            </w:r>
          </w:p>
        </w:tc>
      </w:tr>
      <w:tr>
        <w:trPr>
          <w:trHeight w:val="216"/>
        </w:trPr>
        <w:tc>
          <w:tcPr>
            <w:tcW w:w="4340" w:type="dxa"/>
            <w:vAlign w:val="bottom"/>
          </w:tcPr>
          <w:p>
            <w:pPr>
              <w:spacing w:after="0"/>
              <w:rPr>
                <w:sz w:val="20"/>
                <w:szCs w:val="20"/>
                <w:color w:val="auto"/>
              </w:rPr>
            </w:pPr>
            <w:r>
              <w:rPr>
                <w:rFonts w:ascii="Arial" w:cs="Arial" w:eastAsia="Arial" w:hAnsi="Arial"/>
                <w:sz w:val="18"/>
                <w:szCs w:val="18"/>
                <w:color w:val="auto"/>
              </w:rPr>
              <w:t>Operating expenses:</w:t>
            </w: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20" w:type="dxa"/>
            <w:vAlign w:val="bottom"/>
          </w:tcPr>
          <w:p>
            <w:pPr>
              <w:spacing w:after="0"/>
              <w:rPr>
                <w:sz w:val="18"/>
                <w:szCs w:val="18"/>
                <w:color w:val="auto"/>
              </w:rPr>
            </w:pPr>
          </w:p>
        </w:tc>
      </w:tr>
      <w:tr>
        <w:trPr>
          <w:trHeight w:val="216"/>
        </w:trPr>
        <w:tc>
          <w:tcPr>
            <w:tcW w:w="43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Selling, general and administrative expenses</w:t>
            </w: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12,736</w:t>
            </w:r>
          </w:p>
        </w:tc>
        <w:tc>
          <w:tcPr>
            <w:tcW w:w="3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14,163</w:t>
            </w: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14,001</w:t>
            </w: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26,899</w:t>
            </w: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26,635</w:t>
            </w:r>
          </w:p>
        </w:tc>
      </w:tr>
      <w:tr>
        <w:trPr>
          <w:trHeight w:val="216"/>
        </w:trPr>
        <w:tc>
          <w:tcPr>
            <w:tcW w:w="4340" w:type="dxa"/>
            <w:vAlign w:val="bottom"/>
          </w:tcPr>
          <w:p>
            <w:pPr>
              <w:ind w:left="360"/>
              <w:spacing w:after="0"/>
              <w:rPr>
                <w:sz w:val="20"/>
                <w:szCs w:val="20"/>
                <w:color w:val="auto"/>
              </w:rPr>
            </w:pPr>
            <w:r>
              <w:rPr>
                <w:rFonts w:ascii="Arial" w:cs="Arial" w:eastAsia="Arial" w:hAnsi="Arial"/>
                <w:sz w:val="18"/>
                <w:szCs w:val="18"/>
                <w:color w:val="auto"/>
              </w:rPr>
              <w:t>Research and development expenses</w:t>
            </w:r>
          </w:p>
        </w:tc>
        <w:tc>
          <w:tcPr>
            <w:tcW w:w="100" w:type="dxa"/>
            <w:vAlign w:val="bottom"/>
          </w:tcPr>
          <w:p>
            <w:pPr>
              <w:spacing w:after="0"/>
              <w:rPr>
                <w:sz w:val="18"/>
                <w:szCs w:val="18"/>
                <w:color w:val="auto"/>
              </w:rPr>
            </w:pPr>
          </w:p>
        </w:tc>
        <w:tc>
          <w:tcPr>
            <w:tcW w:w="980" w:type="dxa"/>
            <w:vAlign w:val="bottom"/>
            <w:gridSpan w:val="2"/>
          </w:tcPr>
          <w:p>
            <w:pPr>
              <w:jc w:val="right"/>
              <w:ind w:right="180"/>
              <w:spacing w:after="0"/>
              <w:rPr>
                <w:sz w:val="20"/>
                <w:szCs w:val="20"/>
                <w:color w:val="auto"/>
              </w:rPr>
            </w:pPr>
            <w:r>
              <w:rPr>
                <w:rFonts w:ascii="Arial" w:cs="Arial" w:eastAsia="Arial" w:hAnsi="Arial"/>
                <w:sz w:val="18"/>
                <w:szCs w:val="18"/>
                <w:color w:val="auto"/>
              </w:rPr>
              <w:t>13,410</w:t>
            </w:r>
          </w:p>
        </w:tc>
        <w:tc>
          <w:tcPr>
            <w:tcW w:w="3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300" w:type="dxa"/>
            <w:vAlign w:val="bottom"/>
            <w:gridSpan w:val="2"/>
          </w:tcPr>
          <w:p>
            <w:pPr>
              <w:jc w:val="right"/>
              <w:ind w:right="480"/>
              <w:spacing w:after="0"/>
              <w:rPr>
                <w:sz w:val="20"/>
                <w:szCs w:val="20"/>
                <w:color w:val="auto"/>
              </w:rPr>
            </w:pPr>
            <w:r>
              <w:rPr>
                <w:rFonts w:ascii="Arial" w:cs="Arial" w:eastAsia="Arial" w:hAnsi="Arial"/>
                <w:sz w:val="18"/>
                <w:szCs w:val="18"/>
                <w:color w:val="auto"/>
              </w:rPr>
              <w:t>11,954</w:t>
            </w:r>
          </w:p>
        </w:tc>
        <w:tc>
          <w:tcPr>
            <w:tcW w:w="100" w:type="dxa"/>
            <w:vAlign w:val="bottom"/>
          </w:tcPr>
          <w:p>
            <w:pPr>
              <w:spacing w:after="0"/>
              <w:rPr>
                <w:sz w:val="18"/>
                <w:szCs w:val="18"/>
                <w:color w:val="auto"/>
              </w:rPr>
            </w:pPr>
          </w:p>
        </w:tc>
        <w:tc>
          <w:tcPr>
            <w:tcW w:w="1120" w:type="dxa"/>
            <w:vAlign w:val="bottom"/>
            <w:gridSpan w:val="2"/>
          </w:tcPr>
          <w:p>
            <w:pPr>
              <w:jc w:val="right"/>
              <w:ind w:right="320"/>
              <w:spacing w:after="0"/>
              <w:rPr>
                <w:sz w:val="20"/>
                <w:szCs w:val="20"/>
                <w:color w:val="auto"/>
              </w:rPr>
            </w:pPr>
            <w:r>
              <w:rPr>
                <w:rFonts w:ascii="Arial" w:cs="Arial" w:eastAsia="Arial" w:hAnsi="Arial"/>
                <w:sz w:val="18"/>
                <w:szCs w:val="18"/>
                <w:color w:val="auto"/>
              </w:rPr>
              <w:t>13,322</w:t>
            </w: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300" w:type="dxa"/>
            <w:vAlign w:val="bottom"/>
            <w:gridSpan w:val="2"/>
          </w:tcPr>
          <w:p>
            <w:pPr>
              <w:jc w:val="right"/>
              <w:ind w:right="480"/>
              <w:spacing w:after="0"/>
              <w:rPr>
                <w:sz w:val="20"/>
                <w:szCs w:val="20"/>
                <w:color w:val="auto"/>
              </w:rPr>
            </w:pPr>
            <w:r>
              <w:rPr>
                <w:rFonts w:ascii="Arial" w:cs="Arial" w:eastAsia="Arial" w:hAnsi="Arial"/>
                <w:sz w:val="18"/>
                <w:szCs w:val="18"/>
                <w:color w:val="auto"/>
              </w:rPr>
              <w:t>25,364</w:t>
            </w:r>
          </w:p>
        </w:tc>
        <w:tc>
          <w:tcPr>
            <w:tcW w:w="100" w:type="dxa"/>
            <w:vAlign w:val="bottom"/>
          </w:tcPr>
          <w:p>
            <w:pPr>
              <w:spacing w:after="0"/>
              <w:rPr>
                <w:sz w:val="18"/>
                <w:szCs w:val="18"/>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8"/>
                <w:szCs w:val="18"/>
                <w:color w:val="auto"/>
              </w:rPr>
              <w:t>26,745</w:t>
            </w:r>
          </w:p>
        </w:tc>
      </w:tr>
      <w:tr>
        <w:trPr>
          <w:trHeight w:val="216"/>
        </w:trPr>
        <w:tc>
          <w:tcPr>
            <w:tcW w:w="43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Merger-related costs</w:t>
            </w: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2,459</w:t>
            </w: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12,290</w:t>
            </w:r>
          </w:p>
        </w:tc>
      </w:tr>
      <w:tr>
        <w:trPr>
          <w:trHeight w:val="216"/>
        </w:trPr>
        <w:tc>
          <w:tcPr>
            <w:tcW w:w="4340" w:type="dxa"/>
            <w:vAlign w:val="bottom"/>
          </w:tcPr>
          <w:p>
            <w:pPr>
              <w:ind w:left="360"/>
              <w:spacing w:after="0"/>
              <w:rPr>
                <w:sz w:val="20"/>
                <w:szCs w:val="20"/>
                <w:color w:val="auto"/>
              </w:rPr>
            </w:pPr>
            <w:r>
              <w:rPr>
                <w:rFonts w:ascii="Arial" w:cs="Arial" w:eastAsia="Arial" w:hAnsi="Arial"/>
                <w:sz w:val="18"/>
                <w:szCs w:val="18"/>
                <w:color w:val="auto"/>
              </w:rPr>
              <w:t>Other charges</w:t>
            </w:r>
          </w:p>
        </w:tc>
        <w:tc>
          <w:tcPr>
            <w:tcW w:w="100" w:type="dxa"/>
            <w:vAlign w:val="bottom"/>
          </w:tcPr>
          <w:p>
            <w:pPr>
              <w:spacing w:after="0"/>
              <w:rPr>
                <w:sz w:val="18"/>
                <w:szCs w:val="18"/>
                <w:color w:val="auto"/>
              </w:rPr>
            </w:pPr>
          </w:p>
        </w:tc>
        <w:tc>
          <w:tcPr>
            <w:tcW w:w="980" w:type="dxa"/>
            <w:vAlign w:val="bottom"/>
            <w:gridSpan w:val="2"/>
          </w:tcPr>
          <w:p>
            <w:pPr>
              <w:jc w:val="right"/>
              <w:ind w:right="180"/>
              <w:spacing w:after="0"/>
              <w:rPr>
                <w:sz w:val="20"/>
                <w:szCs w:val="20"/>
                <w:color w:val="auto"/>
              </w:rPr>
            </w:pPr>
            <w:r>
              <w:rPr>
                <w:rFonts w:ascii="Arial" w:cs="Arial" w:eastAsia="Arial" w:hAnsi="Arial"/>
                <w:sz w:val="18"/>
                <w:szCs w:val="18"/>
                <w:color w:val="auto"/>
              </w:rPr>
              <w:t>797</w:t>
            </w:r>
          </w:p>
        </w:tc>
        <w:tc>
          <w:tcPr>
            <w:tcW w:w="3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300" w:type="dxa"/>
            <w:vAlign w:val="bottom"/>
            <w:gridSpan w:val="2"/>
          </w:tcPr>
          <w:p>
            <w:pPr>
              <w:jc w:val="right"/>
              <w:ind w:right="5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120" w:type="dxa"/>
            <w:vAlign w:val="bottom"/>
            <w:gridSpan w:val="2"/>
          </w:tcPr>
          <w:p>
            <w:pPr>
              <w:jc w:val="right"/>
              <w:ind w:right="320"/>
              <w:spacing w:after="0"/>
              <w:rPr>
                <w:sz w:val="20"/>
                <w:szCs w:val="20"/>
                <w:color w:val="auto"/>
              </w:rPr>
            </w:pPr>
            <w:r>
              <w:rPr>
                <w:rFonts w:ascii="Arial" w:cs="Arial" w:eastAsia="Arial" w:hAnsi="Arial"/>
                <w:sz w:val="18"/>
                <w:szCs w:val="18"/>
                <w:color w:val="auto"/>
              </w:rPr>
              <w:t>2,561</w:t>
            </w: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300" w:type="dxa"/>
            <w:vAlign w:val="bottom"/>
            <w:gridSpan w:val="2"/>
          </w:tcPr>
          <w:p>
            <w:pPr>
              <w:jc w:val="right"/>
              <w:ind w:right="480"/>
              <w:spacing w:after="0"/>
              <w:rPr>
                <w:sz w:val="20"/>
                <w:szCs w:val="20"/>
                <w:color w:val="auto"/>
              </w:rPr>
            </w:pPr>
            <w:r>
              <w:rPr>
                <w:rFonts w:ascii="Arial" w:cs="Arial" w:eastAsia="Arial" w:hAnsi="Arial"/>
                <w:sz w:val="18"/>
                <w:szCs w:val="18"/>
                <w:color w:val="auto"/>
              </w:rPr>
              <w:t>797</w:t>
            </w:r>
          </w:p>
        </w:tc>
        <w:tc>
          <w:tcPr>
            <w:tcW w:w="100" w:type="dxa"/>
            <w:vAlign w:val="bottom"/>
          </w:tcPr>
          <w:p>
            <w:pPr>
              <w:spacing w:after="0"/>
              <w:rPr>
                <w:sz w:val="18"/>
                <w:szCs w:val="18"/>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8"/>
                <w:szCs w:val="18"/>
                <w:color w:val="auto"/>
              </w:rPr>
              <w:t>3,146</w:t>
            </w:r>
          </w:p>
        </w:tc>
      </w:tr>
      <w:tr>
        <w:trPr>
          <w:trHeight w:val="27"/>
        </w:trPr>
        <w:tc>
          <w:tcPr>
            <w:tcW w:w="43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3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4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18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4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r>
      <w:tr>
        <w:trPr>
          <w:trHeight w:val="216"/>
        </w:trPr>
        <w:tc>
          <w:tcPr>
            <w:tcW w:w="4340" w:type="dxa"/>
            <w:vAlign w:val="bottom"/>
            <w:shd w:val="clear" w:color="auto" w:fill="CCEEFF"/>
          </w:tcPr>
          <w:p>
            <w:pPr>
              <w:ind w:left="720"/>
              <w:spacing w:after="0"/>
              <w:rPr>
                <w:sz w:val="20"/>
                <w:szCs w:val="20"/>
                <w:color w:val="auto"/>
              </w:rPr>
            </w:pPr>
            <w:r>
              <w:rPr>
                <w:rFonts w:ascii="Arial" w:cs="Arial" w:eastAsia="Arial" w:hAnsi="Arial"/>
                <w:sz w:val="18"/>
                <w:szCs w:val="18"/>
                <w:color w:val="auto"/>
              </w:rPr>
              <w:t>Total operating expenses</w:t>
            </w: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26,943</w:t>
            </w:r>
          </w:p>
        </w:tc>
        <w:tc>
          <w:tcPr>
            <w:tcW w:w="3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26,117</w:t>
            </w: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32,343</w:t>
            </w: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53,060</w:t>
            </w: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68,816</w:t>
            </w:r>
          </w:p>
        </w:tc>
      </w:tr>
      <w:tr>
        <w:trPr>
          <w:trHeight w:val="223"/>
        </w:trPr>
        <w:tc>
          <w:tcPr>
            <w:tcW w:w="4340" w:type="dxa"/>
            <w:vAlign w:val="bottom"/>
          </w:tcPr>
          <w:p>
            <w:pPr>
              <w:spacing w:after="0"/>
              <w:rPr>
                <w:sz w:val="20"/>
                <w:szCs w:val="20"/>
                <w:color w:val="auto"/>
              </w:rPr>
            </w:pPr>
            <w:r>
              <w:rPr>
                <w:rFonts w:ascii="Arial" w:cs="Arial" w:eastAsia="Arial" w:hAnsi="Arial"/>
                <w:sz w:val="18"/>
                <w:szCs w:val="18"/>
                <w:color w:val="auto"/>
              </w:rPr>
              <w:t>Operating income (loss)</w:t>
            </w:r>
          </w:p>
        </w:tc>
        <w:tc>
          <w:tcPr>
            <w:tcW w:w="100" w:type="dxa"/>
            <w:vAlign w:val="bottom"/>
            <w:tcBorders>
              <w:top w:val="single" w:sz="8" w:color="auto"/>
            </w:tcBorders>
          </w:tcPr>
          <w:p>
            <w:pPr>
              <w:spacing w:after="0"/>
              <w:rPr>
                <w:sz w:val="19"/>
                <w:szCs w:val="19"/>
                <w:color w:val="auto"/>
              </w:rPr>
            </w:pPr>
          </w:p>
        </w:tc>
        <w:tc>
          <w:tcPr>
            <w:tcW w:w="8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2,002</w:t>
            </w:r>
          </w:p>
        </w:tc>
        <w:tc>
          <w:tcPr>
            <w:tcW w:w="1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8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12,879</w:t>
            </w:r>
          </w:p>
        </w:tc>
        <w:tc>
          <w:tcPr>
            <w:tcW w:w="48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8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1,627</w:t>
            </w:r>
          </w:p>
        </w:tc>
        <w:tc>
          <w:tcPr>
            <w:tcW w:w="3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8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14,881</w:t>
            </w:r>
          </w:p>
        </w:tc>
        <w:tc>
          <w:tcPr>
            <w:tcW w:w="48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8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(464)</w:t>
            </w:r>
          </w:p>
        </w:tc>
        <w:tc>
          <w:tcPr>
            <w:tcW w:w="220" w:type="dxa"/>
            <w:vAlign w:val="bottom"/>
          </w:tcPr>
          <w:p>
            <w:pPr>
              <w:spacing w:after="0"/>
              <w:rPr>
                <w:sz w:val="19"/>
                <w:szCs w:val="19"/>
                <w:color w:val="auto"/>
              </w:rPr>
            </w:pPr>
          </w:p>
        </w:tc>
      </w:tr>
      <w:tr>
        <w:trPr>
          <w:trHeight w:val="216"/>
        </w:trPr>
        <w:tc>
          <w:tcPr>
            <w:tcW w:w="43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Interest expense</w:t>
            </w: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(499)</w:t>
            </w:r>
          </w:p>
        </w:tc>
        <w:tc>
          <w:tcPr>
            <w:tcW w:w="3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(111)</w:t>
            </w: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(85)</w:t>
            </w: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(610)</w:t>
            </w: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(1,126)</w:t>
            </w:r>
          </w:p>
        </w:tc>
      </w:tr>
      <w:tr>
        <w:trPr>
          <w:trHeight w:val="216"/>
        </w:trPr>
        <w:tc>
          <w:tcPr>
            <w:tcW w:w="4340" w:type="dxa"/>
            <w:vAlign w:val="bottom"/>
          </w:tcPr>
          <w:p>
            <w:pPr>
              <w:ind w:left="360"/>
              <w:spacing w:after="0"/>
              <w:rPr>
                <w:sz w:val="20"/>
                <w:szCs w:val="20"/>
                <w:color w:val="auto"/>
              </w:rPr>
            </w:pPr>
            <w:r>
              <w:rPr>
                <w:rFonts w:ascii="Arial" w:cs="Arial" w:eastAsia="Arial" w:hAnsi="Arial"/>
                <w:sz w:val="18"/>
                <w:szCs w:val="18"/>
                <w:color w:val="auto"/>
              </w:rPr>
              <w:t>Foreign currency gain (loss), net</w:t>
            </w:r>
          </w:p>
        </w:tc>
        <w:tc>
          <w:tcPr>
            <w:tcW w:w="100" w:type="dxa"/>
            <w:vAlign w:val="bottom"/>
          </w:tcPr>
          <w:p>
            <w:pPr>
              <w:spacing w:after="0"/>
              <w:rPr>
                <w:sz w:val="18"/>
                <w:szCs w:val="18"/>
                <w:color w:val="auto"/>
              </w:rPr>
            </w:pPr>
          </w:p>
        </w:tc>
        <w:tc>
          <w:tcPr>
            <w:tcW w:w="980" w:type="dxa"/>
            <w:vAlign w:val="bottom"/>
            <w:gridSpan w:val="2"/>
          </w:tcPr>
          <w:p>
            <w:pPr>
              <w:jc w:val="right"/>
              <w:ind w:right="120"/>
              <w:spacing w:after="0"/>
              <w:rPr>
                <w:sz w:val="20"/>
                <w:szCs w:val="20"/>
                <w:color w:val="auto"/>
              </w:rPr>
            </w:pPr>
            <w:r>
              <w:rPr>
                <w:rFonts w:ascii="Arial" w:cs="Arial" w:eastAsia="Arial" w:hAnsi="Arial"/>
                <w:sz w:val="18"/>
                <w:szCs w:val="18"/>
                <w:color w:val="auto"/>
              </w:rPr>
              <w:t>(7,012)</w:t>
            </w:r>
          </w:p>
        </w:tc>
        <w:tc>
          <w:tcPr>
            <w:tcW w:w="3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300" w:type="dxa"/>
            <w:vAlign w:val="bottom"/>
            <w:gridSpan w:val="2"/>
          </w:tcPr>
          <w:p>
            <w:pPr>
              <w:jc w:val="right"/>
              <w:ind w:right="420"/>
              <w:spacing w:after="0"/>
              <w:rPr>
                <w:sz w:val="20"/>
                <w:szCs w:val="20"/>
                <w:color w:val="auto"/>
              </w:rPr>
            </w:pPr>
            <w:r>
              <w:rPr>
                <w:rFonts w:ascii="Arial" w:cs="Arial" w:eastAsia="Arial" w:hAnsi="Arial"/>
                <w:sz w:val="18"/>
                <w:szCs w:val="18"/>
                <w:color w:val="auto"/>
              </w:rPr>
              <w:t>(690)</w:t>
            </w:r>
          </w:p>
        </w:tc>
        <w:tc>
          <w:tcPr>
            <w:tcW w:w="100" w:type="dxa"/>
            <w:vAlign w:val="bottom"/>
          </w:tcPr>
          <w:p>
            <w:pPr>
              <w:spacing w:after="0"/>
              <w:rPr>
                <w:sz w:val="18"/>
                <w:szCs w:val="18"/>
                <w:color w:val="auto"/>
              </w:rPr>
            </w:pPr>
          </w:p>
        </w:tc>
        <w:tc>
          <w:tcPr>
            <w:tcW w:w="1120" w:type="dxa"/>
            <w:vAlign w:val="bottom"/>
            <w:gridSpan w:val="2"/>
          </w:tcPr>
          <w:p>
            <w:pPr>
              <w:jc w:val="right"/>
              <w:ind w:right="320"/>
              <w:spacing w:after="0"/>
              <w:rPr>
                <w:sz w:val="20"/>
                <w:szCs w:val="20"/>
                <w:color w:val="auto"/>
              </w:rPr>
            </w:pPr>
            <w:r>
              <w:rPr>
                <w:rFonts w:ascii="Arial" w:cs="Arial" w:eastAsia="Arial" w:hAnsi="Arial"/>
                <w:sz w:val="18"/>
                <w:szCs w:val="18"/>
                <w:color w:val="auto"/>
              </w:rPr>
              <w:t>250</w:t>
            </w: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300" w:type="dxa"/>
            <w:vAlign w:val="bottom"/>
            <w:gridSpan w:val="2"/>
          </w:tcPr>
          <w:p>
            <w:pPr>
              <w:jc w:val="right"/>
              <w:ind w:right="420"/>
              <w:spacing w:after="0"/>
              <w:rPr>
                <w:sz w:val="20"/>
                <w:szCs w:val="20"/>
                <w:color w:val="auto"/>
              </w:rPr>
            </w:pPr>
            <w:r>
              <w:rPr>
                <w:rFonts w:ascii="Arial" w:cs="Arial" w:eastAsia="Arial" w:hAnsi="Arial"/>
                <w:sz w:val="18"/>
                <w:szCs w:val="18"/>
                <w:color w:val="auto"/>
              </w:rPr>
              <w:t>(7,702)</w:t>
            </w:r>
          </w:p>
        </w:tc>
        <w:tc>
          <w:tcPr>
            <w:tcW w:w="100" w:type="dxa"/>
            <w:vAlign w:val="bottom"/>
          </w:tcPr>
          <w:p>
            <w:pPr>
              <w:spacing w:after="0"/>
              <w:rPr>
                <w:sz w:val="18"/>
                <w:szCs w:val="18"/>
                <w:color w:val="auto"/>
              </w:rPr>
            </w:pPr>
          </w:p>
        </w:tc>
        <w:tc>
          <w:tcPr>
            <w:tcW w:w="1020" w:type="dxa"/>
            <w:vAlign w:val="bottom"/>
            <w:gridSpan w:val="2"/>
          </w:tcPr>
          <w:p>
            <w:pPr>
              <w:jc w:val="right"/>
              <w:ind w:right="160"/>
              <w:spacing w:after="0"/>
              <w:rPr>
                <w:sz w:val="20"/>
                <w:szCs w:val="20"/>
                <w:color w:val="auto"/>
              </w:rPr>
            </w:pPr>
            <w:r>
              <w:rPr>
                <w:rFonts w:ascii="Arial" w:cs="Arial" w:eastAsia="Arial" w:hAnsi="Arial"/>
                <w:sz w:val="18"/>
                <w:szCs w:val="18"/>
                <w:color w:val="auto"/>
              </w:rPr>
              <w:t>(4,421)</w:t>
            </w:r>
          </w:p>
        </w:tc>
      </w:tr>
      <w:tr>
        <w:trPr>
          <w:trHeight w:val="216"/>
        </w:trPr>
        <w:tc>
          <w:tcPr>
            <w:tcW w:w="43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Other income, net</w:t>
            </w: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1,272</w:t>
            </w:r>
          </w:p>
        </w:tc>
        <w:tc>
          <w:tcPr>
            <w:tcW w:w="3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933</w:t>
            </w: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611</w:t>
            </w: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2,205</w:t>
            </w: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1,231</w:t>
            </w:r>
          </w:p>
        </w:tc>
      </w:tr>
      <w:tr>
        <w:trPr>
          <w:trHeight w:val="223"/>
        </w:trPr>
        <w:tc>
          <w:tcPr>
            <w:tcW w:w="4340" w:type="dxa"/>
            <w:vAlign w:val="bottom"/>
          </w:tcPr>
          <w:p>
            <w:pPr>
              <w:spacing w:after="0"/>
              <w:rPr>
                <w:sz w:val="20"/>
                <w:szCs w:val="20"/>
                <w:color w:val="auto"/>
              </w:rPr>
            </w:pPr>
            <w:r>
              <w:rPr>
                <w:rFonts w:ascii="Arial" w:cs="Arial" w:eastAsia="Arial" w:hAnsi="Arial"/>
                <w:sz w:val="18"/>
                <w:szCs w:val="18"/>
                <w:color w:val="auto"/>
              </w:rPr>
              <w:t>Income (loss) before income tax expense</w:t>
            </w:r>
          </w:p>
        </w:tc>
        <w:tc>
          <w:tcPr>
            <w:tcW w:w="100" w:type="dxa"/>
            <w:vAlign w:val="bottom"/>
            <w:tcBorders>
              <w:top w:val="single" w:sz="8" w:color="auto"/>
            </w:tcBorders>
          </w:tcPr>
          <w:p>
            <w:pPr>
              <w:spacing w:after="0"/>
              <w:rPr>
                <w:sz w:val="19"/>
                <w:szCs w:val="19"/>
                <w:color w:val="auto"/>
              </w:rPr>
            </w:pPr>
          </w:p>
        </w:tc>
        <w:tc>
          <w:tcPr>
            <w:tcW w:w="8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(4,237)</w:t>
            </w:r>
          </w:p>
        </w:tc>
        <w:tc>
          <w:tcPr>
            <w:tcW w:w="1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8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13,011</w:t>
            </w:r>
          </w:p>
        </w:tc>
        <w:tc>
          <w:tcPr>
            <w:tcW w:w="48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8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2,403</w:t>
            </w:r>
          </w:p>
        </w:tc>
        <w:tc>
          <w:tcPr>
            <w:tcW w:w="3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8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8,774</w:t>
            </w:r>
          </w:p>
        </w:tc>
        <w:tc>
          <w:tcPr>
            <w:tcW w:w="48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8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(4,780)</w:t>
            </w:r>
          </w:p>
        </w:tc>
        <w:tc>
          <w:tcPr>
            <w:tcW w:w="220" w:type="dxa"/>
            <w:vAlign w:val="bottom"/>
          </w:tcPr>
          <w:p>
            <w:pPr>
              <w:spacing w:after="0"/>
              <w:rPr>
                <w:sz w:val="19"/>
                <w:szCs w:val="19"/>
                <w:color w:val="auto"/>
              </w:rPr>
            </w:pPr>
          </w:p>
        </w:tc>
      </w:tr>
      <w:tr>
        <w:trPr>
          <w:trHeight w:val="216"/>
        </w:trPr>
        <w:tc>
          <w:tcPr>
            <w:tcW w:w="4340" w:type="dxa"/>
            <w:vAlign w:val="bottom"/>
            <w:shd w:val="clear" w:color="auto" w:fill="CCEEFF"/>
          </w:tcPr>
          <w:p>
            <w:pPr>
              <w:spacing w:after="0"/>
              <w:rPr>
                <w:sz w:val="20"/>
                <w:szCs w:val="20"/>
                <w:color w:val="auto"/>
              </w:rPr>
            </w:pPr>
            <w:r>
              <w:rPr>
                <w:rFonts w:ascii="Arial" w:cs="Arial" w:eastAsia="Arial" w:hAnsi="Arial"/>
                <w:sz w:val="18"/>
                <w:szCs w:val="18"/>
                <w:color w:val="auto"/>
              </w:rPr>
              <w:t>Income tax expense (benefit)</w:t>
            </w: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(897)</w:t>
            </w:r>
          </w:p>
        </w:tc>
        <w:tc>
          <w:tcPr>
            <w:tcW w:w="3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3,483</w:t>
            </w: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2,601</w:t>
            </w: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2,586</w:t>
            </w: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2,891</w:t>
            </w:r>
          </w:p>
        </w:tc>
      </w:tr>
      <w:tr>
        <w:trPr>
          <w:trHeight w:val="223"/>
        </w:trPr>
        <w:tc>
          <w:tcPr>
            <w:tcW w:w="4340" w:type="dxa"/>
            <w:vAlign w:val="bottom"/>
          </w:tcPr>
          <w:p>
            <w:pPr>
              <w:spacing w:after="0"/>
              <w:rPr>
                <w:sz w:val="20"/>
                <w:szCs w:val="20"/>
                <w:color w:val="auto"/>
              </w:rPr>
            </w:pPr>
            <w:r>
              <w:rPr>
                <w:rFonts w:ascii="Arial" w:cs="Arial" w:eastAsia="Arial" w:hAnsi="Arial"/>
                <w:sz w:val="18"/>
                <w:szCs w:val="18"/>
                <w:color w:val="auto"/>
              </w:rPr>
              <w:t>Net income (loss)</w:t>
            </w: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(3,340)</w:t>
            </w:r>
          </w:p>
        </w:tc>
        <w:tc>
          <w:tcPr>
            <w:tcW w:w="1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9,528</w:t>
            </w:r>
          </w:p>
        </w:tc>
        <w:tc>
          <w:tcPr>
            <w:tcW w:w="48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(198)</w:t>
            </w:r>
          </w:p>
        </w:tc>
        <w:tc>
          <w:tcPr>
            <w:tcW w:w="3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6,188</w:t>
            </w:r>
          </w:p>
        </w:tc>
        <w:tc>
          <w:tcPr>
            <w:tcW w:w="48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(7,671)</w:t>
            </w:r>
          </w:p>
        </w:tc>
        <w:tc>
          <w:tcPr>
            <w:tcW w:w="220" w:type="dxa"/>
            <w:vAlign w:val="bottom"/>
          </w:tcPr>
          <w:p>
            <w:pPr>
              <w:spacing w:after="0"/>
              <w:rPr>
                <w:sz w:val="19"/>
                <w:szCs w:val="19"/>
                <w:color w:val="auto"/>
              </w:rPr>
            </w:pPr>
          </w:p>
        </w:tc>
      </w:tr>
      <w:tr>
        <w:trPr>
          <w:trHeight w:val="20"/>
        </w:trPr>
        <w:tc>
          <w:tcPr>
            <w:tcW w:w="43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r>
      <w:tr>
        <w:trPr>
          <w:trHeight w:val="210"/>
        </w:trPr>
        <w:tc>
          <w:tcPr>
            <w:tcW w:w="4340" w:type="dxa"/>
            <w:vAlign w:val="bottom"/>
            <w:shd w:val="clear" w:color="auto" w:fill="CCEEFF"/>
          </w:tcPr>
          <w:p>
            <w:pPr>
              <w:spacing w:after="0"/>
              <w:rPr>
                <w:sz w:val="20"/>
                <w:szCs w:val="20"/>
                <w:color w:val="auto"/>
              </w:rPr>
            </w:pPr>
            <w:r>
              <w:rPr>
                <w:rFonts w:ascii="Arial" w:cs="Arial" w:eastAsia="Arial" w:hAnsi="Arial"/>
                <w:sz w:val="18"/>
                <w:szCs w:val="18"/>
                <w:color w:val="auto"/>
              </w:rPr>
              <w:t>Basic earnings (loss) per common share—</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(0.07)</w:t>
            </w:r>
          </w:p>
        </w:tc>
        <w:tc>
          <w:tcPr>
            <w:tcW w:w="3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0.21</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(0.00)</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0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0.14</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(0.18)</w:t>
            </w:r>
          </w:p>
        </w:tc>
      </w:tr>
      <w:tr>
        <w:trPr>
          <w:trHeight w:val="216"/>
        </w:trPr>
        <w:tc>
          <w:tcPr>
            <w:tcW w:w="4340" w:type="dxa"/>
            <w:vAlign w:val="bottom"/>
          </w:tcPr>
          <w:p>
            <w:pPr>
              <w:spacing w:after="0"/>
              <w:rPr>
                <w:sz w:val="20"/>
                <w:szCs w:val="20"/>
                <w:color w:val="auto"/>
              </w:rPr>
            </w:pPr>
            <w:r>
              <w:rPr>
                <w:rFonts w:ascii="Arial" w:cs="Arial" w:eastAsia="Arial" w:hAnsi="Arial"/>
                <w:sz w:val="18"/>
                <w:szCs w:val="18"/>
                <w:color w:val="auto"/>
              </w:rPr>
              <w:t>Diluted earnings (loss) per common share—</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gridSpan w:val="2"/>
          </w:tcPr>
          <w:p>
            <w:pPr>
              <w:jc w:val="right"/>
              <w:ind w:right="120"/>
              <w:spacing w:after="0"/>
              <w:rPr>
                <w:sz w:val="20"/>
                <w:szCs w:val="20"/>
                <w:color w:val="auto"/>
              </w:rPr>
            </w:pPr>
            <w:r>
              <w:rPr>
                <w:rFonts w:ascii="Arial" w:cs="Arial" w:eastAsia="Arial" w:hAnsi="Arial"/>
                <w:sz w:val="18"/>
                <w:szCs w:val="18"/>
                <w:color w:val="auto"/>
              </w:rPr>
              <w:t>(0.07)</w:t>
            </w:r>
          </w:p>
        </w:tc>
        <w:tc>
          <w:tcPr>
            <w:tcW w:w="3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300" w:type="dxa"/>
            <w:vAlign w:val="bottom"/>
            <w:gridSpan w:val="2"/>
          </w:tcPr>
          <w:p>
            <w:pPr>
              <w:jc w:val="right"/>
              <w:ind w:right="480"/>
              <w:spacing w:after="0"/>
              <w:rPr>
                <w:sz w:val="20"/>
                <w:szCs w:val="20"/>
                <w:color w:val="auto"/>
              </w:rPr>
            </w:pPr>
            <w:r>
              <w:rPr>
                <w:rFonts w:ascii="Arial" w:cs="Arial" w:eastAsia="Arial" w:hAnsi="Arial"/>
                <w:sz w:val="18"/>
                <w:szCs w:val="18"/>
                <w:color w:val="auto"/>
              </w:rPr>
              <w:t>0.20</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gridSpan w:val="2"/>
          </w:tcPr>
          <w:p>
            <w:pPr>
              <w:jc w:val="right"/>
              <w:ind w:right="260"/>
              <w:spacing w:after="0"/>
              <w:rPr>
                <w:sz w:val="20"/>
                <w:szCs w:val="20"/>
                <w:color w:val="auto"/>
              </w:rPr>
            </w:pPr>
            <w:r>
              <w:rPr>
                <w:rFonts w:ascii="Arial" w:cs="Arial" w:eastAsia="Arial" w:hAnsi="Arial"/>
                <w:sz w:val="18"/>
                <w:szCs w:val="18"/>
                <w:color w:val="auto"/>
              </w:rPr>
              <w:t>(0.00)</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300" w:type="dxa"/>
            <w:vAlign w:val="bottom"/>
            <w:gridSpan w:val="2"/>
          </w:tcPr>
          <w:p>
            <w:pPr>
              <w:jc w:val="right"/>
              <w:ind w:right="480"/>
              <w:spacing w:after="0"/>
              <w:rPr>
                <w:sz w:val="20"/>
                <w:szCs w:val="20"/>
                <w:color w:val="auto"/>
              </w:rPr>
            </w:pPr>
            <w:r>
              <w:rPr>
                <w:rFonts w:ascii="Arial" w:cs="Arial" w:eastAsia="Arial" w:hAnsi="Arial"/>
                <w:sz w:val="18"/>
                <w:szCs w:val="18"/>
                <w:color w:val="auto"/>
              </w:rPr>
              <w:t>0.13</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gridSpan w:val="2"/>
          </w:tcPr>
          <w:p>
            <w:pPr>
              <w:jc w:val="right"/>
              <w:ind w:right="160"/>
              <w:spacing w:after="0"/>
              <w:rPr>
                <w:sz w:val="20"/>
                <w:szCs w:val="20"/>
                <w:color w:val="auto"/>
              </w:rPr>
            </w:pPr>
            <w:r>
              <w:rPr>
                <w:rFonts w:ascii="Arial" w:cs="Arial" w:eastAsia="Arial" w:hAnsi="Arial"/>
                <w:sz w:val="18"/>
                <w:szCs w:val="18"/>
                <w:color w:val="auto"/>
              </w:rPr>
              <w:t>(0.18)</w:t>
            </w:r>
          </w:p>
        </w:tc>
      </w:tr>
      <w:tr>
        <w:trPr>
          <w:trHeight w:val="216"/>
        </w:trPr>
        <w:tc>
          <w:tcPr>
            <w:tcW w:w="4340" w:type="dxa"/>
            <w:vAlign w:val="bottom"/>
            <w:shd w:val="clear" w:color="auto" w:fill="CCEEFF"/>
          </w:tcPr>
          <w:p>
            <w:pPr>
              <w:spacing w:after="0"/>
              <w:rPr>
                <w:sz w:val="20"/>
                <w:szCs w:val="20"/>
                <w:color w:val="auto"/>
              </w:rPr>
            </w:pPr>
            <w:r>
              <w:rPr>
                <w:rFonts w:ascii="Arial" w:cs="Arial" w:eastAsia="Arial" w:hAnsi="Arial"/>
                <w:sz w:val="18"/>
                <w:szCs w:val="18"/>
                <w:color w:val="auto"/>
              </w:rPr>
              <w:t>Weighted average number of shares—</w:t>
            </w: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r>
      <w:tr>
        <w:trPr>
          <w:trHeight w:val="216"/>
        </w:trPr>
        <w:tc>
          <w:tcPr>
            <w:tcW w:w="4340" w:type="dxa"/>
            <w:vAlign w:val="bottom"/>
          </w:tcPr>
          <w:p>
            <w:pPr>
              <w:ind w:left="360"/>
              <w:spacing w:after="0"/>
              <w:rPr>
                <w:sz w:val="20"/>
                <w:szCs w:val="20"/>
                <w:color w:val="auto"/>
              </w:rPr>
            </w:pPr>
            <w:r>
              <w:rPr>
                <w:rFonts w:ascii="Arial" w:cs="Arial" w:eastAsia="Arial" w:hAnsi="Arial"/>
                <w:sz w:val="18"/>
                <w:szCs w:val="18"/>
                <w:color w:val="auto"/>
              </w:rPr>
              <w:t>Basic</w:t>
            </w:r>
          </w:p>
        </w:tc>
        <w:tc>
          <w:tcPr>
            <w:tcW w:w="100" w:type="dxa"/>
            <w:vAlign w:val="bottom"/>
          </w:tcPr>
          <w:p>
            <w:pPr>
              <w:spacing w:after="0"/>
              <w:rPr>
                <w:sz w:val="18"/>
                <w:szCs w:val="18"/>
                <w:color w:val="auto"/>
              </w:rPr>
            </w:pPr>
          </w:p>
        </w:tc>
        <w:tc>
          <w:tcPr>
            <w:tcW w:w="980" w:type="dxa"/>
            <w:vAlign w:val="bottom"/>
            <w:gridSpan w:val="2"/>
          </w:tcPr>
          <w:p>
            <w:pPr>
              <w:jc w:val="right"/>
              <w:ind w:right="180"/>
              <w:spacing w:after="0"/>
              <w:rPr>
                <w:sz w:val="20"/>
                <w:szCs w:val="20"/>
                <w:color w:val="auto"/>
              </w:rPr>
            </w:pPr>
            <w:r>
              <w:rPr>
                <w:rFonts w:ascii="Arial" w:cs="Arial" w:eastAsia="Arial" w:hAnsi="Arial"/>
                <w:sz w:val="18"/>
                <w:szCs w:val="18"/>
                <w:color w:val="auto"/>
                <w:w w:val="86"/>
              </w:rPr>
              <w:t>44,897,278</w:t>
            </w:r>
          </w:p>
        </w:tc>
        <w:tc>
          <w:tcPr>
            <w:tcW w:w="3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300" w:type="dxa"/>
            <w:vAlign w:val="bottom"/>
            <w:gridSpan w:val="2"/>
          </w:tcPr>
          <w:p>
            <w:pPr>
              <w:jc w:val="right"/>
              <w:ind w:right="480"/>
              <w:spacing w:after="0"/>
              <w:rPr>
                <w:sz w:val="20"/>
                <w:szCs w:val="20"/>
                <w:color w:val="auto"/>
              </w:rPr>
            </w:pPr>
            <w:r>
              <w:rPr>
                <w:rFonts w:ascii="Arial" w:cs="Arial" w:eastAsia="Arial" w:hAnsi="Arial"/>
                <w:sz w:val="18"/>
                <w:szCs w:val="18"/>
                <w:color w:val="auto"/>
                <w:w w:val="88"/>
              </w:rPr>
              <w:t>45,603,208</w:t>
            </w:r>
          </w:p>
        </w:tc>
        <w:tc>
          <w:tcPr>
            <w:tcW w:w="100" w:type="dxa"/>
            <w:vAlign w:val="bottom"/>
          </w:tcPr>
          <w:p>
            <w:pPr>
              <w:spacing w:after="0"/>
              <w:rPr>
                <w:sz w:val="18"/>
                <w:szCs w:val="18"/>
                <w:color w:val="auto"/>
              </w:rPr>
            </w:pPr>
          </w:p>
        </w:tc>
        <w:tc>
          <w:tcPr>
            <w:tcW w:w="1120" w:type="dxa"/>
            <w:vAlign w:val="bottom"/>
            <w:gridSpan w:val="2"/>
          </w:tcPr>
          <w:p>
            <w:pPr>
              <w:jc w:val="right"/>
              <w:ind w:right="320"/>
              <w:spacing w:after="0"/>
              <w:rPr>
                <w:sz w:val="20"/>
                <w:szCs w:val="20"/>
                <w:color w:val="auto"/>
              </w:rPr>
            </w:pPr>
            <w:r>
              <w:rPr>
                <w:rFonts w:ascii="Arial" w:cs="Arial" w:eastAsia="Arial" w:hAnsi="Arial"/>
                <w:sz w:val="18"/>
                <w:szCs w:val="18"/>
                <w:color w:val="auto"/>
                <w:w w:val="86"/>
              </w:rPr>
              <w:t>46,322,027</w:t>
            </w: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300" w:type="dxa"/>
            <w:vAlign w:val="bottom"/>
            <w:gridSpan w:val="2"/>
          </w:tcPr>
          <w:p>
            <w:pPr>
              <w:jc w:val="right"/>
              <w:ind w:right="480"/>
              <w:spacing w:after="0"/>
              <w:rPr>
                <w:sz w:val="20"/>
                <w:szCs w:val="20"/>
                <w:color w:val="auto"/>
              </w:rPr>
            </w:pPr>
            <w:r>
              <w:rPr>
                <w:rFonts w:ascii="Arial" w:cs="Arial" w:eastAsia="Arial" w:hAnsi="Arial"/>
                <w:sz w:val="18"/>
                <w:szCs w:val="18"/>
                <w:color w:val="auto"/>
                <w:w w:val="88"/>
              </w:rPr>
              <w:t>45,248,293</w:t>
            </w:r>
          </w:p>
        </w:tc>
        <w:tc>
          <w:tcPr>
            <w:tcW w:w="100" w:type="dxa"/>
            <w:vAlign w:val="bottom"/>
          </w:tcPr>
          <w:p>
            <w:pPr>
              <w:spacing w:after="0"/>
              <w:rPr>
                <w:sz w:val="18"/>
                <w:szCs w:val="18"/>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8"/>
                <w:szCs w:val="18"/>
                <w:color w:val="auto"/>
                <w:w w:val="86"/>
              </w:rPr>
              <w:t>43,324,088</w:t>
            </w:r>
          </w:p>
        </w:tc>
      </w:tr>
      <w:tr>
        <w:trPr>
          <w:trHeight w:val="216"/>
        </w:trPr>
        <w:tc>
          <w:tcPr>
            <w:tcW w:w="43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Diluted</w:t>
            </w: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w w:val="86"/>
              </w:rPr>
              <w:t>44,897,278</w:t>
            </w:r>
          </w:p>
        </w:tc>
        <w:tc>
          <w:tcPr>
            <w:tcW w:w="3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w w:val="88"/>
              </w:rPr>
              <w:t>46,693,294</w:t>
            </w: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w w:val="86"/>
              </w:rPr>
              <w:t>46,322,027</w:t>
            </w: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w w:val="88"/>
              </w:rPr>
              <w:t>46,329,559</w:t>
            </w: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86"/>
              </w:rPr>
              <w:t>43,324,088</w:t>
            </w:r>
          </w:p>
        </w:tc>
      </w:tr>
      <w:tr>
        <w:trPr>
          <w:trHeight w:val="365"/>
        </w:trPr>
        <w:tc>
          <w:tcPr>
            <w:tcW w:w="4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20" w:type="dxa"/>
            <w:vAlign w:val="bottom"/>
          </w:tcPr>
          <w:p>
            <w:pPr>
              <w:jc w:val="right"/>
              <w:ind w:right="116"/>
              <w:spacing w:after="0"/>
              <w:rPr>
                <w:sz w:val="20"/>
                <w:szCs w:val="20"/>
                <w:color w:val="auto"/>
              </w:rPr>
            </w:pPr>
            <w:r>
              <w:rPr>
                <w:rFonts w:ascii="Arial" w:cs="Arial" w:eastAsia="Arial" w:hAnsi="Arial"/>
                <w:sz w:val="18"/>
                <w:szCs w:val="18"/>
                <w:color w:val="auto"/>
                <w:w w:val="99"/>
              </w:rPr>
              <w:t>4</w:t>
            </w:r>
          </w:p>
        </w:tc>
        <w:tc>
          <w:tcPr>
            <w:tcW w:w="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20" w:type="dxa"/>
            <w:vAlign w:val="bottom"/>
          </w:tcPr>
          <w:p>
            <w:pPr>
              <w:spacing w:after="0"/>
              <w:rPr>
                <w:sz w:val="24"/>
                <w:szCs w:val="24"/>
                <w:color w:val="auto"/>
              </w:rPr>
            </w:pPr>
          </w:p>
        </w:tc>
      </w:tr>
    </w:tbl>
    <w:p>
      <w:pPr>
        <w:sectPr>
          <w:pgSz w:w="11900" w:h="16838" w:orient="portrait"/>
          <w:cols w:equalWidth="0" w:num="1">
            <w:col w:w="11020"/>
          </w:cols>
          <w:pgMar w:left="440" w:top="1080" w:right="439" w:bottom="1440" w:gutter="0" w:footer="0" w:header="0"/>
        </w:sectPr>
      </w:pPr>
    </w:p>
    <w:bookmarkStart w:id="7" w:name="page8"/>
    <w:bookmarkEnd w:id="7"/>
    <w:p>
      <w:pPr>
        <w:jc w:val="center"/>
        <w:spacing w:after="0" w:line="263" w:lineRule="auto"/>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74865" cy="38100"/>
                    </a:xfrm>
                    <a:prstGeom prst="rect">
                      <a:avLst/>
                    </a:prstGeom>
                    <a:noFill/>
                  </pic:spPr>
                </pic:pic>
              </a:graphicData>
            </a:graphic>
          </wp:anchor>
        </w:drawing>
        <w:drawing>
          <wp:anchor simplePos="0" relativeHeight="251657728" behindDoc="1" locked="0" layoutInCell="0" allowOverlap="1">
            <wp:simplePos x="0" y="0"/>
            <wp:positionH relativeFrom="page">
              <wp:posOffset>5814695</wp:posOffset>
            </wp:positionH>
            <wp:positionV relativeFrom="page">
              <wp:posOffset>182880</wp:posOffset>
            </wp:positionV>
            <wp:extent cx="1457325" cy="41973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clrChange>
                        <a:clrFrom>
                          <a:srgbClr val="FFFFFF"/>
                        </a:clrFrom>
                        <a:clrTo>
                          <a:srgbClr val="FFFFFF">
                            <a:alpha val="0"/>
                          </a:srgbClr>
                        </a:clrTo>
                      </a:clrChange>
                      <a:extLst>
                        <a:ext uri="{28A0092B-C50C-407E-A947-70E740481C1C}"/>
                      </a:extLst>
                    </a:blip>
                    <a:srcRect/>
                    <a:stretch>
                      <a:fillRect/>
                    </a:stretch>
                  </pic:blipFill>
                  <pic:spPr bwMode="auto">
                    <a:xfrm>
                      <a:off x="0" y="0"/>
                      <a:ext cx="1457325" cy="419735"/>
                    </a:xfrm>
                    <a:prstGeom prst="rect">
                      <a:avLst/>
                    </a:prstGeom>
                    <a:noFill/>
                  </pic:spPr>
                </pic:pic>
              </a:graphicData>
            </a:graphic>
          </wp:anchor>
        </w:drawing>
        <w:t>MAGNACHIP SEMICONDUCTOR CORPORATION AND SUBSIDIARIES CONSOLIDATED BALANCE SHEETS (In thousands of U.S. dollars, except share data) (Unaudited)</w:t>
      </w:r>
    </w:p>
    <w:p>
      <w:pPr>
        <w:spacing w:after="0" w:line="200" w:lineRule="exact"/>
        <w:rPr>
          <w:sz w:val="20"/>
          <w:szCs w:val="20"/>
          <w:color w:val="auto"/>
        </w:rPr>
      </w:pPr>
    </w:p>
    <w:p>
      <w:pPr>
        <w:spacing w:after="0" w:line="21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86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500" w:type="dxa"/>
            <w:vAlign w:val="bottom"/>
            <w:gridSpan w:val="2"/>
          </w:tcPr>
          <w:p>
            <w:pPr>
              <w:jc w:val="right"/>
              <w:ind w:right="840"/>
              <w:spacing w:after="0"/>
              <w:rPr>
                <w:sz w:val="20"/>
                <w:szCs w:val="20"/>
                <w:color w:val="auto"/>
              </w:rPr>
            </w:pPr>
            <w:r>
              <w:rPr>
                <w:rFonts w:ascii="Arial" w:cs="Arial" w:eastAsia="Arial" w:hAnsi="Arial"/>
                <w:sz w:val="14"/>
                <w:szCs w:val="14"/>
                <w:b w:val="1"/>
                <w:bCs w:val="1"/>
                <w:color w:val="auto"/>
              </w:rPr>
              <w:t>June 30,</w:t>
            </w:r>
          </w:p>
        </w:tc>
        <w:tc>
          <w:tcPr>
            <w:tcW w:w="4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360" w:type="dxa"/>
            <w:vAlign w:val="bottom"/>
            <w:gridSpan w:val="2"/>
          </w:tcPr>
          <w:p>
            <w:pPr>
              <w:jc w:val="right"/>
              <w:ind w:right="420"/>
              <w:spacing w:after="0"/>
              <w:rPr>
                <w:sz w:val="20"/>
                <w:szCs w:val="20"/>
                <w:color w:val="auto"/>
              </w:rPr>
            </w:pPr>
            <w:r>
              <w:rPr>
                <w:rFonts w:ascii="Arial" w:cs="Arial" w:eastAsia="Arial" w:hAnsi="Arial"/>
                <w:sz w:val="14"/>
                <w:szCs w:val="14"/>
                <w:b w:val="1"/>
                <w:bCs w:val="1"/>
                <w:color w:val="auto"/>
              </w:rPr>
              <w:t>December 31,</w:t>
            </w:r>
          </w:p>
        </w:tc>
        <w:tc>
          <w:tcPr>
            <w:tcW w:w="0" w:type="dxa"/>
            <w:vAlign w:val="bottom"/>
          </w:tcPr>
          <w:p>
            <w:pPr>
              <w:spacing w:after="0"/>
              <w:rPr>
                <w:sz w:val="1"/>
                <w:szCs w:val="1"/>
                <w:color w:val="auto"/>
              </w:rPr>
            </w:pPr>
          </w:p>
        </w:tc>
      </w:tr>
      <w:tr>
        <w:trPr>
          <w:trHeight w:val="171"/>
        </w:trPr>
        <w:tc>
          <w:tcPr>
            <w:tcW w:w="686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jc w:val="right"/>
              <w:ind w:right="372"/>
              <w:spacing w:after="0"/>
              <w:rPr>
                <w:sz w:val="20"/>
                <w:szCs w:val="20"/>
                <w:color w:val="auto"/>
              </w:rPr>
            </w:pPr>
            <w:r>
              <w:rPr>
                <w:rFonts w:ascii="Arial" w:cs="Arial" w:eastAsia="Arial" w:hAnsi="Arial"/>
                <w:sz w:val="14"/>
                <w:szCs w:val="14"/>
                <w:b w:val="1"/>
                <w:bCs w:val="1"/>
                <w:color w:val="auto"/>
              </w:rPr>
              <w:t>2022</w:t>
            </w:r>
          </w:p>
        </w:tc>
        <w:tc>
          <w:tcPr>
            <w:tcW w:w="480" w:type="dxa"/>
            <w:vAlign w:val="bottom"/>
            <w:tcBorders>
              <w:bottom w:val="single" w:sz="8" w:color="auto"/>
            </w:tcBorders>
          </w:tcPr>
          <w:p>
            <w:pPr>
              <w:spacing w:after="0"/>
              <w:rPr>
                <w:sz w:val="14"/>
                <w:szCs w:val="14"/>
                <w:color w:val="auto"/>
              </w:rPr>
            </w:pPr>
          </w:p>
        </w:tc>
        <w:tc>
          <w:tcPr>
            <w:tcW w:w="42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240" w:type="dxa"/>
            <w:vAlign w:val="bottom"/>
            <w:tcBorders>
              <w:bottom w:val="single" w:sz="8" w:color="auto"/>
            </w:tcBorders>
          </w:tcPr>
          <w:p>
            <w:pPr>
              <w:jc w:val="right"/>
              <w:ind w:right="491"/>
              <w:spacing w:after="0"/>
              <w:rPr>
                <w:sz w:val="20"/>
                <w:szCs w:val="20"/>
                <w:color w:val="auto"/>
              </w:rPr>
            </w:pPr>
            <w:r>
              <w:rPr>
                <w:rFonts w:ascii="Arial" w:cs="Arial" w:eastAsia="Arial" w:hAnsi="Arial"/>
                <w:sz w:val="14"/>
                <w:szCs w:val="14"/>
                <w:b w:val="1"/>
                <w:bCs w:val="1"/>
                <w:color w:val="auto"/>
              </w:rPr>
              <w:t>2021</w:t>
            </w: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686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3360" w:type="dxa"/>
            <w:vAlign w:val="bottom"/>
            <w:gridSpan w:val="5"/>
          </w:tcPr>
          <w:p>
            <w:pPr>
              <w:jc w:val="right"/>
              <w:ind w:right="231"/>
              <w:spacing w:after="0" w:line="142" w:lineRule="exact"/>
              <w:rPr>
                <w:sz w:val="20"/>
                <w:szCs w:val="20"/>
                <w:color w:val="auto"/>
              </w:rPr>
            </w:pPr>
            <w:r>
              <w:rPr>
                <w:rFonts w:ascii="Arial" w:cs="Arial" w:eastAsia="Arial" w:hAnsi="Arial"/>
                <w:sz w:val="14"/>
                <w:szCs w:val="14"/>
                <w:b w:val="1"/>
                <w:bCs w:val="1"/>
                <w:color w:val="auto"/>
                <w:w w:val="94"/>
              </w:rPr>
              <w:t>(In thousands of U.S. dollars, except share data)</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68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Assets</w:t>
            </w:r>
          </w:p>
        </w:tc>
        <w:tc>
          <w:tcPr>
            <w:tcW w:w="4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860" w:type="dxa"/>
            <w:vAlign w:val="bottom"/>
          </w:tcPr>
          <w:p>
            <w:pPr>
              <w:spacing w:after="0"/>
              <w:rPr>
                <w:sz w:val="20"/>
                <w:szCs w:val="20"/>
                <w:color w:val="auto"/>
              </w:rPr>
            </w:pPr>
            <w:r>
              <w:rPr>
                <w:rFonts w:ascii="Arial" w:cs="Arial" w:eastAsia="Arial" w:hAnsi="Arial"/>
                <w:sz w:val="18"/>
                <w:szCs w:val="18"/>
                <w:color w:val="auto"/>
              </w:rPr>
              <w:t>Current assets</w:t>
            </w:r>
          </w:p>
        </w:tc>
        <w:tc>
          <w:tcPr>
            <w:tcW w:w="4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8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Cash and cash equivalents</w:t>
            </w:r>
          </w:p>
        </w:tc>
        <w:tc>
          <w:tcPr>
            <w:tcW w:w="680" w:type="dxa"/>
            <w:vAlign w:val="bottom"/>
            <w:gridSpan w:val="2"/>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50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273,797</w:t>
            </w:r>
          </w:p>
        </w:tc>
        <w:tc>
          <w:tcPr>
            <w:tcW w:w="6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3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279,547</w:t>
            </w:r>
          </w:p>
        </w:tc>
        <w:tc>
          <w:tcPr>
            <w:tcW w:w="0" w:type="dxa"/>
            <w:vAlign w:val="bottom"/>
          </w:tcPr>
          <w:p>
            <w:pPr>
              <w:spacing w:after="0"/>
              <w:rPr>
                <w:sz w:val="1"/>
                <w:szCs w:val="1"/>
                <w:color w:val="auto"/>
              </w:rPr>
            </w:pPr>
          </w:p>
        </w:tc>
      </w:tr>
      <w:tr>
        <w:trPr>
          <w:trHeight w:val="216"/>
        </w:trPr>
        <w:tc>
          <w:tcPr>
            <w:tcW w:w="6860" w:type="dxa"/>
            <w:vAlign w:val="bottom"/>
          </w:tcPr>
          <w:p>
            <w:pPr>
              <w:ind w:left="360"/>
              <w:spacing w:after="0"/>
              <w:rPr>
                <w:sz w:val="20"/>
                <w:szCs w:val="20"/>
                <w:color w:val="auto"/>
              </w:rPr>
            </w:pPr>
            <w:r>
              <w:rPr>
                <w:rFonts w:ascii="Arial" w:cs="Arial" w:eastAsia="Arial" w:hAnsi="Arial"/>
                <w:sz w:val="18"/>
                <w:szCs w:val="18"/>
                <w:color w:val="auto"/>
              </w:rPr>
              <w:t>Accounts receivable, net</w:t>
            </w:r>
          </w:p>
        </w:tc>
        <w:tc>
          <w:tcPr>
            <w:tcW w:w="4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500" w:type="dxa"/>
            <w:vAlign w:val="bottom"/>
            <w:gridSpan w:val="2"/>
          </w:tcPr>
          <w:p>
            <w:pPr>
              <w:jc w:val="right"/>
              <w:ind w:right="480"/>
              <w:spacing w:after="0"/>
              <w:rPr>
                <w:sz w:val="20"/>
                <w:szCs w:val="20"/>
                <w:color w:val="auto"/>
              </w:rPr>
            </w:pPr>
            <w:r>
              <w:rPr>
                <w:rFonts w:ascii="Arial" w:cs="Arial" w:eastAsia="Arial" w:hAnsi="Arial"/>
                <w:sz w:val="18"/>
                <w:szCs w:val="18"/>
                <w:color w:val="auto"/>
              </w:rPr>
              <w:t>59,817</w:t>
            </w:r>
          </w:p>
        </w:tc>
        <w:tc>
          <w:tcPr>
            <w:tcW w:w="4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60" w:type="dxa"/>
            <w:vAlign w:val="bottom"/>
            <w:gridSpan w:val="2"/>
          </w:tcPr>
          <w:p>
            <w:pPr>
              <w:jc w:val="right"/>
              <w:ind w:right="120"/>
              <w:spacing w:after="0"/>
              <w:rPr>
                <w:sz w:val="20"/>
                <w:szCs w:val="20"/>
                <w:color w:val="auto"/>
              </w:rPr>
            </w:pPr>
            <w:r>
              <w:rPr>
                <w:rFonts w:ascii="Arial" w:cs="Arial" w:eastAsia="Arial" w:hAnsi="Arial"/>
                <w:sz w:val="18"/>
                <w:szCs w:val="18"/>
                <w:color w:val="auto"/>
              </w:rPr>
              <w:t>50,954</w:t>
            </w:r>
          </w:p>
        </w:tc>
        <w:tc>
          <w:tcPr>
            <w:tcW w:w="0" w:type="dxa"/>
            <w:vAlign w:val="bottom"/>
          </w:tcPr>
          <w:p>
            <w:pPr>
              <w:spacing w:after="0"/>
              <w:rPr>
                <w:sz w:val="1"/>
                <w:szCs w:val="1"/>
                <w:color w:val="auto"/>
              </w:rPr>
            </w:pPr>
          </w:p>
        </w:tc>
      </w:tr>
      <w:tr>
        <w:trPr>
          <w:trHeight w:val="216"/>
        </w:trPr>
        <w:tc>
          <w:tcPr>
            <w:tcW w:w="68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Inventories, net</w:t>
            </w:r>
          </w:p>
        </w:tc>
        <w:tc>
          <w:tcPr>
            <w:tcW w:w="4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50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36,168</w:t>
            </w:r>
          </w:p>
        </w:tc>
        <w:tc>
          <w:tcPr>
            <w:tcW w:w="4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39,370</w:t>
            </w:r>
          </w:p>
        </w:tc>
        <w:tc>
          <w:tcPr>
            <w:tcW w:w="0" w:type="dxa"/>
            <w:vAlign w:val="bottom"/>
          </w:tcPr>
          <w:p>
            <w:pPr>
              <w:spacing w:after="0"/>
              <w:rPr>
                <w:sz w:val="1"/>
                <w:szCs w:val="1"/>
                <w:color w:val="auto"/>
              </w:rPr>
            </w:pPr>
          </w:p>
        </w:tc>
      </w:tr>
      <w:tr>
        <w:trPr>
          <w:trHeight w:val="216"/>
        </w:trPr>
        <w:tc>
          <w:tcPr>
            <w:tcW w:w="6860" w:type="dxa"/>
            <w:vAlign w:val="bottom"/>
          </w:tcPr>
          <w:p>
            <w:pPr>
              <w:ind w:left="360"/>
              <w:spacing w:after="0"/>
              <w:rPr>
                <w:sz w:val="20"/>
                <w:szCs w:val="20"/>
                <w:color w:val="auto"/>
              </w:rPr>
            </w:pPr>
            <w:r>
              <w:rPr>
                <w:rFonts w:ascii="Arial" w:cs="Arial" w:eastAsia="Arial" w:hAnsi="Arial"/>
                <w:sz w:val="18"/>
                <w:szCs w:val="18"/>
                <w:color w:val="auto"/>
              </w:rPr>
              <w:t>Other receivables</w:t>
            </w:r>
          </w:p>
        </w:tc>
        <w:tc>
          <w:tcPr>
            <w:tcW w:w="4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500" w:type="dxa"/>
            <w:vAlign w:val="bottom"/>
            <w:gridSpan w:val="2"/>
          </w:tcPr>
          <w:p>
            <w:pPr>
              <w:jc w:val="right"/>
              <w:ind w:right="480"/>
              <w:spacing w:after="0"/>
              <w:rPr>
                <w:sz w:val="20"/>
                <w:szCs w:val="20"/>
                <w:color w:val="auto"/>
              </w:rPr>
            </w:pPr>
            <w:r>
              <w:rPr>
                <w:rFonts w:ascii="Arial" w:cs="Arial" w:eastAsia="Arial" w:hAnsi="Arial"/>
                <w:sz w:val="18"/>
                <w:szCs w:val="18"/>
                <w:color w:val="auto"/>
              </w:rPr>
              <w:t>14,094</w:t>
            </w:r>
          </w:p>
        </w:tc>
        <w:tc>
          <w:tcPr>
            <w:tcW w:w="4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60" w:type="dxa"/>
            <w:vAlign w:val="bottom"/>
            <w:gridSpan w:val="2"/>
          </w:tcPr>
          <w:p>
            <w:pPr>
              <w:jc w:val="right"/>
              <w:ind w:right="120"/>
              <w:spacing w:after="0"/>
              <w:rPr>
                <w:sz w:val="20"/>
                <w:szCs w:val="20"/>
                <w:color w:val="auto"/>
              </w:rPr>
            </w:pPr>
            <w:r>
              <w:rPr>
                <w:rFonts w:ascii="Arial" w:cs="Arial" w:eastAsia="Arial" w:hAnsi="Arial"/>
                <w:sz w:val="18"/>
                <w:szCs w:val="18"/>
                <w:color w:val="auto"/>
              </w:rPr>
              <w:t>25,895</w:t>
            </w:r>
          </w:p>
        </w:tc>
        <w:tc>
          <w:tcPr>
            <w:tcW w:w="0" w:type="dxa"/>
            <w:vAlign w:val="bottom"/>
          </w:tcPr>
          <w:p>
            <w:pPr>
              <w:spacing w:after="0"/>
              <w:rPr>
                <w:sz w:val="1"/>
                <w:szCs w:val="1"/>
                <w:color w:val="auto"/>
              </w:rPr>
            </w:pPr>
          </w:p>
        </w:tc>
      </w:tr>
      <w:tr>
        <w:trPr>
          <w:trHeight w:val="216"/>
        </w:trPr>
        <w:tc>
          <w:tcPr>
            <w:tcW w:w="68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Prepaid expenses</w:t>
            </w:r>
          </w:p>
        </w:tc>
        <w:tc>
          <w:tcPr>
            <w:tcW w:w="4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50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10,783</w:t>
            </w:r>
          </w:p>
        </w:tc>
        <w:tc>
          <w:tcPr>
            <w:tcW w:w="4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7,675</w:t>
            </w:r>
          </w:p>
        </w:tc>
        <w:tc>
          <w:tcPr>
            <w:tcW w:w="0" w:type="dxa"/>
            <w:vAlign w:val="bottom"/>
          </w:tcPr>
          <w:p>
            <w:pPr>
              <w:spacing w:after="0"/>
              <w:rPr>
                <w:sz w:val="1"/>
                <w:szCs w:val="1"/>
                <w:color w:val="auto"/>
              </w:rPr>
            </w:pPr>
          </w:p>
        </w:tc>
      </w:tr>
      <w:tr>
        <w:trPr>
          <w:trHeight w:val="216"/>
        </w:trPr>
        <w:tc>
          <w:tcPr>
            <w:tcW w:w="6860" w:type="dxa"/>
            <w:vAlign w:val="bottom"/>
          </w:tcPr>
          <w:p>
            <w:pPr>
              <w:ind w:left="360"/>
              <w:spacing w:after="0"/>
              <w:rPr>
                <w:sz w:val="20"/>
                <w:szCs w:val="20"/>
                <w:color w:val="auto"/>
              </w:rPr>
            </w:pPr>
            <w:r>
              <w:rPr>
                <w:rFonts w:ascii="Arial" w:cs="Arial" w:eastAsia="Arial" w:hAnsi="Arial"/>
                <w:sz w:val="18"/>
                <w:szCs w:val="18"/>
                <w:color w:val="auto"/>
              </w:rPr>
              <w:t>Hedge collateral</w:t>
            </w:r>
          </w:p>
        </w:tc>
        <w:tc>
          <w:tcPr>
            <w:tcW w:w="4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500" w:type="dxa"/>
            <w:vAlign w:val="bottom"/>
            <w:gridSpan w:val="2"/>
          </w:tcPr>
          <w:p>
            <w:pPr>
              <w:jc w:val="right"/>
              <w:ind w:right="480"/>
              <w:spacing w:after="0"/>
              <w:rPr>
                <w:sz w:val="20"/>
                <w:szCs w:val="20"/>
                <w:color w:val="auto"/>
              </w:rPr>
            </w:pPr>
            <w:r>
              <w:rPr>
                <w:rFonts w:ascii="Arial" w:cs="Arial" w:eastAsia="Arial" w:hAnsi="Arial"/>
                <w:sz w:val="18"/>
                <w:szCs w:val="18"/>
                <w:color w:val="auto"/>
              </w:rPr>
              <w:t>6,990</w:t>
            </w:r>
          </w:p>
        </w:tc>
        <w:tc>
          <w:tcPr>
            <w:tcW w:w="4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60" w:type="dxa"/>
            <w:vAlign w:val="bottom"/>
            <w:gridSpan w:val="2"/>
          </w:tcPr>
          <w:p>
            <w:pPr>
              <w:jc w:val="right"/>
              <w:ind w:right="120"/>
              <w:spacing w:after="0"/>
              <w:rPr>
                <w:sz w:val="20"/>
                <w:szCs w:val="20"/>
                <w:color w:val="auto"/>
              </w:rPr>
            </w:pPr>
            <w:r>
              <w:rPr>
                <w:rFonts w:ascii="Arial" w:cs="Arial" w:eastAsia="Arial" w:hAnsi="Arial"/>
                <w:sz w:val="18"/>
                <w:szCs w:val="18"/>
                <w:color w:val="auto"/>
              </w:rPr>
              <w:t>3,060</w:t>
            </w:r>
          </w:p>
        </w:tc>
        <w:tc>
          <w:tcPr>
            <w:tcW w:w="0" w:type="dxa"/>
            <w:vAlign w:val="bottom"/>
          </w:tcPr>
          <w:p>
            <w:pPr>
              <w:spacing w:after="0"/>
              <w:rPr>
                <w:sz w:val="1"/>
                <w:szCs w:val="1"/>
                <w:color w:val="auto"/>
              </w:rPr>
            </w:pPr>
          </w:p>
        </w:tc>
      </w:tr>
      <w:tr>
        <w:trPr>
          <w:trHeight w:val="216"/>
        </w:trPr>
        <w:tc>
          <w:tcPr>
            <w:tcW w:w="68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Other current assets</w:t>
            </w:r>
          </w:p>
        </w:tc>
        <w:tc>
          <w:tcPr>
            <w:tcW w:w="4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50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8,361</w:t>
            </w:r>
          </w:p>
        </w:tc>
        <w:tc>
          <w:tcPr>
            <w:tcW w:w="4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2,619</w:t>
            </w:r>
          </w:p>
        </w:tc>
        <w:tc>
          <w:tcPr>
            <w:tcW w:w="0" w:type="dxa"/>
            <w:vAlign w:val="bottom"/>
          </w:tcPr>
          <w:p>
            <w:pPr>
              <w:spacing w:after="0"/>
              <w:rPr>
                <w:sz w:val="1"/>
                <w:szCs w:val="1"/>
                <w:color w:val="auto"/>
              </w:rPr>
            </w:pPr>
          </w:p>
        </w:tc>
      </w:tr>
      <w:tr>
        <w:trPr>
          <w:trHeight w:val="223"/>
        </w:trPr>
        <w:tc>
          <w:tcPr>
            <w:tcW w:w="6860" w:type="dxa"/>
            <w:vAlign w:val="bottom"/>
          </w:tcPr>
          <w:p>
            <w:pPr>
              <w:ind w:left="720"/>
              <w:spacing w:after="0"/>
              <w:rPr>
                <w:sz w:val="20"/>
                <w:szCs w:val="20"/>
                <w:color w:val="auto"/>
              </w:rPr>
            </w:pPr>
            <w:r>
              <w:rPr>
                <w:rFonts w:ascii="Arial" w:cs="Arial" w:eastAsia="Arial" w:hAnsi="Arial"/>
                <w:sz w:val="18"/>
                <w:szCs w:val="18"/>
                <w:color w:val="auto"/>
              </w:rPr>
              <w:t>Total current assets</w:t>
            </w:r>
          </w:p>
        </w:tc>
        <w:tc>
          <w:tcPr>
            <w:tcW w:w="460" w:type="dxa"/>
            <w:vAlign w:val="bottom"/>
          </w:tcPr>
          <w:p>
            <w:pPr>
              <w:spacing w:after="0"/>
              <w:rPr>
                <w:sz w:val="19"/>
                <w:szCs w:val="19"/>
                <w:color w:val="auto"/>
              </w:rPr>
            </w:pPr>
          </w:p>
        </w:tc>
        <w:tc>
          <w:tcPr>
            <w:tcW w:w="220" w:type="dxa"/>
            <w:vAlign w:val="bottom"/>
            <w:tcBorders>
              <w:top w:val="single" w:sz="8" w:color="auto"/>
            </w:tcBorders>
          </w:tcPr>
          <w:p>
            <w:pPr>
              <w:spacing w:after="0"/>
              <w:rPr>
                <w:sz w:val="19"/>
                <w:szCs w:val="19"/>
                <w:color w:val="auto"/>
              </w:rPr>
            </w:pPr>
          </w:p>
        </w:tc>
        <w:tc>
          <w:tcPr>
            <w:tcW w:w="10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410,010</w:t>
            </w:r>
          </w:p>
        </w:tc>
        <w:tc>
          <w:tcPr>
            <w:tcW w:w="48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12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409,120</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6860" w:type="dxa"/>
            <w:vAlign w:val="bottom"/>
            <w:shd w:val="clear" w:color="auto" w:fill="CCEEFF"/>
          </w:tcPr>
          <w:p>
            <w:pPr>
              <w:spacing w:after="0"/>
              <w:rPr>
                <w:sz w:val="20"/>
                <w:szCs w:val="20"/>
                <w:color w:val="auto"/>
              </w:rPr>
            </w:pPr>
            <w:r>
              <w:rPr>
                <w:rFonts w:ascii="Arial" w:cs="Arial" w:eastAsia="Arial" w:hAnsi="Arial"/>
                <w:sz w:val="18"/>
                <w:szCs w:val="18"/>
                <w:color w:val="auto"/>
              </w:rPr>
              <w:t>Property, plant and equipment, net</w:t>
            </w:r>
          </w:p>
        </w:tc>
        <w:tc>
          <w:tcPr>
            <w:tcW w:w="4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50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96,832</w:t>
            </w:r>
          </w:p>
        </w:tc>
        <w:tc>
          <w:tcPr>
            <w:tcW w:w="4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107,882</w:t>
            </w:r>
          </w:p>
        </w:tc>
        <w:tc>
          <w:tcPr>
            <w:tcW w:w="0" w:type="dxa"/>
            <w:vAlign w:val="bottom"/>
          </w:tcPr>
          <w:p>
            <w:pPr>
              <w:spacing w:after="0"/>
              <w:rPr>
                <w:sz w:val="1"/>
                <w:szCs w:val="1"/>
                <w:color w:val="auto"/>
              </w:rPr>
            </w:pPr>
          </w:p>
        </w:tc>
      </w:tr>
      <w:tr>
        <w:trPr>
          <w:trHeight w:val="216"/>
        </w:trPr>
        <w:tc>
          <w:tcPr>
            <w:tcW w:w="6860" w:type="dxa"/>
            <w:vAlign w:val="bottom"/>
          </w:tcPr>
          <w:p>
            <w:pPr>
              <w:spacing w:after="0"/>
              <w:rPr>
                <w:sz w:val="20"/>
                <w:szCs w:val="20"/>
                <w:color w:val="auto"/>
              </w:rPr>
            </w:pPr>
            <w:r>
              <w:rPr>
                <w:rFonts w:ascii="Arial" w:cs="Arial" w:eastAsia="Arial" w:hAnsi="Arial"/>
                <w:sz w:val="18"/>
                <w:szCs w:val="18"/>
                <w:color w:val="auto"/>
              </w:rPr>
              <w:t>Operating lease right-of-use assets</w:t>
            </w:r>
          </w:p>
        </w:tc>
        <w:tc>
          <w:tcPr>
            <w:tcW w:w="4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500" w:type="dxa"/>
            <w:vAlign w:val="bottom"/>
            <w:gridSpan w:val="2"/>
          </w:tcPr>
          <w:p>
            <w:pPr>
              <w:jc w:val="right"/>
              <w:ind w:right="480"/>
              <w:spacing w:after="0"/>
              <w:rPr>
                <w:sz w:val="20"/>
                <w:szCs w:val="20"/>
                <w:color w:val="auto"/>
              </w:rPr>
            </w:pPr>
            <w:r>
              <w:rPr>
                <w:rFonts w:ascii="Arial" w:cs="Arial" w:eastAsia="Arial" w:hAnsi="Arial"/>
                <w:sz w:val="18"/>
                <w:szCs w:val="18"/>
                <w:color w:val="auto"/>
              </w:rPr>
              <w:t>3,322</w:t>
            </w:r>
          </w:p>
        </w:tc>
        <w:tc>
          <w:tcPr>
            <w:tcW w:w="4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60" w:type="dxa"/>
            <w:vAlign w:val="bottom"/>
            <w:gridSpan w:val="2"/>
          </w:tcPr>
          <w:p>
            <w:pPr>
              <w:jc w:val="right"/>
              <w:ind w:right="120"/>
              <w:spacing w:after="0"/>
              <w:rPr>
                <w:sz w:val="20"/>
                <w:szCs w:val="20"/>
                <w:color w:val="auto"/>
              </w:rPr>
            </w:pPr>
            <w:r>
              <w:rPr>
                <w:rFonts w:ascii="Arial" w:cs="Arial" w:eastAsia="Arial" w:hAnsi="Arial"/>
                <w:sz w:val="18"/>
                <w:szCs w:val="18"/>
                <w:color w:val="auto"/>
              </w:rPr>
              <w:t>4,275</w:t>
            </w:r>
          </w:p>
        </w:tc>
        <w:tc>
          <w:tcPr>
            <w:tcW w:w="0" w:type="dxa"/>
            <w:vAlign w:val="bottom"/>
          </w:tcPr>
          <w:p>
            <w:pPr>
              <w:spacing w:after="0"/>
              <w:rPr>
                <w:sz w:val="1"/>
                <w:szCs w:val="1"/>
                <w:color w:val="auto"/>
              </w:rPr>
            </w:pPr>
          </w:p>
        </w:tc>
      </w:tr>
      <w:tr>
        <w:trPr>
          <w:trHeight w:val="216"/>
        </w:trPr>
        <w:tc>
          <w:tcPr>
            <w:tcW w:w="6860" w:type="dxa"/>
            <w:vAlign w:val="bottom"/>
            <w:shd w:val="clear" w:color="auto" w:fill="CCEEFF"/>
          </w:tcPr>
          <w:p>
            <w:pPr>
              <w:spacing w:after="0"/>
              <w:rPr>
                <w:sz w:val="20"/>
                <w:szCs w:val="20"/>
                <w:color w:val="auto"/>
              </w:rPr>
            </w:pPr>
            <w:r>
              <w:rPr>
                <w:rFonts w:ascii="Arial" w:cs="Arial" w:eastAsia="Arial" w:hAnsi="Arial"/>
                <w:sz w:val="18"/>
                <w:szCs w:val="18"/>
                <w:color w:val="auto"/>
              </w:rPr>
              <w:t>Intangible assets, net</w:t>
            </w:r>
          </w:p>
        </w:tc>
        <w:tc>
          <w:tcPr>
            <w:tcW w:w="4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50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1,979</w:t>
            </w:r>
          </w:p>
        </w:tc>
        <w:tc>
          <w:tcPr>
            <w:tcW w:w="4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2,377</w:t>
            </w:r>
          </w:p>
        </w:tc>
        <w:tc>
          <w:tcPr>
            <w:tcW w:w="0" w:type="dxa"/>
            <w:vAlign w:val="bottom"/>
          </w:tcPr>
          <w:p>
            <w:pPr>
              <w:spacing w:after="0"/>
              <w:rPr>
                <w:sz w:val="1"/>
                <w:szCs w:val="1"/>
                <w:color w:val="auto"/>
              </w:rPr>
            </w:pPr>
          </w:p>
        </w:tc>
      </w:tr>
      <w:tr>
        <w:trPr>
          <w:trHeight w:val="216"/>
        </w:trPr>
        <w:tc>
          <w:tcPr>
            <w:tcW w:w="6860" w:type="dxa"/>
            <w:vAlign w:val="bottom"/>
          </w:tcPr>
          <w:p>
            <w:pPr>
              <w:spacing w:after="0"/>
              <w:rPr>
                <w:sz w:val="20"/>
                <w:szCs w:val="20"/>
                <w:color w:val="auto"/>
              </w:rPr>
            </w:pPr>
            <w:r>
              <w:rPr>
                <w:rFonts w:ascii="Arial" w:cs="Arial" w:eastAsia="Arial" w:hAnsi="Arial"/>
                <w:sz w:val="18"/>
                <w:szCs w:val="18"/>
                <w:color w:val="auto"/>
              </w:rPr>
              <w:t>Long-term prepaid expenses</w:t>
            </w:r>
          </w:p>
        </w:tc>
        <w:tc>
          <w:tcPr>
            <w:tcW w:w="4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500" w:type="dxa"/>
            <w:vAlign w:val="bottom"/>
            <w:gridSpan w:val="2"/>
          </w:tcPr>
          <w:p>
            <w:pPr>
              <w:jc w:val="right"/>
              <w:ind w:right="480"/>
              <w:spacing w:after="0"/>
              <w:rPr>
                <w:sz w:val="20"/>
                <w:szCs w:val="20"/>
                <w:color w:val="auto"/>
              </w:rPr>
            </w:pPr>
            <w:r>
              <w:rPr>
                <w:rFonts w:ascii="Arial" w:cs="Arial" w:eastAsia="Arial" w:hAnsi="Arial"/>
                <w:sz w:val="18"/>
                <w:szCs w:val="18"/>
                <w:color w:val="auto"/>
              </w:rPr>
              <w:t>14,953</w:t>
            </w:r>
          </w:p>
        </w:tc>
        <w:tc>
          <w:tcPr>
            <w:tcW w:w="4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60" w:type="dxa"/>
            <w:vAlign w:val="bottom"/>
            <w:gridSpan w:val="2"/>
          </w:tcPr>
          <w:p>
            <w:pPr>
              <w:jc w:val="right"/>
              <w:ind w:right="120"/>
              <w:spacing w:after="0"/>
              <w:rPr>
                <w:sz w:val="20"/>
                <w:szCs w:val="20"/>
                <w:color w:val="auto"/>
              </w:rPr>
            </w:pPr>
            <w:r>
              <w:rPr>
                <w:rFonts w:ascii="Arial" w:cs="Arial" w:eastAsia="Arial" w:hAnsi="Arial"/>
                <w:sz w:val="18"/>
                <w:szCs w:val="18"/>
                <w:color w:val="auto"/>
              </w:rPr>
              <w:t>8,243</w:t>
            </w:r>
          </w:p>
        </w:tc>
        <w:tc>
          <w:tcPr>
            <w:tcW w:w="0" w:type="dxa"/>
            <w:vAlign w:val="bottom"/>
          </w:tcPr>
          <w:p>
            <w:pPr>
              <w:spacing w:after="0"/>
              <w:rPr>
                <w:sz w:val="1"/>
                <w:szCs w:val="1"/>
                <w:color w:val="auto"/>
              </w:rPr>
            </w:pPr>
          </w:p>
        </w:tc>
      </w:tr>
      <w:tr>
        <w:trPr>
          <w:trHeight w:val="216"/>
        </w:trPr>
        <w:tc>
          <w:tcPr>
            <w:tcW w:w="6860" w:type="dxa"/>
            <w:vAlign w:val="bottom"/>
            <w:shd w:val="clear" w:color="auto" w:fill="CCEEFF"/>
          </w:tcPr>
          <w:p>
            <w:pPr>
              <w:spacing w:after="0"/>
              <w:rPr>
                <w:sz w:val="20"/>
                <w:szCs w:val="20"/>
                <w:color w:val="auto"/>
              </w:rPr>
            </w:pPr>
            <w:r>
              <w:rPr>
                <w:rFonts w:ascii="Arial" w:cs="Arial" w:eastAsia="Arial" w:hAnsi="Arial"/>
                <w:sz w:val="18"/>
                <w:szCs w:val="18"/>
                <w:color w:val="auto"/>
              </w:rPr>
              <w:t>Deferred income taxes</w:t>
            </w:r>
          </w:p>
        </w:tc>
        <w:tc>
          <w:tcPr>
            <w:tcW w:w="4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50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37,825</w:t>
            </w:r>
          </w:p>
        </w:tc>
        <w:tc>
          <w:tcPr>
            <w:tcW w:w="4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41,095</w:t>
            </w:r>
          </w:p>
        </w:tc>
        <w:tc>
          <w:tcPr>
            <w:tcW w:w="0" w:type="dxa"/>
            <w:vAlign w:val="bottom"/>
          </w:tcPr>
          <w:p>
            <w:pPr>
              <w:spacing w:after="0"/>
              <w:rPr>
                <w:sz w:val="1"/>
                <w:szCs w:val="1"/>
                <w:color w:val="auto"/>
              </w:rPr>
            </w:pPr>
          </w:p>
        </w:tc>
      </w:tr>
      <w:tr>
        <w:trPr>
          <w:trHeight w:val="216"/>
        </w:trPr>
        <w:tc>
          <w:tcPr>
            <w:tcW w:w="6860" w:type="dxa"/>
            <w:vAlign w:val="bottom"/>
          </w:tcPr>
          <w:p>
            <w:pPr>
              <w:spacing w:after="0"/>
              <w:rPr>
                <w:sz w:val="20"/>
                <w:szCs w:val="20"/>
                <w:color w:val="auto"/>
              </w:rPr>
            </w:pPr>
            <w:r>
              <w:rPr>
                <w:rFonts w:ascii="Arial" w:cs="Arial" w:eastAsia="Arial" w:hAnsi="Arial"/>
                <w:sz w:val="18"/>
                <w:szCs w:val="18"/>
                <w:color w:val="auto"/>
              </w:rPr>
              <w:t>Other non-current assets</w:t>
            </w:r>
          </w:p>
        </w:tc>
        <w:tc>
          <w:tcPr>
            <w:tcW w:w="4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500" w:type="dxa"/>
            <w:vAlign w:val="bottom"/>
            <w:gridSpan w:val="2"/>
          </w:tcPr>
          <w:p>
            <w:pPr>
              <w:jc w:val="right"/>
              <w:ind w:right="480"/>
              <w:spacing w:after="0"/>
              <w:rPr>
                <w:sz w:val="20"/>
                <w:szCs w:val="20"/>
                <w:color w:val="auto"/>
              </w:rPr>
            </w:pPr>
            <w:r>
              <w:rPr>
                <w:rFonts w:ascii="Arial" w:cs="Arial" w:eastAsia="Arial" w:hAnsi="Arial"/>
                <w:sz w:val="18"/>
                <w:szCs w:val="18"/>
                <w:color w:val="auto"/>
              </w:rPr>
              <w:t>10,804</w:t>
            </w:r>
          </w:p>
        </w:tc>
        <w:tc>
          <w:tcPr>
            <w:tcW w:w="4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60" w:type="dxa"/>
            <w:vAlign w:val="bottom"/>
            <w:gridSpan w:val="2"/>
          </w:tcPr>
          <w:p>
            <w:pPr>
              <w:jc w:val="right"/>
              <w:ind w:right="120"/>
              <w:spacing w:after="0"/>
              <w:rPr>
                <w:sz w:val="20"/>
                <w:szCs w:val="20"/>
                <w:color w:val="auto"/>
              </w:rPr>
            </w:pPr>
            <w:r>
              <w:rPr>
                <w:rFonts w:ascii="Arial" w:cs="Arial" w:eastAsia="Arial" w:hAnsi="Arial"/>
                <w:sz w:val="18"/>
                <w:szCs w:val="18"/>
                <w:color w:val="auto"/>
              </w:rPr>
              <w:t>10,662</w:t>
            </w:r>
          </w:p>
        </w:tc>
        <w:tc>
          <w:tcPr>
            <w:tcW w:w="0" w:type="dxa"/>
            <w:vAlign w:val="bottom"/>
          </w:tcPr>
          <w:p>
            <w:pPr>
              <w:spacing w:after="0"/>
              <w:rPr>
                <w:sz w:val="1"/>
                <w:szCs w:val="1"/>
                <w:color w:val="auto"/>
              </w:rPr>
            </w:pPr>
          </w:p>
        </w:tc>
      </w:tr>
      <w:tr>
        <w:trPr>
          <w:trHeight w:val="27"/>
        </w:trPr>
        <w:tc>
          <w:tcPr>
            <w:tcW w:w="6860" w:type="dxa"/>
            <w:vAlign w:val="bottom"/>
          </w:tcPr>
          <w:p>
            <w:pPr>
              <w:spacing w:after="0"/>
              <w:rPr>
                <w:sz w:val="2"/>
                <w:szCs w:val="2"/>
                <w:color w:val="auto"/>
              </w:rPr>
            </w:pPr>
          </w:p>
        </w:tc>
        <w:tc>
          <w:tcPr>
            <w:tcW w:w="46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480" w:type="dxa"/>
            <w:vAlign w:val="bottom"/>
          </w:tcPr>
          <w:p>
            <w:pPr>
              <w:spacing w:after="0"/>
              <w:rPr>
                <w:sz w:val="2"/>
                <w:szCs w:val="2"/>
                <w:color w:val="auto"/>
              </w:rPr>
            </w:pPr>
          </w:p>
        </w:tc>
        <w:tc>
          <w:tcPr>
            <w:tcW w:w="42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124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6860" w:type="dxa"/>
            <w:vAlign w:val="bottom"/>
            <w:shd w:val="clear" w:color="auto" w:fill="CCEEFF"/>
          </w:tcPr>
          <w:p>
            <w:pPr>
              <w:ind w:left="720"/>
              <w:spacing w:after="0"/>
              <w:rPr>
                <w:sz w:val="20"/>
                <w:szCs w:val="20"/>
                <w:color w:val="auto"/>
              </w:rPr>
            </w:pPr>
            <w:r>
              <w:rPr>
                <w:rFonts w:ascii="Arial" w:cs="Arial" w:eastAsia="Arial" w:hAnsi="Arial"/>
                <w:sz w:val="18"/>
                <w:szCs w:val="18"/>
                <w:color w:val="auto"/>
              </w:rPr>
              <w:t>Total assets</w:t>
            </w:r>
          </w:p>
        </w:tc>
        <w:tc>
          <w:tcPr>
            <w:tcW w:w="46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50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575,725</w:t>
            </w:r>
          </w:p>
        </w:tc>
        <w:tc>
          <w:tcPr>
            <w:tcW w:w="6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3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583,654</w:t>
            </w:r>
          </w:p>
        </w:tc>
        <w:tc>
          <w:tcPr>
            <w:tcW w:w="0" w:type="dxa"/>
            <w:vAlign w:val="bottom"/>
          </w:tcPr>
          <w:p>
            <w:pPr>
              <w:spacing w:after="0"/>
              <w:rPr>
                <w:sz w:val="1"/>
                <w:szCs w:val="1"/>
                <w:color w:val="auto"/>
              </w:rPr>
            </w:pPr>
          </w:p>
        </w:tc>
      </w:tr>
      <w:tr>
        <w:trPr>
          <w:trHeight w:val="20"/>
        </w:trPr>
        <w:tc>
          <w:tcPr>
            <w:tcW w:w="6860" w:type="dxa"/>
            <w:vAlign w:val="bottom"/>
            <w:vMerge w:val="restart"/>
          </w:tcPr>
          <w:p>
            <w:pPr>
              <w:spacing w:after="0"/>
              <w:rPr>
                <w:sz w:val="20"/>
                <w:szCs w:val="20"/>
                <w:color w:val="auto"/>
              </w:rPr>
            </w:pPr>
            <w:r>
              <w:rPr>
                <w:rFonts w:ascii="Arial" w:cs="Arial" w:eastAsia="Arial" w:hAnsi="Arial"/>
                <w:sz w:val="18"/>
                <w:szCs w:val="18"/>
                <w:b w:val="1"/>
                <w:bCs w:val="1"/>
                <w:color w:val="auto"/>
              </w:rPr>
              <w:t>Liabilities and Stockholders’ Equity</w:t>
            </w:r>
          </w:p>
        </w:tc>
        <w:tc>
          <w:tcPr>
            <w:tcW w:w="46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6860" w:type="dxa"/>
            <w:vAlign w:val="bottom"/>
            <w:vMerge w:val="continue"/>
          </w:tcPr>
          <w:p>
            <w:pPr>
              <w:spacing w:after="0"/>
              <w:rPr>
                <w:sz w:val="18"/>
                <w:szCs w:val="18"/>
                <w:color w:val="auto"/>
              </w:rPr>
            </w:pPr>
          </w:p>
        </w:tc>
        <w:tc>
          <w:tcPr>
            <w:tcW w:w="4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860" w:type="dxa"/>
            <w:vAlign w:val="bottom"/>
            <w:shd w:val="clear" w:color="auto" w:fill="CCEEFF"/>
          </w:tcPr>
          <w:p>
            <w:pPr>
              <w:spacing w:after="0"/>
              <w:rPr>
                <w:sz w:val="20"/>
                <w:szCs w:val="20"/>
                <w:color w:val="auto"/>
              </w:rPr>
            </w:pPr>
            <w:r>
              <w:rPr>
                <w:rFonts w:ascii="Arial" w:cs="Arial" w:eastAsia="Arial" w:hAnsi="Arial"/>
                <w:sz w:val="18"/>
                <w:szCs w:val="18"/>
                <w:color w:val="auto"/>
              </w:rPr>
              <w:t>Current liabilities</w:t>
            </w:r>
          </w:p>
        </w:tc>
        <w:tc>
          <w:tcPr>
            <w:tcW w:w="4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860" w:type="dxa"/>
            <w:vAlign w:val="bottom"/>
          </w:tcPr>
          <w:p>
            <w:pPr>
              <w:ind w:left="360"/>
              <w:spacing w:after="0"/>
              <w:rPr>
                <w:sz w:val="20"/>
                <w:szCs w:val="20"/>
                <w:color w:val="auto"/>
              </w:rPr>
            </w:pPr>
            <w:r>
              <w:rPr>
                <w:rFonts w:ascii="Arial" w:cs="Arial" w:eastAsia="Arial" w:hAnsi="Arial"/>
                <w:sz w:val="18"/>
                <w:szCs w:val="18"/>
                <w:color w:val="auto"/>
              </w:rPr>
              <w:t>Accounts payable</w:t>
            </w:r>
          </w:p>
        </w:tc>
        <w:tc>
          <w:tcPr>
            <w:tcW w:w="680" w:type="dxa"/>
            <w:vAlign w:val="bottom"/>
            <w:gridSpan w:val="2"/>
          </w:tcPr>
          <w:p>
            <w:pPr>
              <w:jc w:val="right"/>
              <w:ind w:right="30"/>
              <w:spacing w:after="0"/>
              <w:rPr>
                <w:sz w:val="20"/>
                <w:szCs w:val="20"/>
                <w:color w:val="auto"/>
              </w:rPr>
            </w:pPr>
            <w:r>
              <w:rPr>
                <w:rFonts w:ascii="Arial" w:cs="Arial" w:eastAsia="Arial" w:hAnsi="Arial"/>
                <w:sz w:val="18"/>
                <w:szCs w:val="18"/>
                <w:color w:val="auto"/>
              </w:rPr>
              <w:t>$</w:t>
            </w:r>
          </w:p>
        </w:tc>
        <w:tc>
          <w:tcPr>
            <w:tcW w:w="1500" w:type="dxa"/>
            <w:vAlign w:val="bottom"/>
            <w:gridSpan w:val="2"/>
          </w:tcPr>
          <w:p>
            <w:pPr>
              <w:jc w:val="right"/>
              <w:ind w:right="480"/>
              <w:spacing w:after="0"/>
              <w:rPr>
                <w:sz w:val="20"/>
                <w:szCs w:val="20"/>
                <w:color w:val="auto"/>
              </w:rPr>
            </w:pPr>
            <w:r>
              <w:rPr>
                <w:rFonts w:ascii="Arial" w:cs="Arial" w:eastAsia="Arial" w:hAnsi="Arial"/>
                <w:sz w:val="18"/>
                <w:szCs w:val="18"/>
                <w:color w:val="auto"/>
              </w:rPr>
              <w:t>38,143</w:t>
            </w:r>
          </w:p>
        </w:tc>
        <w:tc>
          <w:tcPr>
            <w:tcW w:w="62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360" w:type="dxa"/>
            <w:vAlign w:val="bottom"/>
            <w:gridSpan w:val="2"/>
          </w:tcPr>
          <w:p>
            <w:pPr>
              <w:jc w:val="right"/>
              <w:ind w:right="120"/>
              <w:spacing w:after="0"/>
              <w:rPr>
                <w:sz w:val="20"/>
                <w:szCs w:val="20"/>
                <w:color w:val="auto"/>
              </w:rPr>
            </w:pPr>
            <w:r>
              <w:rPr>
                <w:rFonts w:ascii="Arial" w:cs="Arial" w:eastAsia="Arial" w:hAnsi="Arial"/>
                <w:sz w:val="18"/>
                <w:szCs w:val="18"/>
                <w:color w:val="auto"/>
              </w:rPr>
              <w:t>37,593</w:t>
            </w:r>
          </w:p>
        </w:tc>
        <w:tc>
          <w:tcPr>
            <w:tcW w:w="0" w:type="dxa"/>
            <w:vAlign w:val="bottom"/>
          </w:tcPr>
          <w:p>
            <w:pPr>
              <w:spacing w:after="0"/>
              <w:rPr>
                <w:sz w:val="1"/>
                <w:szCs w:val="1"/>
                <w:color w:val="auto"/>
              </w:rPr>
            </w:pPr>
          </w:p>
        </w:tc>
      </w:tr>
      <w:tr>
        <w:trPr>
          <w:trHeight w:val="216"/>
        </w:trPr>
        <w:tc>
          <w:tcPr>
            <w:tcW w:w="68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Other accounts payable</w:t>
            </w:r>
          </w:p>
        </w:tc>
        <w:tc>
          <w:tcPr>
            <w:tcW w:w="4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50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14,835</w:t>
            </w:r>
          </w:p>
        </w:tc>
        <w:tc>
          <w:tcPr>
            <w:tcW w:w="4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6,289</w:t>
            </w:r>
          </w:p>
        </w:tc>
        <w:tc>
          <w:tcPr>
            <w:tcW w:w="0" w:type="dxa"/>
            <w:vAlign w:val="bottom"/>
          </w:tcPr>
          <w:p>
            <w:pPr>
              <w:spacing w:after="0"/>
              <w:rPr>
                <w:sz w:val="1"/>
                <w:szCs w:val="1"/>
                <w:color w:val="auto"/>
              </w:rPr>
            </w:pPr>
          </w:p>
        </w:tc>
      </w:tr>
      <w:tr>
        <w:trPr>
          <w:trHeight w:val="216"/>
        </w:trPr>
        <w:tc>
          <w:tcPr>
            <w:tcW w:w="6860" w:type="dxa"/>
            <w:vAlign w:val="bottom"/>
          </w:tcPr>
          <w:p>
            <w:pPr>
              <w:ind w:left="360"/>
              <w:spacing w:after="0"/>
              <w:rPr>
                <w:sz w:val="20"/>
                <w:szCs w:val="20"/>
                <w:color w:val="auto"/>
              </w:rPr>
            </w:pPr>
            <w:r>
              <w:rPr>
                <w:rFonts w:ascii="Arial" w:cs="Arial" w:eastAsia="Arial" w:hAnsi="Arial"/>
                <w:sz w:val="18"/>
                <w:szCs w:val="18"/>
                <w:color w:val="auto"/>
              </w:rPr>
              <w:t>Accrued expenses</w:t>
            </w:r>
          </w:p>
        </w:tc>
        <w:tc>
          <w:tcPr>
            <w:tcW w:w="4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500" w:type="dxa"/>
            <w:vAlign w:val="bottom"/>
            <w:gridSpan w:val="2"/>
          </w:tcPr>
          <w:p>
            <w:pPr>
              <w:jc w:val="right"/>
              <w:ind w:right="480"/>
              <w:spacing w:after="0"/>
              <w:rPr>
                <w:sz w:val="20"/>
                <w:szCs w:val="20"/>
                <w:color w:val="auto"/>
              </w:rPr>
            </w:pPr>
            <w:r>
              <w:rPr>
                <w:rFonts w:ascii="Arial" w:cs="Arial" w:eastAsia="Arial" w:hAnsi="Arial"/>
                <w:sz w:val="18"/>
                <w:szCs w:val="18"/>
                <w:color w:val="auto"/>
              </w:rPr>
              <w:t>15,426</w:t>
            </w:r>
          </w:p>
        </w:tc>
        <w:tc>
          <w:tcPr>
            <w:tcW w:w="4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60" w:type="dxa"/>
            <w:vAlign w:val="bottom"/>
            <w:gridSpan w:val="2"/>
          </w:tcPr>
          <w:p>
            <w:pPr>
              <w:jc w:val="right"/>
              <w:ind w:right="120"/>
              <w:spacing w:after="0"/>
              <w:rPr>
                <w:sz w:val="20"/>
                <w:szCs w:val="20"/>
                <w:color w:val="auto"/>
              </w:rPr>
            </w:pPr>
            <w:r>
              <w:rPr>
                <w:rFonts w:ascii="Arial" w:cs="Arial" w:eastAsia="Arial" w:hAnsi="Arial"/>
                <w:sz w:val="18"/>
                <w:szCs w:val="18"/>
                <w:color w:val="auto"/>
              </w:rPr>
              <w:t>20,071</w:t>
            </w:r>
          </w:p>
        </w:tc>
        <w:tc>
          <w:tcPr>
            <w:tcW w:w="0" w:type="dxa"/>
            <w:vAlign w:val="bottom"/>
          </w:tcPr>
          <w:p>
            <w:pPr>
              <w:spacing w:after="0"/>
              <w:rPr>
                <w:sz w:val="1"/>
                <w:szCs w:val="1"/>
                <w:color w:val="auto"/>
              </w:rPr>
            </w:pPr>
          </w:p>
        </w:tc>
      </w:tr>
      <w:tr>
        <w:trPr>
          <w:trHeight w:val="216"/>
        </w:trPr>
        <w:tc>
          <w:tcPr>
            <w:tcW w:w="68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Accrued income taxes</w:t>
            </w:r>
          </w:p>
        </w:tc>
        <w:tc>
          <w:tcPr>
            <w:tcW w:w="4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50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w:t>
            </w:r>
          </w:p>
        </w:tc>
        <w:tc>
          <w:tcPr>
            <w:tcW w:w="4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11,823</w:t>
            </w:r>
          </w:p>
        </w:tc>
        <w:tc>
          <w:tcPr>
            <w:tcW w:w="0" w:type="dxa"/>
            <w:vAlign w:val="bottom"/>
          </w:tcPr>
          <w:p>
            <w:pPr>
              <w:spacing w:after="0"/>
              <w:rPr>
                <w:sz w:val="1"/>
                <w:szCs w:val="1"/>
                <w:color w:val="auto"/>
              </w:rPr>
            </w:pPr>
          </w:p>
        </w:tc>
      </w:tr>
      <w:tr>
        <w:trPr>
          <w:trHeight w:val="216"/>
        </w:trPr>
        <w:tc>
          <w:tcPr>
            <w:tcW w:w="6860" w:type="dxa"/>
            <w:vAlign w:val="bottom"/>
          </w:tcPr>
          <w:p>
            <w:pPr>
              <w:ind w:left="360"/>
              <w:spacing w:after="0"/>
              <w:rPr>
                <w:sz w:val="20"/>
                <w:szCs w:val="20"/>
                <w:color w:val="auto"/>
              </w:rPr>
            </w:pPr>
            <w:r>
              <w:rPr>
                <w:rFonts w:ascii="Arial" w:cs="Arial" w:eastAsia="Arial" w:hAnsi="Arial"/>
                <w:sz w:val="18"/>
                <w:szCs w:val="18"/>
                <w:color w:val="auto"/>
              </w:rPr>
              <w:t>Operating lease liabilities</w:t>
            </w:r>
          </w:p>
        </w:tc>
        <w:tc>
          <w:tcPr>
            <w:tcW w:w="4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500" w:type="dxa"/>
            <w:vAlign w:val="bottom"/>
            <w:gridSpan w:val="2"/>
          </w:tcPr>
          <w:p>
            <w:pPr>
              <w:jc w:val="right"/>
              <w:ind w:right="480"/>
              <w:spacing w:after="0"/>
              <w:rPr>
                <w:sz w:val="20"/>
                <w:szCs w:val="20"/>
                <w:color w:val="auto"/>
              </w:rPr>
            </w:pPr>
            <w:r>
              <w:rPr>
                <w:rFonts w:ascii="Arial" w:cs="Arial" w:eastAsia="Arial" w:hAnsi="Arial"/>
                <w:sz w:val="18"/>
                <w:szCs w:val="18"/>
                <w:color w:val="auto"/>
              </w:rPr>
              <w:t>1,838</w:t>
            </w:r>
          </w:p>
        </w:tc>
        <w:tc>
          <w:tcPr>
            <w:tcW w:w="4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60" w:type="dxa"/>
            <w:vAlign w:val="bottom"/>
            <w:gridSpan w:val="2"/>
          </w:tcPr>
          <w:p>
            <w:pPr>
              <w:jc w:val="right"/>
              <w:ind w:right="120"/>
              <w:spacing w:after="0"/>
              <w:rPr>
                <w:sz w:val="20"/>
                <w:szCs w:val="20"/>
                <w:color w:val="auto"/>
              </w:rPr>
            </w:pPr>
            <w:r>
              <w:rPr>
                <w:rFonts w:ascii="Arial" w:cs="Arial" w:eastAsia="Arial" w:hAnsi="Arial"/>
                <w:sz w:val="18"/>
                <w:szCs w:val="18"/>
                <w:color w:val="auto"/>
              </w:rPr>
              <w:t>2,323</w:t>
            </w:r>
          </w:p>
        </w:tc>
        <w:tc>
          <w:tcPr>
            <w:tcW w:w="0" w:type="dxa"/>
            <w:vAlign w:val="bottom"/>
          </w:tcPr>
          <w:p>
            <w:pPr>
              <w:spacing w:after="0"/>
              <w:rPr>
                <w:sz w:val="1"/>
                <w:szCs w:val="1"/>
                <w:color w:val="auto"/>
              </w:rPr>
            </w:pPr>
          </w:p>
        </w:tc>
      </w:tr>
      <w:tr>
        <w:trPr>
          <w:trHeight w:val="216"/>
        </w:trPr>
        <w:tc>
          <w:tcPr>
            <w:tcW w:w="68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Other current liabilities</w:t>
            </w:r>
          </w:p>
        </w:tc>
        <w:tc>
          <w:tcPr>
            <w:tcW w:w="4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50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8,562</w:t>
            </w:r>
          </w:p>
        </w:tc>
        <w:tc>
          <w:tcPr>
            <w:tcW w:w="4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7,382</w:t>
            </w:r>
          </w:p>
        </w:tc>
        <w:tc>
          <w:tcPr>
            <w:tcW w:w="0" w:type="dxa"/>
            <w:vAlign w:val="bottom"/>
          </w:tcPr>
          <w:p>
            <w:pPr>
              <w:spacing w:after="0"/>
              <w:rPr>
                <w:sz w:val="1"/>
                <w:szCs w:val="1"/>
                <w:color w:val="auto"/>
              </w:rPr>
            </w:pPr>
          </w:p>
        </w:tc>
      </w:tr>
      <w:tr>
        <w:trPr>
          <w:trHeight w:val="223"/>
        </w:trPr>
        <w:tc>
          <w:tcPr>
            <w:tcW w:w="6860" w:type="dxa"/>
            <w:vAlign w:val="bottom"/>
          </w:tcPr>
          <w:p>
            <w:pPr>
              <w:ind w:left="720"/>
              <w:spacing w:after="0"/>
              <w:rPr>
                <w:sz w:val="20"/>
                <w:szCs w:val="20"/>
                <w:color w:val="auto"/>
              </w:rPr>
            </w:pPr>
            <w:r>
              <w:rPr>
                <w:rFonts w:ascii="Arial" w:cs="Arial" w:eastAsia="Arial" w:hAnsi="Arial"/>
                <w:sz w:val="18"/>
                <w:szCs w:val="18"/>
                <w:color w:val="auto"/>
              </w:rPr>
              <w:t>Total current liabilities</w:t>
            </w:r>
          </w:p>
        </w:tc>
        <w:tc>
          <w:tcPr>
            <w:tcW w:w="460" w:type="dxa"/>
            <w:vAlign w:val="bottom"/>
          </w:tcPr>
          <w:p>
            <w:pPr>
              <w:spacing w:after="0"/>
              <w:rPr>
                <w:sz w:val="19"/>
                <w:szCs w:val="19"/>
                <w:color w:val="auto"/>
              </w:rPr>
            </w:pPr>
          </w:p>
        </w:tc>
        <w:tc>
          <w:tcPr>
            <w:tcW w:w="220" w:type="dxa"/>
            <w:vAlign w:val="bottom"/>
            <w:tcBorders>
              <w:top w:val="single" w:sz="8" w:color="auto"/>
            </w:tcBorders>
          </w:tcPr>
          <w:p>
            <w:pPr>
              <w:spacing w:after="0"/>
              <w:rPr>
                <w:sz w:val="19"/>
                <w:szCs w:val="19"/>
                <w:color w:val="auto"/>
              </w:rPr>
            </w:pPr>
          </w:p>
        </w:tc>
        <w:tc>
          <w:tcPr>
            <w:tcW w:w="10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78,804</w:t>
            </w:r>
          </w:p>
        </w:tc>
        <w:tc>
          <w:tcPr>
            <w:tcW w:w="48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12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85,481</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6860" w:type="dxa"/>
            <w:vAlign w:val="bottom"/>
            <w:shd w:val="clear" w:color="auto" w:fill="CCEEFF"/>
          </w:tcPr>
          <w:p>
            <w:pPr>
              <w:spacing w:after="0"/>
              <w:rPr>
                <w:sz w:val="20"/>
                <w:szCs w:val="20"/>
                <w:color w:val="auto"/>
              </w:rPr>
            </w:pPr>
            <w:r>
              <w:rPr>
                <w:rFonts w:ascii="Arial" w:cs="Arial" w:eastAsia="Arial" w:hAnsi="Arial"/>
                <w:sz w:val="18"/>
                <w:szCs w:val="18"/>
                <w:color w:val="auto"/>
              </w:rPr>
              <w:t>Accrued severance benefits, net</w:t>
            </w:r>
          </w:p>
        </w:tc>
        <w:tc>
          <w:tcPr>
            <w:tcW w:w="4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50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30,466</w:t>
            </w:r>
          </w:p>
        </w:tc>
        <w:tc>
          <w:tcPr>
            <w:tcW w:w="4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33,064</w:t>
            </w:r>
          </w:p>
        </w:tc>
        <w:tc>
          <w:tcPr>
            <w:tcW w:w="0" w:type="dxa"/>
            <w:vAlign w:val="bottom"/>
          </w:tcPr>
          <w:p>
            <w:pPr>
              <w:spacing w:after="0"/>
              <w:rPr>
                <w:sz w:val="1"/>
                <w:szCs w:val="1"/>
                <w:color w:val="auto"/>
              </w:rPr>
            </w:pPr>
          </w:p>
        </w:tc>
      </w:tr>
      <w:tr>
        <w:trPr>
          <w:trHeight w:val="216"/>
        </w:trPr>
        <w:tc>
          <w:tcPr>
            <w:tcW w:w="6860" w:type="dxa"/>
            <w:vAlign w:val="bottom"/>
          </w:tcPr>
          <w:p>
            <w:pPr>
              <w:spacing w:after="0"/>
              <w:rPr>
                <w:sz w:val="20"/>
                <w:szCs w:val="20"/>
                <w:color w:val="auto"/>
              </w:rPr>
            </w:pPr>
            <w:r>
              <w:rPr>
                <w:rFonts w:ascii="Arial" w:cs="Arial" w:eastAsia="Arial" w:hAnsi="Arial"/>
                <w:sz w:val="18"/>
                <w:szCs w:val="18"/>
                <w:color w:val="auto"/>
              </w:rPr>
              <w:t>Non-current operating lease liabilities</w:t>
            </w:r>
          </w:p>
        </w:tc>
        <w:tc>
          <w:tcPr>
            <w:tcW w:w="4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500" w:type="dxa"/>
            <w:vAlign w:val="bottom"/>
            <w:gridSpan w:val="2"/>
          </w:tcPr>
          <w:p>
            <w:pPr>
              <w:jc w:val="right"/>
              <w:ind w:right="480"/>
              <w:spacing w:after="0"/>
              <w:rPr>
                <w:sz w:val="20"/>
                <w:szCs w:val="20"/>
                <w:color w:val="auto"/>
              </w:rPr>
            </w:pPr>
            <w:r>
              <w:rPr>
                <w:rFonts w:ascii="Arial" w:cs="Arial" w:eastAsia="Arial" w:hAnsi="Arial"/>
                <w:sz w:val="18"/>
                <w:szCs w:val="18"/>
                <w:color w:val="auto"/>
              </w:rPr>
              <w:t>1,485</w:t>
            </w:r>
          </w:p>
        </w:tc>
        <w:tc>
          <w:tcPr>
            <w:tcW w:w="4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60" w:type="dxa"/>
            <w:vAlign w:val="bottom"/>
            <w:gridSpan w:val="2"/>
          </w:tcPr>
          <w:p>
            <w:pPr>
              <w:jc w:val="right"/>
              <w:ind w:right="120"/>
              <w:spacing w:after="0"/>
              <w:rPr>
                <w:sz w:val="20"/>
                <w:szCs w:val="20"/>
                <w:color w:val="auto"/>
              </w:rPr>
            </w:pPr>
            <w:r>
              <w:rPr>
                <w:rFonts w:ascii="Arial" w:cs="Arial" w:eastAsia="Arial" w:hAnsi="Arial"/>
                <w:sz w:val="18"/>
                <w:szCs w:val="18"/>
                <w:color w:val="auto"/>
              </w:rPr>
              <w:t>1,952</w:t>
            </w:r>
          </w:p>
        </w:tc>
        <w:tc>
          <w:tcPr>
            <w:tcW w:w="0" w:type="dxa"/>
            <w:vAlign w:val="bottom"/>
          </w:tcPr>
          <w:p>
            <w:pPr>
              <w:spacing w:after="0"/>
              <w:rPr>
                <w:sz w:val="1"/>
                <w:szCs w:val="1"/>
                <w:color w:val="auto"/>
              </w:rPr>
            </w:pPr>
          </w:p>
        </w:tc>
      </w:tr>
      <w:tr>
        <w:trPr>
          <w:trHeight w:val="216"/>
        </w:trPr>
        <w:tc>
          <w:tcPr>
            <w:tcW w:w="6860" w:type="dxa"/>
            <w:vAlign w:val="bottom"/>
            <w:shd w:val="clear" w:color="auto" w:fill="CCEEFF"/>
          </w:tcPr>
          <w:p>
            <w:pPr>
              <w:spacing w:after="0"/>
              <w:rPr>
                <w:sz w:val="20"/>
                <w:szCs w:val="20"/>
                <w:color w:val="auto"/>
              </w:rPr>
            </w:pPr>
            <w:r>
              <w:rPr>
                <w:rFonts w:ascii="Arial" w:cs="Arial" w:eastAsia="Arial" w:hAnsi="Arial"/>
                <w:sz w:val="18"/>
                <w:szCs w:val="18"/>
                <w:color w:val="auto"/>
              </w:rPr>
              <w:t>Other non-current liabilities</w:t>
            </w:r>
          </w:p>
        </w:tc>
        <w:tc>
          <w:tcPr>
            <w:tcW w:w="4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50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16,823</w:t>
            </w:r>
          </w:p>
        </w:tc>
        <w:tc>
          <w:tcPr>
            <w:tcW w:w="4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10,395</w:t>
            </w:r>
          </w:p>
        </w:tc>
        <w:tc>
          <w:tcPr>
            <w:tcW w:w="0" w:type="dxa"/>
            <w:vAlign w:val="bottom"/>
          </w:tcPr>
          <w:p>
            <w:pPr>
              <w:spacing w:after="0"/>
              <w:rPr>
                <w:sz w:val="1"/>
                <w:szCs w:val="1"/>
                <w:color w:val="auto"/>
              </w:rPr>
            </w:pPr>
          </w:p>
        </w:tc>
      </w:tr>
      <w:tr>
        <w:trPr>
          <w:trHeight w:val="230"/>
        </w:trPr>
        <w:tc>
          <w:tcPr>
            <w:tcW w:w="6860" w:type="dxa"/>
            <w:vAlign w:val="bottom"/>
          </w:tcPr>
          <w:p>
            <w:pPr>
              <w:ind w:left="720"/>
              <w:spacing w:after="0"/>
              <w:rPr>
                <w:sz w:val="20"/>
                <w:szCs w:val="20"/>
                <w:color w:val="auto"/>
              </w:rPr>
            </w:pPr>
            <w:r>
              <w:rPr>
                <w:rFonts w:ascii="Arial" w:cs="Arial" w:eastAsia="Arial" w:hAnsi="Arial"/>
                <w:sz w:val="18"/>
                <w:szCs w:val="18"/>
                <w:color w:val="auto"/>
              </w:rPr>
              <w:t>Total liabilities</w:t>
            </w:r>
          </w:p>
        </w:tc>
        <w:tc>
          <w:tcPr>
            <w:tcW w:w="460" w:type="dxa"/>
            <w:vAlign w:val="bottom"/>
          </w:tcPr>
          <w:p>
            <w:pPr>
              <w:spacing w:after="0"/>
              <w:rPr>
                <w:sz w:val="20"/>
                <w:szCs w:val="20"/>
                <w:color w:val="auto"/>
              </w:rPr>
            </w:pPr>
          </w:p>
        </w:tc>
        <w:tc>
          <w:tcPr>
            <w:tcW w:w="220" w:type="dxa"/>
            <w:vAlign w:val="bottom"/>
            <w:tcBorders>
              <w:top w:val="single" w:sz="8" w:color="auto"/>
              <w:bottom w:val="single" w:sz="8" w:color="auto"/>
            </w:tcBorders>
          </w:tcPr>
          <w:p>
            <w:pPr>
              <w:spacing w:after="0"/>
              <w:rPr>
                <w:sz w:val="20"/>
                <w:szCs w:val="20"/>
                <w:color w:val="auto"/>
              </w:rPr>
            </w:pP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127,578</w:t>
            </w:r>
          </w:p>
        </w:tc>
        <w:tc>
          <w:tcPr>
            <w:tcW w:w="48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200" w:type="dxa"/>
            <w:vAlign w:val="bottom"/>
            <w:tcBorders>
              <w:top w:val="single" w:sz="8" w:color="auto"/>
              <w:bottom w:val="single" w:sz="8" w:color="auto"/>
            </w:tcBorders>
          </w:tcPr>
          <w:p>
            <w:pPr>
              <w:spacing w:after="0"/>
              <w:rPr>
                <w:sz w:val="20"/>
                <w:szCs w:val="20"/>
                <w:color w:val="auto"/>
              </w:rPr>
            </w:pPr>
          </w:p>
        </w:tc>
        <w:tc>
          <w:tcPr>
            <w:tcW w:w="12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130,892</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6860" w:type="dxa"/>
            <w:vAlign w:val="bottom"/>
            <w:shd w:val="clear" w:color="auto" w:fill="CCEEFF"/>
          </w:tcPr>
          <w:p>
            <w:pPr>
              <w:spacing w:after="0"/>
              <w:rPr>
                <w:sz w:val="20"/>
                <w:szCs w:val="20"/>
                <w:color w:val="auto"/>
              </w:rPr>
            </w:pPr>
            <w:r>
              <w:rPr>
                <w:rFonts w:ascii="Arial" w:cs="Arial" w:eastAsia="Arial" w:hAnsi="Arial"/>
                <w:sz w:val="18"/>
                <w:szCs w:val="18"/>
                <w:color w:val="auto"/>
              </w:rPr>
              <w:t>Commitments and contingencies</w:t>
            </w:r>
          </w:p>
        </w:tc>
        <w:tc>
          <w:tcPr>
            <w:tcW w:w="4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860" w:type="dxa"/>
            <w:vAlign w:val="bottom"/>
          </w:tcPr>
          <w:p>
            <w:pPr>
              <w:spacing w:after="0"/>
              <w:rPr>
                <w:sz w:val="20"/>
                <w:szCs w:val="20"/>
                <w:color w:val="auto"/>
              </w:rPr>
            </w:pPr>
            <w:r>
              <w:rPr>
                <w:rFonts w:ascii="Arial" w:cs="Arial" w:eastAsia="Arial" w:hAnsi="Arial"/>
                <w:sz w:val="18"/>
                <w:szCs w:val="18"/>
                <w:color w:val="auto"/>
              </w:rPr>
              <w:t>Stockholders’ equity</w:t>
            </w:r>
          </w:p>
        </w:tc>
        <w:tc>
          <w:tcPr>
            <w:tcW w:w="4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6860" w:type="dxa"/>
            <w:vAlign w:val="bottom"/>
            <w:shd w:val="clear" w:color="auto" w:fill="CCEEFF"/>
          </w:tcPr>
          <w:p>
            <w:pPr>
              <w:ind w:left="360"/>
              <w:spacing w:after="0" w:line="201" w:lineRule="exact"/>
              <w:rPr>
                <w:sz w:val="20"/>
                <w:szCs w:val="20"/>
                <w:color w:val="auto"/>
              </w:rPr>
            </w:pPr>
            <w:r>
              <w:rPr>
                <w:rFonts w:ascii="Arial" w:cs="Arial" w:eastAsia="Arial" w:hAnsi="Arial"/>
                <w:sz w:val="18"/>
                <w:szCs w:val="18"/>
                <w:color w:val="auto"/>
                <w:w w:val="96"/>
              </w:rPr>
              <w:t>Common stock, $0.01 par value, 150,000,000 shares authorized, 56,234,774 shares</w:t>
            </w:r>
          </w:p>
        </w:tc>
        <w:tc>
          <w:tcPr>
            <w:tcW w:w="4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2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6860" w:type="dxa"/>
            <w:vAlign w:val="bottom"/>
            <w:shd w:val="clear" w:color="auto" w:fill="CCEEFF"/>
          </w:tcPr>
          <w:p>
            <w:pPr>
              <w:ind w:left="540"/>
              <w:spacing w:after="0"/>
              <w:rPr>
                <w:sz w:val="20"/>
                <w:szCs w:val="20"/>
                <w:color w:val="auto"/>
              </w:rPr>
            </w:pPr>
            <w:r>
              <w:rPr>
                <w:rFonts w:ascii="Arial" w:cs="Arial" w:eastAsia="Arial" w:hAnsi="Arial"/>
                <w:sz w:val="18"/>
                <w:szCs w:val="18"/>
                <w:color w:val="auto"/>
                <w:w w:val="94"/>
              </w:rPr>
              <w:t>issued and 44,903,718 outstanding at June 30, 2022 and 55,905,320 shares issued</w:t>
            </w:r>
          </w:p>
        </w:tc>
        <w:tc>
          <w:tcPr>
            <w:tcW w:w="4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6860" w:type="dxa"/>
            <w:vAlign w:val="bottom"/>
            <w:shd w:val="clear" w:color="auto" w:fill="CCEEFF"/>
          </w:tcPr>
          <w:p>
            <w:pPr>
              <w:ind w:left="540"/>
              <w:spacing w:after="0"/>
              <w:rPr>
                <w:sz w:val="20"/>
                <w:szCs w:val="20"/>
                <w:color w:val="auto"/>
              </w:rPr>
            </w:pPr>
            <w:r>
              <w:rPr>
                <w:rFonts w:ascii="Arial" w:cs="Arial" w:eastAsia="Arial" w:hAnsi="Arial"/>
                <w:sz w:val="18"/>
                <w:szCs w:val="18"/>
                <w:color w:val="auto"/>
              </w:rPr>
              <w:t>and 45,659,304 outstanding at December 31, 2021</w:t>
            </w:r>
          </w:p>
        </w:tc>
        <w:tc>
          <w:tcPr>
            <w:tcW w:w="46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50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562</w:t>
            </w:r>
          </w:p>
        </w:tc>
        <w:tc>
          <w:tcPr>
            <w:tcW w:w="42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3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559</w:t>
            </w:r>
          </w:p>
        </w:tc>
        <w:tc>
          <w:tcPr>
            <w:tcW w:w="0" w:type="dxa"/>
            <w:vAlign w:val="bottom"/>
          </w:tcPr>
          <w:p>
            <w:pPr>
              <w:spacing w:after="0"/>
              <w:rPr>
                <w:sz w:val="1"/>
                <w:szCs w:val="1"/>
                <w:color w:val="auto"/>
              </w:rPr>
            </w:pPr>
          </w:p>
        </w:tc>
      </w:tr>
      <w:tr>
        <w:trPr>
          <w:trHeight w:val="216"/>
        </w:trPr>
        <w:tc>
          <w:tcPr>
            <w:tcW w:w="6860" w:type="dxa"/>
            <w:vAlign w:val="bottom"/>
          </w:tcPr>
          <w:p>
            <w:pPr>
              <w:ind w:left="360"/>
              <w:spacing w:after="0"/>
              <w:rPr>
                <w:sz w:val="20"/>
                <w:szCs w:val="20"/>
                <w:color w:val="auto"/>
              </w:rPr>
            </w:pPr>
            <w:r>
              <w:rPr>
                <w:rFonts w:ascii="Arial" w:cs="Arial" w:eastAsia="Arial" w:hAnsi="Arial"/>
                <w:sz w:val="18"/>
                <w:szCs w:val="18"/>
                <w:color w:val="auto"/>
              </w:rPr>
              <w:t>Additional paid-in capital</w:t>
            </w:r>
          </w:p>
        </w:tc>
        <w:tc>
          <w:tcPr>
            <w:tcW w:w="4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500" w:type="dxa"/>
            <w:vAlign w:val="bottom"/>
            <w:gridSpan w:val="2"/>
          </w:tcPr>
          <w:p>
            <w:pPr>
              <w:jc w:val="right"/>
              <w:ind w:right="480"/>
              <w:spacing w:after="0"/>
              <w:rPr>
                <w:sz w:val="20"/>
                <w:szCs w:val="20"/>
                <w:color w:val="auto"/>
              </w:rPr>
            </w:pPr>
            <w:r>
              <w:rPr>
                <w:rFonts w:ascii="Arial" w:cs="Arial" w:eastAsia="Arial" w:hAnsi="Arial"/>
                <w:sz w:val="18"/>
                <w:szCs w:val="18"/>
                <w:color w:val="auto"/>
              </w:rPr>
              <w:t>263,698</w:t>
            </w:r>
          </w:p>
        </w:tc>
        <w:tc>
          <w:tcPr>
            <w:tcW w:w="4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60" w:type="dxa"/>
            <w:vAlign w:val="bottom"/>
            <w:gridSpan w:val="2"/>
          </w:tcPr>
          <w:p>
            <w:pPr>
              <w:jc w:val="right"/>
              <w:ind w:right="120"/>
              <w:spacing w:after="0"/>
              <w:rPr>
                <w:sz w:val="20"/>
                <w:szCs w:val="20"/>
                <w:color w:val="auto"/>
              </w:rPr>
            </w:pPr>
            <w:r>
              <w:rPr>
                <w:rFonts w:ascii="Arial" w:cs="Arial" w:eastAsia="Arial" w:hAnsi="Arial"/>
                <w:sz w:val="18"/>
                <w:szCs w:val="18"/>
                <w:color w:val="auto"/>
              </w:rPr>
              <w:t>241,197</w:t>
            </w:r>
          </w:p>
        </w:tc>
        <w:tc>
          <w:tcPr>
            <w:tcW w:w="0" w:type="dxa"/>
            <w:vAlign w:val="bottom"/>
          </w:tcPr>
          <w:p>
            <w:pPr>
              <w:spacing w:after="0"/>
              <w:rPr>
                <w:sz w:val="1"/>
                <w:szCs w:val="1"/>
                <w:color w:val="auto"/>
              </w:rPr>
            </w:pPr>
          </w:p>
        </w:tc>
      </w:tr>
      <w:tr>
        <w:trPr>
          <w:trHeight w:val="216"/>
        </w:trPr>
        <w:tc>
          <w:tcPr>
            <w:tcW w:w="68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Retained earnings</w:t>
            </w:r>
          </w:p>
        </w:tc>
        <w:tc>
          <w:tcPr>
            <w:tcW w:w="4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50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349,730</w:t>
            </w:r>
          </w:p>
        </w:tc>
        <w:tc>
          <w:tcPr>
            <w:tcW w:w="4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343,542</w:t>
            </w:r>
          </w:p>
        </w:tc>
        <w:tc>
          <w:tcPr>
            <w:tcW w:w="0" w:type="dxa"/>
            <w:vAlign w:val="bottom"/>
          </w:tcPr>
          <w:p>
            <w:pPr>
              <w:spacing w:after="0"/>
              <w:rPr>
                <w:sz w:val="1"/>
                <w:szCs w:val="1"/>
                <w:color w:val="auto"/>
              </w:rPr>
            </w:pPr>
          </w:p>
        </w:tc>
      </w:tr>
      <w:tr>
        <w:trPr>
          <w:trHeight w:val="202"/>
        </w:trPr>
        <w:tc>
          <w:tcPr>
            <w:tcW w:w="6860" w:type="dxa"/>
            <w:vAlign w:val="bottom"/>
          </w:tcPr>
          <w:p>
            <w:pPr>
              <w:ind w:left="360"/>
              <w:spacing w:after="0" w:line="201" w:lineRule="exact"/>
              <w:rPr>
                <w:sz w:val="20"/>
                <w:szCs w:val="20"/>
                <w:color w:val="auto"/>
              </w:rPr>
            </w:pPr>
            <w:r>
              <w:rPr>
                <w:rFonts w:ascii="Arial" w:cs="Arial" w:eastAsia="Arial" w:hAnsi="Arial"/>
                <w:sz w:val="18"/>
                <w:szCs w:val="18"/>
                <w:color w:val="auto"/>
              </w:rPr>
              <w:t>Treasury stock, 11,331,056 shares at June 30, 2022 and 10,246,016 shares at</w:t>
            </w:r>
          </w:p>
        </w:tc>
        <w:tc>
          <w:tcPr>
            <w:tcW w:w="4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6860" w:type="dxa"/>
            <w:vAlign w:val="bottom"/>
          </w:tcPr>
          <w:p>
            <w:pPr>
              <w:ind w:left="540"/>
              <w:spacing w:after="0"/>
              <w:rPr>
                <w:sz w:val="20"/>
                <w:szCs w:val="20"/>
                <w:color w:val="auto"/>
              </w:rPr>
            </w:pPr>
            <w:r>
              <w:rPr>
                <w:rFonts w:ascii="Arial" w:cs="Arial" w:eastAsia="Arial" w:hAnsi="Arial"/>
                <w:sz w:val="18"/>
                <w:szCs w:val="18"/>
                <w:color w:val="auto"/>
              </w:rPr>
              <w:t>December 31, 2021, respectively</w:t>
            </w:r>
          </w:p>
        </w:tc>
        <w:tc>
          <w:tcPr>
            <w:tcW w:w="4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500" w:type="dxa"/>
            <w:vAlign w:val="bottom"/>
            <w:gridSpan w:val="2"/>
          </w:tcPr>
          <w:p>
            <w:pPr>
              <w:jc w:val="right"/>
              <w:ind w:right="420"/>
              <w:spacing w:after="0"/>
              <w:rPr>
                <w:sz w:val="20"/>
                <w:szCs w:val="20"/>
                <w:color w:val="auto"/>
              </w:rPr>
            </w:pPr>
            <w:r>
              <w:rPr>
                <w:rFonts w:ascii="Arial" w:cs="Arial" w:eastAsia="Arial" w:hAnsi="Arial"/>
                <w:sz w:val="18"/>
                <w:szCs w:val="18"/>
                <w:color w:val="auto"/>
              </w:rPr>
              <w:t>(148,523)</w:t>
            </w:r>
          </w:p>
        </w:tc>
        <w:tc>
          <w:tcPr>
            <w:tcW w:w="4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360" w:type="dxa"/>
            <w:vAlign w:val="bottom"/>
            <w:gridSpan w:val="2"/>
          </w:tcPr>
          <w:p>
            <w:pPr>
              <w:jc w:val="right"/>
              <w:ind w:right="60"/>
              <w:spacing w:after="0"/>
              <w:rPr>
                <w:sz w:val="20"/>
                <w:szCs w:val="20"/>
                <w:color w:val="auto"/>
              </w:rPr>
            </w:pPr>
            <w:r>
              <w:rPr>
                <w:rFonts w:ascii="Arial" w:cs="Arial" w:eastAsia="Arial" w:hAnsi="Arial"/>
                <w:sz w:val="18"/>
                <w:szCs w:val="18"/>
                <w:color w:val="auto"/>
              </w:rPr>
              <w:t>(130,306)</w:t>
            </w:r>
          </w:p>
        </w:tc>
        <w:tc>
          <w:tcPr>
            <w:tcW w:w="0" w:type="dxa"/>
            <w:vAlign w:val="bottom"/>
          </w:tcPr>
          <w:p>
            <w:pPr>
              <w:spacing w:after="0"/>
              <w:rPr>
                <w:sz w:val="1"/>
                <w:szCs w:val="1"/>
                <w:color w:val="auto"/>
              </w:rPr>
            </w:pPr>
          </w:p>
        </w:tc>
      </w:tr>
      <w:tr>
        <w:trPr>
          <w:trHeight w:val="216"/>
        </w:trPr>
        <w:tc>
          <w:tcPr>
            <w:tcW w:w="68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Accumulated other comprehensive loss</w:t>
            </w:r>
          </w:p>
        </w:tc>
        <w:tc>
          <w:tcPr>
            <w:tcW w:w="4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50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(17,320)</w:t>
            </w:r>
          </w:p>
        </w:tc>
        <w:tc>
          <w:tcPr>
            <w:tcW w:w="4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(2,230)</w:t>
            </w:r>
          </w:p>
        </w:tc>
        <w:tc>
          <w:tcPr>
            <w:tcW w:w="0" w:type="dxa"/>
            <w:vAlign w:val="bottom"/>
          </w:tcPr>
          <w:p>
            <w:pPr>
              <w:spacing w:after="0"/>
              <w:rPr>
                <w:sz w:val="1"/>
                <w:szCs w:val="1"/>
                <w:color w:val="auto"/>
              </w:rPr>
            </w:pPr>
          </w:p>
        </w:tc>
      </w:tr>
      <w:tr>
        <w:trPr>
          <w:trHeight w:val="230"/>
        </w:trPr>
        <w:tc>
          <w:tcPr>
            <w:tcW w:w="6860" w:type="dxa"/>
            <w:vAlign w:val="bottom"/>
          </w:tcPr>
          <w:p>
            <w:pPr>
              <w:ind w:left="720"/>
              <w:spacing w:after="0"/>
              <w:rPr>
                <w:sz w:val="20"/>
                <w:szCs w:val="20"/>
                <w:color w:val="auto"/>
              </w:rPr>
            </w:pPr>
            <w:r>
              <w:rPr>
                <w:rFonts w:ascii="Arial" w:cs="Arial" w:eastAsia="Arial" w:hAnsi="Arial"/>
                <w:sz w:val="18"/>
                <w:szCs w:val="18"/>
                <w:color w:val="auto"/>
              </w:rPr>
              <w:t>Total stockholders’ equity</w:t>
            </w:r>
          </w:p>
        </w:tc>
        <w:tc>
          <w:tcPr>
            <w:tcW w:w="460" w:type="dxa"/>
            <w:vAlign w:val="bottom"/>
          </w:tcPr>
          <w:p>
            <w:pPr>
              <w:spacing w:after="0"/>
              <w:rPr>
                <w:sz w:val="20"/>
                <w:szCs w:val="20"/>
                <w:color w:val="auto"/>
              </w:rPr>
            </w:pPr>
          </w:p>
        </w:tc>
        <w:tc>
          <w:tcPr>
            <w:tcW w:w="220" w:type="dxa"/>
            <w:vAlign w:val="bottom"/>
            <w:tcBorders>
              <w:top w:val="single" w:sz="8" w:color="auto"/>
              <w:bottom w:val="single" w:sz="8" w:color="auto"/>
            </w:tcBorders>
          </w:tcPr>
          <w:p>
            <w:pPr>
              <w:spacing w:after="0"/>
              <w:rPr>
                <w:sz w:val="20"/>
                <w:szCs w:val="20"/>
                <w:color w:val="auto"/>
              </w:rPr>
            </w:pP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448,147</w:t>
            </w:r>
          </w:p>
        </w:tc>
        <w:tc>
          <w:tcPr>
            <w:tcW w:w="48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200" w:type="dxa"/>
            <w:vAlign w:val="bottom"/>
            <w:tcBorders>
              <w:top w:val="single" w:sz="8" w:color="auto"/>
              <w:bottom w:val="single" w:sz="8" w:color="auto"/>
            </w:tcBorders>
          </w:tcPr>
          <w:p>
            <w:pPr>
              <w:spacing w:after="0"/>
              <w:rPr>
                <w:sz w:val="20"/>
                <w:szCs w:val="20"/>
                <w:color w:val="auto"/>
              </w:rPr>
            </w:pPr>
          </w:p>
        </w:tc>
        <w:tc>
          <w:tcPr>
            <w:tcW w:w="12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452,762</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6860" w:type="dxa"/>
            <w:vAlign w:val="bottom"/>
            <w:shd w:val="clear" w:color="auto" w:fill="CCEEFF"/>
          </w:tcPr>
          <w:p>
            <w:pPr>
              <w:ind w:left="720"/>
              <w:spacing w:after="0"/>
              <w:rPr>
                <w:sz w:val="20"/>
                <w:szCs w:val="20"/>
                <w:color w:val="auto"/>
              </w:rPr>
            </w:pPr>
            <w:r>
              <w:rPr>
                <w:rFonts w:ascii="Arial" w:cs="Arial" w:eastAsia="Arial" w:hAnsi="Arial"/>
                <w:sz w:val="18"/>
                <w:szCs w:val="18"/>
                <w:color w:val="auto"/>
              </w:rPr>
              <w:t>Total liabilities and stockholders’ equity</w:t>
            </w:r>
          </w:p>
        </w:tc>
        <w:tc>
          <w:tcPr>
            <w:tcW w:w="680" w:type="dxa"/>
            <w:vAlign w:val="bottom"/>
            <w:gridSpan w:val="2"/>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50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575,725</w:t>
            </w:r>
          </w:p>
        </w:tc>
        <w:tc>
          <w:tcPr>
            <w:tcW w:w="6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3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583,654</w:t>
            </w:r>
          </w:p>
        </w:tc>
        <w:tc>
          <w:tcPr>
            <w:tcW w:w="0" w:type="dxa"/>
            <w:vAlign w:val="bottom"/>
          </w:tcPr>
          <w:p>
            <w:pPr>
              <w:spacing w:after="0"/>
              <w:rPr>
                <w:sz w:val="1"/>
                <w:szCs w:val="1"/>
                <w:color w:val="auto"/>
              </w:rPr>
            </w:pPr>
          </w:p>
        </w:tc>
      </w:tr>
      <w:tr>
        <w:trPr>
          <w:trHeight w:val="20"/>
        </w:trPr>
        <w:tc>
          <w:tcPr>
            <w:tcW w:w="6860" w:type="dxa"/>
            <w:vAlign w:val="bottom"/>
            <w:vMerge w:val="restart"/>
          </w:tcPr>
          <w:p>
            <w:pPr>
              <w:ind w:left="5460"/>
              <w:spacing w:after="0"/>
              <w:rPr>
                <w:sz w:val="20"/>
                <w:szCs w:val="20"/>
                <w:color w:val="auto"/>
              </w:rPr>
            </w:pPr>
            <w:r>
              <w:rPr>
                <w:rFonts w:ascii="Arial" w:cs="Arial" w:eastAsia="Arial" w:hAnsi="Arial"/>
                <w:sz w:val="18"/>
                <w:szCs w:val="18"/>
                <w:color w:val="auto"/>
              </w:rPr>
              <w:t>5</w:t>
            </w:r>
          </w:p>
        </w:tc>
        <w:tc>
          <w:tcPr>
            <w:tcW w:w="46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6860" w:type="dxa"/>
            <w:vAlign w:val="bottom"/>
            <w:vMerge w:val="continue"/>
          </w:tcPr>
          <w:p>
            <w:pPr>
              <w:spacing w:after="0"/>
              <w:rPr>
                <w:sz w:val="24"/>
                <w:szCs w:val="24"/>
                <w:color w:val="auto"/>
              </w:rPr>
            </w:pPr>
          </w:p>
        </w:tc>
        <w:tc>
          <w:tcPr>
            <w:tcW w:w="4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020"/>
          </w:cols>
          <w:pgMar w:left="440" w:top="1080" w:right="439" w:bottom="1440" w:gutter="0" w:footer="0" w:header="0"/>
        </w:sectPr>
      </w:pPr>
    </w:p>
    <w:bookmarkStart w:id="8" w:name="page9"/>
    <w:bookmarkEnd w:id="8"/>
    <w:p>
      <w:pPr>
        <w:jc w:val="center"/>
        <w:ind w:right="2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74865" cy="38100"/>
                    </a:xfrm>
                    <a:prstGeom prst="rect">
                      <a:avLst/>
                    </a:prstGeom>
                    <a:noFill/>
                  </pic:spPr>
                </pic:pic>
              </a:graphicData>
            </a:graphic>
          </wp:anchor>
        </w:drawing>
        <w:drawing>
          <wp:anchor simplePos="0" relativeHeight="251657728" behindDoc="1" locked="0" layoutInCell="0" allowOverlap="1">
            <wp:simplePos x="0" y="0"/>
            <wp:positionH relativeFrom="page">
              <wp:posOffset>5814695</wp:posOffset>
            </wp:positionH>
            <wp:positionV relativeFrom="page">
              <wp:posOffset>182880</wp:posOffset>
            </wp:positionV>
            <wp:extent cx="1457325" cy="41973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clrChange>
                        <a:clrFrom>
                          <a:srgbClr val="FFFFFF"/>
                        </a:clrFrom>
                        <a:clrTo>
                          <a:srgbClr val="FFFFFF">
                            <a:alpha val="0"/>
                          </a:srgbClr>
                        </a:clrTo>
                      </a:clrChange>
                      <a:extLst>
                        <a:ext uri="{28A0092B-C50C-407E-A947-70E740481C1C}"/>
                      </a:extLst>
                    </a:blip>
                    <a:srcRect/>
                    <a:stretch>
                      <a:fillRect/>
                    </a:stretch>
                  </pic:blipFill>
                  <pic:spPr bwMode="auto">
                    <a:xfrm>
                      <a:off x="0" y="0"/>
                      <a:ext cx="1457325" cy="419735"/>
                    </a:xfrm>
                    <a:prstGeom prst="rect">
                      <a:avLst/>
                    </a:prstGeom>
                    <a:noFill/>
                  </pic:spPr>
                </pic:pic>
              </a:graphicData>
            </a:graphic>
          </wp:anchor>
        </w:drawing>
        <w:t>MAGNACHIP SEMICONDUCTOR CORPORATION AND SUBSIDIARIES</w:t>
      </w:r>
    </w:p>
    <w:p>
      <w:pPr>
        <w:spacing w:after="0" w:line="27"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CONSOLIDATED STATEMENTS OF CASH FLOWS</w:t>
      </w:r>
    </w:p>
    <w:p>
      <w:pPr>
        <w:spacing w:after="0" w:line="9"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(In thousands of U.S. dollars)</w:t>
      </w:r>
    </w:p>
    <w:p>
      <w:pPr>
        <w:spacing w:after="0" w:line="9"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(Unaudited)</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1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200" w:type="dxa"/>
            <w:vAlign w:val="bottom"/>
            <w:gridSpan w:val="3"/>
          </w:tcPr>
          <w:p>
            <w:pPr>
              <w:jc w:val="center"/>
              <w:ind w:right="320"/>
              <w:spacing w:after="0"/>
              <w:rPr>
                <w:sz w:val="20"/>
                <w:szCs w:val="20"/>
                <w:color w:val="auto"/>
              </w:rPr>
            </w:pPr>
            <w:r>
              <w:rPr>
                <w:rFonts w:ascii="Arial" w:cs="Arial" w:eastAsia="Arial" w:hAnsi="Arial"/>
                <w:sz w:val="14"/>
                <w:szCs w:val="14"/>
                <w:b w:val="1"/>
                <w:bCs w:val="1"/>
                <w:color w:val="auto"/>
                <w:w w:val="95"/>
              </w:rPr>
              <w:t>Three Months</w:t>
            </w:r>
          </w:p>
        </w:tc>
        <w:tc>
          <w:tcPr>
            <w:tcW w:w="100" w:type="dxa"/>
            <w:vAlign w:val="bottom"/>
          </w:tcPr>
          <w:p>
            <w:pPr>
              <w:spacing w:after="0"/>
              <w:rPr>
                <w:sz w:val="14"/>
                <w:szCs w:val="14"/>
                <w:color w:val="auto"/>
              </w:rPr>
            </w:pPr>
          </w:p>
        </w:tc>
        <w:tc>
          <w:tcPr>
            <w:tcW w:w="1720" w:type="dxa"/>
            <w:vAlign w:val="bottom"/>
            <w:gridSpan w:val="6"/>
          </w:tcPr>
          <w:p>
            <w:pPr>
              <w:jc w:val="right"/>
              <w:ind w:right="620"/>
              <w:spacing w:after="0"/>
              <w:rPr>
                <w:sz w:val="20"/>
                <w:szCs w:val="20"/>
                <w:color w:val="auto"/>
              </w:rPr>
            </w:pPr>
            <w:r>
              <w:rPr>
                <w:rFonts w:ascii="Arial" w:cs="Arial" w:eastAsia="Arial" w:hAnsi="Arial"/>
                <w:sz w:val="14"/>
                <w:szCs w:val="14"/>
                <w:b w:val="1"/>
                <w:bCs w:val="1"/>
                <w:color w:val="auto"/>
              </w:rPr>
              <w:t>Six Months</w:t>
            </w:r>
          </w:p>
        </w:tc>
        <w:tc>
          <w:tcPr>
            <w:tcW w:w="0" w:type="dxa"/>
            <w:vAlign w:val="bottom"/>
          </w:tcPr>
          <w:p>
            <w:pPr>
              <w:spacing w:after="0"/>
              <w:rPr>
                <w:sz w:val="1"/>
                <w:szCs w:val="1"/>
                <w:color w:val="auto"/>
              </w:rPr>
            </w:pPr>
          </w:p>
        </w:tc>
      </w:tr>
      <w:tr>
        <w:trPr>
          <w:trHeight w:val="171"/>
        </w:trPr>
        <w:tc>
          <w:tcPr>
            <w:tcW w:w="71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60" w:type="dxa"/>
            <w:vAlign w:val="bottom"/>
            <w:gridSpan w:val="2"/>
          </w:tcPr>
          <w:p>
            <w:pPr>
              <w:jc w:val="center"/>
              <w:ind w:right="460"/>
              <w:spacing w:after="0"/>
              <w:rPr>
                <w:sz w:val="20"/>
                <w:szCs w:val="20"/>
                <w:color w:val="auto"/>
              </w:rPr>
            </w:pPr>
            <w:r>
              <w:rPr>
                <w:rFonts w:ascii="Arial" w:cs="Arial" w:eastAsia="Arial" w:hAnsi="Arial"/>
                <w:sz w:val="14"/>
                <w:szCs w:val="14"/>
                <w:b w:val="1"/>
                <w:bCs w:val="1"/>
                <w:color w:val="auto"/>
                <w:w w:val="93"/>
              </w:rPr>
              <w:t>Ended</w:t>
            </w:r>
          </w:p>
        </w:tc>
        <w:tc>
          <w:tcPr>
            <w:tcW w:w="100" w:type="dxa"/>
            <w:vAlign w:val="bottom"/>
          </w:tcPr>
          <w:p>
            <w:pPr>
              <w:spacing w:after="0"/>
              <w:rPr>
                <w:sz w:val="14"/>
                <w:szCs w:val="14"/>
                <w:color w:val="auto"/>
              </w:rPr>
            </w:pPr>
          </w:p>
        </w:tc>
        <w:tc>
          <w:tcPr>
            <w:tcW w:w="1000" w:type="dxa"/>
            <w:vAlign w:val="bottom"/>
            <w:gridSpan w:val="4"/>
          </w:tcPr>
          <w:p>
            <w:pPr>
              <w:jc w:val="right"/>
              <w:spacing w:after="0"/>
              <w:rPr>
                <w:sz w:val="20"/>
                <w:szCs w:val="20"/>
                <w:color w:val="auto"/>
              </w:rPr>
            </w:pPr>
            <w:r>
              <w:rPr>
                <w:rFonts w:ascii="Arial" w:cs="Arial" w:eastAsia="Arial" w:hAnsi="Arial"/>
                <w:sz w:val="14"/>
                <w:szCs w:val="14"/>
                <w:b w:val="1"/>
                <w:bCs w:val="1"/>
                <w:color w:val="auto"/>
              </w:rPr>
              <w:t>Ended</w:t>
            </w:r>
          </w:p>
        </w:tc>
        <w:tc>
          <w:tcPr>
            <w:tcW w:w="6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712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140" w:type="dxa"/>
            <w:vAlign w:val="bottom"/>
            <w:tcBorders>
              <w:top w:val="single" w:sz="8" w:color="auto"/>
            </w:tcBorders>
          </w:tcPr>
          <w:p>
            <w:pPr>
              <w:spacing w:after="0"/>
              <w:rPr>
                <w:sz w:val="10"/>
                <w:szCs w:val="10"/>
                <w:color w:val="auto"/>
              </w:rPr>
            </w:pPr>
          </w:p>
        </w:tc>
        <w:tc>
          <w:tcPr>
            <w:tcW w:w="740" w:type="dxa"/>
            <w:vAlign w:val="bottom"/>
            <w:tcBorders>
              <w:top w:val="single" w:sz="8" w:color="auto"/>
            </w:tcBorders>
          </w:tcPr>
          <w:p>
            <w:pPr>
              <w:jc w:val="center"/>
              <w:ind w:right="51"/>
              <w:spacing w:after="0" w:line="119" w:lineRule="exact"/>
              <w:rPr>
                <w:sz w:val="20"/>
                <w:szCs w:val="20"/>
                <w:color w:val="auto"/>
              </w:rPr>
            </w:pPr>
            <w:r>
              <w:rPr>
                <w:rFonts w:ascii="Arial" w:cs="Arial" w:eastAsia="Arial" w:hAnsi="Arial"/>
                <w:sz w:val="13"/>
                <w:szCs w:val="13"/>
                <w:b w:val="1"/>
                <w:bCs w:val="1"/>
                <w:color w:val="auto"/>
                <w:w w:val="99"/>
              </w:rPr>
              <w:t>June 30,</w:t>
            </w:r>
          </w:p>
        </w:tc>
        <w:tc>
          <w:tcPr>
            <w:tcW w:w="320" w:type="dxa"/>
            <w:vAlign w:val="bottom"/>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780" w:type="dxa"/>
            <w:vAlign w:val="bottom"/>
            <w:tcBorders>
              <w:top w:val="single" w:sz="8" w:color="auto"/>
            </w:tcBorders>
            <w:gridSpan w:val="2"/>
          </w:tcPr>
          <w:p>
            <w:pPr>
              <w:jc w:val="right"/>
              <w:ind w:right="280"/>
              <w:spacing w:after="0" w:line="119" w:lineRule="exact"/>
              <w:rPr>
                <w:sz w:val="20"/>
                <w:szCs w:val="20"/>
                <w:color w:val="auto"/>
              </w:rPr>
            </w:pPr>
            <w:r>
              <w:rPr>
                <w:rFonts w:ascii="Arial" w:cs="Arial" w:eastAsia="Arial" w:hAnsi="Arial"/>
                <w:sz w:val="13"/>
                <w:szCs w:val="13"/>
                <w:b w:val="1"/>
                <w:bCs w:val="1"/>
                <w:color w:val="auto"/>
                <w:w w:val="92"/>
              </w:rPr>
              <w:t>June 30,</w:t>
            </w:r>
          </w:p>
        </w:tc>
        <w:tc>
          <w:tcPr>
            <w:tcW w:w="140" w:type="dxa"/>
            <w:vAlign w:val="bottom"/>
            <w:tcBorders>
              <w:top w:val="single" w:sz="8" w:color="auto"/>
            </w:tcBorders>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600" w:type="dxa"/>
            <w:vAlign w:val="bottom"/>
            <w:tcBorders>
              <w:top w:val="single" w:sz="8" w:color="auto"/>
            </w:tcBorders>
          </w:tcPr>
          <w:p>
            <w:pPr>
              <w:jc w:val="right"/>
              <w:spacing w:after="0" w:line="119" w:lineRule="exact"/>
              <w:rPr>
                <w:sz w:val="20"/>
                <w:szCs w:val="20"/>
                <w:color w:val="auto"/>
              </w:rPr>
            </w:pPr>
            <w:r>
              <w:rPr>
                <w:rFonts w:ascii="Arial" w:cs="Arial" w:eastAsia="Arial" w:hAnsi="Arial"/>
                <w:sz w:val="13"/>
                <w:szCs w:val="13"/>
                <w:b w:val="1"/>
                <w:bCs w:val="1"/>
                <w:color w:val="auto"/>
                <w:w w:val="96"/>
              </w:rPr>
              <w:t>June 30,</w:t>
            </w: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7120" w:type="dxa"/>
            <w:vAlign w:val="bottom"/>
            <w:tcBorders>
              <w:bottom w:val="single" w:sz="8" w:color="CCEEFF"/>
            </w:tcBorders>
          </w:tcPr>
          <w:p>
            <w:pPr>
              <w:spacing w:after="0"/>
              <w:rPr>
                <w:sz w:val="14"/>
                <w:szCs w:val="14"/>
                <w:color w:val="auto"/>
              </w:rPr>
            </w:pPr>
          </w:p>
        </w:tc>
        <w:tc>
          <w:tcPr>
            <w:tcW w:w="880" w:type="dxa"/>
            <w:vAlign w:val="bottom"/>
            <w:tcBorders>
              <w:bottom w:val="single" w:sz="8" w:color="CCEEFF"/>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jc w:val="center"/>
              <w:ind w:right="51"/>
              <w:spacing w:after="0"/>
              <w:rPr>
                <w:sz w:val="20"/>
                <w:szCs w:val="20"/>
                <w:color w:val="auto"/>
              </w:rPr>
            </w:pPr>
            <w:r>
              <w:rPr>
                <w:rFonts w:ascii="Arial" w:cs="Arial" w:eastAsia="Arial" w:hAnsi="Arial"/>
                <w:sz w:val="14"/>
                <w:szCs w:val="14"/>
                <w:b w:val="1"/>
                <w:bCs w:val="1"/>
                <w:color w:val="auto"/>
                <w:w w:val="89"/>
              </w:rPr>
              <w:t>2022</w:t>
            </w:r>
          </w:p>
        </w:tc>
        <w:tc>
          <w:tcPr>
            <w:tcW w:w="32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jc w:val="right"/>
              <w:ind w:right="112"/>
              <w:spacing w:after="0"/>
              <w:rPr>
                <w:sz w:val="20"/>
                <w:szCs w:val="20"/>
                <w:color w:val="auto"/>
              </w:rPr>
            </w:pPr>
            <w:r>
              <w:rPr>
                <w:rFonts w:ascii="Arial" w:cs="Arial" w:eastAsia="Arial" w:hAnsi="Arial"/>
                <w:sz w:val="14"/>
                <w:szCs w:val="14"/>
                <w:b w:val="1"/>
                <w:bCs w:val="1"/>
                <w:color w:val="auto"/>
              </w:rPr>
              <w:t>2022</w:t>
            </w:r>
          </w:p>
        </w:tc>
        <w:tc>
          <w:tcPr>
            <w:tcW w:w="180" w:type="dxa"/>
            <w:vAlign w:val="bottom"/>
            <w:tcBorders>
              <w:bottom w:val="single" w:sz="8" w:color="CCEEFF"/>
            </w:tcBorders>
          </w:tcPr>
          <w:p>
            <w:pPr>
              <w:spacing w:after="0"/>
              <w:rPr>
                <w:sz w:val="14"/>
                <w:szCs w:val="14"/>
                <w:color w:val="auto"/>
              </w:rPr>
            </w:pPr>
          </w:p>
        </w:tc>
        <w:tc>
          <w:tcPr>
            <w:tcW w:w="140" w:type="dxa"/>
            <w:vAlign w:val="bottom"/>
            <w:tcBorders>
              <w:bottom w:val="single" w:sz="8" w:color="CCEEFF"/>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jc w:val="right"/>
              <w:ind w:right="111"/>
              <w:spacing w:after="0"/>
              <w:rPr>
                <w:sz w:val="20"/>
                <w:szCs w:val="20"/>
                <w:color w:val="auto"/>
              </w:rPr>
            </w:pPr>
            <w:r>
              <w:rPr>
                <w:rFonts w:ascii="Arial" w:cs="Arial" w:eastAsia="Arial" w:hAnsi="Arial"/>
                <w:sz w:val="14"/>
                <w:szCs w:val="14"/>
                <w:b w:val="1"/>
                <w:bCs w:val="1"/>
                <w:color w:val="auto"/>
              </w:rPr>
              <w:t>2021</w:t>
            </w:r>
          </w:p>
        </w:tc>
        <w:tc>
          <w:tcPr>
            <w:tcW w:w="12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7120" w:type="dxa"/>
            <w:vAlign w:val="bottom"/>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Cash flows from operating activities</w:t>
            </w:r>
          </w:p>
        </w:tc>
        <w:tc>
          <w:tcPr>
            <w:tcW w:w="8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7120" w:type="dxa"/>
            <w:vAlign w:val="bottom"/>
          </w:tcPr>
          <w:p>
            <w:pPr>
              <w:spacing w:after="0"/>
              <w:rPr>
                <w:sz w:val="20"/>
                <w:szCs w:val="20"/>
                <w:color w:val="auto"/>
              </w:rPr>
            </w:pPr>
            <w:r>
              <w:rPr>
                <w:rFonts w:ascii="Arial" w:cs="Arial" w:eastAsia="Arial" w:hAnsi="Arial"/>
                <w:sz w:val="18"/>
                <w:szCs w:val="18"/>
                <w:color w:val="auto"/>
              </w:rPr>
              <w:t>Net income (loss)</w:t>
            </w:r>
          </w:p>
        </w:tc>
        <w:tc>
          <w:tcPr>
            <w:tcW w:w="10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60" w:type="dxa"/>
            <w:vAlign w:val="bottom"/>
            <w:gridSpan w:val="2"/>
          </w:tcPr>
          <w:p>
            <w:pPr>
              <w:jc w:val="right"/>
              <w:ind w:right="260"/>
              <w:spacing w:after="0"/>
              <w:rPr>
                <w:sz w:val="20"/>
                <w:szCs w:val="20"/>
                <w:color w:val="auto"/>
              </w:rPr>
            </w:pPr>
            <w:r>
              <w:rPr>
                <w:rFonts w:ascii="Arial" w:cs="Arial" w:eastAsia="Arial" w:hAnsi="Arial"/>
                <w:sz w:val="18"/>
                <w:szCs w:val="18"/>
                <w:color w:val="auto"/>
              </w:rPr>
              <w:t>(3,340)</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gridSpan w:val="2"/>
          </w:tcPr>
          <w:p>
            <w:pPr>
              <w:jc w:val="right"/>
              <w:ind w:right="180"/>
              <w:spacing w:after="0"/>
              <w:rPr>
                <w:sz w:val="20"/>
                <w:szCs w:val="20"/>
                <w:color w:val="auto"/>
              </w:rPr>
            </w:pPr>
            <w:r>
              <w:rPr>
                <w:rFonts w:ascii="Arial" w:cs="Arial" w:eastAsia="Arial" w:hAnsi="Arial"/>
                <w:sz w:val="18"/>
                <w:szCs w:val="18"/>
                <w:color w:val="auto"/>
              </w:rPr>
              <w:t>6,188</w:t>
            </w: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20" w:type="dxa"/>
            <w:vAlign w:val="bottom"/>
            <w:gridSpan w:val="2"/>
          </w:tcPr>
          <w:p>
            <w:pPr>
              <w:jc w:val="right"/>
              <w:ind w:right="60"/>
              <w:spacing w:after="0"/>
              <w:rPr>
                <w:sz w:val="20"/>
                <w:szCs w:val="20"/>
                <w:color w:val="auto"/>
              </w:rPr>
            </w:pPr>
            <w:r>
              <w:rPr>
                <w:rFonts w:ascii="Arial" w:cs="Arial" w:eastAsia="Arial" w:hAnsi="Arial"/>
                <w:sz w:val="18"/>
                <w:szCs w:val="18"/>
                <w:color w:val="auto"/>
              </w:rPr>
              <w:t>(7,671)</w:t>
            </w:r>
          </w:p>
        </w:tc>
        <w:tc>
          <w:tcPr>
            <w:tcW w:w="0" w:type="dxa"/>
            <w:vAlign w:val="bottom"/>
          </w:tcPr>
          <w:p>
            <w:pPr>
              <w:spacing w:after="0"/>
              <w:rPr>
                <w:sz w:val="1"/>
                <w:szCs w:val="1"/>
                <w:color w:val="auto"/>
              </w:rPr>
            </w:pPr>
          </w:p>
        </w:tc>
      </w:tr>
      <w:tr>
        <w:trPr>
          <w:trHeight w:val="216"/>
        </w:trPr>
        <w:tc>
          <w:tcPr>
            <w:tcW w:w="7120" w:type="dxa"/>
            <w:vAlign w:val="bottom"/>
            <w:shd w:val="clear" w:color="auto" w:fill="CCEEFF"/>
          </w:tcPr>
          <w:p>
            <w:pPr>
              <w:spacing w:after="0"/>
              <w:rPr>
                <w:sz w:val="20"/>
                <w:szCs w:val="20"/>
                <w:color w:val="auto"/>
              </w:rPr>
            </w:pPr>
            <w:r>
              <w:rPr>
                <w:rFonts w:ascii="Arial" w:cs="Arial" w:eastAsia="Arial" w:hAnsi="Arial"/>
                <w:sz w:val="18"/>
                <w:szCs w:val="18"/>
                <w:color w:val="auto"/>
              </w:rPr>
              <w:t>Adjustments to reconcile net income (loss) to net cash provided by operating activities</w:t>
            </w:r>
          </w:p>
        </w:tc>
        <w:tc>
          <w:tcPr>
            <w:tcW w:w="8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120" w:type="dxa"/>
            <w:vAlign w:val="bottom"/>
          </w:tcPr>
          <w:p>
            <w:pPr>
              <w:ind w:left="360"/>
              <w:spacing w:after="0"/>
              <w:rPr>
                <w:sz w:val="20"/>
                <w:szCs w:val="20"/>
                <w:color w:val="auto"/>
              </w:rPr>
            </w:pPr>
            <w:r>
              <w:rPr>
                <w:rFonts w:ascii="Arial" w:cs="Arial" w:eastAsia="Arial" w:hAnsi="Arial"/>
                <w:sz w:val="18"/>
                <w:szCs w:val="18"/>
                <w:color w:val="auto"/>
              </w:rPr>
              <w:t>Depreciation and amortization</w:t>
            </w:r>
          </w:p>
        </w:tc>
        <w:tc>
          <w:tcPr>
            <w:tcW w:w="8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60" w:type="dxa"/>
            <w:vAlign w:val="bottom"/>
            <w:gridSpan w:val="2"/>
          </w:tcPr>
          <w:p>
            <w:pPr>
              <w:jc w:val="right"/>
              <w:ind w:right="320"/>
              <w:spacing w:after="0"/>
              <w:rPr>
                <w:sz w:val="20"/>
                <w:szCs w:val="20"/>
                <w:color w:val="auto"/>
              </w:rPr>
            </w:pPr>
            <w:r>
              <w:rPr>
                <w:rFonts w:ascii="Arial" w:cs="Arial" w:eastAsia="Arial" w:hAnsi="Arial"/>
                <w:sz w:val="18"/>
                <w:szCs w:val="18"/>
                <w:color w:val="auto"/>
              </w:rPr>
              <w:t>3,711</w:t>
            </w:r>
          </w:p>
        </w:tc>
        <w:tc>
          <w:tcPr>
            <w:tcW w:w="100" w:type="dxa"/>
            <w:vAlign w:val="bottom"/>
          </w:tcPr>
          <w:p>
            <w:pPr>
              <w:spacing w:after="0"/>
              <w:rPr>
                <w:sz w:val="18"/>
                <w:szCs w:val="18"/>
                <w:color w:val="auto"/>
              </w:rPr>
            </w:pPr>
          </w:p>
        </w:tc>
        <w:tc>
          <w:tcPr>
            <w:tcW w:w="780" w:type="dxa"/>
            <w:vAlign w:val="bottom"/>
            <w:gridSpan w:val="2"/>
          </w:tcPr>
          <w:p>
            <w:pPr>
              <w:jc w:val="right"/>
              <w:ind w:right="180"/>
              <w:spacing w:after="0"/>
              <w:rPr>
                <w:sz w:val="20"/>
                <w:szCs w:val="20"/>
                <w:color w:val="auto"/>
              </w:rPr>
            </w:pPr>
            <w:r>
              <w:rPr>
                <w:rFonts w:ascii="Arial" w:cs="Arial" w:eastAsia="Arial" w:hAnsi="Arial"/>
                <w:sz w:val="18"/>
                <w:szCs w:val="18"/>
                <w:color w:val="auto"/>
              </w:rPr>
              <w:t>7,602</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gridSpan w:val="2"/>
          </w:tcPr>
          <w:p>
            <w:pPr>
              <w:jc w:val="right"/>
              <w:ind w:right="120"/>
              <w:spacing w:after="0"/>
              <w:rPr>
                <w:sz w:val="20"/>
                <w:szCs w:val="20"/>
                <w:color w:val="auto"/>
              </w:rPr>
            </w:pPr>
            <w:r>
              <w:rPr>
                <w:rFonts w:ascii="Arial" w:cs="Arial" w:eastAsia="Arial" w:hAnsi="Arial"/>
                <w:sz w:val="18"/>
                <w:szCs w:val="18"/>
                <w:color w:val="auto"/>
              </w:rPr>
              <w:t>6,998</w:t>
            </w:r>
          </w:p>
        </w:tc>
        <w:tc>
          <w:tcPr>
            <w:tcW w:w="0" w:type="dxa"/>
            <w:vAlign w:val="bottom"/>
          </w:tcPr>
          <w:p>
            <w:pPr>
              <w:spacing w:after="0"/>
              <w:rPr>
                <w:sz w:val="1"/>
                <w:szCs w:val="1"/>
                <w:color w:val="auto"/>
              </w:rPr>
            </w:pPr>
          </w:p>
        </w:tc>
      </w:tr>
      <w:tr>
        <w:trPr>
          <w:trHeight w:val="216"/>
        </w:trPr>
        <w:tc>
          <w:tcPr>
            <w:tcW w:w="71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Provision for severance benefits</w:t>
            </w:r>
          </w:p>
        </w:tc>
        <w:tc>
          <w:tcPr>
            <w:tcW w:w="8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1,570</w:t>
            </w: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3,240</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3,507</w:t>
            </w:r>
          </w:p>
        </w:tc>
        <w:tc>
          <w:tcPr>
            <w:tcW w:w="0" w:type="dxa"/>
            <w:vAlign w:val="bottom"/>
          </w:tcPr>
          <w:p>
            <w:pPr>
              <w:spacing w:after="0"/>
              <w:rPr>
                <w:sz w:val="1"/>
                <w:szCs w:val="1"/>
                <w:color w:val="auto"/>
              </w:rPr>
            </w:pPr>
          </w:p>
        </w:tc>
      </w:tr>
      <w:tr>
        <w:trPr>
          <w:trHeight w:val="216"/>
        </w:trPr>
        <w:tc>
          <w:tcPr>
            <w:tcW w:w="7120" w:type="dxa"/>
            <w:vAlign w:val="bottom"/>
          </w:tcPr>
          <w:p>
            <w:pPr>
              <w:ind w:left="360"/>
              <w:spacing w:after="0"/>
              <w:rPr>
                <w:sz w:val="20"/>
                <w:szCs w:val="20"/>
                <w:color w:val="auto"/>
              </w:rPr>
            </w:pPr>
            <w:r>
              <w:rPr>
                <w:rFonts w:ascii="Arial" w:cs="Arial" w:eastAsia="Arial" w:hAnsi="Arial"/>
                <w:sz w:val="18"/>
                <w:szCs w:val="18"/>
                <w:color w:val="auto"/>
              </w:rPr>
              <w:t>Amortization of debt issuance costs and original issue discount</w:t>
            </w:r>
          </w:p>
        </w:tc>
        <w:tc>
          <w:tcPr>
            <w:tcW w:w="8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60" w:type="dxa"/>
            <w:vAlign w:val="bottom"/>
            <w:gridSpan w:val="2"/>
          </w:tcPr>
          <w:p>
            <w:pPr>
              <w:jc w:val="right"/>
              <w:ind w:right="4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78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gridSpan w:val="2"/>
          </w:tcPr>
          <w:p>
            <w:pPr>
              <w:jc w:val="right"/>
              <w:ind w:right="120"/>
              <w:spacing w:after="0"/>
              <w:rPr>
                <w:sz w:val="20"/>
                <w:szCs w:val="20"/>
                <w:color w:val="auto"/>
              </w:rPr>
            </w:pPr>
            <w:r>
              <w:rPr>
                <w:rFonts w:ascii="Arial" w:cs="Arial" w:eastAsia="Arial" w:hAnsi="Arial"/>
                <w:sz w:val="18"/>
                <w:szCs w:val="18"/>
                <w:color w:val="auto"/>
              </w:rPr>
              <w:t>261</w:t>
            </w:r>
          </w:p>
        </w:tc>
        <w:tc>
          <w:tcPr>
            <w:tcW w:w="0" w:type="dxa"/>
            <w:vAlign w:val="bottom"/>
          </w:tcPr>
          <w:p>
            <w:pPr>
              <w:spacing w:after="0"/>
              <w:rPr>
                <w:sz w:val="1"/>
                <w:szCs w:val="1"/>
                <w:color w:val="auto"/>
              </w:rPr>
            </w:pPr>
          </w:p>
        </w:tc>
      </w:tr>
      <w:tr>
        <w:trPr>
          <w:trHeight w:val="216"/>
        </w:trPr>
        <w:tc>
          <w:tcPr>
            <w:tcW w:w="71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Loss on foreign currency, net</w:t>
            </w:r>
          </w:p>
        </w:tc>
        <w:tc>
          <w:tcPr>
            <w:tcW w:w="8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22,803</w:t>
            </w: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29,183</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13,353</w:t>
            </w:r>
          </w:p>
        </w:tc>
        <w:tc>
          <w:tcPr>
            <w:tcW w:w="0" w:type="dxa"/>
            <w:vAlign w:val="bottom"/>
          </w:tcPr>
          <w:p>
            <w:pPr>
              <w:spacing w:after="0"/>
              <w:rPr>
                <w:sz w:val="1"/>
                <w:szCs w:val="1"/>
                <w:color w:val="auto"/>
              </w:rPr>
            </w:pPr>
          </w:p>
        </w:tc>
      </w:tr>
      <w:tr>
        <w:trPr>
          <w:trHeight w:val="216"/>
        </w:trPr>
        <w:tc>
          <w:tcPr>
            <w:tcW w:w="7120" w:type="dxa"/>
            <w:vAlign w:val="bottom"/>
          </w:tcPr>
          <w:p>
            <w:pPr>
              <w:ind w:left="360"/>
              <w:spacing w:after="0"/>
              <w:rPr>
                <w:sz w:val="20"/>
                <w:szCs w:val="20"/>
                <w:color w:val="auto"/>
              </w:rPr>
            </w:pPr>
            <w:r>
              <w:rPr>
                <w:rFonts w:ascii="Arial" w:cs="Arial" w:eastAsia="Arial" w:hAnsi="Arial"/>
                <w:sz w:val="18"/>
                <w:szCs w:val="18"/>
                <w:color w:val="auto"/>
              </w:rPr>
              <w:t>Provision for inventory reserves</w:t>
            </w:r>
          </w:p>
        </w:tc>
        <w:tc>
          <w:tcPr>
            <w:tcW w:w="8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60" w:type="dxa"/>
            <w:vAlign w:val="bottom"/>
            <w:gridSpan w:val="2"/>
          </w:tcPr>
          <w:p>
            <w:pPr>
              <w:jc w:val="right"/>
              <w:ind w:right="320"/>
              <w:spacing w:after="0"/>
              <w:rPr>
                <w:sz w:val="20"/>
                <w:szCs w:val="20"/>
                <w:color w:val="auto"/>
              </w:rPr>
            </w:pPr>
            <w:r>
              <w:rPr>
                <w:rFonts w:ascii="Arial" w:cs="Arial" w:eastAsia="Arial" w:hAnsi="Arial"/>
                <w:sz w:val="18"/>
                <w:szCs w:val="18"/>
                <w:color w:val="auto"/>
              </w:rPr>
              <w:t>5,137</w:t>
            </w:r>
          </w:p>
        </w:tc>
        <w:tc>
          <w:tcPr>
            <w:tcW w:w="100" w:type="dxa"/>
            <w:vAlign w:val="bottom"/>
          </w:tcPr>
          <w:p>
            <w:pPr>
              <w:spacing w:after="0"/>
              <w:rPr>
                <w:sz w:val="18"/>
                <w:szCs w:val="18"/>
                <w:color w:val="auto"/>
              </w:rPr>
            </w:pPr>
          </w:p>
        </w:tc>
        <w:tc>
          <w:tcPr>
            <w:tcW w:w="780" w:type="dxa"/>
            <w:vAlign w:val="bottom"/>
            <w:gridSpan w:val="2"/>
          </w:tcPr>
          <w:p>
            <w:pPr>
              <w:jc w:val="right"/>
              <w:ind w:right="180"/>
              <w:spacing w:after="0"/>
              <w:rPr>
                <w:sz w:val="20"/>
                <w:szCs w:val="20"/>
                <w:color w:val="auto"/>
              </w:rPr>
            </w:pPr>
            <w:r>
              <w:rPr>
                <w:rFonts w:ascii="Arial" w:cs="Arial" w:eastAsia="Arial" w:hAnsi="Arial"/>
                <w:sz w:val="18"/>
                <w:szCs w:val="18"/>
                <w:color w:val="auto"/>
              </w:rPr>
              <w:t>5,282</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gridSpan w:val="2"/>
          </w:tcPr>
          <w:p>
            <w:pPr>
              <w:jc w:val="right"/>
              <w:ind w:right="120"/>
              <w:spacing w:after="0"/>
              <w:rPr>
                <w:sz w:val="20"/>
                <w:szCs w:val="20"/>
                <w:color w:val="auto"/>
              </w:rPr>
            </w:pPr>
            <w:r>
              <w:rPr>
                <w:rFonts w:ascii="Arial" w:cs="Arial" w:eastAsia="Arial" w:hAnsi="Arial"/>
                <w:sz w:val="18"/>
                <w:szCs w:val="18"/>
                <w:color w:val="auto"/>
              </w:rPr>
              <w:t>3,346</w:t>
            </w:r>
          </w:p>
        </w:tc>
        <w:tc>
          <w:tcPr>
            <w:tcW w:w="0" w:type="dxa"/>
            <w:vAlign w:val="bottom"/>
          </w:tcPr>
          <w:p>
            <w:pPr>
              <w:spacing w:after="0"/>
              <w:rPr>
                <w:sz w:val="1"/>
                <w:szCs w:val="1"/>
                <w:color w:val="auto"/>
              </w:rPr>
            </w:pPr>
          </w:p>
        </w:tc>
      </w:tr>
      <w:tr>
        <w:trPr>
          <w:trHeight w:val="216"/>
        </w:trPr>
        <w:tc>
          <w:tcPr>
            <w:tcW w:w="71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Stock-based compensation</w:t>
            </w:r>
          </w:p>
        </w:tc>
        <w:tc>
          <w:tcPr>
            <w:tcW w:w="8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1,988</w:t>
            </w: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3,626</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4,051</w:t>
            </w:r>
          </w:p>
        </w:tc>
        <w:tc>
          <w:tcPr>
            <w:tcW w:w="0" w:type="dxa"/>
            <w:vAlign w:val="bottom"/>
          </w:tcPr>
          <w:p>
            <w:pPr>
              <w:spacing w:after="0"/>
              <w:rPr>
                <w:sz w:val="1"/>
                <w:szCs w:val="1"/>
                <w:color w:val="auto"/>
              </w:rPr>
            </w:pPr>
          </w:p>
        </w:tc>
      </w:tr>
      <w:tr>
        <w:trPr>
          <w:trHeight w:val="216"/>
        </w:trPr>
        <w:tc>
          <w:tcPr>
            <w:tcW w:w="7120" w:type="dxa"/>
            <w:vAlign w:val="bottom"/>
          </w:tcPr>
          <w:p>
            <w:pPr>
              <w:ind w:left="360"/>
              <w:spacing w:after="0"/>
              <w:rPr>
                <w:sz w:val="20"/>
                <w:szCs w:val="20"/>
                <w:color w:val="auto"/>
              </w:rPr>
            </w:pPr>
            <w:r>
              <w:rPr>
                <w:rFonts w:ascii="Arial" w:cs="Arial" w:eastAsia="Arial" w:hAnsi="Arial"/>
                <w:sz w:val="18"/>
                <w:szCs w:val="18"/>
                <w:color w:val="auto"/>
              </w:rPr>
              <w:t>Other, net</w:t>
            </w:r>
          </w:p>
        </w:tc>
        <w:tc>
          <w:tcPr>
            <w:tcW w:w="8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60" w:type="dxa"/>
            <w:vAlign w:val="bottom"/>
            <w:gridSpan w:val="2"/>
          </w:tcPr>
          <w:p>
            <w:pPr>
              <w:jc w:val="right"/>
              <w:ind w:right="320"/>
              <w:spacing w:after="0"/>
              <w:rPr>
                <w:sz w:val="20"/>
                <w:szCs w:val="20"/>
                <w:color w:val="auto"/>
              </w:rPr>
            </w:pPr>
            <w:r>
              <w:rPr>
                <w:rFonts w:ascii="Arial" w:cs="Arial" w:eastAsia="Arial" w:hAnsi="Arial"/>
                <w:sz w:val="18"/>
                <w:szCs w:val="18"/>
                <w:color w:val="auto"/>
              </w:rPr>
              <w:t>551</w:t>
            </w:r>
          </w:p>
        </w:tc>
        <w:tc>
          <w:tcPr>
            <w:tcW w:w="100" w:type="dxa"/>
            <w:vAlign w:val="bottom"/>
          </w:tcPr>
          <w:p>
            <w:pPr>
              <w:spacing w:after="0"/>
              <w:rPr>
                <w:sz w:val="18"/>
                <w:szCs w:val="18"/>
                <w:color w:val="auto"/>
              </w:rPr>
            </w:pPr>
          </w:p>
        </w:tc>
        <w:tc>
          <w:tcPr>
            <w:tcW w:w="780" w:type="dxa"/>
            <w:vAlign w:val="bottom"/>
            <w:gridSpan w:val="2"/>
          </w:tcPr>
          <w:p>
            <w:pPr>
              <w:jc w:val="right"/>
              <w:ind w:right="180"/>
              <w:spacing w:after="0"/>
              <w:rPr>
                <w:sz w:val="20"/>
                <w:szCs w:val="20"/>
                <w:color w:val="auto"/>
              </w:rPr>
            </w:pPr>
            <w:r>
              <w:rPr>
                <w:rFonts w:ascii="Arial" w:cs="Arial" w:eastAsia="Arial" w:hAnsi="Arial"/>
                <w:sz w:val="18"/>
                <w:szCs w:val="18"/>
                <w:color w:val="auto"/>
              </w:rPr>
              <w:t>712</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gridSpan w:val="2"/>
          </w:tcPr>
          <w:p>
            <w:pPr>
              <w:jc w:val="right"/>
              <w:ind w:right="120"/>
              <w:spacing w:after="0"/>
              <w:rPr>
                <w:sz w:val="20"/>
                <w:szCs w:val="20"/>
                <w:color w:val="auto"/>
              </w:rPr>
            </w:pPr>
            <w:r>
              <w:rPr>
                <w:rFonts w:ascii="Arial" w:cs="Arial" w:eastAsia="Arial" w:hAnsi="Arial"/>
                <w:sz w:val="18"/>
                <w:szCs w:val="18"/>
                <w:color w:val="auto"/>
              </w:rPr>
              <w:t>266</w:t>
            </w:r>
          </w:p>
        </w:tc>
        <w:tc>
          <w:tcPr>
            <w:tcW w:w="0" w:type="dxa"/>
            <w:vAlign w:val="bottom"/>
          </w:tcPr>
          <w:p>
            <w:pPr>
              <w:spacing w:after="0"/>
              <w:rPr>
                <w:sz w:val="1"/>
                <w:szCs w:val="1"/>
                <w:color w:val="auto"/>
              </w:rPr>
            </w:pPr>
          </w:p>
        </w:tc>
      </w:tr>
      <w:tr>
        <w:trPr>
          <w:trHeight w:val="216"/>
        </w:trPr>
        <w:tc>
          <w:tcPr>
            <w:tcW w:w="7120" w:type="dxa"/>
            <w:vAlign w:val="bottom"/>
            <w:shd w:val="clear" w:color="auto" w:fill="CCEEFF"/>
          </w:tcPr>
          <w:p>
            <w:pPr>
              <w:spacing w:after="0"/>
              <w:rPr>
                <w:sz w:val="20"/>
                <w:szCs w:val="20"/>
                <w:color w:val="auto"/>
              </w:rPr>
            </w:pPr>
            <w:r>
              <w:rPr>
                <w:rFonts w:ascii="Arial" w:cs="Arial" w:eastAsia="Arial" w:hAnsi="Arial"/>
                <w:sz w:val="18"/>
                <w:szCs w:val="18"/>
                <w:color w:val="auto"/>
              </w:rPr>
              <w:t>Changes in operating assets and liabilities</w:t>
            </w:r>
          </w:p>
        </w:tc>
        <w:tc>
          <w:tcPr>
            <w:tcW w:w="8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120" w:type="dxa"/>
            <w:vAlign w:val="bottom"/>
          </w:tcPr>
          <w:p>
            <w:pPr>
              <w:ind w:left="360"/>
              <w:spacing w:after="0"/>
              <w:rPr>
                <w:sz w:val="20"/>
                <w:szCs w:val="20"/>
                <w:color w:val="auto"/>
              </w:rPr>
            </w:pPr>
            <w:r>
              <w:rPr>
                <w:rFonts w:ascii="Arial" w:cs="Arial" w:eastAsia="Arial" w:hAnsi="Arial"/>
                <w:sz w:val="18"/>
                <w:szCs w:val="18"/>
                <w:color w:val="auto"/>
              </w:rPr>
              <w:t>Accounts receivable, net</w:t>
            </w:r>
          </w:p>
        </w:tc>
        <w:tc>
          <w:tcPr>
            <w:tcW w:w="8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60" w:type="dxa"/>
            <w:vAlign w:val="bottom"/>
            <w:gridSpan w:val="2"/>
          </w:tcPr>
          <w:p>
            <w:pPr>
              <w:jc w:val="right"/>
              <w:ind w:right="260"/>
              <w:spacing w:after="0"/>
              <w:rPr>
                <w:sz w:val="20"/>
                <w:szCs w:val="20"/>
                <w:color w:val="auto"/>
              </w:rPr>
            </w:pPr>
            <w:r>
              <w:rPr>
                <w:rFonts w:ascii="Arial" w:cs="Arial" w:eastAsia="Arial" w:hAnsi="Arial"/>
                <w:sz w:val="18"/>
                <w:szCs w:val="18"/>
                <w:color w:val="auto"/>
              </w:rPr>
              <w:t>(11,164)</w:t>
            </w:r>
          </w:p>
        </w:tc>
        <w:tc>
          <w:tcPr>
            <w:tcW w:w="100" w:type="dxa"/>
            <w:vAlign w:val="bottom"/>
          </w:tcPr>
          <w:p>
            <w:pPr>
              <w:spacing w:after="0"/>
              <w:rPr>
                <w:sz w:val="18"/>
                <w:szCs w:val="18"/>
                <w:color w:val="auto"/>
              </w:rPr>
            </w:pPr>
          </w:p>
        </w:tc>
        <w:tc>
          <w:tcPr>
            <w:tcW w:w="780" w:type="dxa"/>
            <w:vAlign w:val="bottom"/>
            <w:gridSpan w:val="2"/>
          </w:tcPr>
          <w:p>
            <w:pPr>
              <w:jc w:val="right"/>
              <w:ind w:right="120"/>
              <w:spacing w:after="0"/>
              <w:rPr>
                <w:sz w:val="20"/>
                <w:szCs w:val="20"/>
                <w:color w:val="auto"/>
              </w:rPr>
            </w:pPr>
            <w:r>
              <w:rPr>
                <w:rFonts w:ascii="Arial" w:cs="Arial" w:eastAsia="Arial" w:hAnsi="Arial"/>
                <w:sz w:val="18"/>
                <w:szCs w:val="18"/>
                <w:color w:val="auto"/>
                <w:w w:val="95"/>
              </w:rPr>
              <w:t>(12,377)</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gridSpan w:val="2"/>
          </w:tcPr>
          <w:p>
            <w:pPr>
              <w:jc w:val="right"/>
              <w:ind w:right="120"/>
              <w:spacing w:after="0"/>
              <w:rPr>
                <w:sz w:val="20"/>
                <w:szCs w:val="20"/>
                <w:color w:val="auto"/>
              </w:rPr>
            </w:pPr>
            <w:r>
              <w:rPr>
                <w:rFonts w:ascii="Arial" w:cs="Arial" w:eastAsia="Arial" w:hAnsi="Arial"/>
                <w:sz w:val="18"/>
                <w:szCs w:val="18"/>
                <w:color w:val="auto"/>
              </w:rPr>
              <w:t>5,098</w:t>
            </w:r>
          </w:p>
        </w:tc>
        <w:tc>
          <w:tcPr>
            <w:tcW w:w="0" w:type="dxa"/>
            <w:vAlign w:val="bottom"/>
          </w:tcPr>
          <w:p>
            <w:pPr>
              <w:spacing w:after="0"/>
              <w:rPr>
                <w:sz w:val="1"/>
                <w:szCs w:val="1"/>
                <w:color w:val="auto"/>
              </w:rPr>
            </w:pPr>
          </w:p>
        </w:tc>
      </w:tr>
      <w:tr>
        <w:trPr>
          <w:trHeight w:val="216"/>
        </w:trPr>
        <w:tc>
          <w:tcPr>
            <w:tcW w:w="71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Inventories</w:t>
            </w:r>
          </w:p>
        </w:tc>
        <w:tc>
          <w:tcPr>
            <w:tcW w:w="8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(6,942)</w:t>
            </w: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(5,486)</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(7,170)</w:t>
            </w:r>
          </w:p>
        </w:tc>
        <w:tc>
          <w:tcPr>
            <w:tcW w:w="0" w:type="dxa"/>
            <w:vAlign w:val="bottom"/>
          </w:tcPr>
          <w:p>
            <w:pPr>
              <w:spacing w:after="0"/>
              <w:rPr>
                <w:sz w:val="1"/>
                <w:szCs w:val="1"/>
                <w:color w:val="auto"/>
              </w:rPr>
            </w:pPr>
          </w:p>
        </w:tc>
      </w:tr>
      <w:tr>
        <w:trPr>
          <w:trHeight w:val="216"/>
        </w:trPr>
        <w:tc>
          <w:tcPr>
            <w:tcW w:w="7120" w:type="dxa"/>
            <w:vAlign w:val="bottom"/>
          </w:tcPr>
          <w:p>
            <w:pPr>
              <w:ind w:left="360"/>
              <w:spacing w:after="0"/>
              <w:rPr>
                <w:sz w:val="20"/>
                <w:szCs w:val="20"/>
                <w:color w:val="auto"/>
              </w:rPr>
            </w:pPr>
            <w:r>
              <w:rPr>
                <w:rFonts w:ascii="Arial" w:cs="Arial" w:eastAsia="Arial" w:hAnsi="Arial"/>
                <w:sz w:val="18"/>
                <w:szCs w:val="18"/>
                <w:color w:val="auto"/>
              </w:rPr>
              <w:t>Other receivables</w:t>
            </w:r>
          </w:p>
        </w:tc>
        <w:tc>
          <w:tcPr>
            <w:tcW w:w="8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60" w:type="dxa"/>
            <w:vAlign w:val="bottom"/>
            <w:gridSpan w:val="2"/>
          </w:tcPr>
          <w:p>
            <w:pPr>
              <w:jc w:val="right"/>
              <w:ind w:right="320"/>
              <w:spacing w:after="0"/>
              <w:rPr>
                <w:sz w:val="20"/>
                <w:szCs w:val="20"/>
                <w:color w:val="auto"/>
              </w:rPr>
            </w:pPr>
            <w:r>
              <w:rPr>
                <w:rFonts w:ascii="Arial" w:cs="Arial" w:eastAsia="Arial" w:hAnsi="Arial"/>
                <w:sz w:val="18"/>
                <w:szCs w:val="18"/>
                <w:color w:val="auto"/>
              </w:rPr>
              <w:t>10,973</w:t>
            </w:r>
          </w:p>
        </w:tc>
        <w:tc>
          <w:tcPr>
            <w:tcW w:w="100" w:type="dxa"/>
            <w:vAlign w:val="bottom"/>
          </w:tcPr>
          <w:p>
            <w:pPr>
              <w:spacing w:after="0"/>
              <w:rPr>
                <w:sz w:val="18"/>
                <w:szCs w:val="18"/>
                <w:color w:val="auto"/>
              </w:rPr>
            </w:pPr>
          </w:p>
        </w:tc>
        <w:tc>
          <w:tcPr>
            <w:tcW w:w="780" w:type="dxa"/>
            <w:vAlign w:val="bottom"/>
            <w:gridSpan w:val="2"/>
          </w:tcPr>
          <w:p>
            <w:pPr>
              <w:jc w:val="right"/>
              <w:ind w:right="180"/>
              <w:spacing w:after="0"/>
              <w:rPr>
                <w:sz w:val="20"/>
                <w:szCs w:val="20"/>
                <w:color w:val="auto"/>
              </w:rPr>
            </w:pPr>
            <w:r>
              <w:rPr>
                <w:rFonts w:ascii="Arial" w:cs="Arial" w:eastAsia="Arial" w:hAnsi="Arial"/>
                <w:sz w:val="18"/>
                <w:szCs w:val="18"/>
                <w:color w:val="auto"/>
              </w:rPr>
              <w:t>11,640</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gridSpan w:val="2"/>
          </w:tcPr>
          <w:p>
            <w:pPr>
              <w:jc w:val="right"/>
              <w:ind w:right="60"/>
              <w:spacing w:after="0"/>
              <w:rPr>
                <w:sz w:val="20"/>
                <w:szCs w:val="20"/>
                <w:color w:val="auto"/>
              </w:rPr>
            </w:pPr>
            <w:r>
              <w:rPr>
                <w:rFonts w:ascii="Arial" w:cs="Arial" w:eastAsia="Arial" w:hAnsi="Arial"/>
                <w:sz w:val="18"/>
                <w:szCs w:val="18"/>
                <w:color w:val="auto"/>
              </w:rPr>
              <w:t>(4,841)</w:t>
            </w:r>
          </w:p>
        </w:tc>
        <w:tc>
          <w:tcPr>
            <w:tcW w:w="0" w:type="dxa"/>
            <w:vAlign w:val="bottom"/>
          </w:tcPr>
          <w:p>
            <w:pPr>
              <w:spacing w:after="0"/>
              <w:rPr>
                <w:sz w:val="1"/>
                <w:szCs w:val="1"/>
                <w:color w:val="auto"/>
              </w:rPr>
            </w:pPr>
          </w:p>
        </w:tc>
      </w:tr>
      <w:tr>
        <w:trPr>
          <w:trHeight w:val="216"/>
        </w:trPr>
        <w:tc>
          <w:tcPr>
            <w:tcW w:w="71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Other current assets</w:t>
            </w:r>
          </w:p>
        </w:tc>
        <w:tc>
          <w:tcPr>
            <w:tcW w:w="8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4,740</w:t>
            </w: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(2,089)</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8,623</w:t>
            </w:r>
          </w:p>
        </w:tc>
        <w:tc>
          <w:tcPr>
            <w:tcW w:w="0" w:type="dxa"/>
            <w:vAlign w:val="bottom"/>
          </w:tcPr>
          <w:p>
            <w:pPr>
              <w:spacing w:after="0"/>
              <w:rPr>
                <w:sz w:val="1"/>
                <w:szCs w:val="1"/>
                <w:color w:val="auto"/>
              </w:rPr>
            </w:pPr>
          </w:p>
        </w:tc>
      </w:tr>
      <w:tr>
        <w:trPr>
          <w:trHeight w:val="216"/>
        </w:trPr>
        <w:tc>
          <w:tcPr>
            <w:tcW w:w="7120" w:type="dxa"/>
            <w:vAlign w:val="bottom"/>
          </w:tcPr>
          <w:p>
            <w:pPr>
              <w:ind w:left="360"/>
              <w:spacing w:after="0"/>
              <w:rPr>
                <w:sz w:val="20"/>
                <w:szCs w:val="20"/>
                <w:color w:val="auto"/>
              </w:rPr>
            </w:pPr>
            <w:r>
              <w:rPr>
                <w:rFonts w:ascii="Arial" w:cs="Arial" w:eastAsia="Arial" w:hAnsi="Arial"/>
                <w:sz w:val="18"/>
                <w:szCs w:val="18"/>
                <w:color w:val="auto"/>
              </w:rPr>
              <w:t>Accounts payable</w:t>
            </w:r>
          </w:p>
        </w:tc>
        <w:tc>
          <w:tcPr>
            <w:tcW w:w="8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60" w:type="dxa"/>
            <w:vAlign w:val="bottom"/>
            <w:gridSpan w:val="2"/>
          </w:tcPr>
          <w:p>
            <w:pPr>
              <w:jc w:val="right"/>
              <w:ind w:right="320"/>
              <w:spacing w:after="0"/>
              <w:rPr>
                <w:sz w:val="20"/>
                <w:szCs w:val="20"/>
                <w:color w:val="auto"/>
              </w:rPr>
            </w:pPr>
            <w:r>
              <w:rPr>
                <w:rFonts w:ascii="Arial" w:cs="Arial" w:eastAsia="Arial" w:hAnsi="Arial"/>
                <w:sz w:val="18"/>
                <w:szCs w:val="18"/>
                <w:color w:val="auto"/>
              </w:rPr>
              <w:t>1,891</w:t>
            </w:r>
          </w:p>
        </w:tc>
        <w:tc>
          <w:tcPr>
            <w:tcW w:w="100" w:type="dxa"/>
            <w:vAlign w:val="bottom"/>
          </w:tcPr>
          <w:p>
            <w:pPr>
              <w:spacing w:after="0"/>
              <w:rPr>
                <w:sz w:val="18"/>
                <w:szCs w:val="18"/>
                <w:color w:val="auto"/>
              </w:rPr>
            </w:pPr>
          </w:p>
        </w:tc>
        <w:tc>
          <w:tcPr>
            <w:tcW w:w="780" w:type="dxa"/>
            <w:vAlign w:val="bottom"/>
            <w:gridSpan w:val="2"/>
          </w:tcPr>
          <w:p>
            <w:pPr>
              <w:jc w:val="right"/>
              <w:ind w:right="180"/>
              <w:spacing w:after="0"/>
              <w:rPr>
                <w:sz w:val="20"/>
                <w:szCs w:val="20"/>
                <w:color w:val="auto"/>
              </w:rPr>
            </w:pPr>
            <w:r>
              <w:rPr>
                <w:rFonts w:ascii="Arial" w:cs="Arial" w:eastAsia="Arial" w:hAnsi="Arial"/>
                <w:sz w:val="18"/>
                <w:szCs w:val="18"/>
                <w:color w:val="auto"/>
              </w:rPr>
              <w:t>2,429</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gridSpan w:val="2"/>
          </w:tcPr>
          <w:p>
            <w:pPr>
              <w:jc w:val="right"/>
              <w:ind w:right="120"/>
              <w:spacing w:after="0"/>
              <w:rPr>
                <w:sz w:val="20"/>
                <w:szCs w:val="20"/>
                <w:color w:val="auto"/>
              </w:rPr>
            </w:pPr>
            <w:r>
              <w:rPr>
                <w:rFonts w:ascii="Arial" w:cs="Arial" w:eastAsia="Arial" w:hAnsi="Arial"/>
                <w:sz w:val="18"/>
                <w:szCs w:val="18"/>
                <w:color w:val="auto"/>
              </w:rPr>
              <w:t>1,040</w:t>
            </w:r>
          </w:p>
        </w:tc>
        <w:tc>
          <w:tcPr>
            <w:tcW w:w="0" w:type="dxa"/>
            <w:vAlign w:val="bottom"/>
          </w:tcPr>
          <w:p>
            <w:pPr>
              <w:spacing w:after="0"/>
              <w:rPr>
                <w:sz w:val="1"/>
                <w:szCs w:val="1"/>
                <w:color w:val="auto"/>
              </w:rPr>
            </w:pPr>
          </w:p>
        </w:tc>
      </w:tr>
      <w:tr>
        <w:trPr>
          <w:trHeight w:val="216"/>
        </w:trPr>
        <w:tc>
          <w:tcPr>
            <w:tcW w:w="71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Other accounts payable</w:t>
            </w:r>
          </w:p>
        </w:tc>
        <w:tc>
          <w:tcPr>
            <w:tcW w:w="8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(5,159)</w:t>
            </w: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(5,861)</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(674)</w:t>
            </w:r>
          </w:p>
        </w:tc>
        <w:tc>
          <w:tcPr>
            <w:tcW w:w="0" w:type="dxa"/>
            <w:vAlign w:val="bottom"/>
          </w:tcPr>
          <w:p>
            <w:pPr>
              <w:spacing w:after="0"/>
              <w:rPr>
                <w:sz w:val="1"/>
                <w:szCs w:val="1"/>
                <w:color w:val="auto"/>
              </w:rPr>
            </w:pPr>
          </w:p>
        </w:tc>
      </w:tr>
      <w:tr>
        <w:trPr>
          <w:trHeight w:val="216"/>
        </w:trPr>
        <w:tc>
          <w:tcPr>
            <w:tcW w:w="7120" w:type="dxa"/>
            <w:vAlign w:val="bottom"/>
          </w:tcPr>
          <w:p>
            <w:pPr>
              <w:ind w:left="360"/>
              <w:spacing w:after="0"/>
              <w:rPr>
                <w:sz w:val="20"/>
                <w:szCs w:val="20"/>
                <w:color w:val="auto"/>
              </w:rPr>
            </w:pPr>
            <w:r>
              <w:rPr>
                <w:rFonts w:ascii="Arial" w:cs="Arial" w:eastAsia="Arial" w:hAnsi="Arial"/>
                <w:sz w:val="18"/>
                <w:szCs w:val="18"/>
                <w:color w:val="auto"/>
              </w:rPr>
              <w:t>Accrued expenses</w:t>
            </w:r>
          </w:p>
        </w:tc>
        <w:tc>
          <w:tcPr>
            <w:tcW w:w="8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60" w:type="dxa"/>
            <w:vAlign w:val="bottom"/>
            <w:gridSpan w:val="2"/>
          </w:tcPr>
          <w:p>
            <w:pPr>
              <w:jc w:val="right"/>
              <w:ind w:right="260"/>
              <w:spacing w:after="0"/>
              <w:rPr>
                <w:sz w:val="20"/>
                <w:szCs w:val="20"/>
                <w:color w:val="auto"/>
              </w:rPr>
            </w:pPr>
            <w:r>
              <w:rPr>
                <w:rFonts w:ascii="Arial" w:cs="Arial" w:eastAsia="Arial" w:hAnsi="Arial"/>
                <w:sz w:val="18"/>
                <w:szCs w:val="18"/>
                <w:color w:val="auto"/>
              </w:rPr>
              <w:t>(2,896)</w:t>
            </w:r>
          </w:p>
        </w:tc>
        <w:tc>
          <w:tcPr>
            <w:tcW w:w="100" w:type="dxa"/>
            <w:vAlign w:val="bottom"/>
          </w:tcPr>
          <w:p>
            <w:pPr>
              <w:spacing w:after="0"/>
              <w:rPr>
                <w:sz w:val="18"/>
                <w:szCs w:val="18"/>
                <w:color w:val="auto"/>
              </w:rPr>
            </w:pPr>
          </w:p>
        </w:tc>
        <w:tc>
          <w:tcPr>
            <w:tcW w:w="780" w:type="dxa"/>
            <w:vAlign w:val="bottom"/>
            <w:gridSpan w:val="2"/>
          </w:tcPr>
          <w:p>
            <w:pPr>
              <w:jc w:val="right"/>
              <w:ind w:right="120"/>
              <w:spacing w:after="0"/>
              <w:rPr>
                <w:sz w:val="20"/>
                <w:szCs w:val="20"/>
                <w:color w:val="auto"/>
              </w:rPr>
            </w:pPr>
            <w:r>
              <w:rPr>
                <w:rFonts w:ascii="Arial" w:cs="Arial" w:eastAsia="Arial" w:hAnsi="Arial"/>
                <w:sz w:val="18"/>
                <w:szCs w:val="18"/>
                <w:color w:val="auto"/>
              </w:rPr>
              <w:t>(2,709)</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gridSpan w:val="2"/>
          </w:tcPr>
          <w:p>
            <w:pPr>
              <w:jc w:val="right"/>
              <w:ind w:right="60"/>
              <w:spacing w:after="0"/>
              <w:rPr>
                <w:sz w:val="20"/>
                <w:szCs w:val="20"/>
                <w:color w:val="auto"/>
              </w:rPr>
            </w:pPr>
            <w:r>
              <w:rPr>
                <w:rFonts w:ascii="Arial" w:cs="Arial" w:eastAsia="Arial" w:hAnsi="Arial"/>
                <w:sz w:val="18"/>
                <w:szCs w:val="18"/>
                <w:color w:val="auto"/>
              </w:rPr>
              <w:t>(2,298)</w:t>
            </w:r>
          </w:p>
        </w:tc>
        <w:tc>
          <w:tcPr>
            <w:tcW w:w="0" w:type="dxa"/>
            <w:vAlign w:val="bottom"/>
          </w:tcPr>
          <w:p>
            <w:pPr>
              <w:spacing w:after="0"/>
              <w:rPr>
                <w:sz w:val="1"/>
                <w:szCs w:val="1"/>
                <w:color w:val="auto"/>
              </w:rPr>
            </w:pPr>
          </w:p>
        </w:tc>
      </w:tr>
      <w:tr>
        <w:trPr>
          <w:trHeight w:val="216"/>
        </w:trPr>
        <w:tc>
          <w:tcPr>
            <w:tcW w:w="71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Accrued income taxes</w:t>
            </w:r>
          </w:p>
        </w:tc>
        <w:tc>
          <w:tcPr>
            <w:tcW w:w="8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(9,167)</w:t>
            </w: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95"/>
              </w:rPr>
              <w:t>(11,513)</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5"/>
              </w:rPr>
              <w:t>(10,249)</w:t>
            </w:r>
          </w:p>
        </w:tc>
        <w:tc>
          <w:tcPr>
            <w:tcW w:w="0" w:type="dxa"/>
            <w:vAlign w:val="bottom"/>
          </w:tcPr>
          <w:p>
            <w:pPr>
              <w:spacing w:after="0"/>
              <w:rPr>
                <w:sz w:val="1"/>
                <w:szCs w:val="1"/>
                <w:color w:val="auto"/>
              </w:rPr>
            </w:pPr>
          </w:p>
        </w:tc>
      </w:tr>
      <w:tr>
        <w:trPr>
          <w:trHeight w:val="216"/>
        </w:trPr>
        <w:tc>
          <w:tcPr>
            <w:tcW w:w="7120" w:type="dxa"/>
            <w:vAlign w:val="bottom"/>
          </w:tcPr>
          <w:p>
            <w:pPr>
              <w:ind w:left="360"/>
              <w:spacing w:after="0"/>
              <w:rPr>
                <w:sz w:val="20"/>
                <w:szCs w:val="20"/>
                <w:color w:val="auto"/>
              </w:rPr>
            </w:pPr>
            <w:r>
              <w:rPr>
                <w:rFonts w:ascii="Arial" w:cs="Arial" w:eastAsia="Arial" w:hAnsi="Arial"/>
                <w:sz w:val="18"/>
                <w:szCs w:val="18"/>
                <w:color w:val="auto"/>
              </w:rPr>
              <w:t>Other current liabilities</w:t>
            </w:r>
          </w:p>
        </w:tc>
        <w:tc>
          <w:tcPr>
            <w:tcW w:w="8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60" w:type="dxa"/>
            <w:vAlign w:val="bottom"/>
            <w:gridSpan w:val="2"/>
          </w:tcPr>
          <w:p>
            <w:pPr>
              <w:jc w:val="right"/>
              <w:ind w:right="260"/>
              <w:spacing w:after="0"/>
              <w:rPr>
                <w:sz w:val="20"/>
                <w:szCs w:val="20"/>
                <w:color w:val="auto"/>
              </w:rPr>
            </w:pPr>
            <w:r>
              <w:rPr>
                <w:rFonts w:ascii="Arial" w:cs="Arial" w:eastAsia="Arial" w:hAnsi="Arial"/>
                <w:sz w:val="18"/>
                <w:szCs w:val="18"/>
                <w:color w:val="auto"/>
              </w:rPr>
              <w:t>(1,442)</w:t>
            </w:r>
          </w:p>
        </w:tc>
        <w:tc>
          <w:tcPr>
            <w:tcW w:w="100" w:type="dxa"/>
            <w:vAlign w:val="bottom"/>
          </w:tcPr>
          <w:p>
            <w:pPr>
              <w:spacing w:after="0"/>
              <w:rPr>
                <w:sz w:val="18"/>
                <w:szCs w:val="18"/>
                <w:color w:val="auto"/>
              </w:rPr>
            </w:pPr>
          </w:p>
        </w:tc>
        <w:tc>
          <w:tcPr>
            <w:tcW w:w="780" w:type="dxa"/>
            <w:vAlign w:val="bottom"/>
            <w:gridSpan w:val="2"/>
          </w:tcPr>
          <w:p>
            <w:pPr>
              <w:jc w:val="right"/>
              <w:ind w:right="120"/>
              <w:spacing w:after="0"/>
              <w:rPr>
                <w:sz w:val="20"/>
                <w:szCs w:val="20"/>
                <w:color w:val="auto"/>
              </w:rPr>
            </w:pPr>
            <w:r>
              <w:rPr>
                <w:rFonts w:ascii="Arial" w:cs="Arial" w:eastAsia="Arial" w:hAnsi="Arial"/>
                <w:sz w:val="18"/>
                <w:szCs w:val="18"/>
                <w:color w:val="auto"/>
              </w:rPr>
              <w:t>(2,153)</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gridSpan w:val="2"/>
          </w:tcPr>
          <w:p>
            <w:pPr>
              <w:jc w:val="right"/>
              <w:ind w:right="60"/>
              <w:spacing w:after="0"/>
              <w:rPr>
                <w:sz w:val="20"/>
                <w:szCs w:val="20"/>
                <w:color w:val="auto"/>
              </w:rPr>
            </w:pPr>
            <w:r>
              <w:rPr>
                <w:rFonts w:ascii="Arial" w:cs="Arial" w:eastAsia="Arial" w:hAnsi="Arial"/>
                <w:sz w:val="18"/>
                <w:szCs w:val="18"/>
                <w:color w:val="auto"/>
              </w:rPr>
              <w:t>(102)</w:t>
            </w:r>
          </w:p>
        </w:tc>
        <w:tc>
          <w:tcPr>
            <w:tcW w:w="0" w:type="dxa"/>
            <w:vAlign w:val="bottom"/>
          </w:tcPr>
          <w:p>
            <w:pPr>
              <w:spacing w:after="0"/>
              <w:rPr>
                <w:sz w:val="1"/>
                <w:szCs w:val="1"/>
                <w:color w:val="auto"/>
              </w:rPr>
            </w:pPr>
          </w:p>
        </w:tc>
      </w:tr>
      <w:tr>
        <w:trPr>
          <w:trHeight w:val="216"/>
        </w:trPr>
        <w:tc>
          <w:tcPr>
            <w:tcW w:w="71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Other non-current liabilities</w:t>
            </w:r>
          </w:p>
        </w:tc>
        <w:tc>
          <w:tcPr>
            <w:tcW w:w="8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643</w:t>
            </w: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570</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(274)</w:t>
            </w:r>
          </w:p>
        </w:tc>
        <w:tc>
          <w:tcPr>
            <w:tcW w:w="0" w:type="dxa"/>
            <w:vAlign w:val="bottom"/>
          </w:tcPr>
          <w:p>
            <w:pPr>
              <w:spacing w:after="0"/>
              <w:rPr>
                <w:sz w:val="1"/>
                <w:szCs w:val="1"/>
                <w:color w:val="auto"/>
              </w:rPr>
            </w:pPr>
          </w:p>
        </w:tc>
      </w:tr>
      <w:tr>
        <w:trPr>
          <w:trHeight w:val="216"/>
        </w:trPr>
        <w:tc>
          <w:tcPr>
            <w:tcW w:w="7120" w:type="dxa"/>
            <w:vAlign w:val="bottom"/>
          </w:tcPr>
          <w:p>
            <w:pPr>
              <w:ind w:left="360"/>
              <w:spacing w:after="0"/>
              <w:rPr>
                <w:sz w:val="20"/>
                <w:szCs w:val="20"/>
                <w:color w:val="auto"/>
              </w:rPr>
            </w:pPr>
            <w:r>
              <w:rPr>
                <w:rFonts w:ascii="Arial" w:cs="Arial" w:eastAsia="Arial" w:hAnsi="Arial"/>
                <w:sz w:val="18"/>
                <w:szCs w:val="18"/>
                <w:color w:val="auto"/>
              </w:rPr>
              <w:t>Payment of severance benefits</w:t>
            </w:r>
          </w:p>
        </w:tc>
        <w:tc>
          <w:tcPr>
            <w:tcW w:w="8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60" w:type="dxa"/>
            <w:vAlign w:val="bottom"/>
            <w:gridSpan w:val="2"/>
          </w:tcPr>
          <w:p>
            <w:pPr>
              <w:jc w:val="right"/>
              <w:ind w:right="260"/>
              <w:spacing w:after="0"/>
              <w:rPr>
                <w:sz w:val="20"/>
                <w:szCs w:val="20"/>
                <w:color w:val="auto"/>
              </w:rPr>
            </w:pPr>
            <w:r>
              <w:rPr>
                <w:rFonts w:ascii="Arial" w:cs="Arial" w:eastAsia="Arial" w:hAnsi="Arial"/>
                <w:sz w:val="18"/>
                <w:szCs w:val="18"/>
                <w:color w:val="auto"/>
              </w:rPr>
              <w:t>(1,545)</w:t>
            </w:r>
          </w:p>
        </w:tc>
        <w:tc>
          <w:tcPr>
            <w:tcW w:w="100" w:type="dxa"/>
            <w:vAlign w:val="bottom"/>
          </w:tcPr>
          <w:p>
            <w:pPr>
              <w:spacing w:after="0"/>
              <w:rPr>
                <w:sz w:val="18"/>
                <w:szCs w:val="18"/>
                <w:color w:val="auto"/>
              </w:rPr>
            </w:pPr>
          </w:p>
        </w:tc>
        <w:tc>
          <w:tcPr>
            <w:tcW w:w="780" w:type="dxa"/>
            <w:vAlign w:val="bottom"/>
            <w:gridSpan w:val="2"/>
          </w:tcPr>
          <w:p>
            <w:pPr>
              <w:jc w:val="right"/>
              <w:ind w:right="120"/>
              <w:spacing w:after="0"/>
              <w:rPr>
                <w:sz w:val="20"/>
                <w:szCs w:val="20"/>
                <w:color w:val="auto"/>
              </w:rPr>
            </w:pPr>
            <w:r>
              <w:rPr>
                <w:rFonts w:ascii="Arial" w:cs="Arial" w:eastAsia="Arial" w:hAnsi="Arial"/>
                <w:sz w:val="18"/>
                <w:szCs w:val="18"/>
                <w:color w:val="auto"/>
              </w:rPr>
              <w:t>(2,934)</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gridSpan w:val="2"/>
          </w:tcPr>
          <w:p>
            <w:pPr>
              <w:jc w:val="right"/>
              <w:ind w:right="60"/>
              <w:spacing w:after="0"/>
              <w:rPr>
                <w:sz w:val="20"/>
                <w:szCs w:val="20"/>
                <w:color w:val="auto"/>
              </w:rPr>
            </w:pPr>
            <w:r>
              <w:rPr>
                <w:rFonts w:ascii="Arial" w:cs="Arial" w:eastAsia="Arial" w:hAnsi="Arial"/>
                <w:sz w:val="18"/>
                <w:szCs w:val="18"/>
                <w:color w:val="auto"/>
              </w:rPr>
              <w:t>(2,836)</w:t>
            </w:r>
          </w:p>
        </w:tc>
        <w:tc>
          <w:tcPr>
            <w:tcW w:w="0" w:type="dxa"/>
            <w:vAlign w:val="bottom"/>
          </w:tcPr>
          <w:p>
            <w:pPr>
              <w:spacing w:after="0"/>
              <w:rPr>
                <w:sz w:val="1"/>
                <w:szCs w:val="1"/>
                <w:color w:val="auto"/>
              </w:rPr>
            </w:pPr>
          </w:p>
        </w:tc>
      </w:tr>
      <w:tr>
        <w:trPr>
          <w:trHeight w:val="216"/>
        </w:trPr>
        <w:tc>
          <w:tcPr>
            <w:tcW w:w="71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Other, net</w:t>
            </w:r>
          </w:p>
        </w:tc>
        <w:tc>
          <w:tcPr>
            <w:tcW w:w="8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(207)</w:t>
            </w: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(385)</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(62)</w:t>
            </w:r>
          </w:p>
        </w:tc>
        <w:tc>
          <w:tcPr>
            <w:tcW w:w="0" w:type="dxa"/>
            <w:vAlign w:val="bottom"/>
          </w:tcPr>
          <w:p>
            <w:pPr>
              <w:spacing w:after="0"/>
              <w:rPr>
                <w:sz w:val="1"/>
                <w:szCs w:val="1"/>
                <w:color w:val="auto"/>
              </w:rPr>
            </w:pPr>
          </w:p>
        </w:tc>
      </w:tr>
      <w:tr>
        <w:trPr>
          <w:trHeight w:val="223"/>
        </w:trPr>
        <w:tc>
          <w:tcPr>
            <w:tcW w:w="7120" w:type="dxa"/>
            <w:vAlign w:val="bottom"/>
          </w:tcPr>
          <w:p>
            <w:pPr>
              <w:spacing w:after="0"/>
              <w:rPr>
                <w:sz w:val="20"/>
                <w:szCs w:val="20"/>
                <w:color w:val="auto"/>
              </w:rPr>
            </w:pPr>
            <w:r>
              <w:rPr>
                <w:rFonts w:ascii="Arial" w:cs="Arial" w:eastAsia="Arial" w:hAnsi="Arial"/>
                <w:sz w:val="18"/>
                <w:szCs w:val="18"/>
                <w:color w:val="auto"/>
              </w:rPr>
              <w:t>Net cash provided by operating activities</w:t>
            </w:r>
          </w:p>
        </w:tc>
        <w:tc>
          <w:tcPr>
            <w:tcW w:w="88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7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12,145</w:t>
            </w:r>
          </w:p>
        </w:tc>
        <w:tc>
          <w:tcPr>
            <w:tcW w:w="32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6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24,965</w:t>
            </w: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6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10,366</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71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Cash flows from investing activities</w:t>
            </w:r>
          </w:p>
        </w:tc>
        <w:tc>
          <w:tcPr>
            <w:tcW w:w="8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120" w:type="dxa"/>
            <w:vAlign w:val="bottom"/>
          </w:tcPr>
          <w:p>
            <w:pPr>
              <w:ind w:left="360"/>
              <w:spacing w:after="0"/>
              <w:rPr>
                <w:sz w:val="20"/>
                <w:szCs w:val="20"/>
                <w:color w:val="auto"/>
              </w:rPr>
            </w:pPr>
            <w:r>
              <w:rPr>
                <w:rFonts w:ascii="Arial" w:cs="Arial" w:eastAsia="Arial" w:hAnsi="Arial"/>
                <w:sz w:val="18"/>
                <w:szCs w:val="18"/>
                <w:color w:val="auto"/>
              </w:rPr>
              <w:t>Proceeds from settlement of hedge collateral</w:t>
            </w:r>
          </w:p>
        </w:tc>
        <w:tc>
          <w:tcPr>
            <w:tcW w:w="8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60" w:type="dxa"/>
            <w:vAlign w:val="bottom"/>
            <w:gridSpan w:val="2"/>
          </w:tcPr>
          <w:p>
            <w:pPr>
              <w:jc w:val="right"/>
              <w:ind w:right="320"/>
              <w:spacing w:after="0"/>
              <w:rPr>
                <w:sz w:val="20"/>
                <w:szCs w:val="20"/>
                <w:color w:val="auto"/>
              </w:rPr>
            </w:pPr>
            <w:r>
              <w:rPr>
                <w:rFonts w:ascii="Arial" w:cs="Arial" w:eastAsia="Arial" w:hAnsi="Arial"/>
                <w:sz w:val="18"/>
                <w:szCs w:val="18"/>
                <w:color w:val="auto"/>
              </w:rPr>
              <w:t>976</w:t>
            </w:r>
          </w:p>
        </w:tc>
        <w:tc>
          <w:tcPr>
            <w:tcW w:w="100" w:type="dxa"/>
            <w:vAlign w:val="bottom"/>
          </w:tcPr>
          <w:p>
            <w:pPr>
              <w:spacing w:after="0"/>
              <w:rPr>
                <w:sz w:val="18"/>
                <w:szCs w:val="18"/>
                <w:color w:val="auto"/>
              </w:rPr>
            </w:pPr>
          </w:p>
        </w:tc>
        <w:tc>
          <w:tcPr>
            <w:tcW w:w="780" w:type="dxa"/>
            <w:vAlign w:val="bottom"/>
            <w:gridSpan w:val="2"/>
          </w:tcPr>
          <w:p>
            <w:pPr>
              <w:jc w:val="right"/>
              <w:ind w:right="180"/>
              <w:spacing w:after="0"/>
              <w:rPr>
                <w:sz w:val="20"/>
                <w:szCs w:val="20"/>
                <w:color w:val="auto"/>
              </w:rPr>
            </w:pPr>
            <w:r>
              <w:rPr>
                <w:rFonts w:ascii="Arial" w:cs="Arial" w:eastAsia="Arial" w:hAnsi="Arial"/>
                <w:sz w:val="18"/>
                <w:szCs w:val="18"/>
                <w:color w:val="auto"/>
              </w:rPr>
              <w:t>2,805</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gridSpan w:val="2"/>
          </w:tcPr>
          <w:p>
            <w:pPr>
              <w:jc w:val="right"/>
              <w:ind w:right="120"/>
              <w:spacing w:after="0"/>
              <w:rPr>
                <w:sz w:val="20"/>
                <w:szCs w:val="20"/>
                <w:color w:val="auto"/>
              </w:rPr>
            </w:pPr>
            <w:r>
              <w:rPr>
                <w:rFonts w:ascii="Arial" w:cs="Arial" w:eastAsia="Arial" w:hAnsi="Arial"/>
                <w:sz w:val="18"/>
                <w:szCs w:val="18"/>
                <w:color w:val="auto"/>
              </w:rPr>
              <w:t>972</w:t>
            </w:r>
          </w:p>
        </w:tc>
        <w:tc>
          <w:tcPr>
            <w:tcW w:w="0" w:type="dxa"/>
            <w:vAlign w:val="bottom"/>
          </w:tcPr>
          <w:p>
            <w:pPr>
              <w:spacing w:after="0"/>
              <w:rPr>
                <w:sz w:val="1"/>
                <w:szCs w:val="1"/>
                <w:color w:val="auto"/>
              </w:rPr>
            </w:pPr>
          </w:p>
        </w:tc>
      </w:tr>
      <w:tr>
        <w:trPr>
          <w:trHeight w:val="216"/>
        </w:trPr>
        <w:tc>
          <w:tcPr>
            <w:tcW w:w="71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Payment of hedge collateral</w:t>
            </w:r>
          </w:p>
        </w:tc>
        <w:tc>
          <w:tcPr>
            <w:tcW w:w="8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(3,953)</w:t>
            </w: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(6,844)</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(585)</w:t>
            </w:r>
          </w:p>
        </w:tc>
        <w:tc>
          <w:tcPr>
            <w:tcW w:w="0" w:type="dxa"/>
            <w:vAlign w:val="bottom"/>
          </w:tcPr>
          <w:p>
            <w:pPr>
              <w:spacing w:after="0"/>
              <w:rPr>
                <w:sz w:val="1"/>
                <w:szCs w:val="1"/>
                <w:color w:val="auto"/>
              </w:rPr>
            </w:pPr>
          </w:p>
        </w:tc>
      </w:tr>
      <w:tr>
        <w:trPr>
          <w:trHeight w:val="216"/>
        </w:trPr>
        <w:tc>
          <w:tcPr>
            <w:tcW w:w="7120" w:type="dxa"/>
            <w:vAlign w:val="bottom"/>
          </w:tcPr>
          <w:p>
            <w:pPr>
              <w:ind w:left="360"/>
              <w:spacing w:after="0"/>
              <w:rPr>
                <w:sz w:val="20"/>
                <w:szCs w:val="20"/>
                <w:color w:val="auto"/>
              </w:rPr>
            </w:pPr>
            <w:r>
              <w:rPr>
                <w:rFonts w:ascii="Arial" w:cs="Arial" w:eastAsia="Arial" w:hAnsi="Arial"/>
                <w:sz w:val="18"/>
                <w:szCs w:val="18"/>
                <w:color w:val="auto"/>
              </w:rPr>
              <w:t>Purchase of property, plant and equipment</w:t>
            </w:r>
          </w:p>
        </w:tc>
        <w:tc>
          <w:tcPr>
            <w:tcW w:w="8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60" w:type="dxa"/>
            <w:vAlign w:val="bottom"/>
            <w:gridSpan w:val="2"/>
          </w:tcPr>
          <w:p>
            <w:pPr>
              <w:jc w:val="right"/>
              <w:ind w:right="260"/>
              <w:spacing w:after="0"/>
              <w:rPr>
                <w:sz w:val="20"/>
                <w:szCs w:val="20"/>
                <w:color w:val="auto"/>
              </w:rPr>
            </w:pPr>
            <w:r>
              <w:rPr>
                <w:rFonts w:ascii="Arial" w:cs="Arial" w:eastAsia="Arial" w:hAnsi="Arial"/>
                <w:sz w:val="18"/>
                <w:szCs w:val="18"/>
                <w:color w:val="auto"/>
              </w:rPr>
              <w:t>(567)</w:t>
            </w:r>
          </w:p>
        </w:tc>
        <w:tc>
          <w:tcPr>
            <w:tcW w:w="100" w:type="dxa"/>
            <w:vAlign w:val="bottom"/>
          </w:tcPr>
          <w:p>
            <w:pPr>
              <w:spacing w:after="0"/>
              <w:rPr>
                <w:sz w:val="18"/>
                <w:szCs w:val="18"/>
                <w:color w:val="auto"/>
              </w:rPr>
            </w:pPr>
          </w:p>
        </w:tc>
        <w:tc>
          <w:tcPr>
            <w:tcW w:w="780" w:type="dxa"/>
            <w:vAlign w:val="bottom"/>
            <w:gridSpan w:val="2"/>
          </w:tcPr>
          <w:p>
            <w:pPr>
              <w:jc w:val="right"/>
              <w:ind w:right="120"/>
              <w:spacing w:after="0"/>
              <w:rPr>
                <w:sz w:val="20"/>
                <w:szCs w:val="20"/>
                <w:color w:val="auto"/>
              </w:rPr>
            </w:pPr>
            <w:r>
              <w:rPr>
                <w:rFonts w:ascii="Arial" w:cs="Arial" w:eastAsia="Arial" w:hAnsi="Arial"/>
                <w:sz w:val="18"/>
                <w:szCs w:val="18"/>
                <w:color w:val="auto"/>
              </w:rPr>
              <w:t>(1,511)</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gridSpan w:val="2"/>
          </w:tcPr>
          <w:p>
            <w:pPr>
              <w:jc w:val="right"/>
              <w:ind w:right="60"/>
              <w:spacing w:after="0"/>
              <w:rPr>
                <w:sz w:val="20"/>
                <w:szCs w:val="20"/>
                <w:color w:val="auto"/>
              </w:rPr>
            </w:pPr>
            <w:r>
              <w:rPr>
                <w:rFonts w:ascii="Arial" w:cs="Arial" w:eastAsia="Arial" w:hAnsi="Arial"/>
                <w:sz w:val="18"/>
                <w:szCs w:val="18"/>
                <w:color w:val="auto"/>
              </w:rPr>
              <w:t>(4,866)</w:t>
            </w:r>
          </w:p>
        </w:tc>
        <w:tc>
          <w:tcPr>
            <w:tcW w:w="0" w:type="dxa"/>
            <w:vAlign w:val="bottom"/>
          </w:tcPr>
          <w:p>
            <w:pPr>
              <w:spacing w:after="0"/>
              <w:rPr>
                <w:sz w:val="1"/>
                <w:szCs w:val="1"/>
                <w:color w:val="auto"/>
              </w:rPr>
            </w:pPr>
          </w:p>
        </w:tc>
      </w:tr>
      <w:tr>
        <w:trPr>
          <w:trHeight w:val="216"/>
        </w:trPr>
        <w:tc>
          <w:tcPr>
            <w:tcW w:w="71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Payment for intellectual property registration</w:t>
            </w:r>
          </w:p>
        </w:tc>
        <w:tc>
          <w:tcPr>
            <w:tcW w:w="8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(94)</w:t>
            </w: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(153)</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(288)</w:t>
            </w:r>
          </w:p>
        </w:tc>
        <w:tc>
          <w:tcPr>
            <w:tcW w:w="0" w:type="dxa"/>
            <w:vAlign w:val="bottom"/>
          </w:tcPr>
          <w:p>
            <w:pPr>
              <w:spacing w:after="0"/>
              <w:rPr>
                <w:sz w:val="1"/>
                <w:szCs w:val="1"/>
                <w:color w:val="auto"/>
              </w:rPr>
            </w:pPr>
          </w:p>
        </w:tc>
      </w:tr>
      <w:tr>
        <w:trPr>
          <w:trHeight w:val="216"/>
        </w:trPr>
        <w:tc>
          <w:tcPr>
            <w:tcW w:w="7120" w:type="dxa"/>
            <w:vAlign w:val="bottom"/>
          </w:tcPr>
          <w:p>
            <w:pPr>
              <w:ind w:left="360"/>
              <w:spacing w:after="0"/>
              <w:rPr>
                <w:sz w:val="20"/>
                <w:szCs w:val="20"/>
                <w:color w:val="auto"/>
              </w:rPr>
            </w:pPr>
            <w:r>
              <w:rPr>
                <w:rFonts w:ascii="Arial" w:cs="Arial" w:eastAsia="Arial" w:hAnsi="Arial"/>
                <w:sz w:val="18"/>
                <w:szCs w:val="18"/>
                <w:color w:val="auto"/>
              </w:rPr>
              <w:t>Collection of guarantee deposits</w:t>
            </w:r>
          </w:p>
        </w:tc>
        <w:tc>
          <w:tcPr>
            <w:tcW w:w="8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60" w:type="dxa"/>
            <w:vAlign w:val="bottom"/>
            <w:gridSpan w:val="2"/>
          </w:tcPr>
          <w:p>
            <w:pPr>
              <w:jc w:val="right"/>
              <w:ind w:right="4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78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gridSpan w:val="2"/>
          </w:tcPr>
          <w:p>
            <w:pPr>
              <w:jc w:val="right"/>
              <w:ind w:right="120"/>
              <w:spacing w:after="0"/>
              <w:rPr>
                <w:sz w:val="20"/>
                <w:szCs w:val="20"/>
                <w:color w:val="auto"/>
              </w:rPr>
            </w:pPr>
            <w:r>
              <w:rPr>
                <w:rFonts w:ascii="Arial" w:cs="Arial" w:eastAsia="Arial" w:hAnsi="Arial"/>
                <w:sz w:val="18"/>
                <w:szCs w:val="18"/>
                <w:color w:val="auto"/>
              </w:rPr>
              <w:t>307</w:t>
            </w:r>
          </w:p>
        </w:tc>
        <w:tc>
          <w:tcPr>
            <w:tcW w:w="0" w:type="dxa"/>
            <w:vAlign w:val="bottom"/>
          </w:tcPr>
          <w:p>
            <w:pPr>
              <w:spacing w:after="0"/>
              <w:rPr>
                <w:sz w:val="1"/>
                <w:szCs w:val="1"/>
                <w:color w:val="auto"/>
              </w:rPr>
            </w:pPr>
          </w:p>
        </w:tc>
      </w:tr>
      <w:tr>
        <w:trPr>
          <w:trHeight w:val="216"/>
        </w:trPr>
        <w:tc>
          <w:tcPr>
            <w:tcW w:w="71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Payment of guarantee deposits</w:t>
            </w:r>
          </w:p>
        </w:tc>
        <w:tc>
          <w:tcPr>
            <w:tcW w:w="8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(970)</w:t>
            </w: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(1,049)</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(4,960)</w:t>
            </w:r>
          </w:p>
        </w:tc>
        <w:tc>
          <w:tcPr>
            <w:tcW w:w="0" w:type="dxa"/>
            <w:vAlign w:val="bottom"/>
          </w:tcPr>
          <w:p>
            <w:pPr>
              <w:spacing w:after="0"/>
              <w:rPr>
                <w:sz w:val="1"/>
                <w:szCs w:val="1"/>
                <w:color w:val="auto"/>
              </w:rPr>
            </w:pPr>
          </w:p>
        </w:tc>
      </w:tr>
      <w:tr>
        <w:trPr>
          <w:trHeight w:val="216"/>
        </w:trPr>
        <w:tc>
          <w:tcPr>
            <w:tcW w:w="7120" w:type="dxa"/>
            <w:vAlign w:val="bottom"/>
          </w:tcPr>
          <w:p>
            <w:pPr>
              <w:ind w:left="360"/>
              <w:spacing w:after="0"/>
              <w:rPr>
                <w:sz w:val="20"/>
                <w:szCs w:val="20"/>
                <w:color w:val="auto"/>
              </w:rPr>
            </w:pPr>
            <w:r>
              <w:rPr>
                <w:rFonts w:ascii="Arial" w:cs="Arial" w:eastAsia="Arial" w:hAnsi="Arial"/>
                <w:sz w:val="18"/>
                <w:szCs w:val="18"/>
                <w:color w:val="auto"/>
              </w:rPr>
              <w:t>Other, net</w:t>
            </w:r>
          </w:p>
        </w:tc>
        <w:tc>
          <w:tcPr>
            <w:tcW w:w="8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12</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14</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gridSpan w:val="2"/>
          </w:tcPr>
          <w:p>
            <w:pPr>
              <w:jc w:val="right"/>
              <w:ind w:right="60"/>
              <w:spacing w:after="0"/>
              <w:rPr>
                <w:sz w:val="20"/>
                <w:szCs w:val="20"/>
                <w:color w:val="auto"/>
              </w:rPr>
            </w:pPr>
            <w:r>
              <w:rPr>
                <w:rFonts w:ascii="Arial" w:cs="Arial" w:eastAsia="Arial" w:hAnsi="Arial"/>
                <w:sz w:val="18"/>
                <w:szCs w:val="18"/>
                <w:color w:val="auto"/>
              </w:rPr>
              <w:t>(130)</w:t>
            </w:r>
          </w:p>
        </w:tc>
        <w:tc>
          <w:tcPr>
            <w:tcW w:w="0" w:type="dxa"/>
            <w:vAlign w:val="bottom"/>
          </w:tcPr>
          <w:p>
            <w:pPr>
              <w:spacing w:after="0"/>
              <w:rPr>
                <w:sz w:val="1"/>
                <w:szCs w:val="1"/>
                <w:color w:val="auto"/>
              </w:rPr>
            </w:pPr>
          </w:p>
        </w:tc>
      </w:tr>
      <w:tr>
        <w:trPr>
          <w:trHeight w:val="27"/>
        </w:trPr>
        <w:tc>
          <w:tcPr>
            <w:tcW w:w="7120" w:type="dxa"/>
            <w:vAlign w:val="bottom"/>
          </w:tcPr>
          <w:p>
            <w:pPr>
              <w:spacing w:after="0"/>
              <w:rPr>
                <w:sz w:val="2"/>
                <w:szCs w:val="2"/>
                <w:color w:val="auto"/>
              </w:rPr>
            </w:pPr>
          </w:p>
        </w:tc>
        <w:tc>
          <w:tcPr>
            <w:tcW w:w="88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7120" w:type="dxa"/>
            <w:vAlign w:val="bottom"/>
            <w:shd w:val="clear" w:color="auto" w:fill="CCEEFF"/>
          </w:tcPr>
          <w:p>
            <w:pPr>
              <w:spacing w:after="0"/>
              <w:rPr>
                <w:sz w:val="20"/>
                <w:szCs w:val="20"/>
                <w:color w:val="auto"/>
              </w:rPr>
            </w:pPr>
            <w:r>
              <w:rPr>
                <w:rFonts w:ascii="Arial" w:cs="Arial" w:eastAsia="Arial" w:hAnsi="Arial"/>
                <w:sz w:val="18"/>
                <w:szCs w:val="18"/>
                <w:color w:val="auto"/>
              </w:rPr>
              <w:t>Net cash used in investing activities</w:t>
            </w:r>
          </w:p>
        </w:tc>
        <w:tc>
          <w:tcPr>
            <w:tcW w:w="8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(4,596)</w:t>
            </w: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(6,738)</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(9,550)</w:t>
            </w:r>
          </w:p>
        </w:tc>
        <w:tc>
          <w:tcPr>
            <w:tcW w:w="0" w:type="dxa"/>
            <w:vAlign w:val="bottom"/>
          </w:tcPr>
          <w:p>
            <w:pPr>
              <w:spacing w:after="0"/>
              <w:rPr>
                <w:sz w:val="1"/>
                <w:szCs w:val="1"/>
                <w:color w:val="auto"/>
              </w:rPr>
            </w:pPr>
          </w:p>
        </w:tc>
      </w:tr>
      <w:tr>
        <w:trPr>
          <w:trHeight w:val="216"/>
        </w:trPr>
        <w:tc>
          <w:tcPr>
            <w:tcW w:w="7120" w:type="dxa"/>
            <w:vAlign w:val="bottom"/>
          </w:tcPr>
          <w:p>
            <w:pPr>
              <w:spacing w:after="0"/>
              <w:rPr>
                <w:sz w:val="20"/>
                <w:szCs w:val="20"/>
                <w:color w:val="auto"/>
              </w:rPr>
            </w:pPr>
            <w:r>
              <w:rPr>
                <w:rFonts w:ascii="Arial" w:cs="Arial" w:eastAsia="Arial" w:hAnsi="Arial"/>
                <w:sz w:val="18"/>
                <w:szCs w:val="18"/>
                <w:b w:val="1"/>
                <w:bCs w:val="1"/>
                <w:color w:val="auto"/>
              </w:rPr>
              <w:t>Cash flows from financing activities</w:t>
            </w:r>
          </w:p>
        </w:tc>
        <w:tc>
          <w:tcPr>
            <w:tcW w:w="8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1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Proceeds from exercise of stock options</w:t>
            </w:r>
          </w:p>
        </w:tc>
        <w:tc>
          <w:tcPr>
            <w:tcW w:w="8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5</w:t>
            </w: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1,786</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2,549</w:t>
            </w:r>
          </w:p>
        </w:tc>
        <w:tc>
          <w:tcPr>
            <w:tcW w:w="0" w:type="dxa"/>
            <w:vAlign w:val="bottom"/>
          </w:tcPr>
          <w:p>
            <w:pPr>
              <w:spacing w:after="0"/>
              <w:rPr>
                <w:sz w:val="1"/>
                <w:szCs w:val="1"/>
                <w:color w:val="auto"/>
              </w:rPr>
            </w:pPr>
          </w:p>
        </w:tc>
      </w:tr>
      <w:tr>
        <w:trPr>
          <w:trHeight w:val="216"/>
        </w:trPr>
        <w:tc>
          <w:tcPr>
            <w:tcW w:w="7120" w:type="dxa"/>
            <w:vAlign w:val="bottom"/>
          </w:tcPr>
          <w:p>
            <w:pPr>
              <w:ind w:left="360"/>
              <w:spacing w:after="0"/>
              <w:rPr>
                <w:sz w:val="20"/>
                <w:szCs w:val="20"/>
                <w:color w:val="auto"/>
              </w:rPr>
            </w:pPr>
            <w:r>
              <w:rPr>
                <w:rFonts w:ascii="Arial" w:cs="Arial" w:eastAsia="Arial" w:hAnsi="Arial"/>
                <w:sz w:val="18"/>
                <w:szCs w:val="18"/>
                <w:color w:val="auto"/>
              </w:rPr>
              <w:t>Acquisition of treasury stock</w:t>
            </w:r>
          </w:p>
        </w:tc>
        <w:tc>
          <w:tcPr>
            <w:tcW w:w="8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60" w:type="dxa"/>
            <w:vAlign w:val="bottom"/>
            <w:gridSpan w:val="2"/>
          </w:tcPr>
          <w:p>
            <w:pPr>
              <w:jc w:val="right"/>
              <w:ind w:right="260"/>
              <w:spacing w:after="0"/>
              <w:rPr>
                <w:sz w:val="20"/>
                <w:szCs w:val="20"/>
                <w:color w:val="auto"/>
              </w:rPr>
            </w:pPr>
            <w:r>
              <w:rPr>
                <w:rFonts w:ascii="Arial" w:cs="Arial" w:eastAsia="Arial" w:hAnsi="Arial"/>
                <w:sz w:val="18"/>
                <w:szCs w:val="18"/>
                <w:color w:val="auto"/>
              </w:rPr>
              <w:t>(996)</w:t>
            </w:r>
          </w:p>
        </w:tc>
        <w:tc>
          <w:tcPr>
            <w:tcW w:w="100" w:type="dxa"/>
            <w:vAlign w:val="bottom"/>
          </w:tcPr>
          <w:p>
            <w:pPr>
              <w:spacing w:after="0"/>
              <w:rPr>
                <w:sz w:val="18"/>
                <w:szCs w:val="18"/>
                <w:color w:val="auto"/>
              </w:rPr>
            </w:pPr>
          </w:p>
        </w:tc>
        <w:tc>
          <w:tcPr>
            <w:tcW w:w="780" w:type="dxa"/>
            <w:vAlign w:val="bottom"/>
            <w:gridSpan w:val="2"/>
          </w:tcPr>
          <w:p>
            <w:pPr>
              <w:jc w:val="right"/>
              <w:ind w:right="120"/>
              <w:spacing w:after="0"/>
              <w:rPr>
                <w:sz w:val="20"/>
                <w:szCs w:val="20"/>
                <w:color w:val="auto"/>
              </w:rPr>
            </w:pPr>
            <w:r>
              <w:rPr>
                <w:rFonts w:ascii="Arial" w:cs="Arial" w:eastAsia="Arial" w:hAnsi="Arial"/>
                <w:sz w:val="18"/>
                <w:szCs w:val="18"/>
                <w:color w:val="auto"/>
              </w:rPr>
              <w:t>(1,826)</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gridSpan w:val="2"/>
          </w:tcPr>
          <w:p>
            <w:pPr>
              <w:jc w:val="right"/>
              <w:ind w:right="60"/>
              <w:spacing w:after="0"/>
              <w:rPr>
                <w:sz w:val="20"/>
                <w:szCs w:val="20"/>
                <w:color w:val="auto"/>
              </w:rPr>
            </w:pPr>
            <w:r>
              <w:rPr>
                <w:rFonts w:ascii="Arial" w:cs="Arial" w:eastAsia="Arial" w:hAnsi="Arial"/>
                <w:sz w:val="18"/>
                <w:szCs w:val="18"/>
                <w:color w:val="auto"/>
              </w:rPr>
              <w:t>(1,653)</w:t>
            </w:r>
          </w:p>
        </w:tc>
        <w:tc>
          <w:tcPr>
            <w:tcW w:w="0" w:type="dxa"/>
            <w:vAlign w:val="bottom"/>
          </w:tcPr>
          <w:p>
            <w:pPr>
              <w:spacing w:after="0"/>
              <w:rPr>
                <w:sz w:val="1"/>
                <w:szCs w:val="1"/>
                <w:color w:val="auto"/>
              </w:rPr>
            </w:pPr>
          </w:p>
        </w:tc>
      </w:tr>
      <w:tr>
        <w:trPr>
          <w:trHeight w:val="216"/>
        </w:trPr>
        <w:tc>
          <w:tcPr>
            <w:tcW w:w="71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Repayment of financing related to water treatment facility arrangement</w:t>
            </w:r>
          </w:p>
        </w:tc>
        <w:tc>
          <w:tcPr>
            <w:tcW w:w="8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(127)</w:t>
            </w: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(261)</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(288)</w:t>
            </w:r>
          </w:p>
        </w:tc>
        <w:tc>
          <w:tcPr>
            <w:tcW w:w="0" w:type="dxa"/>
            <w:vAlign w:val="bottom"/>
          </w:tcPr>
          <w:p>
            <w:pPr>
              <w:spacing w:after="0"/>
              <w:rPr>
                <w:sz w:val="1"/>
                <w:szCs w:val="1"/>
                <w:color w:val="auto"/>
              </w:rPr>
            </w:pPr>
          </w:p>
        </w:tc>
      </w:tr>
      <w:tr>
        <w:trPr>
          <w:trHeight w:val="216"/>
        </w:trPr>
        <w:tc>
          <w:tcPr>
            <w:tcW w:w="7120" w:type="dxa"/>
            <w:vAlign w:val="bottom"/>
          </w:tcPr>
          <w:p>
            <w:pPr>
              <w:ind w:left="360"/>
              <w:spacing w:after="0"/>
              <w:rPr>
                <w:sz w:val="20"/>
                <w:szCs w:val="20"/>
                <w:color w:val="auto"/>
              </w:rPr>
            </w:pPr>
            <w:r>
              <w:rPr>
                <w:rFonts w:ascii="Arial" w:cs="Arial" w:eastAsia="Arial" w:hAnsi="Arial"/>
                <w:sz w:val="18"/>
                <w:szCs w:val="18"/>
                <w:color w:val="auto"/>
              </w:rPr>
              <w:t>Repayment of principal portion of finance lease liabilities</w:t>
            </w:r>
          </w:p>
        </w:tc>
        <w:tc>
          <w:tcPr>
            <w:tcW w:w="8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60" w:type="dxa"/>
            <w:vAlign w:val="bottom"/>
            <w:gridSpan w:val="2"/>
          </w:tcPr>
          <w:p>
            <w:pPr>
              <w:jc w:val="right"/>
              <w:ind w:right="260"/>
              <w:spacing w:after="0"/>
              <w:rPr>
                <w:sz w:val="20"/>
                <w:szCs w:val="20"/>
                <w:color w:val="auto"/>
              </w:rPr>
            </w:pPr>
            <w:r>
              <w:rPr>
                <w:rFonts w:ascii="Arial" w:cs="Arial" w:eastAsia="Arial" w:hAnsi="Arial"/>
                <w:sz w:val="18"/>
                <w:szCs w:val="18"/>
                <w:color w:val="auto"/>
              </w:rPr>
              <w:t>(16)</w:t>
            </w:r>
          </w:p>
        </w:tc>
        <w:tc>
          <w:tcPr>
            <w:tcW w:w="100" w:type="dxa"/>
            <w:vAlign w:val="bottom"/>
          </w:tcPr>
          <w:p>
            <w:pPr>
              <w:spacing w:after="0"/>
              <w:rPr>
                <w:sz w:val="18"/>
                <w:szCs w:val="18"/>
                <w:color w:val="auto"/>
              </w:rPr>
            </w:pPr>
          </w:p>
        </w:tc>
        <w:tc>
          <w:tcPr>
            <w:tcW w:w="780" w:type="dxa"/>
            <w:vAlign w:val="bottom"/>
            <w:gridSpan w:val="2"/>
          </w:tcPr>
          <w:p>
            <w:pPr>
              <w:jc w:val="right"/>
              <w:ind w:right="120"/>
              <w:spacing w:after="0"/>
              <w:rPr>
                <w:sz w:val="20"/>
                <w:szCs w:val="20"/>
                <w:color w:val="auto"/>
              </w:rPr>
            </w:pPr>
            <w:r>
              <w:rPr>
                <w:rFonts w:ascii="Arial" w:cs="Arial" w:eastAsia="Arial" w:hAnsi="Arial"/>
                <w:sz w:val="18"/>
                <w:szCs w:val="18"/>
                <w:color w:val="auto"/>
              </w:rPr>
              <w:t>(32)</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gridSpan w:val="2"/>
          </w:tcPr>
          <w:p>
            <w:pPr>
              <w:jc w:val="right"/>
              <w:ind w:right="60"/>
              <w:spacing w:after="0"/>
              <w:rPr>
                <w:sz w:val="20"/>
                <w:szCs w:val="20"/>
                <w:color w:val="auto"/>
              </w:rPr>
            </w:pPr>
            <w:r>
              <w:rPr>
                <w:rFonts w:ascii="Arial" w:cs="Arial" w:eastAsia="Arial" w:hAnsi="Arial"/>
                <w:sz w:val="18"/>
                <w:szCs w:val="18"/>
                <w:color w:val="auto"/>
              </w:rPr>
              <w:t>(33)</w:t>
            </w:r>
          </w:p>
        </w:tc>
        <w:tc>
          <w:tcPr>
            <w:tcW w:w="0" w:type="dxa"/>
            <w:vAlign w:val="bottom"/>
          </w:tcPr>
          <w:p>
            <w:pPr>
              <w:spacing w:after="0"/>
              <w:rPr>
                <w:sz w:val="1"/>
                <w:szCs w:val="1"/>
                <w:color w:val="auto"/>
              </w:rPr>
            </w:pPr>
          </w:p>
        </w:tc>
      </w:tr>
      <w:tr>
        <w:trPr>
          <w:trHeight w:val="27"/>
        </w:trPr>
        <w:tc>
          <w:tcPr>
            <w:tcW w:w="7120" w:type="dxa"/>
            <w:vAlign w:val="bottom"/>
          </w:tcPr>
          <w:p>
            <w:pPr>
              <w:spacing w:after="0"/>
              <w:rPr>
                <w:sz w:val="2"/>
                <w:szCs w:val="2"/>
                <w:color w:val="auto"/>
              </w:rPr>
            </w:pPr>
          </w:p>
        </w:tc>
        <w:tc>
          <w:tcPr>
            <w:tcW w:w="88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7120" w:type="dxa"/>
            <w:vAlign w:val="bottom"/>
            <w:shd w:val="clear" w:color="auto" w:fill="CCEEFF"/>
          </w:tcPr>
          <w:p>
            <w:pPr>
              <w:spacing w:after="0"/>
              <w:rPr>
                <w:sz w:val="20"/>
                <w:szCs w:val="20"/>
                <w:color w:val="auto"/>
              </w:rPr>
            </w:pPr>
            <w:r>
              <w:rPr>
                <w:rFonts w:ascii="Arial" w:cs="Arial" w:eastAsia="Arial" w:hAnsi="Arial"/>
                <w:sz w:val="18"/>
                <w:szCs w:val="18"/>
                <w:color w:val="auto"/>
              </w:rPr>
              <w:t>Net cash provided by (used in) financing activities</w:t>
            </w:r>
          </w:p>
        </w:tc>
        <w:tc>
          <w:tcPr>
            <w:tcW w:w="8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(1,134)</w:t>
            </w: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(333)</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575</w:t>
            </w:r>
          </w:p>
        </w:tc>
        <w:tc>
          <w:tcPr>
            <w:tcW w:w="0" w:type="dxa"/>
            <w:vAlign w:val="bottom"/>
          </w:tcPr>
          <w:p>
            <w:pPr>
              <w:spacing w:after="0"/>
              <w:rPr>
                <w:sz w:val="1"/>
                <w:szCs w:val="1"/>
                <w:color w:val="auto"/>
              </w:rPr>
            </w:pPr>
          </w:p>
        </w:tc>
      </w:tr>
      <w:tr>
        <w:trPr>
          <w:trHeight w:val="216"/>
        </w:trPr>
        <w:tc>
          <w:tcPr>
            <w:tcW w:w="7120" w:type="dxa"/>
            <w:vAlign w:val="bottom"/>
          </w:tcPr>
          <w:p>
            <w:pPr>
              <w:spacing w:after="0"/>
              <w:rPr>
                <w:sz w:val="20"/>
                <w:szCs w:val="20"/>
                <w:color w:val="auto"/>
              </w:rPr>
            </w:pPr>
            <w:r>
              <w:rPr>
                <w:rFonts w:ascii="Arial" w:cs="Arial" w:eastAsia="Arial" w:hAnsi="Arial"/>
                <w:sz w:val="18"/>
                <w:szCs w:val="18"/>
                <w:color w:val="auto"/>
              </w:rPr>
              <w:t>Effect of exchange rates on cash and cash equivalents</w:t>
            </w:r>
          </w:p>
        </w:tc>
        <w:tc>
          <w:tcPr>
            <w:tcW w:w="8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60" w:type="dxa"/>
            <w:vAlign w:val="bottom"/>
            <w:gridSpan w:val="2"/>
          </w:tcPr>
          <w:p>
            <w:pPr>
              <w:jc w:val="right"/>
              <w:ind w:right="260"/>
              <w:spacing w:after="0"/>
              <w:rPr>
                <w:sz w:val="20"/>
                <w:szCs w:val="20"/>
                <w:color w:val="auto"/>
              </w:rPr>
            </w:pPr>
            <w:r>
              <w:rPr>
                <w:rFonts w:ascii="Arial" w:cs="Arial" w:eastAsia="Arial" w:hAnsi="Arial"/>
                <w:sz w:val="18"/>
                <w:szCs w:val="18"/>
                <w:color w:val="auto"/>
              </w:rPr>
              <w:t>(17,539)</w:t>
            </w:r>
          </w:p>
        </w:tc>
        <w:tc>
          <w:tcPr>
            <w:tcW w:w="100" w:type="dxa"/>
            <w:vAlign w:val="bottom"/>
          </w:tcPr>
          <w:p>
            <w:pPr>
              <w:spacing w:after="0"/>
              <w:rPr>
                <w:sz w:val="18"/>
                <w:szCs w:val="18"/>
                <w:color w:val="auto"/>
              </w:rPr>
            </w:pPr>
          </w:p>
        </w:tc>
        <w:tc>
          <w:tcPr>
            <w:tcW w:w="780" w:type="dxa"/>
            <w:vAlign w:val="bottom"/>
            <w:gridSpan w:val="2"/>
          </w:tcPr>
          <w:p>
            <w:pPr>
              <w:jc w:val="right"/>
              <w:ind w:right="120"/>
              <w:spacing w:after="0"/>
              <w:rPr>
                <w:sz w:val="20"/>
                <w:szCs w:val="20"/>
                <w:color w:val="auto"/>
              </w:rPr>
            </w:pPr>
            <w:r>
              <w:rPr>
                <w:rFonts w:ascii="Arial" w:cs="Arial" w:eastAsia="Arial" w:hAnsi="Arial"/>
                <w:sz w:val="18"/>
                <w:szCs w:val="18"/>
                <w:color w:val="auto"/>
                <w:w w:val="95"/>
              </w:rPr>
              <w:t>(23,644)</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gridSpan w:val="2"/>
          </w:tcPr>
          <w:p>
            <w:pPr>
              <w:jc w:val="right"/>
              <w:ind w:right="60"/>
              <w:spacing w:after="0"/>
              <w:rPr>
                <w:sz w:val="20"/>
                <w:szCs w:val="20"/>
                <w:color w:val="auto"/>
              </w:rPr>
            </w:pPr>
            <w:r>
              <w:rPr>
                <w:rFonts w:ascii="Arial" w:cs="Arial" w:eastAsia="Arial" w:hAnsi="Arial"/>
                <w:sz w:val="18"/>
                <w:szCs w:val="18"/>
                <w:color w:val="auto"/>
              </w:rPr>
              <w:t>(9,451)</w:t>
            </w:r>
          </w:p>
        </w:tc>
        <w:tc>
          <w:tcPr>
            <w:tcW w:w="0" w:type="dxa"/>
            <w:vAlign w:val="bottom"/>
          </w:tcPr>
          <w:p>
            <w:pPr>
              <w:spacing w:after="0"/>
              <w:rPr>
                <w:sz w:val="1"/>
                <w:szCs w:val="1"/>
                <w:color w:val="auto"/>
              </w:rPr>
            </w:pPr>
          </w:p>
        </w:tc>
      </w:tr>
      <w:tr>
        <w:trPr>
          <w:trHeight w:val="27"/>
        </w:trPr>
        <w:tc>
          <w:tcPr>
            <w:tcW w:w="7120" w:type="dxa"/>
            <w:vAlign w:val="bottom"/>
          </w:tcPr>
          <w:p>
            <w:pPr>
              <w:spacing w:after="0"/>
              <w:rPr>
                <w:sz w:val="2"/>
                <w:szCs w:val="2"/>
                <w:color w:val="auto"/>
              </w:rPr>
            </w:pPr>
          </w:p>
        </w:tc>
        <w:tc>
          <w:tcPr>
            <w:tcW w:w="88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7120" w:type="dxa"/>
            <w:vAlign w:val="bottom"/>
            <w:shd w:val="clear" w:color="auto" w:fill="CCEEFF"/>
          </w:tcPr>
          <w:p>
            <w:pPr>
              <w:spacing w:after="0"/>
              <w:rPr>
                <w:sz w:val="20"/>
                <w:szCs w:val="20"/>
                <w:color w:val="auto"/>
              </w:rPr>
            </w:pPr>
            <w:r>
              <w:rPr>
                <w:rFonts w:ascii="Arial" w:cs="Arial" w:eastAsia="Arial" w:hAnsi="Arial"/>
                <w:sz w:val="18"/>
                <w:szCs w:val="18"/>
                <w:color w:val="auto"/>
              </w:rPr>
              <w:t>Net decrease in cash and cash equivalents</w:t>
            </w:r>
          </w:p>
        </w:tc>
        <w:tc>
          <w:tcPr>
            <w:tcW w:w="8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(11,124)</w:t>
            </w: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(5,750)</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(8,060)</w:t>
            </w:r>
          </w:p>
        </w:tc>
        <w:tc>
          <w:tcPr>
            <w:tcW w:w="0" w:type="dxa"/>
            <w:vAlign w:val="bottom"/>
          </w:tcPr>
          <w:p>
            <w:pPr>
              <w:spacing w:after="0"/>
              <w:rPr>
                <w:sz w:val="1"/>
                <w:szCs w:val="1"/>
                <w:color w:val="auto"/>
              </w:rPr>
            </w:pPr>
          </w:p>
        </w:tc>
      </w:tr>
      <w:tr>
        <w:trPr>
          <w:trHeight w:val="216"/>
        </w:trPr>
        <w:tc>
          <w:tcPr>
            <w:tcW w:w="7120" w:type="dxa"/>
            <w:vAlign w:val="bottom"/>
          </w:tcPr>
          <w:p>
            <w:pPr>
              <w:spacing w:after="0"/>
              <w:rPr>
                <w:sz w:val="20"/>
                <w:szCs w:val="20"/>
                <w:color w:val="auto"/>
              </w:rPr>
            </w:pPr>
            <w:r>
              <w:rPr>
                <w:rFonts w:ascii="Arial" w:cs="Arial" w:eastAsia="Arial" w:hAnsi="Arial"/>
                <w:sz w:val="18"/>
                <w:szCs w:val="18"/>
                <w:b w:val="1"/>
                <w:bCs w:val="1"/>
                <w:color w:val="auto"/>
              </w:rPr>
              <w:t>Cash and cash equivalents</w:t>
            </w:r>
          </w:p>
        </w:tc>
        <w:tc>
          <w:tcPr>
            <w:tcW w:w="8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120" w:type="dxa"/>
            <w:vAlign w:val="bottom"/>
            <w:shd w:val="clear" w:color="auto" w:fill="CCEEFF"/>
          </w:tcPr>
          <w:p>
            <w:pPr>
              <w:spacing w:after="0"/>
              <w:rPr>
                <w:sz w:val="20"/>
                <w:szCs w:val="20"/>
                <w:color w:val="auto"/>
              </w:rPr>
            </w:pPr>
            <w:r>
              <w:rPr>
                <w:rFonts w:ascii="Arial" w:cs="Arial" w:eastAsia="Arial" w:hAnsi="Arial"/>
                <w:sz w:val="18"/>
                <w:szCs w:val="18"/>
                <w:color w:val="auto"/>
              </w:rPr>
              <w:t>Beginning of the period</w:t>
            </w:r>
          </w:p>
        </w:tc>
        <w:tc>
          <w:tcPr>
            <w:tcW w:w="8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284,921</w:t>
            </w: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w w:val="89"/>
              </w:rPr>
              <w:t>279,547</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89"/>
              </w:rPr>
              <w:t>279,940</w:t>
            </w:r>
          </w:p>
        </w:tc>
        <w:tc>
          <w:tcPr>
            <w:tcW w:w="0" w:type="dxa"/>
            <w:vAlign w:val="bottom"/>
          </w:tcPr>
          <w:p>
            <w:pPr>
              <w:spacing w:after="0"/>
              <w:rPr>
                <w:sz w:val="1"/>
                <w:szCs w:val="1"/>
                <w:color w:val="auto"/>
              </w:rPr>
            </w:pPr>
          </w:p>
        </w:tc>
      </w:tr>
      <w:tr>
        <w:trPr>
          <w:trHeight w:val="223"/>
        </w:trPr>
        <w:tc>
          <w:tcPr>
            <w:tcW w:w="7120" w:type="dxa"/>
            <w:vAlign w:val="bottom"/>
          </w:tcPr>
          <w:p>
            <w:pPr>
              <w:spacing w:after="0"/>
              <w:rPr>
                <w:sz w:val="20"/>
                <w:szCs w:val="20"/>
                <w:color w:val="auto"/>
              </w:rPr>
            </w:pPr>
            <w:r>
              <w:rPr>
                <w:rFonts w:ascii="Arial" w:cs="Arial" w:eastAsia="Arial" w:hAnsi="Arial"/>
                <w:sz w:val="18"/>
                <w:szCs w:val="18"/>
                <w:color w:val="auto"/>
              </w:rPr>
              <w:t>End of the period</w:t>
            </w:r>
          </w:p>
        </w:tc>
        <w:tc>
          <w:tcPr>
            <w:tcW w:w="88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273,797</w:t>
            </w:r>
          </w:p>
        </w:tc>
        <w:tc>
          <w:tcPr>
            <w:tcW w:w="32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u w:val="single" w:color="auto"/>
                <w:color w:val="auto"/>
                <w:w w:val="79"/>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9"/>
              </w:rPr>
              <w:t>273,797</w:t>
            </w: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u w:val="single" w:color="auto"/>
                <w:color w:val="auto"/>
                <w:w w:val="71"/>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9"/>
              </w:rPr>
              <w:t>271,880</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7120" w:type="dxa"/>
            <w:vAlign w:val="bottom"/>
            <w:vMerge w:val="restart"/>
          </w:tcPr>
          <w:p>
            <w:pPr>
              <w:ind w:left="5460"/>
              <w:spacing w:after="0"/>
              <w:rPr>
                <w:sz w:val="20"/>
                <w:szCs w:val="20"/>
                <w:color w:val="auto"/>
              </w:rPr>
            </w:pPr>
            <w:r>
              <w:rPr>
                <w:rFonts w:ascii="Arial" w:cs="Arial" w:eastAsia="Arial" w:hAnsi="Arial"/>
                <w:sz w:val="18"/>
                <w:szCs w:val="18"/>
                <w:color w:val="auto"/>
              </w:rPr>
              <w:t>6</w:t>
            </w:r>
          </w:p>
        </w:tc>
        <w:tc>
          <w:tcPr>
            <w:tcW w:w="8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7120" w:type="dxa"/>
            <w:vAlign w:val="bottom"/>
            <w:vMerge w:val="continue"/>
          </w:tcPr>
          <w:p>
            <w:pPr>
              <w:spacing w:after="0"/>
              <w:rPr>
                <w:sz w:val="24"/>
                <w:szCs w:val="24"/>
                <w:color w:val="auto"/>
              </w:rPr>
            </w:pPr>
          </w:p>
        </w:tc>
        <w:tc>
          <w:tcPr>
            <w:tcW w:w="8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020"/>
          </w:cols>
          <w:pgMar w:left="440" w:top="1080" w:right="439" w:bottom="1440" w:gutter="0" w:footer="0" w:header="0"/>
        </w:sectPr>
      </w:pPr>
    </w:p>
    <w:bookmarkStart w:id="9" w:name="page10"/>
    <w:bookmarkEnd w:id="9"/>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74865" cy="38100"/>
                    </a:xfrm>
                    <a:prstGeom prst="rect">
                      <a:avLst/>
                    </a:prstGeom>
                    <a:noFill/>
                  </pic:spPr>
                </pic:pic>
              </a:graphicData>
            </a:graphic>
          </wp:anchor>
        </w:drawing>
        <w:drawing>
          <wp:anchor simplePos="0" relativeHeight="251657728" behindDoc="1" locked="0" layoutInCell="0" allowOverlap="1">
            <wp:simplePos x="0" y="0"/>
            <wp:positionH relativeFrom="page">
              <wp:posOffset>5814695</wp:posOffset>
            </wp:positionH>
            <wp:positionV relativeFrom="page">
              <wp:posOffset>182880</wp:posOffset>
            </wp:positionV>
            <wp:extent cx="1457325" cy="41973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clrChange>
                        <a:clrFrom>
                          <a:srgbClr val="FFFFFF"/>
                        </a:clrFrom>
                        <a:clrTo>
                          <a:srgbClr val="FFFFFF">
                            <a:alpha val="0"/>
                          </a:srgbClr>
                        </a:clrTo>
                      </a:clrChange>
                      <a:extLst>
                        <a:ext uri="{28A0092B-C50C-407E-A947-70E740481C1C}"/>
                      </a:extLst>
                    </a:blip>
                    <a:srcRect/>
                    <a:stretch>
                      <a:fillRect/>
                    </a:stretch>
                  </pic:blipFill>
                  <pic:spPr bwMode="auto">
                    <a:xfrm>
                      <a:off x="0" y="0"/>
                      <a:ext cx="1457325" cy="419735"/>
                    </a:xfrm>
                    <a:prstGeom prst="rect">
                      <a:avLst/>
                    </a:prstGeom>
                    <a:noFill/>
                  </pic:spPr>
                </pic:pic>
              </a:graphicData>
            </a:graphic>
          </wp:anchor>
        </w:drawing>
        <w:t>MAGNACHIP SEMICONDUCTOR CORPORATION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RECONCILIATION OF OPERATING INCOME (LOSS) TO ADJUSTED OPERATING INCOME</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of U.S. dollars)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74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140" w:type="dxa"/>
            <w:vAlign w:val="bottom"/>
            <w:gridSpan w:val="7"/>
          </w:tcPr>
          <w:p>
            <w:pPr>
              <w:jc w:val="center"/>
              <w:ind w:right="180"/>
              <w:spacing w:after="0"/>
              <w:rPr>
                <w:sz w:val="20"/>
                <w:szCs w:val="20"/>
                <w:color w:val="auto"/>
              </w:rPr>
            </w:pPr>
            <w:r>
              <w:rPr>
                <w:rFonts w:ascii="Arial" w:cs="Arial" w:eastAsia="Arial" w:hAnsi="Arial"/>
                <w:sz w:val="14"/>
                <w:szCs w:val="14"/>
                <w:b w:val="1"/>
                <w:bCs w:val="1"/>
                <w:color w:val="auto"/>
                <w:w w:val="95"/>
              </w:rPr>
              <w:t>Three Months Ended</w:t>
            </w:r>
          </w:p>
        </w:tc>
        <w:tc>
          <w:tcPr>
            <w:tcW w:w="1460" w:type="dxa"/>
            <w:vAlign w:val="bottom"/>
            <w:gridSpan w:val="5"/>
          </w:tcPr>
          <w:p>
            <w:pPr>
              <w:jc w:val="right"/>
              <w:ind w:right="220"/>
              <w:spacing w:after="0"/>
              <w:rPr>
                <w:sz w:val="20"/>
                <w:szCs w:val="20"/>
                <w:color w:val="auto"/>
              </w:rPr>
            </w:pPr>
            <w:r>
              <w:rPr>
                <w:rFonts w:ascii="Arial" w:cs="Arial" w:eastAsia="Arial" w:hAnsi="Arial"/>
                <w:sz w:val="14"/>
                <w:szCs w:val="14"/>
                <w:b w:val="1"/>
                <w:bCs w:val="1"/>
                <w:color w:val="auto"/>
              </w:rPr>
              <w:t>Six Months Ended</w:t>
            </w:r>
          </w:p>
        </w:tc>
      </w:tr>
      <w:tr>
        <w:trPr>
          <w:trHeight w:val="119"/>
        </w:trPr>
        <w:tc>
          <w:tcPr>
            <w:tcW w:w="74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520" w:type="dxa"/>
            <w:vAlign w:val="bottom"/>
            <w:tcBorders>
              <w:top w:val="single" w:sz="8" w:color="auto"/>
            </w:tcBorders>
            <w:gridSpan w:val="2"/>
          </w:tcPr>
          <w:p>
            <w:pPr>
              <w:jc w:val="right"/>
              <w:ind w:right="20"/>
              <w:spacing w:after="0" w:line="119" w:lineRule="exact"/>
              <w:rPr>
                <w:sz w:val="20"/>
                <w:szCs w:val="20"/>
                <w:color w:val="auto"/>
              </w:rPr>
            </w:pPr>
            <w:r>
              <w:rPr>
                <w:rFonts w:ascii="Arial" w:cs="Arial" w:eastAsia="Arial" w:hAnsi="Arial"/>
                <w:sz w:val="13"/>
                <w:szCs w:val="13"/>
                <w:b w:val="1"/>
                <w:bCs w:val="1"/>
                <w:color w:val="auto"/>
                <w:w w:val="92"/>
              </w:rPr>
              <w:t>June 30,</w:t>
            </w:r>
          </w:p>
        </w:tc>
        <w:tc>
          <w:tcPr>
            <w:tcW w:w="140" w:type="dxa"/>
            <w:vAlign w:val="bottom"/>
            <w:tcBorders>
              <w:top w:val="single" w:sz="8" w:color="auto"/>
            </w:tcBorders>
          </w:tcPr>
          <w:p>
            <w:pPr>
              <w:spacing w:after="0"/>
              <w:rPr>
                <w:sz w:val="10"/>
                <w:szCs w:val="10"/>
                <w:color w:val="auto"/>
              </w:rPr>
            </w:pPr>
          </w:p>
        </w:tc>
        <w:tc>
          <w:tcPr>
            <w:tcW w:w="800" w:type="dxa"/>
            <w:vAlign w:val="bottom"/>
            <w:tcBorders>
              <w:top w:val="single" w:sz="8" w:color="auto"/>
            </w:tcBorders>
            <w:gridSpan w:val="2"/>
          </w:tcPr>
          <w:p>
            <w:pPr>
              <w:jc w:val="center"/>
              <w:ind w:right="160"/>
              <w:spacing w:after="0" w:line="119" w:lineRule="exact"/>
              <w:rPr>
                <w:sz w:val="20"/>
                <w:szCs w:val="20"/>
                <w:color w:val="auto"/>
              </w:rPr>
            </w:pPr>
            <w:r>
              <w:rPr>
                <w:rFonts w:ascii="Arial" w:cs="Arial" w:eastAsia="Arial" w:hAnsi="Arial"/>
                <w:sz w:val="13"/>
                <w:szCs w:val="13"/>
                <w:b w:val="1"/>
                <w:bCs w:val="1"/>
                <w:color w:val="auto"/>
              </w:rPr>
              <w:t>March 31,</w:t>
            </w:r>
          </w:p>
        </w:tc>
        <w:tc>
          <w:tcPr>
            <w:tcW w:w="520" w:type="dxa"/>
            <w:vAlign w:val="bottom"/>
            <w:tcBorders>
              <w:top w:val="single" w:sz="8" w:color="auto"/>
            </w:tcBorders>
          </w:tcPr>
          <w:p>
            <w:pPr>
              <w:jc w:val="right"/>
              <w:spacing w:after="0" w:line="119" w:lineRule="exact"/>
              <w:rPr>
                <w:sz w:val="20"/>
                <w:szCs w:val="20"/>
                <w:color w:val="auto"/>
              </w:rPr>
            </w:pPr>
            <w:r>
              <w:rPr>
                <w:rFonts w:ascii="Arial" w:cs="Arial" w:eastAsia="Arial" w:hAnsi="Arial"/>
                <w:sz w:val="13"/>
                <w:szCs w:val="13"/>
                <w:b w:val="1"/>
                <w:bCs w:val="1"/>
                <w:color w:val="auto"/>
                <w:w w:val="96"/>
              </w:rPr>
              <w:t>June 30,</w:t>
            </w:r>
          </w:p>
        </w:tc>
        <w:tc>
          <w:tcPr>
            <w:tcW w:w="160" w:type="dxa"/>
            <w:vAlign w:val="bottom"/>
          </w:tcPr>
          <w:p>
            <w:pPr>
              <w:spacing w:after="0"/>
              <w:rPr>
                <w:sz w:val="10"/>
                <w:szCs w:val="10"/>
                <w:color w:val="auto"/>
              </w:rPr>
            </w:pPr>
          </w:p>
        </w:tc>
        <w:tc>
          <w:tcPr>
            <w:tcW w:w="740" w:type="dxa"/>
            <w:vAlign w:val="bottom"/>
            <w:tcBorders>
              <w:top w:val="single" w:sz="8" w:color="auto"/>
            </w:tcBorders>
            <w:gridSpan w:val="2"/>
          </w:tcPr>
          <w:p>
            <w:pPr>
              <w:jc w:val="right"/>
              <w:ind w:right="200"/>
              <w:spacing w:after="0" w:line="119" w:lineRule="exact"/>
              <w:rPr>
                <w:sz w:val="20"/>
                <w:szCs w:val="20"/>
                <w:color w:val="auto"/>
              </w:rPr>
            </w:pPr>
            <w:r>
              <w:rPr>
                <w:rFonts w:ascii="Arial" w:cs="Arial" w:eastAsia="Arial" w:hAnsi="Arial"/>
                <w:sz w:val="13"/>
                <w:szCs w:val="13"/>
                <w:b w:val="1"/>
                <w:bCs w:val="1"/>
                <w:color w:val="auto"/>
                <w:w w:val="99"/>
              </w:rPr>
              <w:t>June 30,</w:t>
            </w:r>
          </w:p>
        </w:tc>
        <w:tc>
          <w:tcPr>
            <w:tcW w:w="600" w:type="dxa"/>
            <w:vAlign w:val="bottom"/>
            <w:tcBorders>
              <w:top w:val="single" w:sz="8" w:color="auto"/>
            </w:tcBorders>
            <w:gridSpan w:val="2"/>
          </w:tcPr>
          <w:p>
            <w:pPr>
              <w:jc w:val="right"/>
              <w:spacing w:after="0" w:line="119" w:lineRule="exact"/>
              <w:rPr>
                <w:sz w:val="20"/>
                <w:szCs w:val="20"/>
                <w:color w:val="auto"/>
              </w:rPr>
            </w:pPr>
            <w:r>
              <w:rPr>
                <w:rFonts w:ascii="Arial" w:cs="Arial" w:eastAsia="Arial" w:hAnsi="Arial"/>
                <w:sz w:val="13"/>
                <w:szCs w:val="13"/>
                <w:b w:val="1"/>
                <w:bCs w:val="1"/>
                <w:color w:val="auto"/>
              </w:rPr>
              <w:t>June 30,</w:t>
            </w:r>
          </w:p>
        </w:tc>
        <w:tc>
          <w:tcPr>
            <w:tcW w:w="120" w:type="dxa"/>
            <w:vAlign w:val="bottom"/>
          </w:tcPr>
          <w:p>
            <w:pPr>
              <w:spacing w:after="0"/>
              <w:rPr>
                <w:sz w:val="10"/>
                <w:szCs w:val="10"/>
                <w:color w:val="auto"/>
              </w:rPr>
            </w:pPr>
          </w:p>
        </w:tc>
      </w:tr>
      <w:tr>
        <w:trPr>
          <w:trHeight w:val="171"/>
        </w:trPr>
        <w:tc>
          <w:tcPr>
            <w:tcW w:w="7400" w:type="dxa"/>
            <w:vAlign w:val="bottom"/>
          </w:tcPr>
          <w:p>
            <w:pPr>
              <w:spacing w:after="0"/>
              <w:rPr>
                <w:sz w:val="14"/>
                <w:szCs w:val="14"/>
                <w:color w:val="auto"/>
              </w:rPr>
            </w:pPr>
          </w:p>
        </w:tc>
        <w:tc>
          <w:tcPr>
            <w:tcW w:w="520" w:type="dxa"/>
            <w:vAlign w:val="bottom"/>
            <w:gridSpan w:val="2"/>
          </w:tcPr>
          <w:p>
            <w:pPr>
              <w:jc w:val="right"/>
              <w:ind w:right="38"/>
              <w:spacing w:after="0"/>
              <w:rPr>
                <w:sz w:val="20"/>
                <w:szCs w:val="20"/>
                <w:color w:val="auto"/>
              </w:rPr>
            </w:pPr>
            <w:r>
              <w:rPr>
                <w:rFonts w:ascii="Arial" w:cs="Arial" w:eastAsia="Arial" w:hAnsi="Arial"/>
                <w:sz w:val="14"/>
                <w:szCs w:val="14"/>
                <w:b w:val="1"/>
                <w:bCs w:val="1"/>
                <w:color w:val="auto"/>
              </w:rPr>
              <w:t>2022</w:t>
            </w:r>
          </w:p>
        </w:tc>
        <w:tc>
          <w:tcPr>
            <w:tcW w:w="20" w:type="dxa"/>
            <w:vAlign w:val="bottom"/>
          </w:tcPr>
          <w:p>
            <w:pPr>
              <w:spacing w:after="0"/>
              <w:rPr>
                <w:sz w:val="14"/>
                <w:szCs w:val="14"/>
                <w:color w:val="auto"/>
              </w:rPr>
            </w:pPr>
          </w:p>
        </w:tc>
        <w:tc>
          <w:tcPr>
            <w:tcW w:w="780" w:type="dxa"/>
            <w:vAlign w:val="bottom"/>
            <w:gridSpan w:val="2"/>
          </w:tcPr>
          <w:p>
            <w:pPr>
              <w:jc w:val="center"/>
              <w:ind w:left="59"/>
              <w:spacing w:after="0"/>
              <w:rPr>
                <w:sz w:val="20"/>
                <w:szCs w:val="20"/>
                <w:color w:val="auto"/>
              </w:rPr>
            </w:pPr>
            <w:r>
              <w:rPr>
                <w:rFonts w:ascii="Arial" w:cs="Arial" w:eastAsia="Arial" w:hAnsi="Arial"/>
                <w:sz w:val="14"/>
                <w:szCs w:val="14"/>
                <w:b w:val="1"/>
                <w:bCs w:val="1"/>
                <w:color w:val="auto"/>
                <w:w w:val="89"/>
              </w:rPr>
              <w:t>2022</w:t>
            </w:r>
          </w:p>
        </w:tc>
        <w:tc>
          <w:tcPr>
            <w:tcW w:w="160" w:type="dxa"/>
            <w:vAlign w:val="bottom"/>
          </w:tcPr>
          <w:p>
            <w:pPr>
              <w:spacing w:after="0"/>
              <w:rPr>
                <w:sz w:val="14"/>
                <w:szCs w:val="14"/>
                <w:color w:val="auto"/>
              </w:rPr>
            </w:pPr>
          </w:p>
        </w:tc>
        <w:tc>
          <w:tcPr>
            <w:tcW w:w="520" w:type="dxa"/>
            <w:vAlign w:val="bottom"/>
          </w:tcPr>
          <w:p>
            <w:pPr>
              <w:jc w:val="right"/>
              <w:ind w:right="36"/>
              <w:spacing w:after="0"/>
              <w:rPr>
                <w:sz w:val="20"/>
                <w:szCs w:val="20"/>
                <w:color w:val="auto"/>
              </w:rPr>
            </w:pPr>
            <w:r>
              <w:rPr>
                <w:rFonts w:ascii="Arial" w:cs="Arial" w:eastAsia="Arial" w:hAnsi="Arial"/>
                <w:sz w:val="14"/>
                <w:szCs w:val="14"/>
                <w:b w:val="1"/>
                <w:bCs w:val="1"/>
                <w:color w:val="auto"/>
              </w:rPr>
              <w:t>2021</w:t>
            </w:r>
          </w:p>
        </w:tc>
        <w:tc>
          <w:tcPr>
            <w:tcW w:w="160" w:type="dxa"/>
            <w:vAlign w:val="bottom"/>
          </w:tcPr>
          <w:p>
            <w:pPr>
              <w:spacing w:after="0"/>
              <w:rPr>
                <w:sz w:val="14"/>
                <w:szCs w:val="14"/>
                <w:color w:val="auto"/>
              </w:rPr>
            </w:pPr>
          </w:p>
        </w:tc>
        <w:tc>
          <w:tcPr>
            <w:tcW w:w="580" w:type="dxa"/>
            <w:vAlign w:val="bottom"/>
          </w:tcPr>
          <w:p>
            <w:pPr>
              <w:jc w:val="center"/>
              <w:spacing w:after="0"/>
              <w:rPr>
                <w:sz w:val="20"/>
                <w:szCs w:val="20"/>
                <w:color w:val="auto"/>
              </w:rPr>
            </w:pPr>
            <w:r>
              <w:rPr>
                <w:rFonts w:ascii="Arial" w:cs="Arial" w:eastAsia="Arial" w:hAnsi="Arial"/>
                <w:sz w:val="14"/>
                <w:szCs w:val="14"/>
                <w:b w:val="1"/>
                <w:bCs w:val="1"/>
                <w:color w:val="auto"/>
                <w:w w:val="96"/>
              </w:rPr>
              <w:t>2022</w:t>
            </w: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00" w:type="dxa"/>
            <w:vAlign w:val="bottom"/>
          </w:tcPr>
          <w:p>
            <w:pPr>
              <w:jc w:val="right"/>
              <w:ind w:right="53"/>
              <w:spacing w:after="0"/>
              <w:rPr>
                <w:sz w:val="20"/>
                <w:szCs w:val="20"/>
                <w:color w:val="auto"/>
              </w:rPr>
            </w:pPr>
            <w:r>
              <w:rPr>
                <w:rFonts w:ascii="Arial" w:cs="Arial" w:eastAsia="Arial" w:hAnsi="Arial"/>
                <w:sz w:val="14"/>
                <w:szCs w:val="14"/>
                <w:b w:val="1"/>
                <w:bCs w:val="1"/>
                <w:color w:val="auto"/>
              </w:rPr>
              <w:t>2021</w:t>
            </w:r>
          </w:p>
        </w:tc>
        <w:tc>
          <w:tcPr>
            <w:tcW w:w="120" w:type="dxa"/>
            <w:vAlign w:val="bottom"/>
          </w:tcPr>
          <w:p>
            <w:pPr>
              <w:spacing w:after="0"/>
              <w:rPr>
                <w:sz w:val="14"/>
                <w:szCs w:val="14"/>
                <w:color w:val="auto"/>
              </w:rPr>
            </w:pPr>
          </w:p>
        </w:tc>
      </w:tr>
      <w:tr>
        <w:trPr>
          <w:trHeight w:val="209"/>
        </w:trPr>
        <w:tc>
          <w:tcPr>
            <w:tcW w:w="74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Operating income (loss)</w:t>
            </w:r>
          </w:p>
        </w:tc>
        <w:tc>
          <w:tcPr>
            <w:tcW w:w="20" w:type="dxa"/>
            <w:vAlign w:val="bottom"/>
            <w:tcBorders>
              <w:top w:val="single" w:sz="8" w:color="CCEEFF"/>
            </w:tcBorders>
            <w:shd w:val="clear" w:color="auto" w:fill="CCEEFF"/>
          </w:tcPr>
          <w:p>
            <w:pPr>
              <w:spacing w:after="0"/>
              <w:rPr>
                <w:sz w:val="18"/>
                <w:szCs w:val="18"/>
                <w:color w:val="auto"/>
              </w:rPr>
            </w:pPr>
          </w:p>
        </w:tc>
        <w:tc>
          <w:tcPr>
            <w:tcW w:w="5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$ 2,002</w:t>
            </w:r>
          </w:p>
        </w:tc>
        <w:tc>
          <w:tcPr>
            <w:tcW w:w="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6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8"/>
              </w:rPr>
              <w:t>$ 12,879</w:t>
            </w:r>
          </w:p>
        </w:tc>
        <w:tc>
          <w:tcPr>
            <w:tcW w:w="160" w:type="dxa"/>
            <w:vAlign w:val="bottom"/>
            <w:tcBorders>
              <w:top w:val="single" w:sz="8" w:color="CCEEFF"/>
            </w:tcBorders>
            <w:shd w:val="clear" w:color="auto" w:fill="CCEEFF"/>
          </w:tcPr>
          <w:p>
            <w:pPr>
              <w:spacing w:after="0"/>
              <w:rPr>
                <w:sz w:val="18"/>
                <w:szCs w:val="18"/>
                <w:color w:val="auto"/>
              </w:rPr>
            </w:pPr>
          </w:p>
        </w:tc>
        <w:tc>
          <w:tcPr>
            <w:tcW w:w="5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3"/>
              </w:rPr>
              <w:t>$ 1,627</w:t>
            </w:r>
          </w:p>
        </w:tc>
        <w:tc>
          <w:tcPr>
            <w:tcW w:w="160" w:type="dxa"/>
            <w:vAlign w:val="bottom"/>
            <w:tcBorders>
              <w:top w:val="single" w:sz="8" w:color="CCEEFF"/>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89"/>
              </w:rPr>
              <w:t>$14,881</w:t>
            </w:r>
          </w:p>
        </w:tc>
        <w:tc>
          <w:tcPr>
            <w:tcW w:w="16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(464)</w:t>
            </w:r>
          </w:p>
        </w:tc>
        <w:tc>
          <w:tcPr>
            <w:tcW w:w="120" w:type="dxa"/>
            <w:vAlign w:val="bottom"/>
            <w:tcBorders>
              <w:top w:val="single" w:sz="8" w:color="CCEEFF"/>
            </w:tcBorders>
            <w:shd w:val="clear" w:color="auto" w:fill="CCEEFF"/>
          </w:tcPr>
          <w:p>
            <w:pPr>
              <w:spacing w:after="0"/>
              <w:rPr>
                <w:sz w:val="18"/>
                <w:szCs w:val="18"/>
                <w:color w:val="auto"/>
              </w:rPr>
            </w:pPr>
          </w:p>
        </w:tc>
      </w:tr>
      <w:tr>
        <w:trPr>
          <w:trHeight w:val="216"/>
        </w:trPr>
        <w:tc>
          <w:tcPr>
            <w:tcW w:w="7400" w:type="dxa"/>
            <w:vAlign w:val="bottom"/>
          </w:tcPr>
          <w:p>
            <w:pPr>
              <w:spacing w:after="0"/>
              <w:rPr>
                <w:sz w:val="20"/>
                <w:szCs w:val="20"/>
                <w:color w:val="auto"/>
              </w:rPr>
            </w:pPr>
            <w:r>
              <w:rPr>
                <w:rFonts w:ascii="Arial" w:cs="Arial" w:eastAsia="Arial" w:hAnsi="Arial"/>
                <w:sz w:val="18"/>
                <w:szCs w:val="18"/>
                <w:color w:val="auto"/>
              </w:rPr>
              <w:t>Adjustments:</w:t>
            </w:r>
          </w:p>
        </w:tc>
        <w:tc>
          <w:tcPr>
            <w:tcW w:w="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16"/>
        </w:trPr>
        <w:tc>
          <w:tcPr>
            <w:tcW w:w="74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Equity-based compensation expense</w:t>
            </w:r>
          </w:p>
        </w:tc>
        <w:tc>
          <w:tcPr>
            <w:tcW w:w="54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1,988</w:t>
            </w:r>
          </w:p>
        </w:tc>
        <w:tc>
          <w:tcPr>
            <w:tcW w:w="94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1,638</w:t>
            </w:r>
          </w:p>
        </w:tc>
        <w:tc>
          <w:tcPr>
            <w:tcW w:w="6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2,405</w:t>
            </w:r>
          </w:p>
        </w:tc>
        <w:tc>
          <w:tcPr>
            <w:tcW w:w="7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3,626</w:t>
            </w:r>
          </w:p>
        </w:tc>
        <w:tc>
          <w:tcPr>
            <w:tcW w:w="10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4,051</w:t>
            </w:r>
          </w:p>
        </w:tc>
      </w:tr>
      <w:tr>
        <w:trPr>
          <w:trHeight w:val="216"/>
        </w:trPr>
        <w:tc>
          <w:tcPr>
            <w:tcW w:w="7400" w:type="dxa"/>
            <w:vAlign w:val="bottom"/>
          </w:tcPr>
          <w:p>
            <w:pPr>
              <w:ind w:left="360"/>
              <w:spacing w:after="0"/>
              <w:rPr>
                <w:sz w:val="20"/>
                <w:szCs w:val="20"/>
                <w:color w:val="auto"/>
              </w:rPr>
            </w:pPr>
            <w:r>
              <w:rPr>
                <w:rFonts w:ascii="Arial" w:cs="Arial" w:eastAsia="Arial" w:hAnsi="Arial"/>
                <w:sz w:val="18"/>
                <w:szCs w:val="18"/>
                <w:color w:val="auto"/>
              </w:rPr>
              <w:t>Merger-related costs</w:t>
            </w:r>
          </w:p>
        </w:tc>
        <w:tc>
          <w:tcPr>
            <w:tcW w:w="20" w:type="dxa"/>
            <w:vAlign w:val="bottom"/>
          </w:tcPr>
          <w:p>
            <w:pPr>
              <w:spacing w:after="0"/>
              <w:rPr>
                <w:sz w:val="18"/>
                <w:szCs w:val="18"/>
                <w:color w:val="auto"/>
              </w:rPr>
            </w:pPr>
          </w:p>
        </w:tc>
        <w:tc>
          <w:tcPr>
            <w:tcW w:w="5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800" w:type="dxa"/>
            <w:vAlign w:val="bottom"/>
            <w:gridSpan w:val="2"/>
          </w:tcPr>
          <w:p>
            <w:pPr>
              <w:ind w:left="360"/>
              <w:spacing w:after="0"/>
              <w:rPr>
                <w:sz w:val="20"/>
                <w:szCs w:val="20"/>
                <w:color w:val="auto"/>
              </w:rPr>
            </w:pPr>
            <w:r>
              <w:rPr>
                <w:rFonts w:ascii="Arial" w:cs="Arial" w:eastAsia="Arial" w:hAnsi="Arial"/>
                <w:sz w:val="18"/>
                <w:szCs w:val="18"/>
                <w:color w:val="auto"/>
              </w:rPr>
              <w:t>—</w:t>
            </w:r>
          </w:p>
        </w:tc>
        <w:tc>
          <w:tcPr>
            <w:tcW w:w="680" w:type="dxa"/>
            <w:vAlign w:val="bottom"/>
            <w:gridSpan w:val="2"/>
          </w:tcPr>
          <w:p>
            <w:pPr>
              <w:jc w:val="right"/>
              <w:ind w:right="160"/>
              <w:spacing w:after="0"/>
              <w:rPr>
                <w:sz w:val="20"/>
                <w:szCs w:val="20"/>
                <w:color w:val="auto"/>
              </w:rPr>
            </w:pPr>
            <w:r>
              <w:rPr>
                <w:rFonts w:ascii="Arial" w:cs="Arial" w:eastAsia="Arial" w:hAnsi="Arial"/>
                <w:sz w:val="18"/>
                <w:szCs w:val="18"/>
                <w:color w:val="auto"/>
              </w:rPr>
              <w:t>2,459</w:t>
            </w:r>
          </w:p>
        </w:tc>
        <w:tc>
          <w:tcPr>
            <w:tcW w:w="74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620" w:type="dxa"/>
            <w:vAlign w:val="bottom"/>
            <w:gridSpan w:val="2"/>
          </w:tcPr>
          <w:p>
            <w:pPr>
              <w:jc w:val="right"/>
              <w:ind w:right="120"/>
              <w:spacing w:after="0"/>
              <w:rPr>
                <w:sz w:val="20"/>
                <w:szCs w:val="20"/>
                <w:color w:val="auto"/>
              </w:rPr>
            </w:pPr>
            <w:r>
              <w:rPr>
                <w:rFonts w:ascii="Arial" w:cs="Arial" w:eastAsia="Arial" w:hAnsi="Arial"/>
                <w:sz w:val="18"/>
                <w:szCs w:val="18"/>
                <w:color w:val="auto"/>
                <w:w w:val="87"/>
              </w:rPr>
              <w:t>12,290</w:t>
            </w:r>
          </w:p>
        </w:tc>
      </w:tr>
      <w:tr>
        <w:trPr>
          <w:trHeight w:val="216"/>
        </w:trPr>
        <w:tc>
          <w:tcPr>
            <w:tcW w:w="74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Other charges</w:t>
            </w:r>
          </w:p>
        </w:tc>
        <w:tc>
          <w:tcPr>
            <w:tcW w:w="54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797</w:t>
            </w:r>
          </w:p>
        </w:tc>
        <w:tc>
          <w:tcPr>
            <w:tcW w:w="140" w:type="dxa"/>
            <w:vAlign w:val="bottom"/>
            <w:shd w:val="clear" w:color="auto" w:fill="CCEEFF"/>
          </w:tcPr>
          <w:p>
            <w:pPr>
              <w:spacing w:after="0"/>
              <w:rPr>
                <w:sz w:val="18"/>
                <w:szCs w:val="18"/>
                <w:color w:val="auto"/>
              </w:rPr>
            </w:pPr>
          </w:p>
        </w:tc>
        <w:tc>
          <w:tcPr>
            <w:tcW w:w="80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w:t>
            </w:r>
          </w:p>
        </w:tc>
        <w:tc>
          <w:tcPr>
            <w:tcW w:w="6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2,561</w:t>
            </w:r>
          </w:p>
        </w:tc>
        <w:tc>
          <w:tcPr>
            <w:tcW w:w="7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797</w:t>
            </w:r>
          </w:p>
        </w:tc>
        <w:tc>
          <w:tcPr>
            <w:tcW w:w="10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3,146</w:t>
            </w:r>
          </w:p>
        </w:tc>
      </w:tr>
      <w:tr>
        <w:trPr>
          <w:trHeight w:val="223"/>
        </w:trPr>
        <w:tc>
          <w:tcPr>
            <w:tcW w:w="7400" w:type="dxa"/>
            <w:vAlign w:val="bottom"/>
          </w:tcPr>
          <w:p>
            <w:pPr>
              <w:spacing w:after="0"/>
              <w:rPr>
                <w:sz w:val="20"/>
                <w:szCs w:val="20"/>
                <w:color w:val="auto"/>
              </w:rPr>
            </w:pPr>
            <w:r>
              <w:rPr>
                <w:rFonts w:ascii="Arial" w:cs="Arial" w:eastAsia="Arial" w:hAnsi="Arial"/>
                <w:sz w:val="18"/>
                <w:szCs w:val="18"/>
                <w:color w:val="auto"/>
              </w:rPr>
              <w:t>Adjusted Operating Income</w:t>
            </w:r>
          </w:p>
        </w:tc>
        <w:tc>
          <w:tcPr>
            <w:tcW w:w="20" w:type="dxa"/>
            <w:vAlign w:val="bottom"/>
            <w:tcBorders>
              <w:bottom w:val="single" w:sz="8" w:color="auto"/>
            </w:tcBorders>
          </w:tcPr>
          <w:p>
            <w:pPr>
              <w:spacing w:after="0"/>
              <w:rPr>
                <w:sz w:val="19"/>
                <w:szCs w:val="19"/>
                <w:color w:val="auto"/>
              </w:rPr>
            </w:pPr>
          </w:p>
        </w:tc>
        <w:tc>
          <w:tcPr>
            <w:tcW w:w="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u w:val="single" w:color="auto"/>
                <w:color w:val="auto"/>
                <w:w w:val="79"/>
              </w:rPr>
              <w:t>$</w:t>
            </w:r>
            <w:r>
              <w:rPr>
                <w:rFonts w:ascii="Arial" w:cs="Arial" w:eastAsia="Arial" w:hAnsi="Arial"/>
                <w:sz w:val="18"/>
                <w:szCs w:val="18"/>
                <w:color w:val="auto"/>
                <w:w w:val="79"/>
              </w:rPr>
              <w:t xml:space="preserve"> 4,787</w:t>
            </w:r>
          </w:p>
        </w:tc>
        <w:tc>
          <w:tcPr>
            <w:tcW w:w="20" w:type="dxa"/>
            <w:vAlign w:val="bottom"/>
            <w:tcBorders>
              <w:bottom w:val="single" w:sz="8" w:color="auto"/>
            </w:tcBorders>
          </w:tcPr>
          <w:p>
            <w:pPr>
              <w:spacing w:after="0"/>
              <w:rPr>
                <w:sz w:val="19"/>
                <w:szCs w:val="19"/>
                <w:color w:val="auto"/>
              </w:rPr>
            </w:pPr>
          </w:p>
        </w:tc>
        <w:tc>
          <w:tcPr>
            <w:tcW w:w="140" w:type="dxa"/>
            <w:vAlign w:val="bottom"/>
          </w:tcPr>
          <w:p>
            <w:pPr>
              <w:spacing w:after="0"/>
              <w:rPr>
                <w:sz w:val="19"/>
                <w:szCs w:val="19"/>
                <w:color w:val="auto"/>
              </w:rPr>
            </w:pP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8"/>
              </w:rPr>
              <w:t>$ 14,517</w:t>
            </w:r>
          </w:p>
        </w:tc>
        <w:tc>
          <w:tcPr>
            <w:tcW w:w="160" w:type="dxa"/>
            <w:vAlign w:val="bottom"/>
          </w:tcPr>
          <w:p>
            <w:pPr>
              <w:spacing w:after="0"/>
              <w:rPr>
                <w:sz w:val="19"/>
                <w:szCs w:val="19"/>
                <w:color w:val="auto"/>
              </w:rPr>
            </w:pPr>
          </w:p>
        </w:tc>
        <w:tc>
          <w:tcPr>
            <w:tcW w:w="5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u w:val="single" w:color="auto"/>
                <w:color w:val="auto"/>
                <w:w w:val="83"/>
              </w:rPr>
              <w:t>$</w:t>
            </w:r>
            <w:r>
              <w:rPr>
                <w:rFonts w:ascii="Arial" w:cs="Arial" w:eastAsia="Arial" w:hAnsi="Arial"/>
                <w:sz w:val="18"/>
                <w:szCs w:val="18"/>
                <w:color w:val="auto"/>
                <w:w w:val="83"/>
              </w:rPr>
              <w:t xml:space="preserve"> 9,052</w:t>
            </w:r>
          </w:p>
        </w:tc>
        <w:tc>
          <w:tcPr>
            <w:tcW w:w="160" w:type="dxa"/>
            <w:vAlign w:val="bottom"/>
          </w:tcPr>
          <w:p>
            <w:pPr>
              <w:spacing w:after="0"/>
              <w:rPr>
                <w:sz w:val="19"/>
                <w:szCs w:val="19"/>
                <w:color w:val="auto"/>
              </w:rPr>
            </w:pPr>
          </w:p>
        </w:tc>
        <w:tc>
          <w:tcPr>
            <w:tcW w:w="580" w:type="dxa"/>
            <w:vAlign w:val="bottom"/>
            <w:tcBorders>
              <w:top w:val="single" w:sz="8" w:color="auto"/>
              <w:bottom w:val="single" w:sz="8" w:color="auto"/>
            </w:tcBorders>
          </w:tcPr>
          <w:p>
            <w:pPr>
              <w:jc w:val="center"/>
              <w:spacing w:after="0"/>
              <w:rPr>
                <w:sz w:val="20"/>
                <w:szCs w:val="20"/>
                <w:color w:val="auto"/>
              </w:rPr>
            </w:pPr>
            <w:r>
              <w:rPr>
                <w:rFonts w:ascii="Arial" w:cs="Arial" w:eastAsia="Arial" w:hAnsi="Arial"/>
                <w:sz w:val="18"/>
                <w:szCs w:val="18"/>
                <w:u w:val="single" w:color="auto"/>
                <w:color w:val="auto"/>
                <w:w w:val="89"/>
              </w:rPr>
              <w:t>$</w:t>
            </w:r>
            <w:r>
              <w:rPr>
                <w:rFonts w:ascii="Arial" w:cs="Arial" w:eastAsia="Arial" w:hAnsi="Arial"/>
                <w:sz w:val="18"/>
                <w:szCs w:val="18"/>
                <w:color w:val="auto"/>
                <w:w w:val="89"/>
              </w:rPr>
              <w:t>19,304</w:t>
            </w:r>
          </w:p>
        </w:tc>
        <w:tc>
          <w:tcPr>
            <w:tcW w:w="16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u w:val="single" w:color="auto"/>
                <w:color w:val="auto"/>
                <w:w w:val="79"/>
              </w:rPr>
              <w:t>$</w:t>
            </w:r>
          </w:p>
        </w:tc>
        <w:tc>
          <w:tcPr>
            <w:tcW w:w="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7"/>
              </w:rPr>
              <w:t>19,023</w:t>
            </w:r>
          </w:p>
        </w:tc>
        <w:tc>
          <w:tcPr>
            <w:tcW w:w="120" w:type="dxa"/>
            <w:vAlign w:val="bottom"/>
          </w:tcPr>
          <w:p>
            <w:pPr>
              <w:spacing w:after="0"/>
              <w:rPr>
                <w:sz w:val="19"/>
                <w:szCs w:val="19"/>
                <w:color w:val="auto"/>
              </w:rPr>
            </w:pPr>
          </w:p>
        </w:tc>
      </w:tr>
      <w:tr>
        <w:trPr>
          <w:trHeight w:val="20"/>
        </w:trPr>
        <w:tc>
          <w:tcPr>
            <w:tcW w:w="74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15" w:lineRule="exact"/>
        <w:rPr>
          <w:sz w:val="20"/>
          <w:szCs w:val="20"/>
          <w:color w:val="auto"/>
        </w:rPr>
      </w:pPr>
    </w:p>
    <w:p>
      <w:pPr>
        <w:ind w:right="380" w:firstLine="440"/>
        <w:spacing w:after="0" w:line="342" w:lineRule="auto"/>
        <w:rPr>
          <w:sz w:val="20"/>
          <w:szCs w:val="20"/>
          <w:color w:val="auto"/>
        </w:rPr>
      </w:pPr>
      <w:r>
        <w:rPr>
          <w:rFonts w:ascii="Arial" w:cs="Arial" w:eastAsia="Arial" w:hAnsi="Arial"/>
          <w:sz w:val="16"/>
          <w:szCs w:val="16"/>
          <w:color w:val="auto"/>
        </w:rPr>
        <w:t>We present Adjusted Operating Income as a supplemental measure of our performance. We define Adjusted Operating Income for the periods indicated as operating income (loss) adjusted to exclude (i) Equity-based compensation expense (ii) Merger-related costs and (iii) Other charges.</w:t>
      </w:r>
    </w:p>
    <w:p>
      <w:pPr>
        <w:spacing w:after="0" w:line="124" w:lineRule="exact"/>
        <w:rPr>
          <w:sz w:val="20"/>
          <w:szCs w:val="20"/>
          <w:color w:val="auto"/>
        </w:rPr>
      </w:pPr>
    </w:p>
    <w:p>
      <w:pPr>
        <w:ind w:right="160" w:firstLine="440"/>
        <w:spacing w:after="0" w:line="277" w:lineRule="auto"/>
        <w:rPr>
          <w:sz w:val="20"/>
          <w:szCs w:val="20"/>
          <w:color w:val="auto"/>
        </w:rPr>
      </w:pPr>
      <w:r>
        <w:rPr>
          <w:rFonts w:ascii="Arial" w:cs="Arial" w:eastAsia="Arial" w:hAnsi="Arial"/>
          <w:sz w:val="18"/>
          <w:szCs w:val="18"/>
          <w:color w:val="auto"/>
        </w:rPr>
        <w:t>For the three and six months ended June 30, 2021, we recorded $2,459 thousand and $12,290 thousand, respectively, of professional service fees and expenses incurred in connection with the contemplated merger transaction.</w:t>
      </w:r>
    </w:p>
    <w:p>
      <w:pPr>
        <w:spacing w:after="0" w:line="170" w:lineRule="exact"/>
        <w:rPr>
          <w:sz w:val="20"/>
          <w:szCs w:val="20"/>
          <w:color w:val="auto"/>
        </w:rPr>
      </w:pPr>
    </w:p>
    <w:p>
      <w:pPr>
        <w:ind w:right="40" w:firstLine="440"/>
        <w:spacing w:after="0" w:line="286" w:lineRule="auto"/>
        <w:rPr>
          <w:sz w:val="20"/>
          <w:szCs w:val="20"/>
          <w:color w:val="auto"/>
        </w:rPr>
      </w:pPr>
      <w:r>
        <w:rPr>
          <w:rFonts w:ascii="Arial" w:cs="Arial" w:eastAsia="Arial" w:hAnsi="Arial"/>
          <w:sz w:val="17"/>
          <w:szCs w:val="17"/>
          <w:color w:val="auto"/>
        </w:rPr>
        <w:t>For the three and six months ended June 30, 2022, we recorded $797 thousand of professional service fees and expenses incurred in connection with certain strategic evaluations. For the three and six months ended June 30, 2021, we recorded $2,561 thousand and $3,146 thousand, respectively, of non-recurring professional service fees and expenses incurred in connection with the regulatory requests.</w:t>
      </w:r>
    </w:p>
    <w:p>
      <w:pPr>
        <w:spacing w:after="0" w:line="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020"/>
          </w:cols>
          <w:pgMar w:left="440" w:top="1080" w:right="439" w:bottom="1440" w:gutter="0" w:footer="0" w:header="0"/>
        </w:sectPr>
      </w:pPr>
    </w:p>
    <w:bookmarkStart w:id="10" w:name="page11"/>
    <w:bookmarkEnd w:id="10"/>
    <w:p>
      <w:pPr>
        <w:jc w:val="center"/>
        <w:ind w:right="-3"/>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74865" cy="38735"/>
                    </a:xfrm>
                    <a:prstGeom prst="rect">
                      <a:avLst/>
                    </a:prstGeom>
                    <a:noFill/>
                  </pic:spPr>
                </pic:pic>
              </a:graphicData>
            </a:graphic>
          </wp:anchor>
        </w:drawing>
        <w:drawing>
          <wp:anchor simplePos="0" relativeHeight="251657728" behindDoc="1" locked="0" layoutInCell="0" allowOverlap="1">
            <wp:simplePos x="0" y="0"/>
            <wp:positionH relativeFrom="page">
              <wp:posOffset>5814695</wp:posOffset>
            </wp:positionH>
            <wp:positionV relativeFrom="page">
              <wp:posOffset>183515</wp:posOffset>
            </wp:positionV>
            <wp:extent cx="1457325" cy="42037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clrChange>
                        <a:clrFrom>
                          <a:srgbClr val="FFFFFF"/>
                        </a:clrFrom>
                        <a:clrTo>
                          <a:srgbClr val="FFFFFF">
                            <a:alpha val="0"/>
                          </a:srgbClr>
                        </a:clrTo>
                      </a:clrChange>
                      <a:extLst>
                        <a:ext uri="{28A0092B-C50C-407E-A947-70E740481C1C}"/>
                      </a:extLst>
                    </a:blip>
                    <a:srcRect/>
                    <a:stretch>
                      <a:fillRect/>
                    </a:stretch>
                  </pic:blipFill>
                  <pic:spPr bwMode="auto">
                    <a:xfrm>
                      <a:off x="0" y="0"/>
                      <a:ext cx="1457325" cy="420370"/>
                    </a:xfrm>
                    <a:prstGeom prst="rect">
                      <a:avLst/>
                    </a:prstGeom>
                    <a:noFill/>
                  </pic:spPr>
                </pic:pic>
              </a:graphicData>
            </a:graphic>
          </wp:anchor>
        </w:drawing>
        <w:t>MAGNACHIP SEMICONDUCTOR CORPORATION AND SUBSIDIARIES</w:t>
      </w:r>
    </w:p>
    <w:p>
      <w:pPr>
        <w:spacing w:after="0" w:line="27" w:lineRule="exact"/>
        <w:rPr>
          <w:sz w:val="20"/>
          <w:szCs w:val="20"/>
          <w:color w:val="auto"/>
        </w:rPr>
      </w:pPr>
    </w:p>
    <w:p>
      <w:pPr>
        <w:jc w:val="center"/>
        <w:ind w:right="-3"/>
        <w:spacing w:after="0"/>
        <w:rPr>
          <w:sz w:val="20"/>
          <w:szCs w:val="20"/>
          <w:color w:val="auto"/>
        </w:rPr>
      </w:pPr>
      <w:r>
        <w:rPr>
          <w:rFonts w:ascii="Arial" w:cs="Arial" w:eastAsia="Arial" w:hAnsi="Arial"/>
          <w:sz w:val="18"/>
          <w:szCs w:val="18"/>
          <w:b w:val="1"/>
          <w:bCs w:val="1"/>
          <w:color w:val="auto"/>
        </w:rPr>
        <w:t>RECONCILIATION OF NET INCOME (LOSS) TO ADJUSTED EBITDA AND ADJUSTED NET INCOME</w:t>
      </w:r>
    </w:p>
    <w:p>
      <w:pPr>
        <w:spacing w:after="0" w:line="9" w:lineRule="exact"/>
        <w:rPr>
          <w:sz w:val="20"/>
          <w:szCs w:val="20"/>
          <w:color w:val="auto"/>
        </w:rPr>
      </w:pPr>
    </w:p>
    <w:p>
      <w:pPr>
        <w:jc w:val="center"/>
        <w:ind w:right="-3"/>
        <w:spacing w:after="0"/>
        <w:rPr>
          <w:sz w:val="20"/>
          <w:szCs w:val="20"/>
          <w:color w:val="auto"/>
        </w:rPr>
      </w:pPr>
      <w:r>
        <w:rPr>
          <w:rFonts w:ascii="Arial" w:cs="Arial" w:eastAsia="Arial" w:hAnsi="Arial"/>
          <w:sz w:val="18"/>
          <w:szCs w:val="18"/>
          <w:b w:val="1"/>
          <w:bCs w:val="1"/>
          <w:color w:val="auto"/>
        </w:rPr>
        <w:t>(In thousands of U.S. dollars, except share data)</w:t>
      </w:r>
    </w:p>
    <w:p>
      <w:pPr>
        <w:spacing w:after="0" w:line="9" w:lineRule="exact"/>
        <w:rPr>
          <w:sz w:val="20"/>
          <w:szCs w:val="20"/>
          <w:color w:val="auto"/>
        </w:rPr>
      </w:pPr>
    </w:p>
    <w:p>
      <w:pPr>
        <w:jc w:val="center"/>
        <w:ind w:right="-3"/>
        <w:spacing w:after="0"/>
        <w:rPr>
          <w:sz w:val="20"/>
          <w:szCs w:val="20"/>
          <w:color w:val="auto"/>
        </w:rPr>
      </w:pPr>
      <w:r>
        <w:rPr>
          <w:rFonts w:ascii="Arial" w:cs="Arial" w:eastAsia="Arial" w:hAnsi="Arial"/>
          <w:sz w:val="18"/>
          <w:szCs w:val="18"/>
          <w:b w:val="1"/>
          <w:bCs w:val="1"/>
          <w:color w:val="auto"/>
        </w:rPr>
        <w:t>(Unaudited)</w:t>
      </w:r>
    </w:p>
    <w:p>
      <w:pPr>
        <w:spacing w:after="0" w:line="229" w:lineRule="exact"/>
        <w:rPr>
          <w:sz w:val="20"/>
          <w:szCs w:val="20"/>
          <w:color w:val="auto"/>
        </w:rPr>
      </w:pPr>
    </w:p>
    <w:tbl>
      <w:tblPr>
        <w:tblLayout w:type="fixed"/>
        <w:tblInd w:w="4" w:type="dxa"/>
        <w:tblCellMar>
          <w:top w:w="0" w:type="dxa"/>
          <w:left w:w="0" w:type="dxa"/>
          <w:bottom w:w="0" w:type="dxa"/>
          <w:right w:w="0" w:type="dxa"/>
        </w:tblCellMar>
      </w:tblPr>
      <w:tr>
        <w:trPr>
          <w:trHeight w:val="171"/>
        </w:trPr>
        <w:tc>
          <w:tcPr>
            <w:tcW w:w="41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520" w:type="dxa"/>
            <w:vAlign w:val="bottom"/>
            <w:gridSpan w:val="4"/>
          </w:tcPr>
          <w:p>
            <w:pPr>
              <w:jc w:val="center"/>
              <w:ind w:right="40"/>
              <w:spacing w:after="0"/>
              <w:rPr>
                <w:sz w:val="20"/>
                <w:szCs w:val="20"/>
                <w:color w:val="auto"/>
              </w:rPr>
            </w:pPr>
            <w:r>
              <w:rPr>
                <w:rFonts w:ascii="Arial" w:cs="Arial" w:eastAsia="Arial" w:hAnsi="Arial"/>
                <w:sz w:val="14"/>
                <w:szCs w:val="14"/>
                <w:b w:val="1"/>
                <w:bCs w:val="1"/>
                <w:color w:val="auto"/>
                <w:w w:val="95"/>
              </w:rPr>
              <w:t>Three Months Ended</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60" w:type="dxa"/>
            <w:vAlign w:val="bottom"/>
            <w:gridSpan w:val="6"/>
          </w:tcPr>
          <w:p>
            <w:pPr>
              <w:jc w:val="right"/>
              <w:ind w:right="660"/>
              <w:spacing w:after="0"/>
              <w:rPr>
                <w:sz w:val="20"/>
                <w:szCs w:val="20"/>
                <w:color w:val="auto"/>
              </w:rPr>
            </w:pPr>
            <w:r>
              <w:rPr>
                <w:rFonts w:ascii="Arial" w:cs="Arial" w:eastAsia="Arial" w:hAnsi="Arial"/>
                <w:sz w:val="14"/>
                <w:szCs w:val="14"/>
                <w:b w:val="1"/>
                <w:bCs w:val="1"/>
                <w:color w:val="auto"/>
              </w:rPr>
              <w:t>Six Months Ended</w:t>
            </w:r>
          </w:p>
        </w:tc>
        <w:tc>
          <w:tcPr>
            <w:tcW w:w="0" w:type="dxa"/>
            <w:vAlign w:val="bottom"/>
          </w:tcPr>
          <w:p>
            <w:pPr>
              <w:spacing w:after="0"/>
              <w:rPr>
                <w:sz w:val="1"/>
                <w:szCs w:val="1"/>
                <w:color w:val="auto"/>
              </w:rPr>
            </w:pPr>
          </w:p>
        </w:tc>
      </w:tr>
      <w:tr>
        <w:trPr>
          <w:trHeight w:val="119"/>
        </w:trPr>
        <w:tc>
          <w:tcPr>
            <w:tcW w:w="412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960" w:type="dxa"/>
            <w:vAlign w:val="bottom"/>
            <w:tcBorders>
              <w:top w:val="single" w:sz="8" w:color="auto"/>
            </w:tcBorders>
            <w:gridSpan w:val="2"/>
          </w:tcPr>
          <w:p>
            <w:pPr>
              <w:jc w:val="right"/>
              <w:ind w:right="340"/>
              <w:spacing w:after="0" w:line="119" w:lineRule="exact"/>
              <w:rPr>
                <w:sz w:val="20"/>
                <w:szCs w:val="20"/>
                <w:color w:val="auto"/>
              </w:rPr>
            </w:pPr>
            <w:r>
              <w:rPr>
                <w:rFonts w:ascii="Arial" w:cs="Arial" w:eastAsia="Arial" w:hAnsi="Arial"/>
                <w:sz w:val="13"/>
                <w:szCs w:val="13"/>
                <w:b w:val="1"/>
                <w:bCs w:val="1"/>
                <w:color w:val="auto"/>
              </w:rPr>
              <w:t>June 30,</w:t>
            </w:r>
          </w:p>
        </w:tc>
        <w:tc>
          <w:tcPr>
            <w:tcW w:w="280" w:type="dxa"/>
            <w:vAlign w:val="bottom"/>
            <w:tcBorders>
              <w:top w:val="single" w:sz="8" w:color="auto"/>
            </w:tcBorders>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1140" w:type="dxa"/>
            <w:vAlign w:val="bottom"/>
            <w:tcBorders>
              <w:top w:val="single" w:sz="8" w:color="auto"/>
            </w:tcBorders>
            <w:gridSpan w:val="2"/>
          </w:tcPr>
          <w:p>
            <w:pPr>
              <w:jc w:val="center"/>
              <w:ind w:right="420"/>
              <w:spacing w:after="0" w:line="119" w:lineRule="exact"/>
              <w:rPr>
                <w:sz w:val="20"/>
                <w:szCs w:val="20"/>
                <w:color w:val="auto"/>
              </w:rPr>
            </w:pPr>
            <w:r>
              <w:rPr>
                <w:rFonts w:ascii="Arial" w:cs="Arial" w:eastAsia="Arial" w:hAnsi="Arial"/>
                <w:sz w:val="13"/>
                <w:szCs w:val="13"/>
                <w:b w:val="1"/>
                <w:bCs w:val="1"/>
                <w:color w:val="auto"/>
              </w:rPr>
              <w:t>March 31,</w:t>
            </w:r>
          </w:p>
        </w:tc>
        <w:tc>
          <w:tcPr>
            <w:tcW w:w="100" w:type="dxa"/>
            <w:vAlign w:val="bottom"/>
            <w:tcBorders>
              <w:top w:val="single" w:sz="8" w:color="auto"/>
            </w:tcBorders>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820" w:type="dxa"/>
            <w:vAlign w:val="bottom"/>
            <w:tcBorders>
              <w:top w:val="single" w:sz="8" w:color="auto"/>
            </w:tcBorders>
          </w:tcPr>
          <w:p>
            <w:pPr>
              <w:jc w:val="right"/>
              <w:ind w:right="112"/>
              <w:spacing w:after="0" w:line="119" w:lineRule="exact"/>
              <w:rPr>
                <w:sz w:val="20"/>
                <w:szCs w:val="20"/>
                <w:color w:val="auto"/>
              </w:rPr>
            </w:pPr>
            <w:r>
              <w:rPr>
                <w:rFonts w:ascii="Arial" w:cs="Arial" w:eastAsia="Arial" w:hAnsi="Arial"/>
                <w:sz w:val="13"/>
                <w:szCs w:val="13"/>
                <w:b w:val="1"/>
                <w:bCs w:val="1"/>
                <w:color w:val="auto"/>
              </w:rPr>
              <w:t>June 30,</w:t>
            </w:r>
          </w:p>
        </w:tc>
        <w:tc>
          <w:tcPr>
            <w:tcW w:w="420" w:type="dxa"/>
            <w:vAlign w:val="bottom"/>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1060" w:type="dxa"/>
            <w:vAlign w:val="bottom"/>
            <w:tcBorders>
              <w:top w:val="single" w:sz="8" w:color="auto"/>
            </w:tcBorders>
            <w:gridSpan w:val="2"/>
          </w:tcPr>
          <w:p>
            <w:pPr>
              <w:jc w:val="right"/>
              <w:ind w:right="440"/>
              <w:spacing w:after="0" w:line="119" w:lineRule="exact"/>
              <w:rPr>
                <w:sz w:val="20"/>
                <w:szCs w:val="20"/>
                <w:color w:val="auto"/>
              </w:rPr>
            </w:pPr>
            <w:r>
              <w:rPr>
                <w:rFonts w:ascii="Arial" w:cs="Arial" w:eastAsia="Arial" w:hAnsi="Arial"/>
                <w:sz w:val="13"/>
                <w:szCs w:val="13"/>
                <w:b w:val="1"/>
                <w:bCs w:val="1"/>
                <w:color w:val="auto"/>
              </w:rPr>
              <w:t>June 30,</w:t>
            </w:r>
          </w:p>
        </w:tc>
        <w:tc>
          <w:tcPr>
            <w:tcW w:w="180" w:type="dxa"/>
            <w:vAlign w:val="bottom"/>
            <w:tcBorders>
              <w:top w:val="single" w:sz="8" w:color="auto"/>
            </w:tcBorders>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800" w:type="dxa"/>
            <w:vAlign w:val="bottom"/>
            <w:tcBorders>
              <w:top w:val="single" w:sz="8" w:color="auto"/>
            </w:tcBorders>
          </w:tcPr>
          <w:p>
            <w:pPr>
              <w:jc w:val="right"/>
              <w:ind w:right="112"/>
              <w:spacing w:after="0" w:line="119" w:lineRule="exact"/>
              <w:rPr>
                <w:sz w:val="20"/>
                <w:szCs w:val="20"/>
                <w:color w:val="auto"/>
              </w:rPr>
            </w:pPr>
            <w:r>
              <w:rPr>
                <w:rFonts w:ascii="Arial" w:cs="Arial" w:eastAsia="Arial" w:hAnsi="Arial"/>
                <w:sz w:val="13"/>
                <w:szCs w:val="13"/>
                <w:b w:val="1"/>
                <w:bCs w:val="1"/>
                <w:color w:val="auto"/>
              </w:rPr>
              <w:t>June 30,</w:t>
            </w: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4120" w:type="dxa"/>
            <w:vAlign w:val="bottom"/>
            <w:tcBorders>
              <w:bottom w:val="single" w:sz="8" w:color="CCEEFF"/>
            </w:tcBorders>
          </w:tcPr>
          <w:p>
            <w:pPr>
              <w:spacing w:after="0"/>
              <w:rPr>
                <w:sz w:val="14"/>
                <w:szCs w:val="14"/>
                <w:color w:val="auto"/>
              </w:rPr>
            </w:pPr>
          </w:p>
        </w:tc>
        <w:tc>
          <w:tcPr>
            <w:tcW w:w="540" w:type="dxa"/>
            <w:vAlign w:val="bottom"/>
            <w:tcBorders>
              <w:bottom w:val="single" w:sz="8" w:color="CCEEFF"/>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jc w:val="right"/>
              <w:ind w:right="232"/>
              <w:spacing w:after="0"/>
              <w:rPr>
                <w:sz w:val="20"/>
                <w:szCs w:val="20"/>
                <w:color w:val="auto"/>
              </w:rPr>
            </w:pPr>
            <w:r>
              <w:rPr>
                <w:rFonts w:ascii="Arial" w:cs="Arial" w:eastAsia="Arial" w:hAnsi="Arial"/>
                <w:sz w:val="14"/>
                <w:szCs w:val="14"/>
                <w:b w:val="1"/>
                <w:bCs w:val="1"/>
                <w:color w:val="auto"/>
              </w:rPr>
              <w:t>2022</w:t>
            </w:r>
          </w:p>
        </w:tc>
        <w:tc>
          <w:tcPr>
            <w:tcW w:w="140" w:type="dxa"/>
            <w:vAlign w:val="bottom"/>
            <w:tcBorders>
              <w:bottom w:val="single" w:sz="8" w:color="CCEEFF"/>
            </w:tcBorders>
          </w:tcPr>
          <w:p>
            <w:pPr>
              <w:spacing w:after="0"/>
              <w:rPr>
                <w:sz w:val="14"/>
                <w:szCs w:val="14"/>
                <w:color w:val="auto"/>
              </w:rPr>
            </w:pPr>
          </w:p>
        </w:tc>
        <w:tc>
          <w:tcPr>
            <w:tcW w:w="28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jc w:val="center"/>
              <w:ind w:right="12"/>
              <w:spacing w:after="0"/>
              <w:rPr>
                <w:sz w:val="20"/>
                <w:szCs w:val="20"/>
                <w:color w:val="auto"/>
              </w:rPr>
            </w:pPr>
            <w:r>
              <w:rPr>
                <w:rFonts w:ascii="Arial" w:cs="Arial" w:eastAsia="Arial" w:hAnsi="Arial"/>
                <w:sz w:val="14"/>
                <w:szCs w:val="14"/>
                <w:b w:val="1"/>
                <w:bCs w:val="1"/>
                <w:color w:val="auto"/>
                <w:w w:val="89"/>
              </w:rPr>
              <w:t>2022</w:t>
            </w:r>
          </w:p>
        </w:tc>
        <w:tc>
          <w:tcPr>
            <w:tcW w:w="320" w:type="dxa"/>
            <w:vAlign w:val="bottom"/>
            <w:tcBorders>
              <w:bottom w:val="single" w:sz="8" w:color="CCEEFF"/>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jc w:val="right"/>
              <w:ind w:right="232"/>
              <w:spacing w:after="0"/>
              <w:rPr>
                <w:sz w:val="20"/>
                <w:szCs w:val="20"/>
                <w:color w:val="auto"/>
              </w:rPr>
            </w:pPr>
            <w:r>
              <w:rPr>
                <w:rFonts w:ascii="Arial" w:cs="Arial" w:eastAsia="Arial" w:hAnsi="Arial"/>
                <w:sz w:val="14"/>
                <w:szCs w:val="14"/>
                <w:b w:val="1"/>
                <w:bCs w:val="1"/>
                <w:color w:val="auto"/>
              </w:rPr>
              <w:t>2021</w:t>
            </w:r>
          </w:p>
        </w:tc>
        <w:tc>
          <w:tcPr>
            <w:tcW w:w="42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jc w:val="right"/>
              <w:ind w:right="212"/>
              <w:spacing w:after="0"/>
              <w:rPr>
                <w:sz w:val="20"/>
                <w:szCs w:val="20"/>
                <w:color w:val="auto"/>
              </w:rPr>
            </w:pPr>
            <w:r>
              <w:rPr>
                <w:rFonts w:ascii="Arial" w:cs="Arial" w:eastAsia="Arial" w:hAnsi="Arial"/>
                <w:sz w:val="14"/>
                <w:szCs w:val="14"/>
                <w:b w:val="1"/>
                <w:bCs w:val="1"/>
                <w:color w:val="auto"/>
              </w:rPr>
              <w:t>2022</w:t>
            </w:r>
          </w:p>
        </w:tc>
        <w:tc>
          <w:tcPr>
            <w:tcW w:w="260" w:type="dxa"/>
            <w:vAlign w:val="bottom"/>
            <w:tcBorders>
              <w:bottom w:val="single" w:sz="8" w:color="CCEEFF"/>
            </w:tcBorders>
          </w:tcPr>
          <w:p>
            <w:pPr>
              <w:spacing w:after="0"/>
              <w:rPr>
                <w:sz w:val="14"/>
                <w:szCs w:val="14"/>
                <w:color w:val="auto"/>
              </w:rPr>
            </w:pPr>
          </w:p>
        </w:tc>
        <w:tc>
          <w:tcPr>
            <w:tcW w:w="18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jc w:val="right"/>
              <w:ind w:right="212"/>
              <w:spacing w:after="0"/>
              <w:rPr>
                <w:sz w:val="20"/>
                <w:szCs w:val="20"/>
                <w:color w:val="auto"/>
              </w:rPr>
            </w:pPr>
            <w:r>
              <w:rPr>
                <w:rFonts w:ascii="Arial" w:cs="Arial" w:eastAsia="Arial" w:hAnsi="Arial"/>
                <w:sz w:val="14"/>
                <w:szCs w:val="14"/>
                <w:b w:val="1"/>
                <w:bCs w:val="1"/>
                <w:color w:val="auto"/>
              </w:rPr>
              <w:t>2021</w:t>
            </w:r>
          </w:p>
        </w:tc>
        <w:tc>
          <w:tcPr>
            <w:tcW w:w="12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209"/>
        </w:trPr>
        <w:tc>
          <w:tcPr>
            <w:tcW w:w="4120" w:type="dxa"/>
            <w:vAlign w:val="bottom"/>
            <w:shd w:val="clear" w:color="auto" w:fill="CCEEFF"/>
          </w:tcPr>
          <w:p>
            <w:pPr>
              <w:spacing w:after="0"/>
              <w:rPr>
                <w:sz w:val="20"/>
                <w:szCs w:val="20"/>
                <w:color w:val="auto"/>
              </w:rPr>
            </w:pPr>
            <w:r>
              <w:rPr>
                <w:rFonts w:ascii="Arial" w:cs="Arial" w:eastAsia="Arial" w:hAnsi="Arial"/>
                <w:sz w:val="18"/>
                <w:szCs w:val="18"/>
                <w:color w:val="auto"/>
              </w:rPr>
              <w:t>Net income (loss)</w:t>
            </w:r>
          </w:p>
        </w:tc>
        <w:tc>
          <w:tcPr>
            <w:tcW w:w="54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(3,340)</w:t>
            </w:r>
          </w:p>
        </w:tc>
        <w:tc>
          <w:tcPr>
            <w:tcW w:w="1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9,528</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(198)</w:t>
            </w: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6,188</w:t>
            </w: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(7,671)</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120" w:type="dxa"/>
            <w:vAlign w:val="bottom"/>
          </w:tcPr>
          <w:p>
            <w:pPr>
              <w:spacing w:after="0"/>
              <w:rPr>
                <w:sz w:val="20"/>
                <w:szCs w:val="20"/>
                <w:color w:val="auto"/>
              </w:rPr>
            </w:pPr>
            <w:r>
              <w:rPr>
                <w:rFonts w:ascii="Arial" w:cs="Arial" w:eastAsia="Arial" w:hAnsi="Arial"/>
                <w:sz w:val="18"/>
                <w:szCs w:val="18"/>
                <w:color w:val="auto"/>
              </w:rPr>
              <w:t>Adjustments:</w:t>
            </w:r>
          </w:p>
        </w:tc>
        <w:tc>
          <w:tcPr>
            <w:tcW w:w="5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1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Interest income, net</w:t>
            </w:r>
          </w:p>
        </w:tc>
        <w:tc>
          <w:tcPr>
            <w:tcW w:w="5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(562)</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(604)</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(493)</w:t>
            </w: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(1,166)</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(73)</w:t>
            </w:r>
          </w:p>
        </w:tc>
        <w:tc>
          <w:tcPr>
            <w:tcW w:w="0" w:type="dxa"/>
            <w:vAlign w:val="bottom"/>
          </w:tcPr>
          <w:p>
            <w:pPr>
              <w:spacing w:after="0"/>
              <w:rPr>
                <w:sz w:val="1"/>
                <w:szCs w:val="1"/>
                <w:color w:val="auto"/>
              </w:rPr>
            </w:pPr>
          </w:p>
        </w:tc>
      </w:tr>
      <w:tr>
        <w:trPr>
          <w:trHeight w:val="216"/>
        </w:trPr>
        <w:tc>
          <w:tcPr>
            <w:tcW w:w="4120" w:type="dxa"/>
            <w:vAlign w:val="bottom"/>
          </w:tcPr>
          <w:p>
            <w:pPr>
              <w:ind w:left="360"/>
              <w:spacing w:after="0"/>
              <w:rPr>
                <w:sz w:val="20"/>
                <w:szCs w:val="20"/>
                <w:color w:val="auto"/>
              </w:rPr>
            </w:pPr>
            <w:r>
              <w:rPr>
                <w:rFonts w:ascii="Arial" w:cs="Arial" w:eastAsia="Arial" w:hAnsi="Arial"/>
                <w:sz w:val="18"/>
                <w:szCs w:val="18"/>
                <w:color w:val="auto"/>
              </w:rPr>
              <w:t>Income tax expense (benefit)</w:t>
            </w:r>
          </w:p>
        </w:tc>
        <w:tc>
          <w:tcPr>
            <w:tcW w:w="5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60" w:type="dxa"/>
            <w:vAlign w:val="bottom"/>
            <w:gridSpan w:val="2"/>
          </w:tcPr>
          <w:p>
            <w:pPr>
              <w:jc w:val="right"/>
              <w:ind w:right="80"/>
              <w:spacing w:after="0"/>
              <w:rPr>
                <w:sz w:val="20"/>
                <w:szCs w:val="20"/>
                <w:color w:val="auto"/>
              </w:rPr>
            </w:pPr>
            <w:r>
              <w:rPr>
                <w:rFonts w:ascii="Arial" w:cs="Arial" w:eastAsia="Arial" w:hAnsi="Arial"/>
                <w:sz w:val="18"/>
                <w:szCs w:val="18"/>
                <w:color w:val="auto"/>
              </w:rPr>
              <w:t>(897)</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gridSpan w:val="2"/>
          </w:tcPr>
          <w:p>
            <w:pPr>
              <w:jc w:val="right"/>
              <w:ind w:right="320"/>
              <w:spacing w:after="0"/>
              <w:rPr>
                <w:sz w:val="20"/>
                <w:szCs w:val="20"/>
                <w:color w:val="auto"/>
              </w:rPr>
            </w:pPr>
            <w:r>
              <w:rPr>
                <w:rFonts w:ascii="Arial" w:cs="Arial" w:eastAsia="Arial" w:hAnsi="Arial"/>
                <w:sz w:val="18"/>
                <w:szCs w:val="18"/>
                <w:color w:val="auto"/>
              </w:rPr>
              <w:t>3,483</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gridSpan w:val="2"/>
          </w:tcPr>
          <w:p>
            <w:pPr>
              <w:jc w:val="right"/>
              <w:ind w:right="420"/>
              <w:spacing w:after="0"/>
              <w:rPr>
                <w:sz w:val="20"/>
                <w:szCs w:val="20"/>
                <w:color w:val="auto"/>
              </w:rPr>
            </w:pPr>
            <w:r>
              <w:rPr>
                <w:rFonts w:ascii="Arial" w:cs="Arial" w:eastAsia="Arial" w:hAnsi="Arial"/>
                <w:sz w:val="18"/>
                <w:szCs w:val="18"/>
                <w:color w:val="auto"/>
              </w:rPr>
              <w:t>2,601</w:t>
            </w:r>
          </w:p>
        </w:tc>
        <w:tc>
          <w:tcPr>
            <w:tcW w:w="100" w:type="dxa"/>
            <w:vAlign w:val="bottom"/>
          </w:tcPr>
          <w:p>
            <w:pPr>
              <w:spacing w:after="0"/>
              <w:rPr>
                <w:sz w:val="18"/>
                <w:szCs w:val="18"/>
                <w:color w:val="auto"/>
              </w:rPr>
            </w:pPr>
          </w:p>
        </w:tc>
        <w:tc>
          <w:tcPr>
            <w:tcW w:w="1060" w:type="dxa"/>
            <w:vAlign w:val="bottom"/>
            <w:gridSpan w:val="2"/>
          </w:tcPr>
          <w:p>
            <w:pPr>
              <w:jc w:val="right"/>
              <w:ind w:right="260"/>
              <w:spacing w:after="0"/>
              <w:rPr>
                <w:sz w:val="20"/>
                <w:szCs w:val="20"/>
                <w:color w:val="auto"/>
              </w:rPr>
            </w:pPr>
            <w:r>
              <w:rPr>
                <w:rFonts w:ascii="Arial" w:cs="Arial" w:eastAsia="Arial" w:hAnsi="Arial"/>
                <w:sz w:val="18"/>
                <w:szCs w:val="18"/>
                <w:color w:val="auto"/>
              </w:rPr>
              <w:t>2,586</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gridSpan w:val="2"/>
          </w:tcPr>
          <w:p>
            <w:pPr>
              <w:jc w:val="right"/>
              <w:ind w:right="120"/>
              <w:spacing w:after="0"/>
              <w:rPr>
                <w:sz w:val="20"/>
                <w:szCs w:val="20"/>
                <w:color w:val="auto"/>
              </w:rPr>
            </w:pPr>
            <w:r>
              <w:rPr>
                <w:rFonts w:ascii="Arial" w:cs="Arial" w:eastAsia="Arial" w:hAnsi="Arial"/>
                <w:sz w:val="18"/>
                <w:szCs w:val="18"/>
                <w:color w:val="auto"/>
              </w:rPr>
              <w:t>2,891</w:t>
            </w:r>
          </w:p>
        </w:tc>
        <w:tc>
          <w:tcPr>
            <w:tcW w:w="0" w:type="dxa"/>
            <w:vAlign w:val="bottom"/>
          </w:tcPr>
          <w:p>
            <w:pPr>
              <w:spacing w:after="0"/>
              <w:rPr>
                <w:sz w:val="1"/>
                <w:szCs w:val="1"/>
                <w:color w:val="auto"/>
              </w:rPr>
            </w:pPr>
          </w:p>
        </w:tc>
      </w:tr>
      <w:tr>
        <w:trPr>
          <w:trHeight w:val="216"/>
        </w:trPr>
        <w:tc>
          <w:tcPr>
            <w:tcW w:w="41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Depreciation and amortization</w:t>
            </w:r>
          </w:p>
        </w:tc>
        <w:tc>
          <w:tcPr>
            <w:tcW w:w="5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3,711</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3,891</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3,550</w:t>
            </w: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7,602</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6,998</w:t>
            </w:r>
          </w:p>
        </w:tc>
        <w:tc>
          <w:tcPr>
            <w:tcW w:w="0" w:type="dxa"/>
            <w:vAlign w:val="bottom"/>
          </w:tcPr>
          <w:p>
            <w:pPr>
              <w:spacing w:after="0"/>
              <w:rPr>
                <w:sz w:val="1"/>
                <w:szCs w:val="1"/>
                <w:color w:val="auto"/>
              </w:rPr>
            </w:pPr>
          </w:p>
        </w:tc>
      </w:tr>
      <w:tr>
        <w:trPr>
          <w:trHeight w:val="223"/>
        </w:trPr>
        <w:tc>
          <w:tcPr>
            <w:tcW w:w="4120" w:type="dxa"/>
            <w:vAlign w:val="bottom"/>
          </w:tcPr>
          <w:p>
            <w:pPr>
              <w:spacing w:after="0"/>
              <w:rPr>
                <w:sz w:val="20"/>
                <w:szCs w:val="20"/>
                <w:color w:val="auto"/>
              </w:rPr>
            </w:pPr>
            <w:r>
              <w:rPr>
                <w:rFonts w:ascii="Arial" w:cs="Arial" w:eastAsia="Arial" w:hAnsi="Arial"/>
                <w:sz w:val="18"/>
                <w:szCs w:val="18"/>
                <w:color w:val="auto"/>
              </w:rPr>
              <w:t>EBITDA</w:t>
            </w:r>
          </w:p>
        </w:tc>
        <w:tc>
          <w:tcPr>
            <w:tcW w:w="54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8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(1,088)</w:t>
            </w:r>
          </w:p>
        </w:tc>
        <w:tc>
          <w:tcPr>
            <w:tcW w:w="1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8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16,298</w:t>
            </w:r>
          </w:p>
        </w:tc>
        <w:tc>
          <w:tcPr>
            <w:tcW w:w="3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8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5,460</w:t>
            </w:r>
          </w:p>
        </w:tc>
        <w:tc>
          <w:tcPr>
            <w:tcW w:w="42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8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15,210</w:t>
            </w:r>
          </w:p>
        </w:tc>
        <w:tc>
          <w:tcPr>
            <w:tcW w:w="2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8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2,145</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41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Equity-based compensation expense</w:t>
            </w:r>
          </w:p>
        </w:tc>
        <w:tc>
          <w:tcPr>
            <w:tcW w:w="5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1,988</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1,638</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2,405</w:t>
            </w: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3,626</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4,051</w:t>
            </w:r>
          </w:p>
        </w:tc>
        <w:tc>
          <w:tcPr>
            <w:tcW w:w="0" w:type="dxa"/>
            <w:vAlign w:val="bottom"/>
          </w:tcPr>
          <w:p>
            <w:pPr>
              <w:spacing w:after="0"/>
              <w:rPr>
                <w:sz w:val="1"/>
                <w:szCs w:val="1"/>
                <w:color w:val="auto"/>
              </w:rPr>
            </w:pPr>
          </w:p>
        </w:tc>
      </w:tr>
      <w:tr>
        <w:trPr>
          <w:trHeight w:val="216"/>
        </w:trPr>
        <w:tc>
          <w:tcPr>
            <w:tcW w:w="4120" w:type="dxa"/>
            <w:vAlign w:val="bottom"/>
          </w:tcPr>
          <w:p>
            <w:pPr>
              <w:ind w:left="360"/>
              <w:spacing w:after="0"/>
              <w:rPr>
                <w:sz w:val="20"/>
                <w:szCs w:val="20"/>
                <w:color w:val="auto"/>
              </w:rPr>
            </w:pPr>
            <w:r>
              <w:rPr>
                <w:rFonts w:ascii="Arial" w:cs="Arial" w:eastAsia="Arial" w:hAnsi="Arial"/>
                <w:sz w:val="18"/>
                <w:szCs w:val="18"/>
                <w:color w:val="auto"/>
              </w:rPr>
              <w:t>Foreign currency loss (gain), net</w:t>
            </w:r>
          </w:p>
        </w:tc>
        <w:tc>
          <w:tcPr>
            <w:tcW w:w="5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60" w:type="dxa"/>
            <w:vAlign w:val="bottom"/>
            <w:gridSpan w:val="2"/>
          </w:tcPr>
          <w:p>
            <w:pPr>
              <w:jc w:val="right"/>
              <w:ind w:right="140"/>
              <w:spacing w:after="0"/>
              <w:rPr>
                <w:sz w:val="20"/>
                <w:szCs w:val="20"/>
                <w:color w:val="auto"/>
              </w:rPr>
            </w:pPr>
            <w:r>
              <w:rPr>
                <w:rFonts w:ascii="Arial" w:cs="Arial" w:eastAsia="Arial" w:hAnsi="Arial"/>
                <w:sz w:val="18"/>
                <w:szCs w:val="18"/>
                <w:color w:val="auto"/>
              </w:rPr>
              <w:t>7,012</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gridSpan w:val="2"/>
          </w:tcPr>
          <w:p>
            <w:pPr>
              <w:jc w:val="right"/>
              <w:ind w:right="320"/>
              <w:spacing w:after="0"/>
              <w:rPr>
                <w:sz w:val="20"/>
                <w:szCs w:val="20"/>
                <w:color w:val="auto"/>
              </w:rPr>
            </w:pPr>
            <w:r>
              <w:rPr>
                <w:rFonts w:ascii="Arial" w:cs="Arial" w:eastAsia="Arial" w:hAnsi="Arial"/>
                <w:sz w:val="18"/>
                <w:szCs w:val="18"/>
                <w:color w:val="auto"/>
              </w:rPr>
              <w:t>690</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gridSpan w:val="2"/>
          </w:tcPr>
          <w:p>
            <w:pPr>
              <w:jc w:val="right"/>
              <w:ind w:right="360"/>
              <w:spacing w:after="0"/>
              <w:rPr>
                <w:sz w:val="20"/>
                <w:szCs w:val="20"/>
                <w:color w:val="auto"/>
              </w:rPr>
            </w:pPr>
            <w:r>
              <w:rPr>
                <w:rFonts w:ascii="Arial" w:cs="Arial" w:eastAsia="Arial" w:hAnsi="Arial"/>
                <w:sz w:val="18"/>
                <w:szCs w:val="18"/>
                <w:color w:val="auto"/>
              </w:rPr>
              <w:t>(250)</w:t>
            </w:r>
          </w:p>
        </w:tc>
        <w:tc>
          <w:tcPr>
            <w:tcW w:w="100" w:type="dxa"/>
            <w:vAlign w:val="bottom"/>
          </w:tcPr>
          <w:p>
            <w:pPr>
              <w:spacing w:after="0"/>
              <w:rPr>
                <w:sz w:val="18"/>
                <w:szCs w:val="18"/>
                <w:color w:val="auto"/>
              </w:rPr>
            </w:pPr>
          </w:p>
        </w:tc>
        <w:tc>
          <w:tcPr>
            <w:tcW w:w="1060" w:type="dxa"/>
            <w:vAlign w:val="bottom"/>
            <w:gridSpan w:val="2"/>
          </w:tcPr>
          <w:p>
            <w:pPr>
              <w:jc w:val="right"/>
              <w:ind w:right="260"/>
              <w:spacing w:after="0"/>
              <w:rPr>
                <w:sz w:val="20"/>
                <w:szCs w:val="20"/>
                <w:color w:val="auto"/>
              </w:rPr>
            </w:pPr>
            <w:r>
              <w:rPr>
                <w:rFonts w:ascii="Arial" w:cs="Arial" w:eastAsia="Arial" w:hAnsi="Arial"/>
                <w:sz w:val="18"/>
                <w:szCs w:val="18"/>
                <w:color w:val="auto"/>
              </w:rPr>
              <w:t>7,702</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gridSpan w:val="2"/>
          </w:tcPr>
          <w:p>
            <w:pPr>
              <w:jc w:val="right"/>
              <w:ind w:right="120"/>
              <w:spacing w:after="0"/>
              <w:rPr>
                <w:sz w:val="20"/>
                <w:szCs w:val="20"/>
                <w:color w:val="auto"/>
              </w:rPr>
            </w:pPr>
            <w:r>
              <w:rPr>
                <w:rFonts w:ascii="Arial" w:cs="Arial" w:eastAsia="Arial" w:hAnsi="Arial"/>
                <w:sz w:val="18"/>
                <w:szCs w:val="18"/>
                <w:color w:val="auto"/>
              </w:rPr>
              <w:t>4,421</w:t>
            </w:r>
          </w:p>
        </w:tc>
        <w:tc>
          <w:tcPr>
            <w:tcW w:w="0" w:type="dxa"/>
            <w:vAlign w:val="bottom"/>
          </w:tcPr>
          <w:p>
            <w:pPr>
              <w:spacing w:after="0"/>
              <w:rPr>
                <w:sz w:val="1"/>
                <w:szCs w:val="1"/>
                <w:color w:val="auto"/>
              </w:rPr>
            </w:pPr>
          </w:p>
        </w:tc>
      </w:tr>
      <w:tr>
        <w:trPr>
          <w:trHeight w:val="216"/>
        </w:trPr>
        <w:tc>
          <w:tcPr>
            <w:tcW w:w="41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Derivative valuation loss (gain), net</w:t>
            </w:r>
          </w:p>
        </w:tc>
        <w:tc>
          <w:tcPr>
            <w:tcW w:w="5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(184)</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129</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57</w:t>
            </w: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(55)</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143</w:t>
            </w:r>
          </w:p>
        </w:tc>
        <w:tc>
          <w:tcPr>
            <w:tcW w:w="0" w:type="dxa"/>
            <w:vAlign w:val="bottom"/>
          </w:tcPr>
          <w:p>
            <w:pPr>
              <w:spacing w:after="0"/>
              <w:rPr>
                <w:sz w:val="1"/>
                <w:szCs w:val="1"/>
                <w:color w:val="auto"/>
              </w:rPr>
            </w:pPr>
          </w:p>
        </w:tc>
      </w:tr>
      <w:tr>
        <w:trPr>
          <w:trHeight w:val="216"/>
        </w:trPr>
        <w:tc>
          <w:tcPr>
            <w:tcW w:w="4120" w:type="dxa"/>
            <w:vAlign w:val="bottom"/>
          </w:tcPr>
          <w:p>
            <w:pPr>
              <w:ind w:left="360"/>
              <w:spacing w:after="0"/>
              <w:rPr>
                <w:sz w:val="20"/>
                <w:szCs w:val="20"/>
                <w:color w:val="auto"/>
              </w:rPr>
            </w:pPr>
            <w:r>
              <w:rPr>
                <w:rFonts w:ascii="Arial" w:cs="Arial" w:eastAsia="Arial" w:hAnsi="Arial"/>
                <w:sz w:val="18"/>
                <w:szCs w:val="18"/>
                <w:color w:val="auto"/>
              </w:rPr>
              <w:t>Merger-related costs</w:t>
            </w:r>
          </w:p>
        </w:tc>
        <w:tc>
          <w:tcPr>
            <w:tcW w:w="5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6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gridSpan w:val="2"/>
          </w:tcPr>
          <w:p>
            <w:pPr>
              <w:jc w:val="right"/>
              <w:ind w:right="4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gridSpan w:val="2"/>
          </w:tcPr>
          <w:p>
            <w:pPr>
              <w:jc w:val="right"/>
              <w:ind w:right="420"/>
              <w:spacing w:after="0"/>
              <w:rPr>
                <w:sz w:val="20"/>
                <w:szCs w:val="20"/>
                <w:color w:val="auto"/>
              </w:rPr>
            </w:pPr>
            <w:r>
              <w:rPr>
                <w:rFonts w:ascii="Arial" w:cs="Arial" w:eastAsia="Arial" w:hAnsi="Arial"/>
                <w:sz w:val="18"/>
                <w:szCs w:val="18"/>
                <w:color w:val="auto"/>
              </w:rPr>
              <w:t>2,459</w:t>
            </w:r>
          </w:p>
        </w:tc>
        <w:tc>
          <w:tcPr>
            <w:tcW w:w="100" w:type="dxa"/>
            <w:vAlign w:val="bottom"/>
          </w:tcPr>
          <w:p>
            <w:pPr>
              <w:spacing w:after="0"/>
              <w:rPr>
                <w:sz w:val="18"/>
                <w:szCs w:val="18"/>
                <w:color w:val="auto"/>
              </w:rPr>
            </w:pPr>
          </w:p>
        </w:tc>
        <w:tc>
          <w:tcPr>
            <w:tcW w:w="106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gridSpan w:val="2"/>
          </w:tcPr>
          <w:p>
            <w:pPr>
              <w:jc w:val="right"/>
              <w:ind w:right="120"/>
              <w:spacing w:after="0"/>
              <w:rPr>
                <w:sz w:val="20"/>
                <w:szCs w:val="20"/>
                <w:color w:val="auto"/>
              </w:rPr>
            </w:pPr>
            <w:r>
              <w:rPr>
                <w:rFonts w:ascii="Arial" w:cs="Arial" w:eastAsia="Arial" w:hAnsi="Arial"/>
                <w:sz w:val="18"/>
                <w:szCs w:val="18"/>
                <w:color w:val="auto"/>
              </w:rPr>
              <w:t>12,290</w:t>
            </w:r>
          </w:p>
        </w:tc>
        <w:tc>
          <w:tcPr>
            <w:tcW w:w="0" w:type="dxa"/>
            <w:vAlign w:val="bottom"/>
          </w:tcPr>
          <w:p>
            <w:pPr>
              <w:spacing w:after="0"/>
              <w:rPr>
                <w:sz w:val="1"/>
                <w:szCs w:val="1"/>
                <w:color w:val="auto"/>
              </w:rPr>
            </w:pPr>
          </w:p>
        </w:tc>
      </w:tr>
      <w:tr>
        <w:trPr>
          <w:trHeight w:val="216"/>
        </w:trPr>
        <w:tc>
          <w:tcPr>
            <w:tcW w:w="41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Other charges</w:t>
            </w:r>
          </w:p>
        </w:tc>
        <w:tc>
          <w:tcPr>
            <w:tcW w:w="5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797</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2,561</w:t>
            </w: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797</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3,146</w:t>
            </w:r>
          </w:p>
        </w:tc>
        <w:tc>
          <w:tcPr>
            <w:tcW w:w="0" w:type="dxa"/>
            <w:vAlign w:val="bottom"/>
          </w:tcPr>
          <w:p>
            <w:pPr>
              <w:spacing w:after="0"/>
              <w:rPr>
                <w:sz w:val="1"/>
                <w:szCs w:val="1"/>
                <w:color w:val="auto"/>
              </w:rPr>
            </w:pPr>
          </w:p>
        </w:tc>
      </w:tr>
      <w:tr>
        <w:trPr>
          <w:trHeight w:val="223"/>
        </w:trPr>
        <w:tc>
          <w:tcPr>
            <w:tcW w:w="4120" w:type="dxa"/>
            <w:vAlign w:val="bottom"/>
          </w:tcPr>
          <w:p>
            <w:pPr>
              <w:spacing w:after="0"/>
              <w:rPr>
                <w:sz w:val="20"/>
                <w:szCs w:val="20"/>
                <w:color w:val="auto"/>
              </w:rPr>
            </w:pPr>
            <w:r>
              <w:rPr>
                <w:rFonts w:ascii="Arial" w:cs="Arial" w:eastAsia="Arial" w:hAnsi="Arial"/>
                <w:sz w:val="18"/>
                <w:szCs w:val="18"/>
                <w:color w:val="auto"/>
              </w:rPr>
              <w:t>Adjusted EBITDA</w:t>
            </w:r>
          </w:p>
        </w:tc>
        <w:tc>
          <w:tcPr>
            <w:tcW w:w="540" w:type="dxa"/>
            <w:vAlign w:val="bottom"/>
          </w:tcPr>
          <w:p>
            <w:pPr>
              <w:spacing w:after="0"/>
              <w:rPr>
                <w:sz w:val="19"/>
                <w:szCs w:val="19"/>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8,525</w:t>
            </w:r>
          </w:p>
        </w:tc>
        <w:tc>
          <w:tcPr>
            <w:tcW w:w="1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18,755</w:t>
            </w:r>
          </w:p>
        </w:tc>
        <w:tc>
          <w:tcPr>
            <w:tcW w:w="3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12,692</w:t>
            </w:r>
          </w:p>
        </w:tc>
        <w:tc>
          <w:tcPr>
            <w:tcW w:w="42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27,280</w:t>
            </w:r>
          </w:p>
        </w:tc>
        <w:tc>
          <w:tcPr>
            <w:tcW w:w="2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26,196</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1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4120" w:type="dxa"/>
            <w:vAlign w:val="bottom"/>
            <w:shd w:val="clear" w:color="auto" w:fill="CCEEFF"/>
          </w:tcPr>
          <w:p>
            <w:pPr>
              <w:spacing w:after="0"/>
              <w:rPr>
                <w:sz w:val="20"/>
                <w:szCs w:val="20"/>
                <w:color w:val="auto"/>
              </w:rPr>
            </w:pPr>
            <w:r>
              <w:rPr>
                <w:rFonts w:ascii="Arial" w:cs="Arial" w:eastAsia="Arial" w:hAnsi="Arial"/>
                <w:sz w:val="18"/>
                <w:szCs w:val="18"/>
                <w:color w:val="auto"/>
              </w:rPr>
              <w:t>Net income (loss)</w:t>
            </w:r>
          </w:p>
        </w:tc>
        <w:tc>
          <w:tcPr>
            <w:tcW w:w="6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(3,340)</w:t>
            </w:r>
          </w:p>
        </w:tc>
        <w:tc>
          <w:tcPr>
            <w:tcW w:w="3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9,528</w:t>
            </w: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4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(198)</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6,188</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(7,671)</w:t>
            </w:r>
          </w:p>
        </w:tc>
        <w:tc>
          <w:tcPr>
            <w:tcW w:w="0" w:type="dxa"/>
            <w:vAlign w:val="bottom"/>
          </w:tcPr>
          <w:p>
            <w:pPr>
              <w:spacing w:after="0"/>
              <w:rPr>
                <w:sz w:val="1"/>
                <w:szCs w:val="1"/>
                <w:color w:val="auto"/>
              </w:rPr>
            </w:pPr>
          </w:p>
        </w:tc>
      </w:tr>
      <w:tr>
        <w:trPr>
          <w:trHeight w:val="216"/>
        </w:trPr>
        <w:tc>
          <w:tcPr>
            <w:tcW w:w="4120" w:type="dxa"/>
            <w:vAlign w:val="bottom"/>
          </w:tcPr>
          <w:p>
            <w:pPr>
              <w:spacing w:after="0"/>
              <w:rPr>
                <w:sz w:val="20"/>
                <w:szCs w:val="20"/>
                <w:color w:val="auto"/>
              </w:rPr>
            </w:pPr>
            <w:r>
              <w:rPr>
                <w:rFonts w:ascii="Arial" w:cs="Arial" w:eastAsia="Arial" w:hAnsi="Arial"/>
                <w:sz w:val="18"/>
                <w:szCs w:val="18"/>
                <w:color w:val="auto"/>
              </w:rPr>
              <w:t>Adjustments:</w:t>
            </w:r>
          </w:p>
        </w:tc>
        <w:tc>
          <w:tcPr>
            <w:tcW w:w="5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1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Equity-based compensation expense</w:t>
            </w:r>
          </w:p>
        </w:tc>
        <w:tc>
          <w:tcPr>
            <w:tcW w:w="5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1,988</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1,638</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2,405</w:t>
            </w: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3,626</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4,051</w:t>
            </w:r>
          </w:p>
        </w:tc>
        <w:tc>
          <w:tcPr>
            <w:tcW w:w="0" w:type="dxa"/>
            <w:vAlign w:val="bottom"/>
          </w:tcPr>
          <w:p>
            <w:pPr>
              <w:spacing w:after="0"/>
              <w:rPr>
                <w:sz w:val="1"/>
                <w:szCs w:val="1"/>
                <w:color w:val="auto"/>
              </w:rPr>
            </w:pPr>
          </w:p>
        </w:tc>
      </w:tr>
      <w:tr>
        <w:trPr>
          <w:trHeight w:val="216"/>
        </w:trPr>
        <w:tc>
          <w:tcPr>
            <w:tcW w:w="4120" w:type="dxa"/>
            <w:vAlign w:val="bottom"/>
          </w:tcPr>
          <w:p>
            <w:pPr>
              <w:ind w:left="360"/>
              <w:spacing w:after="0"/>
              <w:rPr>
                <w:sz w:val="20"/>
                <w:szCs w:val="20"/>
                <w:color w:val="auto"/>
              </w:rPr>
            </w:pPr>
            <w:r>
              <w:rPr>
                <w:rFonts w:ascii="Arial" w:cs="Arial" w:eastAsia="Arial" w:hAnsi="Arial"/>
                <w:sz w:val="18"/>
                <w:szCs w:val="18"/>
                <w:color w:val="auto"/>
              </w:rPr>
              <w:t>Foreign currency loss (gain), net</w:t>
            </w:r>
          </w:p>
        </w:tc>
        <w:tc>
          <w:tcPr>
            <w:tcW w:w="5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60" w:type="dxa"/>
            <w:vAlign w:val="bottom"/>
            <w:gridSpan w:val="2"/>
          </w:tcPr>
          <w:p>
            <w:pPr>
              <w:jc w:val="right"/>
              <w:ind w:right="140"/>
              <w:spacing w:after="0"/>
              <w:rPr>
                <w:sz w:val="20"/>
                <w:szCs w:val="20"/>
                <w:color w:val="auto"/>
              </w:rPr>
            </w:pPr>
            <w:r>
              <w:rPr>
                <w:rFonts w:ascii="Arial" w:cs="Arial" w:eastAsia="Arial" w:hAnsi="Arial"/>
                <w:sz w:val="18"/>
                <w:szCs w:val="18"/>
                <w:color w:val="auto"/>
              </w:rPr>
              <w:t>7,012</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gridSpan w:val="2"/>
          </w:tcPr>
          <w:p>
            <w:pPr>
              <w:jc w:val="right"/>
              <w:ind w:right="320"/>
              <w:spacing w:after="0"/>
              <w:rPr>
                <w:sz w:val="20"/>
                <w:szCs w:val="20"/>
                <w:color w:val="auto"/>
              </w:rPr>
            </w:pPr>
            <w:r>
              <w:rPr>
                <w:rFonts w:ascii="Arial" w:cs="Arial" w:eastAsia="Arial" w:hAnsi="Arial"/>
                <w:sz w:val="18"/>
                <w:szCs w:val="18"/>
                <w:color w:val="auto"/>
              </w:rPr>
              <w:t>690</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gridSpan w:val="2"/>
          </w:tcPr>
          <w:p>
            <w:pPr>
              <w:jc w:val="right"/>
              <w:ind w:right="360"/>
              <w:spacing w:after="0"/>
              <w:rPr>
                <w:sz w:val="20"/>
                <w:szCs w:val="20"/>
                <w:color w:val="auto"/>
              </w:rPr>
            </w:pPr>
            <w:r>
              <w:rPr>
                <w:rFonts w:ascii="Arial" w:cs="Arial" w:eastAsia="Arial" w:hAnsi="Arial"/>
                <w:sz w:val="18"/>
                <w:szCs w:val="18"/>
                <w:color w:val="auto"/>
              </w:rPr>
              <w:t>(250)</w:t>
            </w:r>
          </w:p>
        </w:tc>
        <w:tc>
          <w:tcPr>
            <w:tcW w:w="100" w:type="dxa"/>
            <w:vAlign w:val="bottom"/>
          </w:tcPr>
          <w:p>
            <w:pPr>
              <w:spacing w:after="0"/>
              <w:rPr>
                <w:sz w:val="18"/>
                <w:szCs w:val="18"/>
                <w:color w:val="auto"/>
              </w:rPr>
            </w:pPr>
          </w:p>
        </w:tc>
        <w:tc>
          <w:tcPr>
            <w:tcW w:w="1060" w:type="dxa"/>
            <w:vAlign w:val="bottom"/>
            <w:gridSpan w:val="2"/>
          </w:tcPr>
          <w:p>
            <w:pPr>
              <w:jc w:val="right"/>
              <w:ind w:right="260"/>
              <w:spacing w:after="0"/>
              <w:rPr>
                <w:sz w:val="20"/>
                <w:szCs w:val="20"/>
                <w:color w:val="auto"/>
              </w:rPr>
            </w:pPr>
            <w:r>
              <w:rPr>
                <w:rFonts w:ascii="Arial" w:cs="Arial" w:eastAsia="Arial" w:hAnsi="Arial"/>
                <w:sz w:val="18"/>
                <w:szCs w:val="18"/>
                <w:color w:val="auto"/>
              </w:rPr>
              <w:t>7,702</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gridSpan w:val="2"/>
          </w:tcPr>
          <w:p>
            <w:pPr>
              <w:jc w:val="right"/>
              <w:ind w:right="120"/>
              <w:spacing w:after="0"/>
              <w:rPr>
                <w:sz w:val="20"/>
                <w:szCs w:val="20"/>
                <w:color w:val="auto"/>
              </w:rPr>
            </w:pPr>
            <w:r>
              <w:rPr>
                <w:rFonts w:ascii="Arial" w:cs="Arial" w:eastAsia="Arial" w:hAnsi="Arial"/>
                <w:sz w:val="18"/>
                <w:szCs w:val="18"/>
                <w:color w:val="auto"/>
              </w:rPr>
              <w:t>4,421</w:t>
            </w:r>
          </w:p>
        </w:tc>
        <w:tc>
          <w:tcPr>
            <w:tcW w:w="0" w:type="dxa"/>
            <w:vAlign w:val="bottom"/>
          </w:tcPr>
          <w:p>
            <w:pPr>
              <w:spacing w:after="0"/>
              <w:rPr>
                <w:sz w:val="1"/>
                <w:szCs w:val="1"/>
                <w:color w:val="auto"/>
              </w:rPr>
            </w:pPr>
          </w:p>
        </w:tc>
      </w:tr>
      <w:tr>
        <w:trPr>
          <w:trHeight w:val="216"/>
        </w:trPr>
        <w:tc>
          <w:tcPr>
            <w:tcW w:w="41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Derivative valuation loss (gain), net</w:t>
            </w:r>
          </w:p>
        </w:tc>
        <w:tc>
          <w:tcPr>
            <w:tcW w:w="5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(184)</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129</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57</w:t>
            </w: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(55)</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143</w:t>
            </w:r>
          </w:p>
        </w:tc>
        <w:tc>
          <w:tcPr>
            <w:tcW w:w="0" w:type="dxa"/>
            <w:vAlign w:val="bottom"/>
          </w:tcPr>
          <w:p>
            <w:pPr>
              <w:spacing w:after="0"/>
              <w:rPr>
                <w:sz w:val="1"/>
                <w:szCs w:val="1"/>
                <w:color w:val="auto"/>
              </w:rPr>
            </w:pPr>
          </w:p>
        </w:tc>
      </w:tr>
      <w:tr>
        <w:trPr>
          <w:trHeight w:val="216"/>
        </w:trPr>
        <w:tc>
          <w:tcPr>
            <w:tcW w:w="4120" w:type="dxa"/>
            <w:vAlign w:val="bottom"/>
          </w:tcPr>
          <w:p>
            <w:pPr>
              <w:ind w:left="360"/>
              <w:spacing w:after="0"/>
              <w:rPr>
                <w:sz w:val="20"/>
                <w:szCs w:val="20"/>
                <w:color w:val="auto"/>
              </w:rPr>
            </w:pPr>
            <w:r>
              <w:rPr>
                <w:rFonts w:ascii="Arial" w:cs="Arial" w:eastAsia="Arial" w:hAnsi="Arial"/>
                <w:sz w:val="18"/>
                <w:szCs w:val="18"/>
                <w:color w:val="auto"/>
              </w:rPr>
              <w:t>Merger-related costs</w:t>
            </w:r>
          </w:p>
        </w:tc>
        <w:tc>
          <w:tcPr>
            <w:tcW w:w="5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6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gridSpan w:val="2"/>
          </w:tcPr>
          <w:p>
            <w:pPr>
              <w:jc w:val="right"/>
              <w:ind w:right="4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gridSpan w:val="2"/>
          </w:tcPr>
          <w:p>
            <w:pPr>
              <w:jc w:val="right"/>
              <w:ind w:right="420"/>
              <w:spacing w:after="0"/>
              <w:rPr>
                <w:sz w:val="20"/>
                <w:szCs w:val="20"/>
                <w:color w:val="auto"/>
              </w:rPr>
            </w:pPr>
            <w:r>
              <w:rPr>
                <w:rFonts w:ascii="Arial" w:cs="Arial" w:eastAsia="Arial" w:hAnsi="Arial"/>
                <w:sz w:val="18"/>
                <w:szCs w:val="18"/>
                <w:color w:val="auto"/>
              </w:rPr>
              <w:t>2,459</w:t>
            </w:r>
          </w:p>
        </w:tc>
        <w:tc>
          <w:tcPr>
            <w:tcW w:w="100" w:type="dxa"/>
            <w:vAlign w:val="bottom"/>
          </w:tcPr>
          <w:p>
            <w:pPr>
              <w:spacing w:after="0"/>
              <w:rPr>
                <w:sz w:val="18"/>
                <w:szCs w:val="18"/>
                <w:color w:val="auto"/>
              </w:rPr>
            </w:pPr>
          </w:p>
        </w:tc>
        <w:tc>
          <w:tcPr>
            <w:tcW w:w="106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gridSpan w:val="2"/>
          </w:tcPr>
          <w:p>
            <w:pPr>
              <w:jc w:val="right"/>
              <w:ind w:right="120"/>
              <w:spacing w:after="0"/>
              <w:rPr>
                <w:sz w:val="20"/>
                <w:szCs w:val="20"/>
                <w:color w:val="auto"/>
              </w:rPr>
            </w:pPr>
            <w:r>
              <w:rPr>
                <w:rFonts w:ascii="Arial" w:cs="Arial" w:eastAsia="Arial" w:hAnsi="Arial"/>
                <w:sz w:val="18"/>
                <w:szCs w:val="18"/>
                <w:color w:val="auto"/>
              </w:rPr>
              <w:t>12,290</w:t>
            </w:r>
          </w:p>
        </w:tc>
        <w:tc>
          <w:tcPr>
            <w:tcW w:w="0" w:type="dxa"/>
            <w:vAlign w:val="bottom"/>
          </w:tcPr>
          <w:p>
            <w:pPr>
              <w:spacing w:after="0"/>
              <w:rPr>
                <w:sz w:val="1"/>
                <w:szCs w:val="1"/>
                <w:color w:val="auto"/>
              </w:rPr>
            </w:pPr>
          </w:p>
        </w:tc>
      </w:tr>
      <w:tr>
        <w:trPr>
          <w:trHeight w:val="216"/>
        </w:trPr>
        <w:tc>
          <w:tcPr>
            <w:tcW w:w="41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Other charges</w:t>
            </w:r>
          </w:p>
        </w:tc>
        <w:tc>
          <w:tcPr>
            <w:tcW w:w="5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797</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2,561</w:t>
            </w: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797</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3,146</w:t>
            </w:r>
          </w:p>
        </w:tc>
        <w:tc>
          <w:tcPr>
            <w:tcW w:w="0" w:type="dxa"/>
            <w:vAlign w:val="bottom"/>
          </w:tcPr>
          <w:p>
            <w:pPr>
              <w:spacing w:after="0"/>
              <w:rPr>
                <w:sz w:val="1"/>
                <w:szCs w:val="1"/>
                <w:color w:val="auto"/>
              </w:rPr>
            </w:pPr>
          </w:p>
        </w:tc>
      </w:tr>
      <w:tr>
        <w:trPr>
          <w:trHeight w:val="216"/>
        </w:trPr>
        <w:tc>
          <w:tcPr>
            <w:tcW w:w="4120" w:type="dxa"/>
            <w:vAlign w:val="bottom"/>
          </w:tcPr>
          <w:p>
            <w:pPr>
              <w:ind w:left="360"/>
              <w:spacing w:after="0"/>
              <w:rPr>
                <w:sz w:val="20"/>
                <w:szCs w:val="20"/>
                <w:color w:val="auto"/>
              </w:rPr>
            </w:pPr>
            <w:r>
              <w:rPr>
                <w:rFonts w:ascii="Arial" w:cs="Arial" w:eastAsia="Arial" w:hAnsi="Arial"/>
                <w:sz w:val="18"/>
                <w:szCs w:val="18"/>
                <w:color w:val="auto"/>
              </w:rPr>
              <w:t>Income tax effect on non-GAAP adjustments</w:t>
            </w:r>
          </w:p>
        </w:tc>
        <w:tc>
          <w:tcPr>
            <w:tcW w:w="5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4,294</w:t>
            </w:r>
          </w:p>
        </w:tc>
        <w:tc>
          <w:tcPr>
            <w:tcW w:w="1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951</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gridSpan w:val="2"/>
          </w:tcPr>
          <w:p>
            <w:pPr>
              <w:jc w:val="right"/>
              <w:ind w:right="260"/>
              <w:spacing w:after="0"/>
              <w:rPr>
                <w:sz w:val="20"/>
                <w:szCs w:val="20"/>
                <w:color w:val="auto"/>
              </w:rPr>
            </w:pPr>
            <w:r>
              <w:rPr>
                <w:rFonts w:ascii="Arial" w:cs="Arial" w:eastAsia="Arial" w:hAnsi="Arial"/>
                <w:sz w:val="18"/>
                <w:szCs w:val="18"/>
                <w:color w:val="auto"/>
              </w:rPr>
              <w:t>5,245</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4120" w:type="dxa"/>
            <w:vAlign w:val="bottom"/>
          </w:tcPr>
          <w:p>
            <w:pPr>
              <w:spacing w:after="0"/>
              <w:rPr>
                <w:sz w:val="2"/>
                <w:szCs w:val="2"/>
                <w:color w:val="auto"/>
              </w:rPr>
            </w:pPr>
          </w:p>
        </w:tc>
        <w:tc>
          <w:tcPr>
            <w:tcW w:w="54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4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4120" w:type="dxa"/>
            <w:vAlign w:val="bottom"/>
            <w:shd w:val="clear" w:color="auto" w:fill="CCEEFF"/>
          </w:tcPr>
          <w:p>
            <w:pPr>
              <w:spacing w:after="0"/>
              <w:rPr>
                <w:sz w:val="20"/>
                <w:szCs w:val="20"/>
                <w:color w:val="auto"/>
              </w:rPr>
            </w:pPr>
            <w:r>
              <w:rPr>
                <w:rFonts w:ascii="Arial" w:cs="Arial" w:eastAsia="Arial" w:hAnsi="Arial"/>
                <w:sz w:val="18"/>
                <w:szCs w:val="18"/>
                <w:color w:val="auto"/>
              </w:rPr>
              <w:t>Adjusted Net Income</w:t>
            </w:r>
          </w:p>
        </w:tc>
        <w:tc>
          <w:tcPr>
            <w:tcW w:w="6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10,567</w:t>
            </w:r>
          </w:p>
        </w:tc>
        <w:tc>
          <w:tcPr>
            <w:tcW w:w="3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12,936</w:t>
            </w: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4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7,034</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23,503</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16,380</w:t>
            </w:r>
          </w:p>
        </w:tc>
        <w:tc>
          <w:tcPr>
            <w:tcW w:w="0" w:type="dxa"/>
            <w:vAlign w:val="bottom"/>
          </w:tcPr>
          <w:p>
            <w:pPr>
              <w:spacing w:after="0"/>
              <w:rPr>
                <w:sz w:val="1"/>
                <w:szCs w:val="1"/>
                <w:color w:val="auto"/>
              </w:rPr>
            </w:pPr>
          </w:p>
        </w:tc>
      </w:tr>
      <w:tr>
        <w:trPr>
          <w:trHeight w:val="20"/>
        </w:trPr>
        <w:tc>
          <w:tcPr>
            <w:tcW w:w="4120" w:type="dxa"/>
            <w:vAlign w:val="bottom"/>
            <w:vMerge w:val="restart"/>
          </w:tcPr>
          <w:p>
            <w:pPr>
              <w:spacing w:after="0"/>
              <w:rPr>
                <w:sz w:val="20"/>
                <w:szCs w:val="20"/>
                <w:color w:val="auto"/>
              </w:rPr>
            </w:pPr>
            <w:r>
              <w:rPr>
                <w:rFonts w:ascii="Arial" w:cs="Arial" w:eastAsia="Arial" w:hAnsi="Arial"/>
                <w:sz w:val="18"/>
                <w:szCs w:val="18"/>
                <w:color w:val="auto"/>
              </w:rPr>
              <w:t>Adjusted Net Income per common share—</w:t>
            </w:r>
          </w:p>
        </w:tc>
        <w:tc>
          <w:tcPr>
            <w:tcW w:w="5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4120" w:type="dxa"/>
            <w:vAlign w:val="bottom"/>
            <w:vMerge w:val="continue"/>
          </w:tcPr>
          <w:p>
            <w:pPr>
              <w:spacing w:after="0"/>
              <w:rPr>
                <w:sz w:val="18"/>
                <w:szCs w:val="18"/>
                <w:color w:val="auto"/>
              </w:rPr>
            </w:pPr>
          </w:p>
        </w:tc>
        <w:tc>
          <w:tcPr>
            <w:tcW w:w="5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1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 Basic</w:t>
            </w:r>
          </w:p>
        </w:tc>
        <w:tc>
          <w:tcPr>
            <w:tcW w:w="6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0.24</w:t>
            </w:r>
          </w:p>
        </w:tc>
        <w:tc>
          <w:tcPr>
            <w:tcW w:w="3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0.28</w:t>
            </w: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4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0.15</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0.52</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0.38</w:t>
            </w:r>
          </w:p>
        </w:tc>
        <w:tc>
          <w:tcPr>
            <w:tcW w:w="0" w:type="dxa"/>
            <w:vAlign w:val="bottom"/>
          </w:tcPr>
          <w:p>
            <w:pPr>
              <w:spacing w:after="0"/>
              <w:rPr>
                <w:sz w:val="1"/>
                <w:szCs w:val="1"/>
                <w:color w:val="auto"/>
              </w:rPr>
            </w:pPr>
          </w:p>
        </w:tc>
      </w:tr>
      <w:tr>
        <w:trPr>
          <w:trHeight w:val="216"/>
        </w:trPr>
        <w:tc>
          <w:tcPr>
            <w:tcW w:w="4120" w:type="dxa"/>
            <w:vAlign w:val="bottom"/>
          </w:tcPr>
          <w:p>
            <w:pPr>
              <w:ind w:left="360"/>
              <w:spacing w:after="0"/>
              <w:rPr>
                <w:sz w:val="20"/>
                <w:szCs w:val="20"/>
                <w:color w:val="auto"/>
              </w:rPr>
            </w:pPr>
            <w:r>
              <w:rPr>
                <w:rFonts w:ascii="Arial" w:cs="Arial" w:eastAsia="Arial" w:hAnsi="Arial"/>
                <w:sz w:val="18"/>
                <w:szCs w:val="18"/>
                <w:color w:val="auto"/>
              </w:rPr>
              <w:t>- Diluted</w:t>
            </w:r>
          </w:p>
        </w:tc>
        <w:tc>
          <w:tcPr>
            <w:tcW w:w="6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60" w:type="dxa"/>
            <w:vAlign w:val="bottom"/>
            <w:gridSpan w:val="2"/>
          </w:tcPr>
          <w:p>
            <w:pPr>
              <w:jc w:val="right"/>
              <w:ind w:right="140"/>
              <w:spacing w:after="0"/>
              <w:rPr>
                <w:sz w:val="20"/>
                <w:szCs w:val="20"/>
                <w:color w:val="auto"/>
              </w:rPr>
            </w:pPr>
            <w:r>
              <w:rPr>
                <w:rFonts w:ascii="Arial" w:cs="Arial" w:eastAsia="Arial" w:hAnsi="Arial"/>
                <w:sz w:val="18"/>
                <w:szCs w:val="18"/>
                <w:color w:val="auto"/>
              </w:rPr>
              <w:t>0.23</w:t>
            </w:r>
          </w:p>
        </w:tc>
        <w:tc>
          <w:tcPr>
            <w:tcW w:w="3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40" w:type="dxa"/>
            <w:vAlign w:val="bottom"/>
            <w:gridSpan w:val="2"/>
          </w:tcPr>
          <w:p>
            <w:pPr>
              <w:jc w:val="right"/>
              <w:ind w:right="320"/>
              <w:spacing w:after="0"/>
              <w:rPr>
                <w:sz w:val="20"/>
                <w:szCs w:val="20"/>
                <w:color w:val="auto"/>
              </w:rPr>
            </w:pPr>
            <w:r>
              <w:rPr>
                <w:rFonts w:ascii="Arial" w:cs="Arial" w:eastAsia="Arial" w:hAnsi="Arial"/>
                <w:sz w:val="18"/>
                <w:szCs w:val="18"/>
                <w:color w:val="auto"/>
              </w:rPr>
              <w:t>0.28</w:t>
            </w:r>
          </w:p>
        </w:tc>
        <w:tc>
          <w:tcPr>
            <w:tcW w:w="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40" w:type="dxa"/>
            <w:vAlign w:val="bottom"/>
            <w:gridSpan w:val="2"/>
          </w:tcPr>
          <w:p>
            <w:pPr>
              <w:jc w:val="right"/>
              <w:ind w:right="420"/>
              <w:spacing w:after="0"/>
              <w:rPr>
                <w:sz w:val="20"/>
                <w:szCs w:val="20"/>
                <w:color w:val="auto"/>
              </w:rPr>
            </w:pPr>
            <w:r>
              <w:rPr>
                <w:rFonts w:ascii="Arial" w:cs="Arial" w:eastAsia="Arial" w:hAnsi="Arial"/>
                <w:sz w:val="18"/>
                <w:szCs w:val="18"/>
                <w:color w:val="auto"/>
              </w:rPr>
              <w:t>0.15</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gridSpan w:val="2"/>
          </w:tcPr>
          <w:p>
            <w:pPr>
              <w:jc w:val="right"/>
              <w:ind w:right="260"/>
              <w:spacing w:after="0"/>
              <w:rPr>
                <w:sz w:val="20"/>
                <w:szCs w:val="20"/>
                <w:color w:val="auto"/>
              </w:rPr>
            </w:pPr>
            <w:r>
              <w:rPr>
                <w:rFonts w:ascii="Arial" w:cs="Arial" w:eastAsia="Arial" w:hAnsi="Arial"/>
                <w:sz w:val="18"/>
                <w:szCs w:val="18"/>
                <w:color w:val="auto"/>
              </w:rPr>
              <w:t>0.51</w:t>
            </w: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20" w:type="dxa"/>
            <w:vAlign w:val="bottom"/>
            <w:gridSpan w:val="2"/>
          </w:tcPr>
          <w:p>
            <w:pPr>
              <w:jc w:val="right"/>
              <w:ind w:right="120"/>
              <w:spacing w:after="0"/>
              <w:rPr>
                <w:sz w:val="20"/>
                <w:szCs w:val="20"/>
                <w:color w:val="auto"/>
              </w:rPr>
            </w:pPr>
            <w:r>
              <w:rPr>
                <w:rFonts w:ascii="Arial" w:cs="Arial" w:eastAsia="Arial" w:hAnsi="Arial"/>
                <w:sz w:val="18"/>
                <w:szCs w:val="18"/>
                <w:color w:val="auto"/>
              </w:rPr>
              <w:t>0.36</w:t>
            </w:r>
          </w:p>
        </w:tc>
        <w:tc>
          <w:tcPr>
            <w:tcW w:w="0" w:type="dxa"/>
            <w:vAlign w:val="bottom"/>
          </w:tcPr>
          <w:p>
            <w:pPr>
              <w:spacing w:after="0"/>
              <w:rPr>
                <w:sz w:val="1"/>
                <w:szCs w:val="1"/>
                <w:color w:val="auto"/>
              </w:rPr>
            </w:pPr>
          </w:p>
        </w:tc>
      </w:tr>
      <w:tr>
        <w:trPr>
          <w:trHeight w:val="216"/>
        </w:trPr>
        <w:tc>
          <w:tcPr>
            <w:tcW w:w="4120" w:type="dxa"/>
            <w:vAlign w:val="bottom"/>
            <w:shd w:val="clear" w:color="auto" w:fill="CCEEFF"/>
          </w:tcPr>
          <w:p>
            <w:pPr>
              <w:spacing w:after="0"/>
              <w:rPr>
                <w:sz w:val="20"/>
                <w:szCs w:val="20"/>
                <w:color w:val="auto"/>
              </w:rPr>
            </w:pPr>
            <w:r>
              <w:rPr>
                <w:rFonts w:ascii="Arial" w:cs="Arial" w:eastAsia="Arial" w:hAnsi="Arial"/>
                <w:sz w:val="18"/>
                <w:szCs w:val="18"/>
                <w:color w:val="auto"/>
              </w:rPr>
              <w:t>Weighted average number of shares – basic</w:t>
            </w:r>
          </w:p>
        </w:tc>
        <w:tc>
          <w:tcPr>
            <w:tcW w:w="5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w w:val="88"/>
              </w:rPr>
              <w:t>44,897,278</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w w:val="88"/>
              </w:rPr>
              <w:t>45,603,208</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w w:val="88"/>
              </w:rPr>
              <w:t>46,322,027</w:t>
            </w: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w w:val="86"/>
              </w:rPr>
              <w:t>45,248,293</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86"/>
              </w:rPr>
              <w:t>43,324,088</w:t>
            </w:r>
          </w:p>
        </w:tc>
        <w:tc>
          <w:tcPr>
            <w:tcW w:w="0" w:type="dxa"/>
            <w:vAlign w:val="bottom"/>
          </w:tcPr>
          <w:p>
            <w:pPr>
              <w:spacing w:after="0"/>
              <w:rPr>
                <w:sz w:val="1"/>
                <w:szCs w:val="1"/>
                <w:color w:val="auto"/>
              </w:rPr>
            </w:pPr>
          </w:p>
        </w:tc>
      </w:tr>
      <w:tr>
        <w:trPr>
          <w:trHeight w:val="230"/>
        </w:trPr>
        <w:tc>
          <w:tcPr>
            <w:tcW w:w="4120" w:type="dxa"/>
            <w:vAlign w:val="bottom"/>
          </w:tcPr>
          <w:p>
            <w:pPr>
              <w:spacing w:after="0"/>
              <w:rPr>
                <w:sz w:val="20"/>
                <w:szCs w:val="20"/>
                <w:color w:val="auto"/>
              </w:rPr>
            </w:pPr>
            <w:r>
              <w:rPr>
                <w:rFonts w:ascii="Arial" w:cs="Arial" w:eastAsia="Arial" w:hAnsi="Arial"/>
                <w:sz w:val="18"/>
                <w:szCs w:val="18"/>
                <w:color w:val="auto"/>
              </w:rPr>
              <w:t>Weighted average number of shares – diluted</w:t>
            </w:r>
          </w:p>
        </w:tc>
        <w:tc>
          <w:tcPr>
            <w:tcW w:w="5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960" w:type="dxa"/>
            <w:vAlign w:val="bottom"/>
            <w:gridSpan w:val="2"/>
          </w:tcPr>
          <w:p>
            <w:pPr>
              <w:jc w:val="right"/>
              <w:ind w:right="140"/>
              <w:spacing w:after="0"/>
              <w:rPr>
                <w:sz w:val="20"/>
                <w:szCs w:val="20"/>
                <w:color w:val="auto"/>
              </w:rPr>
            </w:pPr>
            <w:r>
              <w:rPr>
                <w:rFonts w:ascii="Arial" w:cs="Arial" w:eastAsia="Arial" w:hAnsi="Arial"/>
                <w:sz w:val="18"/>
                <w:szCs w:val="18"/>
                <w:color w:val="auto"/>
                <w:w w:val="88"/>
              </w:rPr>
              <w:t>45,937,515</w:t>
            </w:r>
          </w:p>
        </w:tc>
        <w:tc>
          <w:tcPr>
            <w:tcW w:w="2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40" w:type="dxa"/>
            <w:vAlign w:val="bottom"/>
            <w:gridSpan w:val="2"/>
          </w:tcPr>
          <w:p>
            <w:pPr>
              <w:jc w:val="right"/>
              <w:ind w:right="320"/>
              <w:spacing w:after="0"/>
              <w:rPr>
                <w:sz w:val="20"/>
                <w:szCs w:val="20"/>
                <w:color w:val="auto"/>
              </w:rPr>
            </w:pPr>
            <w:r>
              <w:rPr>
                <w:rFonts w:ascii="Arial" w:cs="Arial" w:eastAsia="Arial" w:hAnsi="Arial"/>
                <w:sz w:val="18"/>
                <w:szCs w:val="18"/>
                <w:color w:val="auto"/>
                <w:w w:val="88"/>
              </w:rPr>
              <w:t>46,693,294</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40" w:type="dxa"/>
            <w:vAlign w:val="bottom"/>
            <w:gridSpan w:val="2"/>
          </w:tcPr>
          <w:p>
            <w:pPr>
              <w:jc w:val="right"/>
              <w:ind w:right="420"/>
              <w:spacing w:after="0"/>
              <w:rPr>
                <w:sz w:val="20"/>
                <w:szCs w:val="20"/>
                <w:color w:val="auto"/>
              </w:rPr>
            </w:pPr>
            <w:r>
              <w:rPr>
                <w:rFonts w:ascii="Arial" w:cs="Arial" w:eastAsia="Arial" w:hAnsi="Arial"/>
                <w:sz w:val="18"/>
                <w:szCs w:val="18"/>
                <w:color w:val="auto"/>
                <w:w w:val="88"/>
              </w:rPr>
              <w:t>47,846,217</w:t>
            </w:r>
          </w:p>
        </w:tc>
        <w:tc>
          <w:tcPr>
            <w:tcW w:w="100" w:type="dxa"/>
            <w:vAlign w:val="bottom"/>
          </w:tcPr>
          <w:p>
            <w:pPr>
              <w:spacing w:after="0"/>
              <w:rPr>
                <w:sz w:val="20"/>
                <w:szCs w:val="20"/>
                <w:color w:val="auto"/>
              </w:rPr>
            </w:pPr>
          </w:p>
        </w:tc>
        <w:tc>
          <w:tcPr>
            <w:tcW w:w="1060" w:type="dxa"/>
            <w:vAlign w:val="bottom"/>
            <w:gridSpan w:val="2"/>
          </w:tcPr>
          <w:p>
            <w:pPr>
              <w:jc w:val="right"/>
              <w:ind w:right="260"/>
              <w:spacing w:after="0"/>
              <w:rPr>
                <w:sz w:val="20"/>
                <w:szCs w:val="20"/>
                <w:color w:val="auto"/>
              </w:rPr>
            </w:pPr>
            <w:r>
              <w:rPr>
                <w:rFonts w:ascii="Arial" w:cs="Arial" w:eastAsia="Arial" w:hAnsi="Arial"/>
                <w:sz w:val="18"/>
                <w:szCs w:val="18"/>
                <w:color w:val="auto"/>
                <w:w w:val="86"/>
              </w:rPr>
              <w:t>46,329,559</w:t>
            </w:r>
          </w:p>
        </w:tc>
        <w:tc>
          <w:tcPr>
            <w:tcW w:w="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20" w:type="dxa"/>
            <w:vAlign w:val="bottom"/>
            <w:gridSpan w:val="2"/>
          </w:tcPr>
          <w:p>
            <w:pPr>
              <w:jc w:val="right"/>
              <w:ind w:right="120"/>
              <w:spacing w:after="0"/>
              <w:rPr>
                <w:sz w:val="20"/>
                <w:szCs w:val="20"/>
                <w:color w:val="auto"/>
              </w:rPr>
            </w:pPr>
            <w:r>
              <w:rPr>
                <w:rFonts w:ascii="Arial" w:cs="Arial" w:eastAsia="Arial" w:hAnsi="Arial"/>
                <w:sz w:val="18"/>
                <w:szCs w:val="18"/>
                <w:color w:val="auto"/>
                <w:w w:val="86"/>
              </w:rPr>
              <w:t>47,685,875</w:t>
            </w:r>
          </w:p>
        </w:tc>
        <w:tc>
          <w:tcPr>
            <w:tcW w:w="0" w:type="dxa"/>
            <w:vAlign w:val="bottom"/>
          </w:tcPr>
          <w:p>
            <w:pPr>
              <w:spacing w:after="0"/>
              <w:rPr>
                <w:sz w:val="1"/>
                <w:szCs w:val="1"/>
                <w:color w:val="auto"/>
              </w:rPr>
            </w:pPr>
          </w:p>
        </w:tc>
      </w:tr>
    </w:tbl>
    <w:p>
      <w:pPr>
        <w:spacing w:after="0" w:line="187" w:lineRule="exact"/>
        <w:rPr>
          <w:sz w:val="20"/>
          <w:szCs w:val="20"/>
          <w:color w:val="auto"/>
        </w:rPr>
      </w:pPr>
    </w:p>
    <w:p>
      <w:pPr>
        <w:jc w:val="both"/>
        <w:ind w:left="4" w:right="400" w:firstLine="440"/>
        <w:spacing w:after="0" w:line="291" w:lineRule="auto"/>
        <w:rPr>
          <w:sz w:val="20"/>
          <w:szCs w:val="20"/>
          <w:color w:val="auto"/>
        </w:rPr>
      </w:pPr>
      <w:r>
        <w:rPr>
          <w:rFonts w:ascii="Arial" w:cs="Arial" w:eastAsia="Arial" w:hAnsi="Arial"/>
          <w:sz w:val="16"/>
          <w:szCs w:val="16"/>
          <w:color w:val="auto"/>
        </w:rPr>
        <w:t>We present Adjusted EBITDA and Adjusted Net Income as supplemental measures of our performance. We define Adjusted EBITDA for the periods indicated as EBITDA (as defined below), adjusted to exclude (i) Equity-based compensation expense, (ii) Foreign currency loss (gain), net,</w:t>
      </w:r>
    </w:p>
    <w:p>
      <w:pPr>
        <w:ind w:left="4" w:right="320" w:hanging="4"/>
        <w:spacing w:after="0" w:line="260" w:lineRule="auto"/>
        <w:tabs>
          <w:tab w:leader="none" w:pos="319" w:val="left"/>
        </w:tabs>
        <w:numPr>
          <w:ilvl w:val="0"/>
          <w:numId w:val="6"/>
        </w:numPr>
        <w:rPr>
          <w:rFonts w:ascii="Arial" w:cs="Arial" w:eastAsia="Arial" w:hAnsi="Arial"/>
          <w:sz w:val="18"/>
          <w:szCs w:val="18"/>
          <w:color w:val="auto"/>
        </w:rPr>
      </w:pPr>
      <w:r>
        <w:rPr>
          <w:rFonts w:ascii="Arial" w:cs="Arial" w:eastAsia="Arial" w:hAnsi="Arial"/>
          <w:sz w:val="18"/>
          <w:szCs w:val="18"/>
          <w:color w:val="auto"/>
        </w:rPr>
        <w:t>Derivative valuation loss (gain), net, (iv) Merger-related costs and (v) Other charges. EBITDA for the periods indicated is defined as net income (loss) before interest income, net, income tax expense (benefit) and depreciation and amortization.</w:t>
      </w:r>
    </w:p>
    <w:p>
      <w:pPr>
        <w:spacing w:after="0" w:line="185" w:lineRule="exact"/>
        <w:rPr>
          <w:sz w:val="20"/>
          <w:szCs w:val="20"/>
          <w:color w:val="auto"/>
        </w:rPr>
      </w:pPr>
    </w:p>
    <w:p>
      <w:pPr>
        <w:ind w:left="4" w:right="80" w:firstLine="440"/>
        <w:spacing w:after="0" w:line="296" w:lineRule="auto"/>
        <w:rPr>
          <w:sz w:val="20"/>
          <w:szCs w:val="20"/>
          <w:color w:val="auto"/>
        </w:rPr>
      </w:pPr>
      <w:r>
        <w:rPr>
          <w:rFonts w:ascii="Arial" w:cs="Arial" w:eastAsia="Arial" w:hAnsi="Arial"/>
          <w:sz w:val="16"/>
          <w:szCs w:val="16"/>
          <w:color w:val="auto"/>
        </w:rPr>
        <w:t>We prepare Adjusted Net Income by adjusting net income (loss) to eliminate the impact of a number of non-cash expenses and other items that may be either one time or recurring that we do not consider to be indicative of our core ongoing operating performance. We believe that Adjusted Net Income is particularly useful because it reflects the impact of our asset base and capital structure on our operating performance. We define Adjusted Net Income for the periods as net income (loss), adjusted to exclude (i) Equity-based compensation expense, (ii) Foreign currency loss (gain), net, (iii) Derivative valuation loss (gain), net, (iv) Merger-related costs, (v) Other charges and (vi) Income tax effect on non-GAAP adjustments.</w:t>
      </w:r>
    </w:p>
    <w:p>
      <w:pPr>
        <w:spacing w:after="0" w:line="161" w:lineRule="exact"/>
        <w:rPr>
          <w:sz w:val="20"/>
          <w:szCs w:val="20"/>
          <w:color w:val="auto"/>
        </w:rPr>
      </w:pPr>
    </w:p>
    <w:p>
      <w:pPr>
        <w:ind w:left="4" w:right="160" w:firstLine="440"/>
        <w:spacing w:after="0" w:line="277" w:lineRule="auto"/>
        <w:rPr>
          <w:sz w:val="20"/>
          <w:szCs w:val="20"/>
          <w:color w:val="auto"/>
        </w:rPr>
      </w:pPr>
      <w:r>
        <w:rPr>
          <w:rFonts w:ascii="Arial" w:cs="Arial" w:eastAsia="Arial" w:hAnsi="Arial"/>
          <w:sz w:val="18"/>
          <w:szCs w:val="18"/>
          <w:color w:val="auto"/>
        </w:rPr>
        <w:t>For the three and six months ended June 30, 2021, we recorded $2,459 thousand and $12,290 thousand, respectively, of professional service fees and expenses incurred in connection with the contemplated merger transaction.</w:t>
      </w:r>
    </w:p>
    <w:p>
      <w:pPr>
        <w:spacing w:after="0" w:line="170" w:lineRule="exact"/>
        <w:rPr>
          <w:sz w:val="20"/>
          <w:szCs w:val="20"/>
          <w:color w:val="auto"/>
        </w:rPr>
      </w:pPr>
    </w:p>
    <w:p>
      <w:pPr>
        <w:ind w:left="4" w:right="40" w:firstLine="440"/>
        <w:spacing w:after="0" w:line="286" w:lineRule="auto"/>
        <w:rPr>
          <w:sz w:val="20"/>
          <w:szCs w:val="20"/>
          <w:color w:val="auto"/>
        </w:rPr>
      </w:pPr>
      <w:r>
        <w:rPr>
          <w:rFonts w:ascii="Arial" w:cs="Arial" w:eastAsia="Arial" w:hAnsi="Arial"/>
          <w:sz w:val="17"/>
          <w:szCs w:val="17"/>
          <w:color w:val="auto"/>
        </w:rPr>
        <w:t>For the three and six months ended June 30, 2022, we recorded $797 thousand of professional service fees and expenses incurred in connection with certain strategic evaluations. For the three and six months ended June 30, 2021, we recorded $2,561 thousand and $3,146 thousand, respectively, of non-recurring professional service fees and expenses incurred in connection with the regulatory requests.</w:t>
      </w:r>
    </w:p>
    <w:p>
      <w:pPr>
        <w:spacing w:after="0" w:line="98"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8</w:t>
      </w:r>
    </w:p>
    <w:sectPr>
      <w:pgSz w:w="11900" w:h="16838" w:orient="portrait"/>
      <w:cols w:equalWidth="0" w:num="1">
        <w:col w:w="11024"/>
      </w:cols>
      <w:pgMar w:left="436" w:top="1080" w:right="4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AE8944A"/>
    <w:multiLevelType w:val="hybridMultilevel"/>
    <w:lvl w:ilvl="0">
      <w:lvlJc w:val="left"/>
      <w:lvlText w:val="☐"/>
      <w:numFmt w:val="bullet"/>
      <w:start w:val="1"/>
    </w:lvl>
  </w:abstractNum>
  <w:abstractNum w:abstractNumId="1">
    <w:nsid w:val="625558EC"/>
    <w:multiLevelType w:val="hybridMultilevel"/>
    <w:lvl w:ilvl="0">
      <w:lvlJc w:val="left"/>
      <w:lvlText w:val="(%1)"/>
      <w:numFmt w:val="lowerLetter"/>
      <w:start w:val="4"/>
    </w:lvl>
  </w:abstractNum>
  <w:abstractNum w:abstractNumId="2">
    <w:nsid w:val="238E1F29"/>
    <w:multiLevelType w:val="hybridMultilevel"/>
    <w:lvl w:ilvl="0">
      <w:lvlJc w:val="left"/>
      <w:lvlText w:val="•"/>
      <w:numFmt w:val="bullet"/>
      <w:start w:val="1"/>
    </w:lvl>
  </w:abstractNum>
  <w:abstractNum w:abstractNumId="3">
    <w:nsid w:val="46E87CCD"/>
    <w:multiLevelType w:val="hybridMultilevel"/>
    <w:lvl w:ilvl="0">
      <w:lvlJc w:val="left"/>
      <w:lvlText w:val="(%1)"/>
      <w:numFmt w:val="decimal"/>
      <w:start w:val="1"/>
    </w:lvl>
  </w:abstractNum>
  <w:abstractNum w:abstractNumId="4">
    <w:nsid w:val="3D1B58BA"/>
    <w:multiLevelType w:val="hybridMultilevel"/>
    <w:lvl w:ilvl="0">
      <w:lvlJc w:val="left"/>
      <w:lvlText w:val="•"/>
      <w:numFmt w:val="bullet"/>
      <w:start w:val="1"/>
    </w:lvl>
  </w:abstractNum>
  <w:abstractNum w:abstractNumId="5">
    <w:nsid w:val="507ED7AB"/>
    <w:multiLevelType w:val="hybridMultilevel"/>
    <w:lvl w:ilvl="0">
      <w:lvlJc w:val="left"/>
      <w:lvlText w:val="(%1)"/>
      <w:numFmt w:val="lowerRoman"/>
      <w:start w:val="3"/>
    </w:lvl>
  </w:abstractNum>
  <w:num w:numId="1">
    <w:abstractNumId w:val="0"/>
  </w:num>
  <w:num w:numId="2">
    <w:abstractNumId w:val="1"/>
  </w:num>
  <w:num w:numId="3">
    <w:abstractNumId w:val="2"/>
  </w:num>
  <w:num w:numId="4">
    <w:abstractNumId w:val="3"/>
  </w:num>
  <w:num w:numId="5">
    <w:abstractNumId w:val="4"/>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jpeg"/><Relationship Id="rId21" Type="http://schemas.openxmlformats.org/officeDocument/2006/relationships/image" Target="media/image14.png"/><Relationship Id="rId22" Type="http://schemas.openxmlformats.org/officeDocument/2006/relationships/image" Target="media/image15.jpe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jpeg"/><Relationship Id="rId26" Type="http://schemas.openxmlformats.org/officeDocument/2006/relationships/image" Target="media/image19.png"/><Relationship Id="rId27" Type="http://schemas.openxmlformats.org/officeDocument/2006/relationships/image" Target="media/image20.jpeg"/><Relationship Id="rId28" Type="http://schemas.openxmlformats.org/officeDocument/2006/relationships/image" Target="media/image21.png"/><Relationship Id="rId29" Type="http://schemas.openxmlformats.org/officeDocument/2006/relationships/image" Target="media/image22.jpeg"/><Relationship Id="rId30" Type="http://schemas.openxmlformats.org/officeDocument/2006/relationships/image" Target="media/image23.png"/><Relationship Id="rId31" Type="http://schemas.openxmlformats.org/officeDocument/2006/relationships/image" Target="media/image24.jpeg"/><Relationship Id="rId32" Type="http://schemas.openxmlformats.org/officeDocument/2006/relationships/image" Target="media/image25.png"/><Relationship Id="rId33" Type="http://schemas.openxmlformats.org/officeDocument/2006/relationships/image" Target="media/image26.jpeg"/><Relationship Id="rId34" Type="http://schemas.openxmlformats.org/officeDocument/2006/relationships/image" Target="media/image27.png"/><Relationship Id="rId35" Type="http://schemas.openxmlformats.org/officeDocument/2006/relationships/image" Target="media/image28.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2022-08-09T03:32:12Z</dcterms:created>
  <dcterms:modified xsi:type="dcterms:W3CDTF">2022-08-09T03:32:12Z</dcterms:modified>
</cp:coreProperties>
</file>