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18"/>
          <w:szCs w:val="18"/>
          <w:b w:val="1"/>
          <w:bCs w:val="1"/>
          <w:color w:val="auto"/>
        </w:rPr>
        <w:t>As filed with the Securities and Exchange Commission on July 15, 2020</w:t>
      </w:r>
    </w:p>
    <w:p>
      <w:pPr>
        <w:spacing w:after="0" w:line="27" w:lineRule="exact"/>
        <w:rPr>
          <w:sz w:val="24"/>
          <w:szCs w:val="24"/>
          <w:color w:val="auto"/>
        </w:rPr>
      </w:pPr>
    </w:p>
    <w:p>
      <w:pPr>
        <w:ind w:left="8844"/>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-19050</wp:posOffset>
            </wp:positionV>
            <wp:extent cx="3429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9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REGISTRATION STATEMENT</w:t>
      </w:r>
    </w:p>
    <w:p>
      <w:pPr>
        <w:jc w:val="center"/>
        <w:ind w:right="-3"/>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MagnaChip Semiconductor Corporation</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ind w:left="2424"/>
        <w:spacing w:after="0"/>
        <w:tabs>
          <w:tab w:leader="none" w:pos="7884"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83-0406195</w:t>
      </w:r>
    </w:p>
    <w:p>
      <w:pPr>
        <w:spacing w:after="0" w:line="8" w:lineRule="exact"/>
        <w:rPr>
          <w:sz w:val="24"/>
          <w:szCs w:val="24"/>
          <w:color w:val="auto"/>
        </w:rPr>
      </w:pPr>
    </w:p>
    <w:p>
      <w:pPr>
        <w:ind w:left="1884"/>
        <w:spacing w:after="0"/>
        <w:tabs>
          <w:tab w:leader="none" w:pos="7804" w:val="left"/>
        </w:tabs>
        <w:rPr>
          <w:sz w:val="20"/>
          <w:szCs w:val="20"/>
          <w:color w:val="auto"/>
        </w:rPr>
      </w:pPr>
      <w:r>
        <w:rPr>
          <w:rFonts w:ascii="Arial" w:cs="Arial" w:eastAsia="Arial" w:hAnsi="Arial"/>
          <w:sz w:val="14"/>
          <w:szCs w:val="14"/>
          <w:b w:val="1"/>
          <w:bCs w:val="1"/>
          <w:color w:val="auto"/>
        </w:rPr>
        <w:t>(State or other jurisdiction of</w:t>
      </w:r>
      <w:r>
        <w:rPr>
          <w:sz w:val="20"/>
          <w:szCs w:val="20"/>
          <w:color w:val="auto"/>
        </w:rPr>
        <w:tab/>
      </w:r>
      <w:r>
        <w:rPr>
          <w:rFonts w:ascii="Arial" w:cs="Arial" w:eastAsia="Arial" w:hAnsi="Arial"/>
          <w:sz w:val="13"/>
          <w:szCs w:val="13"/>
          <w:b w:val="1"/>
          <w:bCs w:val="1"/>
          <w:color w:val="auto"/>
        </w:rPr>
        <w:t>(I.R.S. Employer</w:t>
      </w:r>
    </w:p>
    <w:p>
      <w:pPr>
        <w:ind w:left="1844"/>
        <w:spacing w:after="0"/>
        <w:tabs>
          <w:tab w:leader="none" w:pos="7764" w:val="left"/>
        </w:tabs>
        <w:rPr>
          <w:sz w:val="20"/>
          <w:szCs w:val="20"/>
          <w:color w:val="auto"/>
        </w:rPr>
      </w:pPr>
      <w:r>
        <w:rPr>
          <w:rFonts w:ascii="Arial" w:cs="Arial" w:eastAsia="Arial" w:hAnsi="Arial"/>
          <w:sz w:val="14"/>
          <w:szCs w:val="14"/>
          <w:b w:val="1"/>
          <w:bCs w:val="1"/>
          <w:color w:val="auto"/>
        </w:rPr>
        <w:t>incorporation or organization)</w:t>
      </w:r>
      <w:r>
        <w:rPr>
          <w:sz w:val="20"/>
          <w:szCs w:val="20"/>
          <w:color w:val="auto"/>
        </w:rPr>
        <w:tab/>
      </w:r>
      <w:r>
        <w:rPr>
          <w:rFonts w:ascii="Arial" w:cs="Arial" w:eastAsia="Arial" w:hAnsi="Arial"/>
          <w:sz w:val="13"/>
          <w:szCs w:val="13"/>
          <w:b w:val="1"/>
          <w:bCs w:val="1"/>
          <w:color w:val="auto"/>
        </w:rPr>
        <w:t>Identification No.)</w:t>
      </w:r>
    </w:p>
    <w:p>
      <w:pPr>
        <w:spacing w:after="0" w:line="20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c/o MagnaChip Semiconductor S.A.</w:t>
      </w:r>
    </w:p>
    <w:p>
      <w:pPr>
        <w:spacing w:after="0" w:line="27"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1, Allée Scheffer, L-2520</w:t>
      </w:r>
    </w:p>
    <w:p>
      <w:pPr>
        <w:spacing w:after="0" w:line="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Luxembourg, Grand Duchy of Luxembourg</w:t>
      </w:r>
    </w:p>
    <w:p>
      <w:pPr>
        <w:spacing w:after="0" w:line="2"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MAGNACHIP SEMICONDUCTOR CORPORATION 2020 EQUITY AND INCENTIVE COMPENSATION PLAN</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(Full title of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tbl>
      <w:tblPr>
        <w:tblLayout w:type="fixed"/>
        <w:tblInd w:w="344"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3000" w:type="dxa"/>
            <w:vAlign w:val="bottom"/>
          </w:tcPr>
          <w:p>
            <w:pPr>
              <w:jc w:val="center"/>
              <w:ind w:left="990"/>
              <w:spacing w:after="0"/>
              <w:rPr>
                <w:sz w:val="20"/>
                <w:szCs w:val="20"/>
                <w:color w:val="auto"/>
              </w:rPr>
            </w:pPr>
            <w:r>
              <w:rPr>
                <w:rFonts w:ascii="Arial" w:cs="Arial" w:eastAsia="Arial" w:hAnsi="Arial"/>
                <w:sz w:val="18"/>
                <w:szCs w:val="18"/>
                <w:b w:val="1"/>
                <w:bCs w:val="1"/>
                <w:i w:val="1"/>
                <w:iCs w:val="1"/>
                <w:color w:val="auto"/>
                <w:w w:val="89"/>
              </w:rPr>
              <w:t>(Copy to:)</w:t>
            </w:r>
          </w:p>
        </w:tc>
      </w:tr>
      <w:tr>
        <w:trPr>
          <w:trHeight w:val="306"/>
        </w:trPr>
        <w:tc>
          <w:tcPr>
            <w:tcW w:w="596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Theodore S. Kim</w:t>
            </w:r>
          </w:p>
        </w:tc>
        <w:tc>
          <w:tcPr>
            <w:tcW w:w="3000" w:type="dxa"/>
            <w:vAlign w:val="bottom"/>
          </w:tcPr>
          <w:p>
            <w:pPr>
              <w:jc w:val="center"/>
              <w:ind w:left="990"/>
              <w:spacing w:after="0"/>
              <w:rPr>
                <w:sz w:val="20"/>
                <w:szCs w:val="20"/>
                <w:color w:val="auto"/>
              </w:rPr>
            </w:pPr>
            <w:r>
              <w:rPr>
                <w:rFonts w:ascii="Arial" w:cs="Arial" w:eastAsia="Arial" w:hAnsi="Arial"/>
                <w:sz w:val="18"/>
                <w:szCs w:val="18"/>
                <w:b w:val="1"/>
                <w:bCs w:val="1"/>
                <w:color w:val="auto"/>
                <w:w w:val="90"/>
              </w:rPr>
              <w:t>Micheal J. Reagan, Esq.</w:t>
            </w:r>
          </w:p>
        </w:tc>
      </w:tr>
      <w:tr>
        <w:trPr>
          <w:trHeight w:val="216"/>
        </w:trPr>
        <w:tc>
          <w:tcPr>
            <w:tcW w:w="5960" w:type="dxa"/>
            <w:vAlign w:val="bottom"/>
          </w:tcPr>
          <w:p>
            <w:pPr>
              <w:jc w:val="center"/>
              <w:ind w:right="990"/>
              <w:spacing w:after="0"/>
              <w:rPr>
                <w:sz w:val="20"/>
                <w:szCs w:val="20"/>
                <w:color w:val="auto"/>
              </w:rPr>
            </w:pPr>
            <w:r>
              <w:rPr>
                <w:rFonts w:ascii="Arial" w:cs="Arial" w:eastAsia="Arial" w:hAnsi="Arial"/>
                <w:sz w:val="18"/>
                <w:szCs w:val="18"/>
                <w:b w:val="1"/>
                <w:bCs w:val="1"/>
                <w:color w:val="auto"/>
                <w:w w:val="90"/>
              </w:rPr>
              <w:t>Chief Compliance Officer, EVP, General Counsel and Secretary</w:t>
            </w:r>
          </w:p>
        </w:tc>
        <w:tc>
          <w:tcPr>
            <w:tcW w:w="3000" w:type="dxa"/>
            <w:vAlign w:val="bottom"/>
          </w:tcPr>
          <w:p>
            <w:pPr>
              <w:jc w:val="center"/>
              <w:ind w:left="990"/>
              <w:spacing w:after="0"/>
              <w:rPr>
                <w:sz w:val="20"/>
                <w:szCs w:val="20"/>
                <w:color w:val="auto"/>
              </w:rPr>
            </w:pPr>
            <w:r>
              <w:rPr>
                <w:rFonts w:ascii="Arial" w:cs="Arial" w:eastAsia="Arial" w:hAnsi="Arial"/>
                <w:sz w:val="18"/>
                <w:szCs w:val="18"/>
                <w:b w:val="1"/>
                <w:bCs w:val="1"/>
                <w:color w:val="auto"/>
                <w:w w:val="90"/>
              </w:rPr>
              <w:t>W. Stuart Ogg, Esq.</w:t>
            </w:r>
          </w:p>
        </w:tc>
      </w:tr>
      <w:tr>
        <w:trPr>
          <w:trHeight w:val="216"/>
        </w:trPr>
        <w:tc>
          <w:tcPr>
            <w:tcW w:w="5960" w:type="dxa"/>
            <w:vAlign w:val="bottom"/>
          </w:tcPr>
          <w:p>
            <w:pPr>
              <w:jc w:val="center"/>
              <w:ind w:right="990"/>
              <w:spacing w:after="0"/>
              <w:rPr>
                <w:sz w:val="20"/>
                <w:szCs w:val="20"/>
                <w:color w:val="auto"/>
              </w:rPr>
            </w:pPr>
            <w:r>
              <w:rPr>
                <w:rFonts w:ascii="Arial" w:cs="Arial" w:eastAsia="Arial" w:hAnsi="Arial"/>
                <w:sz w:val="18"/>
                <w:szCs w:val="18"/>
                <w:b w:val="1"/>
                <w:bCs w:val="1"/>
                <w:color w:val="auto"/>
                <w:w w:val="90"/>
              </w:rPr>
              <w:t>c/o MagnaChip Semiconductor, Inc.</w:t>
            </w:r>
          </w:p>
        </w:tc>
        <w:tc>
          <w:tcPr>
            <w:tcW w:w="3000" w:type="dxa"/>
            <w:vAlign w:val="bottom"/>
          </w:tcPr>
          <w:p>
            <w:pPr>
              <w:jc w:val="center"/>
              <w:ind w:left="990"/>
              <w:spacing w:after="0"/>
              <w:rPr>
                <w:sz w:val="20"/>
                <w:szCs w:val="20"/>
                <w:color w:val="auto"/>
              </w:rPr>
            </w:pPr>
            <w:r>
              <w:rPr>
                <w:rFonts w:ascii="Arial" w:cs="Arial" w:eastAsia="Arial" w:hAnsi="Arial"/>
                <w:sz w:val="18"/>
                <w:szCs w:val="18"/>
                <w:b w:val="1"/>
                <w:bCs w:val="1"/>
                <w:color w:val="auto"/>
                <w:w w:val="88"/>
              </w:rPr>
              <w:t>Jones Day</w:t>
            </w:r>
          </w:p>
        </w:tc>
      </w:tr>
      <w:tr>
        <w:trPr>
          <w:trHeight w:val="216"/>
        </w:trPr>
        <w:tc>
          <w:tcPr>
            <w:tcW w:w="5960" w:type="dxa"/>
            <w:vAlign w:val="bottom"/>
          </w:tcPr>
          <w:p>
            <w:pPr>
              <w:jc w:val="center"/>
              <w:ind w:right="990"/>
              <w:spacing w:after="0"/>
              <w:rPr>
                <w:sz w:val="20"/>
                <w:szCs w:val="20"/>
                <w:color w:val="auto"/>
              </w:rPr>
            </w:pPr>
            <w:r>
              <w:rPr>
                <w:rFonts w:ascii="Arial" w:cs="Arial" w:eastAsia="Arial" w:hAnsi="Arial"/>
                <w:sz w:val="18"/>
                <w:szCs w:val="18"/>
                <w:b w:val="1"/>
                <w:bCs w:val="1"/>
                <w:color w:val="auto"/>
                <w:w w:val="91"/>
              </w:rPr>
              <w:t>60 South Market Street, Suite 750</w:t>
            </w:r>
          </w:p>
        </w:tc>
        <w:tc>
          <w:tcPr>
            <w:tcW w:w="3000" w:type="dxa"/>
            <w:vAlign w:val="bottom"/>
          </w:tcPr>
          <w:p>
            <w:pPr>
              <w:jc w:val="center"/>
              <w:ind w:left="990"/>
              <w:spacing w:after="0"/>
              <w:rPr>
                <w:sz w:val="20"/>
                <w:szCs w:val="20"/>
                <w:color w:val="auto"/>
              </w:rPr>
            </w:pPr>
            <w:r>
              <w:rPr>
                <w:rFonts w:ascii="Arial" w:cs="Arial" w:eastAsia="Arial" w:hAnsi="Arial"/>
                <w:sz w:val="18"/>
                <w:szCs w:val="18"/>
                <w:b w:val="1"/>
                <w:bCs w:val="1"/>
                <w:color w:val="auto"/>
                <w:w w:val="91"/>
              </w:rPr>
              <w:t>1755 Embarcadero Road</w:t>
            </w:r>
          </w:p>
        </w:tc>
      </w:tr>
      <w:tr>
        <w:trPr>
          <w:trHeight w:val="216"/>
        </w:trPr>
        <w:tc>
          <w:tcPr>
            <w:tcW w:w="5960" w:type="dxa"/>
            <w:vAlign w:val="bottom"/>
          </w:tcPr>
          <w:p>
            <w:pPr>
              <w:jc w:val="center"/>
              <w:ind w:right="1010"/>
              <w:spacing w:after="0"/>
              <w:rPr>
                <w:sz w:val="20"/>
                <w:szCs w:val="20"/>
                <w:color w:val="auto"/>
              </w:rPr>
            </w:pPr>
            <w:r>
              <w:rPr>
                <w:rFonts w:ascii="Arial" w:cs="Arial" w:eastAsia="Arial" w:hAnsi="Arial"/>
                <w:sz w:val="18"/>
                <w:szCs w:val="18"/>
                <w:b w:val="1"/>
                <w:bCs w:val="1"/>
                <w:color w:val="auto"/>
                <w:w w:val="88"/>
              </w:rPr>
              <w:t>San Jose, CA 95113</w:t>
            </w:r>
          </w:p>
        </w:tc>
        <w:tc>
          <w:tcPr>
            <w:tcW w:w="300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Palo Alto, CA 94303</w:t>
            </w:r>
          </w:p>
        </w:tc>
      </w:tr>
      <w:tr>
        <w:trPr>
          <w:trHeight w:val="216"/>
        </w:trPr>
        <w:tc>
          <w:tcPr>
            <w:tcW w:w="5960" w:type="dxa"/>
            <w:vAlign w:val="bottom"/>
          </w:tcPr>
          <w:p>
            <w:pPr>
              <w:jc w:val="center"/>
              <w:ind w:right="1010"/>
              <w:spacing w:after="0"/>
              <w:rPr>
                <w:sz w:val="20"/>
                <w:szCs w:val="20"/>
                <w:color w:val="auto"/>
              </w:rPr>
            </w:pPr>
            <w:r>
              <w:rPr>
                <w:rFonts w:ascii="Arial" w:cs="Arial" w:eastAsia="Arial" w:hAnsi="Arial"/>
                <w:sz w:val="18"/>
                <w:szCs w:val="18"/>
                <w:b w:val="1"/>
                <w:bCs w:val="1"/>
                <w:color w:val="auto"/>
                <w:w w:val="91"/>
              </w:rPr>
              <w:t>Tel: (408) 625-5999</w:t>
            </w:r>
          </w:p>
        </w:tc>
        <w:tc>
          <w:tcPr>
            <w:tcW w:w="300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Tel: (650) 739-3939</w:t>
            </w:r>
          </w:p>
        </w:tc>
      </w:tr>
      <w:tr>
        <w:trPr>
          <w:trHeight w:val="228"/>
        </w:trPr>
        <w:tc>
          <w:tcPr>
            <w:tcW w:w="5960" w:type="dxa"/>
            <w:vAlign w:val="bottom"/>
          </w:tcPr>
          <w:p>
            <w:pPr>
              <w:jc w:val="center"/>
              <w:ind w:right="990"/>
              <w:spacing w:after="0"/>
              <w:rPr>
                <w:sz w:val="20"/>
                <w:szCs w:val="20"/>
                <w:color w:val="auto"/>
              </w:rPr>
            </w:pPr>
            <w:r>
              <w:rPr>
                <w:rFonts w:ascii="Arial" w:cs="Arial" w:eastAsia="Arial" w:hAnsi="Arial"/>
                <w:sz w:val="18"/>
                <w:szCs w:val="18"/>
                <w:b w:val="1"/>
                <w:bCs w:val="1"/>
                <w:color w:val="auto"/>
                <w:w w:val="92"/>
              </w:rPr>
              <w:t>Fax: (408) 625-5990</w:t>
            </w:r>
          </w:p>
        </w:tc>
        <w:tc>
          <w:tcPr>
            <w:tcW w:w="3000" w:type="dxa"/>
            <w:vAlign w:val="bottom"/>
          </w:tcPr>
          <w:p>
            <w:pPr>
              <w:jc w:val="center"/>
              <w:ind w:left="990"/>
              <w:spacing w:after="0"/>
              <w:rPr>
                <w:sz w:val="20"/>
                <w:szCs w:val="20"/>
                <w:color w:val="auto"/>
              </w:rPr>
            </w:pPr>
            <w:r>
              <w:rPr>
                <w:rFonts w:ascii="Arial" w:cs="Arial" w:eastAsia="Arial" w:hAnsi="Arial"/>
                <w:sz w:val="18"/>
                <w:szCs w:val="18"/>
                <w:b w:val="1"/>
                <w:bCs w:val="1"/>
                <w:color w:val="auto"/>
                <w:w w:val="92"/>
              </w:rPr>
              <w:t>Fax: (650) 739-3900</w:t>
            </w:r>
          </w:p>
        </w:tc>
      </w:tr>
    </w:tbl>
    <w:p>
      <w:pPr>
        <w:ind w:left="324"/>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ind w:left="4" w:right="24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4"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CALCULATION OF REGISTRATION FEE</w:t>
      </w:r>
    </w:p>
    <w:p>
      <w:pPr>
        <w:spacing w:after="0" w:line="88" w:lineRule="exact"/>
        <w:rPr>
          <w:sz w:val="24"/>
          <w:szCs w:val="24"/>
          <w:color w:val="auto"/>
        </w:rPr>
      </w:pPr>
    </w:p>
    <w:tbl>
      <w:tblPr>
        <w:tblLayout w:type="fixed"/>
        <w:tblInd w:w="4" w:type="dxa"/>
        <w:tblCellMar>
          <w:top w:w="0" w:type="dxa"/>
          <w:left w:w="0" w:type="dxa"/>
          <w:bottom w:w="0" w:type="dxa"/>
          <w:right w:w="0" w:type="dxa"/>
        </w:tblCellMar>
      </w:tblPr>
      <w:tr>
        <w:trPr>
          <w:trHeight w:val="40"/>
        </w:trPr>
        <w:tc>
          <w:tcPr>
            <w:tcW w:w="48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4880" w:type="dxa"/>
            <w:vAlign w:val="bottom"/>
            <w:tcBorders>
              <w:right w:val="single" w:sz="8" w:color="auto"/>
            </w:tcBorders>
          </w:tcPr>
          <w:p>
            <w:pPr>
              <w:spacing w:after="0"/>
              <w:rPr>
                <w:sz w:val="9"/>
                <w:szCs w:val="9"/>
                <w:color w:val="auto"/>
              </w:rPr>
            </w:pP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w:t>
            </w: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880" w:type="dxa"/>
            <w:vAlign w:val="bottom"/>
            <w:tcBorders>
              <w:right w:val="single" w:sz="8" w:color="auto"/>
            </w:tcBorders>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9"/>
              </w:rPr>
              <w:t>Maximum</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880" w:type="dxa"/>
            <w:vAlign w:val="bottom"/>
            <w:tcBorders>
              <w:right w:val="single" w:sz="8" w:color="auto"/>
            </w:tcBorders>
            <w:vMerge w:val="restart"/>
          </w:tcPr>
          <w:p>
            <w:pPr>
              <w:ind w:left="1380"/>
              <w:spacing w:after="0"/>
              <w:rPr>
                <w:sz w:val="20"/>
                <w:szCs w:val="20"/>
                <w:color w:val="auto"/>
              </w:rPr>
            </w:pPr>
            <w:r>
              <w:rPr>
                <w:rFonts w:ascii="Arial" w:cs="Arial" w:eastAsia="Arial" w:hAnsi="Arial"/>
                <w:sz w:val="14"/>
                <w:szCs w:val="14"/>
                <w:b w:val="1"/>
                <w:bCs w:val="1"/>
                <w:color w:val="auto"/>
              </w:rPr>
              <w:t>Title of Securities to be Registered</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Amount to be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4"/>
              </w:rPr>
              <w:t>Offering Price</w:t>
            </w:r>
          </w:p>
        </w:tc>
        <w:tc>
          <w:tcPr>
            <w:tcW w:w="1540" w:type="dxa"/>
            <w:vAlign w:val="bottom"/>
            <w:tcBorders>
              <w:right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6"/>
        </w:trPr>
        <w:tc>
          <w:tcPr>
            <w:tcW w:w="4880" w:type="dxa"/>
            <w:vAlign w:val="bottom"/>
            <w:tcBorders>
              <w:bottom w:val="single" w:sz="8" w:color="auto"/>
              <w:right w:val="single" w:sz="8" w:color="auto"/>
            </w:tcBorders>
            <w:vMerge w:val="continue"/>
          </w:tcPr>
          <w:p>
            <w:pPr>
              <w:spacing w:after="0"/>
              <w:rPr>
                <w:sz w:val="15"/>
                <w:szCs w:val="15"/>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Registered(1)(2)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Per Share(3)</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Price(3)</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Registration Fee(3)</w:t>
            </w:r>
          </w:p>
        </w:tc>
        <w:tc>
          <w:tcPr>
            <w:tcW w:w="0" w:type="dxa"/>
            <w:vAlign w:val="bottom"/>
          </w:tcPr>
          <w:p>
            <w:pPr>
              <w:spacing w:after="0"/>
              <w:rPr>
                <w:sz w:val="1"/>
                <w:szCs w:val="1"/>
                <w:color w:val="auto"/>
              </w:rPr>
            </w:pPr>
          </w:p>
        </w:tc>
      </w:tr>
      <w:tr>
        <w:trPr>
          <w:trHeight w:val="209"/>
        </w:trPr>
        <w:tc>
          <w:tcPr>
            <w:tcW w:w="4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tcPr>
          <w:p>
            <w:pPr>
              <w:jc w:val="right"/>
              <w:ind w:right="306"/>
              <w:spacing w:after="0"/>
              <w:rPr>
                <w:sz w:val="20"/>
                <w:szCs w:val="20"/>
                <w:color w:val="auto"/>
              </w:rPr>
            </w:pPr>
            <w:r>
              <w:rPr>
                <w:rFonts w:ascii="Arial" w:cs="Arial" w:eastAsia="Arial" w:hAnsi="Arial"/>
                <w:sz w:val="18"/>
                <w:szCs w:val="18"/>
                <w:color w:val="auto"/>
              </w:rPr>
              <w:t>6,007,715</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$10.12</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$60,798,075.80</w:t>
            </w:r>
          </w:p>
        </w:tc>
        <w:tc>
          <w:tcPr>
            <w:tcW w:w="1520" w:type="dxa"/>
            <w:vAlign w:val="bottom"/>
            <w:tcBorders>
              <w:bottom w:val="single" w:sz="8" w:color="auto"/>
            </w:tcBorders>
          </w:tcPr>
          <w:p>
            <w:pPr>
              <w:jc w:val="center"/>
              <w:ind w:left="2"/>
              <w:spacing w:after="0"/>
              <w:rPr>
                <w:sz w:val="20"/>
                <w:szCs w:val="20"/>
                <w:color w:val="auto"/>
              </w:rPr>
            </w:pPr>
            <w:r>
              <w:rPr>
                <w:rFonts w:ascii="Arial" w:cs="Arial" w:eastAsia="Arial" w:hAnsi="Arial"/>
                <w:sz w:val="18"/>
                <w:szCs w:val="18"/>
                <w:color w:val="auto"/>
                <w:w w:val="89"/>
              </w:rPr>
              <w:t>$7,891.59</w:t>
            </w:r>
          </w:p>
        </w:tc>
        <w:tc>
          <w:tcPr>
            <w:tcW w:w="0" w:type="dxa"/>
            <w:vAlign w:val="bottom"/>
          </w:tcPr>
          <w:p>
            <w:pPr>
              <w:spacing w:after="0"/>
              <w:rPr>
                <w:sz w:val="1"/>
                <w:szCs w:val="1"/>
                <w:color w:val="auto"/>
              </w:rPr>
            </w:pPr>
          </w:p>
        </w:tc>
      </w:tr>
      <w:tr>
        <w:trPr>
          <w:trHeight w:val="20"/>
        </w:trPr>
        <w:tc>
          <w:tcPr>
            <w:tcW w:w="48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p>
      <w:pPr>
        <w:sectPr>
          <w:pgSz w:w="11900" w:h="16838" w:orient="portrait"/>
          <w:cols w:equalWidth="0" w:num="1">
            <w:col w:w="11024"/>
          </w:cols>
          <w:pgMar w:left="436" w:top="229" w:right="439" w:bottom="23" w:gutter="0" w:footer="0" w:header="0"/>
        </w:sectPr>
      </w:pPr>
    </w:p>
    <w:p>
      <w:pPr>
        <w:ind w:left="424" w:right="160" w:hanging="424"/>
        <w:spacing w:after="0" w:line="263" w:lineRule="auto"/>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amount being registered also includes an indeterminate number of shares of Common Stock that may be offered or issued by reason of stock splits, stock dividends and anti-dilution provisions and other terms pursuant to Rule 416 under the Securities Act of 1933, as amended (the “Securities Act”).</w:t>
      </w:r>
    </w:p>
    <w:p>
      <w:pPr>
        <w:sectPr>
          <w:pgSz w:w="11900" w:h="16838" w:orient="portrait"/>
          <w:cols w:equalWidth="0" w:num="1">
            <w:col w:w="11024"/>
          </w:cols>
          <w:pgMar w:left="436" w:top="229" w:right="439" w:bottom="23" w:gutter="0" w:footer="0" w:header="0"/>
          <w:type w:val="continuous"/>
        </w:sectPr>
      </w:pPr>
    </w:p>
    <w:bookmarkStart w:id="1" w:name="page2"/>
    <w:bookmarkEnd w:id="1"/>
    <w:p>
      <w:pPr>
        <w:ind w:left="424" w:hanging="424"/>
        <w:spacing w:after="0" w:line="267"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Represents the number of shares of common stock, par value $0.01 per share (“Common Stock”), of MagnaChip Semiconductor Corporation (the “Registrant”), deliverable pursuant to the MagnaChip Semiconductor Corporation 2020 Equity and Incentive Compensation Plan (the “2020 Plan”), representing (a) 1,309,000 shares of Common Stock newly authorized for issuance under the 2020 Plan, plus (b) 1,149,921 shares of Common Stock available as of the effective date of the 2020 Plan for future awards under the MagnaChip Semiconductor Corporation 2011 Equity Incentive Plan (the “Prior Plan”), plus (c) 3,548,794 shares of Common Stock subject to awards granted under the Prior Plan or the MagnaChip Semiconductor LLC 2009 Common Unit Plan that may become available for issuance under the 2020 Plan if any such award (in whole or in part) is forfeited, cancelled, expires, is settled for cash, or is unearned.</w:t>
      </w:r>
    </w:p>
    <w:p>
      <w:pPr>
        <w:spacing w:after="0" w:line="4" w:lineRule="exact"/>
        <w:rPr>
          <w:rFonts w:ascii="Arial" w:cs="Arial" w:eastAsia="Arial" w:hAnsi="Arial"/>
          <w:sz w:val="17"/>
          <w:szCs w:val="17"/>
          <w:color w:val="auto"/>
        </w:rPr>
      </w:pPr>
    </w:p>
    <w:p>
      <w:pPr>
        <w:ind w:left="424" w:right="200" w:hanging="424"/>
        <w:spacing w:after="0" w:line="277" w:lineRule="auto"/>
        <w:tabs>
          <w:tab w:leader="none" w:pos="424" w:val="left"/>
        </w:tabs>
        <w:numPr>
          <w:ilvl w:val="0"/>
          <w:numId w:val="2"/>
        </w:numPr>
        <w:rPr>
          <w:rFonts w:ascii="Arial" w:cs="Arial" w:eastAsia="Arial" w:hAnsi="Arial"/>
          <w:sz w:val="17"/>
          <w:szCs w:val="17"/>
          <w:color w:val="auto"/>
        </w:rPr>
      </w:pPr>
      <w:r>
        <w:rPr>
          <w:rFonts w:ascii="Arial" w:cs="Arial" w:eastAsia="Arial" w:hAnsi="Arial"/>
          <w:sz w:val="17"/>
          <w:szCs w:val="17"/>
          <w:color w:val="auto"/>
        </w:rPr>
        <w:t>Determined solely for purposes of calculating the registration fee pursuant to Rule 457(c) and (h). The proposed maximum offering price per share, proposed maximum aggregate offering price and the amount of the registration fee are based on $10.12, which is the average of the high and low prices for the Registrant’s Common Stock as reported on the New York Stock Exchange on July 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127635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170180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4"/>
          </w:cols>
          <w:pgMar w:left="436" w:top="139" w:right="5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EXPLANATORY NOTE</w:t>
      </w:r>
    </w:p>
    <w:p>
      <w:pPr>
        <w:spacing w:after="0" w:line="229" w:lineRule="exact"/>
        <w:rPr>
          <w:sz w:val="20"/>
          <w:szCs w:val="20"/>
          <w:color w:val="auto"/>
        </w:rPr>
      </w:pPr>
    </w:p>
    <w:p>
      <w:pPr>
        <w:ind w:right="60" w:firstLine="991"/>
        <w:spacing w:after="0" w:line="275" w:lineRule="auto"/>
        <w:rPr>
          <w:sz w:val="20"/>
          <w:szCs w:val="20"/>
          <w:color w:val="auto"/>
        </w:rPr>
      </w:pPr>
      <w:r>
        <w:rPr>
          <w:rFonts w:ascii="Arial" w:cs="Arial" w:eastAsia="Arial" w:hAnsi="Arial"/>
          <w:sz w:val="17"/>
          <w:szCs w:val="17"/>
          <w:color w:val="auto"/>
        </w:rPr>
        <w:t>This Registration Statement covers the offer and sale of an aggregate of 6,007,715 shares of Common Stock, representing (a) 1,309,000 shares of Common Stock newly authorized for issuance under the 2020 Plan, plus (b) 1,149,921 shares of Common Stock available as of the effective date of the 2020 Plan for future awards under the Prior Plan, plus (c) 3,548,794 shares of Common Stock subject to awards granted under the Prior Plan or the MagnaChip Semiconductor LLC 2009 Common Unit Plan that may become available for issuance under the 2020 Plan if any such award (in whole or in part) is forfeited, cancelled, expires, is settled for cash, or is unearned.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29"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The information specified in Item 1 and Item 2 of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 Such documents are not being filed with the Securities and Exchange Commission (the “Commission”) either as part of this Registration Statement or as prospectuses or prospectus supplements pursuant to Rule 424 under the Securities Act.</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INFORMATION REQUIRED IN REGISTRATION STATEMENT</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20" w:firstLine="991"/>
        <w:spacing w:after="0" w:line="286" w:lineRule="auto"/>
        <w:rPr>
          <w:sz w:val="20"/>
          <w:szCs w:val="20"/>
          <w:color w:val="auto"/>
        </w:rPr>
      </w:pPr>
      <w:r>
        <w:rPr>
          <w:rFonts w:ascii="Arial" w:cs="Arial" w:eastAsia="Arial" w:hAnsi="Arial"/>
          <w:sz w:val="17"/>
          <w:szCs w:val="17"/>
          <w:color w:val="auto"/>
        </w:rPr>
        <w:t>The Registrant is subject to the informational and reporting requirements of Sections 13(a), 13(c), 14 and 15(d) of the Securities Exchange Act of 1934, as amended (the “Exchange Act”), and, in accordance therewith, files reports, proxy statements and other information with the Commission. The following documents have been filed by the Registrant with the Commission and are incorporated herein by reference:</w:t>
      </w:r>
    </w:p>
    <w:p>
      <w:pPr>
        <w:spacing w:after="0" w:line="71" w:lineRule="exact"/>
        <w:rPr>
          <w:sz w:val="20"/>
          <w:szCs w:val="20"/>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Registrant’s Annual Report on Form 10-K for the year ended December 31, 2019 (filed on </w:t>
      </w:r>
      <w:hyperlink r:id="rId21">
        <w:r>
          <w:rPr>
            <w:rFonts w:ascii="Arial" w:cs="Arial" w:eastAsia="Arial" w:hAnsi="Arial"/>
            <w:sz w:val="18"/>
            <w:szCs w:val="18"/>
            <w:u w:val="single" w:color="auto"/>
            <w:color w:val="0000EE"/>
          </w:rPr>
          <w:t>February 21,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The Registrant’s Quarterly Report on Form 10-Q for the quarter ended March 31, 2020 (filed on </w:t>
      </w:r>
      <w:hyperlink r:id="rId22">
        <w:r>
          <w:rPr>
            <w:rFonts w:ascii="Arial" w:cs="Arial" w:eastAsia="Arial" w:hAnsi="Arial"/>
            <w:sz w:val="18"/>
            <w:szCs w:val="18"/>
            <w:u w:val="single" w:color="auto"/>
            <w:color w:val="0000EE"/>
          </w:rPr>
          <w:t>May 11, 2020</w:t>
        </w:r>
      </w:hyperlink>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0" w:right="980" w:hanging="532"/>
        <w:spacing w:after="0" w:line="277" w:lineRule="auto"/>
        <w:tabs>
          <w:tab w:leader="none" w:pos="960"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The Registrant’s Current Reports on Form 8-K filed on </w:t>
      </w:r>
      <w:hyperlink r:id="rId23">
        <w:r>
          <w:rPr>
            <w:rFonts w:ascii="Arial" w:cs="Arial" w:eastAsia="Arial" w:hAnsi="Arial"/>
            <w:sz w:val="18"/>
            <w:szCs w:val="18"/>
            <w:u w:val="single" w:color="auto"/>
            <w:color w:val="0000EE"/>
          </w:rPr>
          <w:t>March 2, 2020</w:t>
        </w:r>
      </w:hyperlink>
      <w:r>
        <w:rPr>
          <w:rFonts w:ascii="Arial" w:cs="Arial" w:eastAsia="Arial" w:hAnsi="Arial"/>
          <w:sz w:val="18"/>
          <w:szCs w:val="18"/>
          <w:color w:val="auto"/>
        </w:rPr>
        <w:t xml:space="preserve">, </w:t>
      </w:r>
      <w:hyperlink r:id="rId24">
        <w:r>
          <w:rPr>
            <w:rFonts w:ascii="Arial" w:cs="Arial" w:eastAsia="Arial" w:hAnsi="Arial"/>
            <w:sz w:val="18"/>
            <w:szCs w:val="18"/>
            <w:u w:val="single" w:color="auto"/>
            <w:color w:val="0000EE"/>
          </w:rPr>
          <w:t>March 27, 2020</w:t>
        </w:r>
      </w:hyperlink>
      <w:r>
        <w:rPr>
          <w:rFonts w:ascii="Arial" w:cs="Arial" w:eastAsia="Arial" w:hAnsi="Arial"/>
          <w:sz w:val="18"/>
          <w:szCs w:val="18"/>
          <w:color w:val="auto"/>
        </w:rPr>
        <w:t xml:space="preserve">, </w:t>
      </w:r>
      <w:hyperlink r:id="rId25">
        <w:r>
          <w:rPr>
            <w:rFonts w:ascii="Arial" w:cs="Arial" w:eastAsia="Arial" w:hAnsi="Arial"/>
            <w:sz w:val="18"/>
            <w:szCs w:val="18"/>
            <w:u w:val="single" w:color="auto"/>
            <w:color w:val="0000EE"/>
          </w:rPr>
          <w:t>March 31, 2020</w:t>
        </w:r>
      </w:hyperlink>
      <w:r>
        <w:rPr>
          <w:rFonts w:ascii="Arial" w:cs="Arial" w:eastAsia="Arial" w:hAnsi="Arial"/>
          <w:sz w:val="18"/>
          <w:szCs w:val="18"/>
          <w:color w:val="auto"/>
        </w:rPr>
        <w:t xml:space="preserve">, </w:t>
      </w:r>
      <w:hyperlink r:id="rId26">
        <w:r>
          <w:rPr>
            <w:rFonts w:ascii="Arial" w:cs="Arial" w:eastAsia="Arial" w:hAnsi="Arial"/>
            <w:sz w:val="18"/>
            <w:szCs w:val="18"/>
            <w:u w:val="single" w:color="auto"/>
            <w:color w:val="0000EE"/>
          </w:rPr>
          <w:t>May 21,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27">
        <w:r>
          <w:rPr>
            <w:rFonts w:ascii="Arial" w:cs="Arial" w:eastAsia="Arial" w:hAnsi="Arial"/>
            <w:sz w:val="18"/>
            <w:szCs w:val="18"/>
            <w:u w:val="single" w:color="auto"/>
            <w:color w:val="0000EE"/>
          </w:rPr>
          <w:t>June 17, 2020</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and</w:t>
      </w:r>
    </w:p>
    <w:p>
      <w:pPr>
        <w:spacing w:after="0" w:line="75" w:lineRule="exact"/>
        <w:rPr>
          <w:rFonts w:ascii="Arial" w:cs="Arial" w:eastAsia="Arial" w:hAnsi="Arial"/>
          <w:sz w:val="18"/>
          <w:szCs w:val="18"/>
          <w:color w:val="0000EE"/>
        </w:rPr>
      </w:pPr>
    </w:p>
    <w:p>
      <w:pPr>
        <w:jc w:val="both"/>
        <w:ind w:left="960" w:right="300" w:hanging="532"/>
        <w:spacing w:after="0" w:line="263" w:lineRule="auto"/>
        <w:tabs>
          <w:tab w:leader="none" w:pos="960" w:val="left"/>
        </w:tabs>
        <w:numPr>
          <w:ilvl w:val="0"/>
          <w:numId w:val="3"/>
        </w:numPr>
        <w:rPr>
          <w:rFonts w:ascii="Arial" w:cs="Arial" w:eastAsia="Arial" w:hAnsi="Arial"/>
          <w:sz w:val="18"/>
          <w:szCs w:val="18"/>
          <w:color w:val="0000EE"/>
        </w:rPr>
      </w:pPr>
      <w:r>
        <w:rPr>
          <w:rFonts w:ascii="Arial" w:cs="Arial" w:eastAsia="Arial" w:hAnsi="Arial"/>
          <w:sz w:val="18"/>
          <w:szCs w:val="18"/>
          <w:color w:val="auto"/>
        </w:rPr>
        <w:t xml:space="preserve">The description of the Common Stock contained in the Registrant’s Registration Statement on Form 8-A filed with the Commission on </w:t>
      </w:r>
      <w:hyperlink r:id="rId28">
        <w:r>
          <w:rPr>
            <w:rFonts w:ascii="Arial" w:cs="Arial" w:eastAsia="Arial" w:hAnsi="Arial"/>
            <w:sz w:val="18"/>
            <w:szCs w:val="18"/>
            <w:u w:val="single" w:color="auto"/>
            <w:color w:val="0000EE"/>
          </w:rPr>
          <w:t>March 1, 2011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as amended on</w:t>
      </w:r>
      <w:r>
        <w:rPr>
          <w:rFonts w:ascii="Arial" w:cs="Arial" w:eastAsia="Arial" w:hAnsi="Arial"/>
          <w:sz w:val="18"/>
          <w:szCs w:val="18"/>
          <w:color w:val="0000EE"/>
        </w:rPr>
        <w:t xml:space="preserve"> </w:t>
      </w:r>
      <w:hyperlink r:id="rId29">
        <w:r>
          <w:rPr>
            <w:rFonts w:ascii="Arial" w:cs="Arial" w:eastAsia="Arial" w:hAnsi="Arial"/>
            <w:sz w:val="18"/>
            <w:szCs w:val="18"/>
            <w:u w:val="single" w:color="auto"/>
            <w:color w:val="0000EE"/>
          </w:rPr>
          <w:t>March 10, 2011</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including any amendment or report filed for the purpose of updating such description</w:t>
      </w:r>
      <w:r>
        <w:rPr>
          <w:rFonts w:ascii="Arial" w:cs="Arial" w:eastAsia="Arial" w:hAnsi="Arial"/>
          <w:sz w:val="18"/>
          <w:szCs w:val="18"/>
          <w:color w:val="0000EE"/>
        </w:rPr>
        <w:t xml:space="preserve"> </w:t>
      </w:r>
      <w:r>
        <w:rPr>
          <w:rFonts w:ascii="Arial" w:cs="Arial" w:eastAsia="Arial" w:hAnsi="Arial"/>
          <w:sz w:val="18"/>
          <w:szCs w:val="18"/>
          <w:color w:val="000000"/>
        </w:rPr>
        <w:t>(Commission File No. 001-34791).</w:t>
      </w:r>
    </w:p>
    <w:p>
      <w:pPr>
        <w:spacing w:after="0" w:line="184" w:lineRule="exact"/>
        <w:rPr>
          <w:rFonts w:ascii="Arial" w:cs="Arial" w:eastAsia="Arial" w:hAnsi="Arial"/>
          <w:sz w:val="18"/>
          <w:szCs w:val="18"/>
          <w:color w:val="auto"/>
        </w:rPr>
      </w:pPr>
    </w:p>
    <w:p>
      <w:pPr>
        <w:ind w:firstLine="991"/>
        <w:spacing w:after="0" w:line="269" w:lineRule="auto"/>
        <w:rPr>
          <w:sz w:val="20"/>
          <w:szCs w:val="20"/>
          <w:color w:val="auto"/>
        </w:rPr>
      </w:pPr>
      <w:r>
        <w:rPr>
          <w:rFonts w:ascii="Arial" w:cs="Arial" w:eastAsia="Arial" w:hAnsi="Arial"/>
          <w:sz w:val="17"/>
          <w:szCs w:val="17"/>
          <w:color w:val="auto"/>
        </w:rPr>
        <w:t>All documents filed by the Registrant with the Commission pursuant to Sections 13(a), 13(c), 14 and 15(d) of the Exchange Act subsequent to the date of this Registration Statement, and prior to the filing of a post-effective amendment that indicates that all securities offered have been sold or that deregisters all securities then remaining unsold, will be deemed to be incorporated by reference in this Registration Statement and to be part hereof from the date of filing of such documents. Any statement contained in any document incorporated or deemed to be incorporated by reference herein will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such statement so modified or superseded will not be deemed, except as modified or superseded, to constitute a part of this Registration Statement. The Registrant will not, however, incorporate by reference any documents or portions thereof that are not deemed “filed” with the Commission, including any information furnished pursuant to Item 2.02 or Item 7.01 of the Registrant’s Current Reports on Form 8-K unless, and except to the extent, specified in such reports.</w:t>
      </w:r>
    </w:p>
    <w:p>
      <w:pPr>
        <w:spacing w:after="0" w:line="330" w:lineRule="exact"/>
        <w:rPr>
          <w:rFonts w:ascii="Arial" w:cs="Arial" w:eastAsia="Arial" w:hAnsi="Arial"/>
          <w:sz w:val="18"/>
          <w:szCs w:val="18"/>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Description of Securities.</w:t>
      </w:r>
    </w:p>
    <w:p>
      <w:pPr>
        <w:spacing w:after="0" w:line="121" w:lineRule="exact"/>
        <w:rPr>
          <w:rFonts w:ascii="Arial" w:cs="Arial" w:eastAsia="Arial" w:hAnsi="Arial"/>
          <w:sz w:val="18"/>
          <w:szCs w:val="18"/>
          <w:color w:val="auto"/>
        </w:rPr>
      </w:pPr>
    </w:p>
    <w:p>
      <w:pPr>
        <w:ind w:left="980"/>
        <w:spacing w:after="0"/>
        <w:rPr>
          <w:sz w:val="20"/>
          <w:szCs w:val="20"/>
          <w:color w:val="auto"/>
        </w:rPr>
      </w:pPr>
      <w:r>
        <w:rPr>
          <w:rFonts w:ascii="Arial" w:cs="Arial" w:eastAsia="Arial" w:hAnsi="Arial"/>
          <w:sz w:val="18"/>
          <w:szCs w:val="18"/>
          <w:color w:val="auto"/>
        </w:rPr>
        <w:t>Not applicable.</w:t>
      </w:r>
    </w:p>
    <w:p>
      <w:pPr>
        <w:spacing w:after="0" w:line="370" w:lineRule="exact"/>
        <w:rPr>
          <w:rFonts w:ascii="Arial" w:cs="Arial" w:eastAsia="Arial" w:hAnsi="Arial"/>
          <w:sz w:val="18"/>
          <w:szCs w:val="18"/>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rFonts w:ascii="Arial" w:cs="Arial" w:eastAsia="Arial" w:hAnsi="Arial"/>
          <w:sz w:val="18"/>
          <w:szCs w:val="18"/>
          <w:color w:val="auto"/>
        </w:rPr>
      </w:pPr>
    </w:p>
    <w:p>
      <w:pPr>
        <w:ind w:left="98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980"/>
          </w:cols>
          <w:pgMar w:left="440" w:top="270" w:right="47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991"/>
        <w:spacing w:after="0" w:line="255" w:lineRule="auto"/>
        <w:rPr>
          <w:sz w:val="20"/>
          <w:szCs w:val="20"/>
          <w:color w:val="auto"/>
        </w:rPr>
      </w:pPr>
      <w:r>
        <w:rPr>
          <w:rFonts w:ascii="Arial" w:cs="Arial" w:eastAsia="Arial" w:hAnsi="Arial"/>
          <w:sz w:val="18"/>
          <w:szCs w:val="18"/>
          <w:color w:val="auto"/>
        </w:rPr>
        <w:t>Section 145 of the Delaware General Corporation Law (“DGCL”) provides that a corporation may indemnify directors and officers as well as other employees and individuals against expenses (including attorneys’ fees), judgments, fines and amounts paid in settlement actually and reasonably incurred by such person in connection with any threatened, pending or completed actions, suits or proceedings in which such person is made a party or who is threatened to be made a party by reason of such person being or having been a director, officer, employee of or agent to the registrant. The statute provides that it is not exclusive of other rights to which those seeking indemnification may be entitled under any bylaw, agreement, vote of stockholders or disinterested directors or otherwise.</w:t>
      </w:r>
    </w:p>
    <w:p>
      <w:pPr>
        <w:spacing w:after="0" w:line="192" w:lineRule="exact"/>
        <w:rPr>
          <w:sz w:val="20"/>
          <w:szCs w:val="20"/>
          <w:color w:val="auto"/>
        </w:rPr>
      </w:pPr>
    </w:p>
    <w:p>
      <w:pPr>
        <w:ind w:right="220" w:firstLine="991"/>
        <w:spacing w:after="0" w:line="308" w:lineRule="auto"/>
        <w:rPr>
          <w:sz w:val="20"/>
          <w:szCs w:val="20"/>
          <w:color w:val="auto"/>
        </w:rPr>
      </w:pPr>
      <w:r>
        <w:rPr>
          <w:rFonts w:ascii="Arial" w:cs="Arial" w:eastAsia="Arial" w:hAnsi="Arial"/>
          <w:sz w:val="17"/>
          <w:szCs w:val="17"/>
          <w:color w:val="auto"/>
        </w:rPr>
        <w:t>As permitted by the DGCL, our certificate of incorporation includes a provision that eliminates the personal liability of our directors for monetary damages for breach of fiduciary duty as a director, except to the extent such exemption from liability is not permitted by DGCL.</w:t>
      </w:r>
    </w:p>
    <w:p>
      <w:pPr>
        <w:spacing w:after="0" w:line="146"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As permitted by the DGCL, our bylaws provide that (1) we are required to indemnify our directors and officers to the fullest extent permitted by the DGCL, subject to certain exceptions; (2) we are permitted to indemnify our other employees and agents to the extent that we indemnify our officers and directors; (3) we are required to advance expenses, as incurred, to our directors and officers in connection with any legal proceeding, subject to certain exceptions; and (4) the rights conferred in our bylaws are not exclusive.</w:t>
      </w:r>
    </w:p>
    <w:p>
      <w:pPr>
        <w:spacing w:after="0" w:line="187"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We have entered into indemnification agreements with our directors and officers. The indemnification agreements provide for indemnification and advancement of expenses to our directors and officers under certain circumstances for acts or omissions to the extent permissible under Delaware law. We also maintain directors’ and officers’ liability insurance, which insures against liabilities that our directors or officers may incur in such capacities.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320" w:type="dxa"/>
            <w:vAlign w:val="bottom"/>
          </w:tcPr>
          <w:p>
            <w:pPr>
              <w:spacing w:after="0"/>
              <w:rPr>
                <w:sz w:val="20"/>
                <w:szCs w:val="20"/>
                <w:color w:val="auto"/>
              </w:rPr>
            </w:pPr>
          </w:p>
        </w:tc>
        <w:tc>
          <w:tcPr>
            <w:tcW w:w="10040" w:type="dxa"/>
            <w:vAlign w:val="bottom"/>
            <w:gridSpan w:val="14"/>
          </w:tcPr>
          <w:p>
            <w:pPr>
              <w:ind w:left="20"/>
              <w:spacing w:after="0"/>
              <w:rPr>
                <w:sz w:val="20"/>
                <w:szCs w:val="20"/>
                <w:color w:val="auto"/>
              </w:rPr>
            </w:pPr>
            <w:r>
              <w:rPr>
                <w:rFonts w:ascii="Arial" w:cs="Arial" w:eastAsia="Arial" w:hAnsi="Arial"/>
                <w:sz w:val="18"/>
                <w:szCs w:val="18"/>
                <w:b w:val="1"/>
                <w:bCs w:val="1"/>
                <w:color w:val="auto"/>
              </w:rPr>
              <w:t>Exemption from Registration Claimed.</w:t>
            </w:r>
          </w:p>
        </w:tc>
        <w:tc>
          <w:tcPr>
            <w:tcW w:w="0" w:type="dxa"/>
            <w:vAlign w:val="bottom"/>
          </w:tcPr>
          <w:p>
            <w:pPr>
              <w:spacing w:after="0"/>
              <w:rPr>
                <w:sz w:val="1"/>
                <w:szCs w:val="1"/>
                <w:color w:val="auto"/>
              </w:rPr>
            </w:pPr>
          </w:p>
        </w:tc>
      </w:tr>
      <w:tr>
        <w:trPr>
          <w:trHeight w:val="324"/>
        </w:trPr>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14"/>
          </w:tcPr>
          <w:p>
            <w:pPr>
              <w:ind w:left="2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581"/>
        </w:trPr>
        <w:tc>
          <w:tcPr>
            <w:tcW w:w="6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320" w:type="dxa"/>
            <w:vAlign w:val="bottom"/>
          </w:tcPr>
          <w:p>
            <w:pPr>
              <w:spacing w:after="0"/>
              <w:rPr>
                <w:sz w:val="24"/>
                <w:szCs w:val="24"/>
                <w:color w:val="auto"/>
              </w:rPr>
            </w:pPr>
          </w:p>
        </w:tc>
        <w:tc>
          <w:tcPr>
            <w:tcW w:w="10040" w:type="dxa"/>
            <w:vAlign w:val="bottom"/>
            <w:gridSpan w:val="14"/>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69"/>
        </w:trPr>
        <w:tc>
          <w:tcPr>
            <w:tcW w:w="640" w:type="dxa"/>
            <w:vAlign w:val="bottom"/>
          </w:tcPr>
          <w:p>
            <w:pPr>
              <w:ind w:left="20"/>
              <w:spacing w:after="0"/>
              <w:rPr>
                <w:sz w:val="20"/>
                <w:szCs w:val="20"/>
                <w:color w:val="auto"/>
              </w:rPr>
            </w:pPr>
            <w:r>
              <w:rPr>
                <w:rFonts w:ascii="Arial" w:cs="Arial" w:eastAsia="Arial" w:hAnsi="Arial"/>
                <w:sz w:val="14"/>
                <w:szCs w:val="14"/>
                <w:b w:val="1"/>
                <w:bCs w:val="1"/>
                <w:color w:val="auto"/>
              </w:rPr>
              <w:t>EXHIBIT</w:t>
            </w: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52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520" w:type="dxa"/>
            <w:vAlign w:val="bottom"/>
            <w:gridSpan w:val="11"/>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40" w:type="dxa"/>
            <w:vAlign w:val="bottom"/>
          </w:tcPr>
          <w:p>
            <w:pPr>
              <w:jc w:val="right"/>
              <w:ind w:right="232"/>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24"/>
                <w:szCs w:val="24"/>
                <w:color w:val="auto"/>
              </w:rPr>
            </w:pPr>
          </w:p>
        </w:tc>
        <w:tc>
          <w:tcPr>
            <w:tcW w:w="10040" w:type="dxa"/>
            <w:vAlign w:val="bottom"/>
            <w:tcBorders>
              <w:bottom w:val="single" w:sz="8" w:color="0000EE"/>
            </w:tcBorders>
            <w:gridSpan w:val="14"/>
          </w:tcPr>
          <w:p>
            <w:pPr>
              <w:spacing w:after="0"/>
              <w:rPr>
                <w:rFonts w:ascii="Arial" w:cs="Arial" w:eastAsia="Arial" w:hAnsi="Arial"/>
                <w:sz w:val="18"/>
                <w:szCs w:val="18"/>
                <w:color w:val="0000EE"/>
                <w:w w:val="91"/>
              </w:rPr>
            </w:pPr>
            <w:hyperlink r:id="rId31">
              <w:r>
                <w:rPr>
                  <w:rFonts w:ascii="Arial" w:cs="Arial" w:eastAsia="Arial" w:hAnsi="Arial"/>
                  <w:sz w:val="18"/>
                  <w:szCs w:val="18"/>
                  <w:color w:val="0000EE"/>
                  <w:w w:val="91"/>
                </w:rPr>
                <w:t>Certificate of Incorporation of MagnaChip Semiconductor Corporation (incorporated by reference to Exhibit 3.2 to the Registrant’s Current</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9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1">
              <w:r>
                <w:rPr>
                  <w:rFonts w:ascii="Arial" w:cs="Arial" w:eastAsia="Arial" w:hAnsi="Arial"/>
                  <w:sz w:val="18"/>
                  <w:szCs w:val="18"/>
                  <w:color w:val="0000EE"/>
                  <w:w w:val="92"/>
                </w:rPr>
                <w:t>Report on Form 8-K filed with the Commission on March 11, 2011).</w:t>
              </w:r>
            </w:hyperlink>
          </w:p>
        </w:tc>
        <w:tc>
          <w:tcPr>
            <w:tcW w:w="51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640" w:type="dxa"/>
            <w:vAlign w:val="bottom"/>
          </w:tcPr>
          <w:p>
            <w:pPr>
              <w:jc w:val="right"/>
              <w:ind w:right="232"/>
              <w:spacing w:after="0"/>
              <w:rPr>
                <w:sz w:val="20"/>
                <w:szCs w:val="20"/>
                <w:color w:val="auto"/>
              </w:rPr>
            </w:pPr>
            <w:r>
              <w:rPr>
                <w:rFonts w:ascii="Arial" w:cs="Arial" w:eastAsia="Arial" w:hAnsi="Arial"/>
                <w:sz w:val="18"/>
                <w:szCs w:val="18"/>
                <w:color w:val="auto"/>
              </w:rPr>
              <w:t>3.2</w:t>
            </w:r>
          </w:p>
        </w:tc>
        <w:tc>
          <w:tcPr>
            <w:tcW w:w="3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3"/>
              </w:rPr>
            </w:pPr>
            <w:hyperlink r:id="rId32">
              <w:r>
                <w:rPr>
                  <w:rFonts w:ascii="Arial" w:cs="Arial" w:eastAsia="Arial" w:hAnsi="Arial"/>
                  <w:sz w:val="18"/>
                  <w:szCs w:val="18"/>
                  <w:color w:val="0000EE"/>
                  <w:w w:val="93"/>
                </w:rPr>
                <w:t>Amended and Restated Bylaws of MagnaChip Semiconductor Corporation (incorporated by reference to Exhibit 3.1 to the Registrant’s</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r:id="rId32">
              <w:r>
                <w:rPr>
                  <w:rFonts w:ascii="Arial" w:cs="Arial" w:eastAsia="Arial" w:hAnsi="Arial"/>
                  <w:sz w:val="18"/>
                  <w:szCs w:val="18"/>
                  <w:color w:val="0000EE"/>
                </w:rPr>
                <w:t>Current Report on Form 8-K filed on May 6, 2016).</w:t>
              </w:r>
            </w:hyperlink>
          </w:p>
        </w:tc>
        <w:tc>
          <w:tcPr>
            <w:tcW w:w="3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0" w:type="dxa"/>
            <w:vAlign w:val="bottom"/>
          </w:tcPr>
          <w:p>
            <w:pPr>
              <w:jc w:val="right"/>
              <w:ind w:right="232"/>
              <w:spacing w:after="0"/>
              <w:rPr>
                <w:sz w:val="20"/>
                <w:szCs w:val="20"/>
                <w:color w:val="auto"/>
              </w:rPr>
            </w:pPr>
            <w:r>
              <w:rPr>
                <w:rFonts w:ascii="Arial" w:cs="Arial" w:eastAsia="Arial" w:hAnsi="Arial"/>
                <w:sz w:val="18"/>
                <w:szCs w:val="18"/>
                <w:color w:val="auto"/>
              </w:rPr>
              <w:t>3.3</w:t>
            </w:r>
          </w:p>
        </w:tc>
        <w:tc>
          <w:tcPr>
            <w:tcW w:w="320" w:type="dxa"/>
            <w:vAlign w:val="bottom"/>
          </w:tcPr>
          <w:p>
            <w:pPr>
              <w:spacing w:after="0"/>
              <w:rPr>
                <w:sz w:val="24"/>
                <w:szCs w:val="24"/>
                <w:color w:val="auto"/>
              </w:rPr>
            </w:pPr>
          </w:p>
        </w:tc>
        <w:tc>
          <w:tcPr>
            <w:tcW w:w="9320" w:type="dxa"/>
            <w:vAlign w:val="bottom"/>
            <w:tcBorders>
              <w:bottom w:val="single" w:sz="8" w:color="0000EE"/>
            </w:tcBorders>
            <w:gridSpan w:val="8"/>
          </w:tcPr>
          <w:p>
            <w:pPr>
              <w:spacing w:after="0"/>
              <w:rPr>
                <w:rFonts w:ascii="Arial" w:cs="Arial" w:eastAsia="Arial" w:hAnsi="Arial"/>
                <w:sz w:val="18"/>
                <w:szCs w:val="18"/>
                <w:color w:val="0000EE"/>
                <w:w w:val="90"/>
              </w:rPr>
            </w:pPr>
            <w:hyperlink r:id="rId33">
              <w:r>
                <w:rPr>
                  <w:rFonts w:ascii="Arial" w:cs="Arial" w:eastAsia="Arial" w:hAnsi="Arial"/>
                  <w:sz w:val="18"/>
                  <w:szCs w:val="18"/>
                  <w:color w:val="0000EE"/>
                  <w:w w:val="90"/>
                </w:rPr>
                <w:t>Certificate of Designation, Preferences and Rights of Series A Junior Participating Preferred Stock of MagnaChip Semiconductor</w:t>
              </w:r>
            </w:hyperlink>
          </w:p>
        </w:tc>
        <w:tc>
          <w:tcPr>
            <w:tcW w:w="7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EE"/>
                <w:w w:val="97"/>
              </w:rPr>
            </w:pPr>
            <w:hyperlink r:id="rId33">
              <w:r>
                <w:rPr>
                  <w:rFonts w:ascii="Arial" w:cs="Arial" w:eastAsia="Arial" w:hAnsi="Arial"/>
                  <w:sz w:val="18"/>
                  <w:szCs w:val="18"/>
                  <w:color w:val="0000EE"/>
                  <w:w w:val="97"/>
                </w:rPr>
                <w:t>Corporation, as filed with the Secretary of the State of Delaware on March 6, 2015 (incorporated by reference to Exhibit 3.1 to the</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7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33">
              <w:r>
                <w:rPr>
                  <w:rFonts w:ascii="Arial" w:cs="Arial" w:eastAsia="Arial" w:hAnsi="Arial"/>
                  <w:sz w:val="18"/>
                  <w:szCs w:val="18"/>
                  <w:color w:val="0000EE"/>
                  <w:w w:val="91"/>
                </w:rPr>
                <w:t>Registrant’s Current Report on Form 8-K filed on March 6, 2015).</w:t>
              </w:r>
            </w:hyperlink>
          </w:p>
        </w:tc>
        <w:tc>
          <w:tcPr>
            <w:tcW w:w="4600" w:type="dxa"/>
            <w:vAlign w:val="bottom"/>
            <w:tcBorders>
              <w:top w:val="single" w:sz="8" w:color="0000EE"/>
            </w:tcBorders>
            <w:gridSpan w:val="4"/>
          </w:tcPr>
          <w:p>
            <w:pPr>
              <w:spacing w:after="0"/>
              <w:rPr>
                <w:sz w:val="17"/>
                <w:szCs w:val="17"/>
                <w:color w:val="auto"/>
              </w:rPr>
            </w:pPr>
          </w:p>
        </w:tc>
        <w:tc>
          <w:tcPr>
            <w:tcW w:w="6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40" w:type="dxa"/>
            <w:vAlign w:val="bottom"/>
          </w:tcPr>
          <w:p>
            <w:pPr>
              <w:jc w:val="right"/>
              <w:ind w:right="232"/>
              <w:spacing w:after="0"/>
              <w:rPr>
                <w:sz w:val="20"/>
                <w:szCs w:val="20"/>
                <w:color w:val="auto"/>
              </w:rPr>
            </w:pPr>
            <w:r>
              <w:rPr>
                <w:rFonts w:ascii="Arial" w:cs="Arial" w:eastAsia="Arial" w:hAnsi="Arial"/>
                <w:sz w:val="18"/>
                <w:szCs w:val="18"/>
                <w:color w:val="auto"/>
              </w:rPr>
              <w:t>5.1</w:t>
            </w:r>
          </w:p>
        </w:tc>
        <w:tc>
          <w:tcPr>
            <w:tcW w:w="3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Opinion of Jones Day.</w:t>
              </w:r>
            </w:hyperlink>
          </w:p>
        </w:tc>
        <w:tc>
          <w:tcPr>
            <w:tcW w:w="0" w:type="dxa"/>
            <w:vAlign w:val="bottom"/>
          </w:tcPr>
          <w:p>
            <w:pPr>
              <w:spacing w:after="0"/>
              <w:rPr>
                <w:sz w:val="1"/>
                <w:szCs w:val="1"/>
                <w:color w:val="auto"/>
              </w:rPr>
            </w:pPr>
          </w:p>
        </w:tc>
      </w:tr>
      <w:tr>
        <w:trPr>
          <w:trHeight w:val="324"/>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23.1</w:t>
            </w:r>
          </w:p>
        </w:tc>
        <w:tc>
          <w:tcPr>
            <w:tcW w:w="3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Consent of Samil PricewaterhouseCoopers.</w:t>
              </w:r>
            </w:hyperlink>
          </w:p>
        </w:tc>
        <w:tc>
          <w:tcPr>
            <w:tcW w:w="0" w:type="dxa"/>
            <w:vAlign w:val="bottom"/>
          </w:tcPr>
          <w:p>
            <w:pPr>
              <w:spacing w:after="0"/>
              <w:rPr>
                <w:sz w:val="1"/>
                <w:szCs w:val="1"/>
                <w:color w:val="auto"/>
              </w:rPr>
            </w:pPr>
          </w:p>
        </w:tc>
      </w:tr>
      <w:tr>
        <w:trPr>
          <w:trHeight w:val="324"/>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23.2</w:t>
            </w:r>
          </w:p>
        </w:tc>
        <w:tc>
          <w:tcPr>
            <w:tcW w:w="3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Consent of Jones Day (included in Exhibit 5.1 to this Registration Statement).</w:t>
              </w:r>
            </w:hyperlink>
          </w:p>
        </w:tc>
        <w:tc>
          <w:tcPr>
            <w:tcW w:w="0" w:type="dxa"/>
            <w:vAlign w:val="bottom"/>
          </w:tcPr>
          <w:p>
            <w:pPr>
              <w:spacing w:after="0"/>
              <w:rPr>
                <w:sz w:val="1"/>
                <w:szCs w:val="1"/>
                <w:color w:val="auto"/>
              </w:rPr>
            </w:pPr>
          </w:p>
        </w:tc>
      </w:tr>
      <w:tr>
        <w:trPr>
          <w:trHeight w:val="324"/>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24.1</w:t>
            </w:r>
          </w:p>
        </w:tc>
        <w:tc>
          <w:tcPr>
            <w:tcW w:w="3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Power of Attorney (included on the signature page of this Registration Statement).</w:t>
              </w:r>
            </w:hyperlink>
          </w:p>
        </w:tc>
        <w:tc>
          <w:tcPr>
            <w:tcW w:w="0" w:type="dxa"/>
            <w:vAlign w:val="bottom"/>
          </w:tcPr>
          <w:p>
            <w:pPr>
              <w:spacing w:after="0"/>
              <w:rPr>
                <w:sz w:val="1"/>
                <w:szCs w:val="1"/>
                <w:color w:val="auto"/>
              </w:rPr>
            </w:pPr>
          </w:p>
        </w:tc>
      </w:tr>
      <w:tr>
        <w:trPr>
          <w:trHeight w:val="283"/>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99.1</w:t>
            </w:r>
          </w:p>
        </w:tc>
        <w:tc>
          <w:tcPr>
            <w:tcW w:w="320" w:type="dxa"/>
            <w:vAlign w:val="bottom"/>
          </w:tcPr>
          <w:p>
            <w:pPr>
              <w:spacing w:after="0"/>
              <w:rPr>
                <w:sz w:val="24"/>
                <w:szCs w:val="24"/>
                <w:color w:val="auto"/>
              </w:rPr>
            </w:pPr>
          </w:p>
        </w:tc>
        <w:tc>
          <w:tcPr>
            <w:tcW w:w="9820" w:type="dxa"/>
            <w:vAlign w:val="bottom"/>
            <w:tcBorders>
              <w:bottom w:val="single" w:sz="8" w:color="0000EE"/>
            </w:tcBorders>
            <w:gridSpan w:val="12"/>
          </w:tcPr>
          <w:p>
            <w:pPr>
              <w:spacing w:after="0"/>
              <w:rPr>
                <w:rFonts w:ascii="Arial" w:cs="Arial" w:eastAsia="Arial" w:hAnsi="Arial"/>
                <w:sz w:val="18"/>
                <w:szCs w:val="18"/>
                <w:color w:val="0000EE"/>
                <w:w w:val="91"/>
              </w:rPr>
            </w:pPr>
            <w:hyperlink r:id="rId34">
              <w:r>
                <w:rPr>
                  <w:rFonts w:ascii="Arial" w:cs="Arial" w:eastAsia="Arial" w:hAnsi="Arial"/>
                  <w:sz w:val="18"/>
                  <w:szCs w:val="18"/>
                  <w:color w:val="0000EE"/>
                  <w:w w:val="91"/>
                </w:rPr>
                <w:t>MagnaChip Semiconductor Corporation 2020 Equity and Incentive Compensation Plan (incorporated by reference to Exhibit 10.1 to the</w:t>
              </w:r>
            </w:hyperlink>
          </w:p>
        </w:tc>
        <w:tc>
          <w:tcPr>
            <w:tcW w:w="2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40" w:type="dxa"/>
            <w:vAlign w:val="bottom"/>
            <w:gridSpan w:val="14"/>
          </w:tcPr>
          <w:p>
            <w:pPr>
              <w:spacing w:after="0" w:line="196" w:lineRule="exact"/>
              <w:rPr>
                <w:rFonts w:ascii="Arial" w:cs="Arial" w:eastAsia="Arial" w:hAnsi="Arial"/>
                <w:sz w:val="18"/>
                <w:szCs w:val="18"/>
                <w:color w:val="0000EE"/>
              </w:rPr>
            </w:pPr>
            <w:hyperlink r:id="rId34">
              <w:r>
                <w:rPr>
                  <w:rFonts w:ascii="Arial" w:cs="Arial" w:eastAsia="Arial" w:hAnsi="Arial"/>
                  <w:sz w:val="18"/>
                  <w:szCs w:val="18"/>
                  <w:color w:val="0000EE"/>
                </w:rPr>
                <w:t>Registrant’s Current Report on Form 8-K filed on June 17, 2020).</w:t>
              </w:r>
            </w:hyperlink>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80" w:type="dxa"/>
            <w:vAlign w:val="bottom"/>
            <w:gridSpan w:val="3"/>
            <w:shd w:val="clear" w:color="auto" w:fill="0000EE"/>
          </w:tcPr>
          <w:p>
            <w:pPr>
              <w:spacing w:after="0" w:line="20" w:lineRule="exact"/>
              <w:rPr>
                <w:sz w:val="1"/>
                <w:szCs w:val="1"/>
                <w:color w:val="auto"/>
              </w:rPr>
            </w:pPr>
          </w:p>
        </w:tc>
        <w:tc>
          <w:tcPr>
            <w:tcW w:w="4800" w:type="dxa"/>
            <w:vAlign w:val="bottom"/>
            <w:gridSpan w:val="6"/>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99.2</w:t>
            </w:r>
          </w:p>
        </w:tc>
        <w:tc>
          <w:tcPr>
            <w:tcW w:w="3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MagnaChip Semiconductor Corporation 2020 Form of Restricted Stock Units Agreement (Non-employee Directors)</w:t>
              </w:r>
            </w:hyperlink>
          </w:p>
        </w:tc>
        <w:tc>
          <w:tcPr>
            <w:tcW w:w="0" w:type="dxa"/>
            <w:vAlign w:val="bottom"/>
          </w:tcPr>
          <w:p>
            <w:pPr>
              <w:spacing w:after="0"/>
              <w:rPr>
                <w:sz w:val="1"/>
                <w:szCs w:val="1"/>
                <w:color w:val="auto"/>
              </w:rPr>
            </w:pPr>
          </w:p>
        </w:tc>
      </w:tr>
      <w:tr>
        <w:trPr>
          <w:trHeight w:val="338"/>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99.3</w:t>
            </w:r>
          </w:p>
        </w:tc>
        <w:tc>
          <w:tcPr>
            <w:tcW w:w="3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MagnaChip Semiconductor Corporation 2020 Form of Restricted Stock Units Agreement (Section 16 Officers)</w:t>
              </w:r>
            </w:hyperlink>
          </w:p>
        </w:tc>
        <w:tc>
          <w:tcPr>
            <w:tcW w:w="0" w:type="dxa"/>
            <w:vAlign w:val="bottom"/>
          </w:tcPr>
          <w:p>
            <w:pPr>
              <w:spacing w:after="0"/>
              <w:rPr>
                <w:sz w:val="1"/>
                <w:szCs w:val="1"/>
                <w:color w:val="auto"/>
              </w:rPr>
            </w:pPr>
          </w:p>
        </w:tc>
      </w:tr>
      <w:tr>
        <w:trPr>
          <w:trHeight w:val="338"/>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99.4</w:t>
            </w:r>
          </w:p>
        </w:tc>
        <w:tc>
          <w:tcPr>
            <w:tcW w:w="3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MagnaChip Semiconductor Corporation 2020 Form of Restricted Stock Units Agreement - Financial Performance (CEO)</w:t>
              </w:r>
            </w:hyperlink>
          </w:p>
        </w:tc>
        <w:tc>
          <w:tcPr>
            <w:tcW w:w="0" w:type="dxa"/>
            <w:vAlign w:val="bottom"/>
          </w:tcPr>
          <w:p>
            <w:pPr>
              <w:spacing w:after="0"/>
              <w:rPr>
                <w:sz w:val="1"/>
                <w:szCs w:val="1"/>
                <w:color w:val="auto"/>
              </w:rPr>
            </w:pPr>
          </w:p>
        </w:tc>
      </w:tr>
      <w:tr>
        <w:trPr>
          <w:trHeight w:val="297"/>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99.5</w:t>
            </w:r>
          </w:p>
        </w:tc>
        <w:tc>
          <w:tcPr>
            <w:tcW w:w="3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2"/>
              </w:rPr>
            </w:pPr>
            <w:hyperlink w:anchor="page44">
              <w:r>
                <w:rPr>
                  <w:rFonts w:ascii="Arial" w:cs="Arial" w:eastAsia="Arial" w:hAnsi="Arial"/>
                  <w:sz w:val="18"/>
                  <w:szCs w:val="18"/>
                  <w:color w:val="0000EE"/>
                  <w:w w:val="92"/>
                </w:rPr>
                <w:t>MagnaChip Semiconductor Corporation 2020 Form of Restricted Stock Units Agreement - Financial Performance (Non-CEO Section 16</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Officers)</w:t>
              </w:r>
            </w:hyperlink>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880" w:type="dxa"/>
            <w:vAlign w:val="bottom"/>
            <w:gridSpan w:val="9"/>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99.6</w:t>
            </w:r>
          </w:p>
        </w:tc>
        <w:tc>
          <w:tcPr>
            <w:tcW w:w="3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MagnaChip Semiconductor Corporation 2020 Form of Restricted Stock Units Agreement - TSR Performance (CEO)</w:t>
              </w:r>
            </w:hyperlink>
          </w:p>
        </w:tc>
        <w:tc>
          <w:tcPr>
            <w:tcW w:w="0" w:type="dxa"/>
            <w:vAlign w:val="bottom"/>
          </w:tcPr>
          <w:p>
            <w:pPr>
              <w:spacing w:after="0"/>
              <w:rPr>
                <w:sz w:val="1"/>
                <w:szCs w:val="1"/>
                <w:color w:val="auto"/>
              </w:rPr>
            </w:pPr>
          </w:p>
        </w:tc>
      </w:tr>
      <w:tr>
        <w:trPr>
          <w:trHeight w:val="297"/>
        </w:trPr>
        <w:tc>
          <w:tcPr>
            <w:tcW w:w="640" w:type="dxa"/>
            <w:vAlign w:val="bottom"/>
          </w:tcPr>
          <w:p>
            <w:pPr>
              <w:jc w:val="right"/>
              <w:ind w:right="232"/>
              <w:spacing w:after="0"/>
              <w:rPr>
                <w:sz w:val="20"/>
                <w:szCs w:val="20"/>
                <w:color w:val="auto"/>
              </w:rPr>
            </w:pPr>
            <w:r>
              <w:rPr>
                <w:rFonts w:ascii="Arial" w:cs="Arial" w:eastAsia="Arial" w:hAnsi="Arial"/>
                <w:sz w:val="18"/>
                <w:szCs w:val="18"/>
                <w:color w:val="auto"/>
                <w:w w:val="85"/>
              </w:rPr>
              <w:t>99.7</w:t>
            </w:r>
          </w:p>
        </w:tc>
        <w:tc>
          <w:tcPr>
            <w:tcW w:w="320" w:type="dxa"/>
            <w:vAlign w:val="bottom"/>
          </w:tcPr>
          <w:p>
            <w:pPr>
              <w:spacing w:after="0"/>
              <w:rPr>
                <w:sz w:val="24"/>
                <w:szCs w:val="24"/>
                <w:color w:val="auto"/>
              </w:rPr>
            </w:pPr>
          </w:p>
        </w:tc>
        <w:tc>
          <w:tcPr>
            <w:tcW w:w="10040" w:type="dxa"/>
            <w:vAlign w:val="bottom"/>
            <w:gridSpan w:val="14"/>
          </w:tcPr>
          <w:p>
            <w:pPr>
              <w:spacing w:after="0"/>
              <w:rPr>
                <w:rFonts w:ascii="Arial" w:cs="Arial" w:eastAsia="Arial" w:hAnsi="Arial"/>
                <w:sz w:val="18"/>
                <w:szCs w:val="18"/>
                <w:color w:val="0000EE"/>
                <w:w w:val="96"/>
              </w:rPr>
            </w:pPr>
            <w:hyperlink w:anchor="page70">
              <w:r>
                <w:rPr>
                  <w:rFonts w:ascii="Arial" w:cs="Arial" w:eastAsia="Arial" w:hAnsi="Arial"/>
                  <w:sz w:val="18"/>
                  <w:szCs w:val="18"/>
                  <w:color w:val="0000EE"/>
                  <w:w w:val="96"/>
                </w:rPr>
                <w:t>MagnaChip Semiconductor Corporation 2020 Form of Restricted Stock Units Agreement - TSR Performance (Non-CEO Section 16</w:t>
              </w:r>
            </w:hyperlink>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52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Officers)</w:t>
              </w:r>
            </w:hyperlink>
          </w:p>
        </w:tc>
        <w:tc>
          <w:tcPr>
            <w:tcW w:w="5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00"/>
          </w:cols>
          <w:pgMar w:left="440" w:top="270" w:right="45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040" w:hanging="383"/>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460" w:hanging="390"/>
        <w:spacing w:after="0"/>
        <w:tabs>
          <w:tab w:leader="none" w:pos="1460" w:val="left"/>
        </w:tabs>
        <w:numPr>
          <w:ilvl w:val="1"/>
          <w:numId w:val="4"/>
        </w:numPr>
        <w:rPr>
          <w:rFonts w:ascii="Arial" w:cs="Arial" w:eastAsia="Arial" w:hAnsi="Arial"/>
          <w:sz w:val="17"/>
          <w:szCs w:val="17"/>
          <w:color w:val="auto"/>
        </w:rPr>
      </w:pPr>
      <w:r>
        <w:rPr>
          <w:rFonts w:ascii="Arial" w:cs="Arial" w:eastAsia="Arial" w:hAnsi="Arial"/>
          <w:sz w:val="17"/>
          <w:szCs w:val="17"/>
          <w:color w:val="auto"/>
        </w:rPr>
        <w:t>To file, during any period in which offers or sales are being made, a post-effective amendment to this Registration Statement:</w:t>
      </w:r>
    </w:p>
    <w:p>
      <w:pPr>
        <w:spacing w:after="0" w:line="128" w:lineRule="exact"/>
        <w:rPr>
          <w:rFonts w:ascii="Arial" w:cs="Arial" w:eastAsia="Arial" w:hAnsi="Arial"/>
          <w:sz w:val="17"/>
          <w:szCs w:val="17"/>
          <w:color w:val="auto"/>
        </w:rPr>
      </w:pPr>
    </w:p>
    <w:p>
      <w:pPr>
        <w:ind w:left="2020" w:hanging="427"/>
        <w:spacing w:after="0"/>
        <w:tabs>
          <w:tab w:leader="none" w:pos="2020"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117" w:lineRule="exact"/>
        <w:rPr>
          <w:rFonts w:ascii="Arial" w:cs="Arial" w:eastAsia="Arial" w:hAnsi="Arial"/>
          <w:sz w:val="18"/>
          <w:szCs w:val="18"/>
          <w:color w:val="auto"/>
        </w:rPr>
      </w:pPr>
    </w:p>
    <w:p>
      <w:pPr>
        <w:ind w:left="1100" w:right="120" w:firstLine="493"/>
        <w:spacing w:after="0" w:line="291" w:lineRule="auto"/>
        <w:tabs>
          <w:tab w:leader="none" w:pos="2037" w:val="left"/>
        </w:tabs>
        <w:numPr>
          <w:ilvl w:val="2"/>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58" w:lineRule="exact"/>
        <w:rPr>
          <w:rFonts w:ascii="Arial" w:cs="Arial" w:eastAsia="Arial" w:hAnsi="Arial"/>
          <w:sz w:val="16"/>
          <w:szCs w:val="16"/>
          <w:color w:val="auto"/>
        </w:rPr>
      </w:pPr>
    </w:p>
    <w:p>
      <w:pPr>
        <w:ind w:left="1100" w:right="380" w:firstLine="493"/>
        <w:spacing w:after="0" w:line="277" w:lineRule="auto"/>
        <w:tabs>
          <w:tab w:leader="none" w:pos="2042" w:val="left"/>
        </w:tabs>
        <w:numPr>
          <w:ilvl w:val="2"/>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540" w:right="280" w:firstLine="523"/>
        <w:spacing w:after="0" w:line="263"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(a)(1)(i) and (a)(1)(ii) do not apply if the information required to be included in a post-effective</w:t>
      </w:r>
      <w:r>
        <w:rPr>
          <w:rFonts w:ascii="Arial" w:cs="Arial" w:eastAsia="Arial" w:hAnsi="Arial"/>
          <w:sz w:val="18"/>
          <w:szCs w:val="18"/>
          <w:i w:val="1"/>
          <w:iCs w:val="1"/>
          <w:color w:val="auto"/>
        </w:rPr>
        <w:t xml:space="preserve"> </w:t>
      </w:r>
      <w:r>
        <w:rPr>
          <w:rFonts w:ascii="Arial" w:cs="Arial" w:eastAsia="Arial" w:hAnsi="Arial"/>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w:t>
      </w:r>
    </w:p>
    <w:p>
      <w:pPr>
        <w:spacing w:after="0" w:line="76" w:lineRule="exact"/>
        <w:rPr>
          <w:sz w:val="20"/>
          <w:szCs w:val="20"/>
          <w:color w:val="auto"/>
        </w:rPr>
      </w:pPr>
    </w:p>
    <w:p>
      <w:pPr>
        <w:jc w:val="both"/>
        <w:ind w:left="540" w:right="60" w:firstLine="530"/>
        <w:spacing w:after="0" w:line="263" w:lineRule="auto"/>
        <w:tabs>
          <w:tab w:leader="none" w:pos="1450" w:val="left"/>
        </w:tabs>
        <w:numPr>
          <w:ilvl w:val="1"/>
          <w:numId w:val="5"/>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5" w:lineRule="exact"/>
        <w:rPr>
          <w:rFonts w:ascii="Arial" w:cs="Arial" w:eastAsia="Arial" w:hAnsi="Arial"/>
          <w:sz w:val="18"/>
          <w:szCs w:val="18"/>
          <w:color w:val="auto"/>
        </w:rPr>
      </w:pPr>
    </w:p>
    <w:p>
      <w:pPr>
        <w:ind w:left="540" w:right="120" w:firstLine="530"/>
        <w:spacing w:after="0" w:line="277" w:lineRule="auto"/>
        <w:tabs>
          <w:tab w:leader="none" w:pos="145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firstLine="657"/>
        <w:spacing w:after="0" w:line="257" w:lineRule="auto"/>
        <w:tabs>
          <w:tab w:leader="none" w:pos="1047"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 xml:space="preserve">bona fide </w:t>
      </w:r>
      <w:r>
        <w:rPr>
          <w:rFonts w:ascii="Arial" w:cs="Arial" w:eastAsia="Arial" w:hAnsi="Arial"/>
          <w:sz w:val="18"/>
          <w:szCs w:val="18"/>
          <w:color w:val="auto"/>
        </w:rPr>
        <w:t>offering thereof.</w:t>
      </w:r>
    </w:p>
    <w:p>
      <w:pPr>
        <w:spacing w:after="0" w:line="187" w:lineRule="exact"/>
        <w:rPr>
          <w:rFonts w:ascii="Arial" w:cs="Arial" w:eastAsia="Arial" w:hAnsi="Arial"/>
          <w:sz w:val="18"/>
          <w:szCs w:val="18"/>
          <w:color w:val="auto"/>
        </w:rPr>
      </w:pPr>
    </w:p>
    <w:p>
      <w:pPr>
        <w:ind w:right="40" w:firstLine="657"/>
        <w:spacing w:after="0" w:line="254"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ectPr>
          <w:pgSz w:w="11900" w:h="16838" w:orient="portrait"/>
          <w:cols w:equalWidth="0" w:num="1">
            <w:col w:w="10980"/>
          </w:cols>
          <w:pgMar w:left="440" w:top="270" w:right="47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SIGNATURES</w:t>
      </w:r>
    </w:p>
    <w:p>
      <w:pPr>
        <w:spacing w:after="0" w:line="229" w:lineRule="exact"/>
        <w:rPr>
          <w:sz w:val="20"/>
          <w:szCs w:val="20"/>
          <w:color w:val="auto"/>
        </w:rPr>
      </w:pPr>
    </w:p>
    <w:p>
      <w:pPr>
        <w:ind w:right="300" w:firstLine="440"/>
        <w:spacing w:after="0" w:line="263"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Seoul, Republic of Korea on July 15, 2020.</w:t>
      </w:r>
    </w:p>
    <w:p>
      <w:pPr>
        <w:spacing w:after="0" w:line="207"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MAGNACHIP SEMICONDUCTOR CORPORATION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Young-Joon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Young-Joon Kim</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Chief Executive Officer (Principal Executive Officer)</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Young-Joon Kim and Theodore S. Kim and each or either of them, as his or her true and lawful attorney-in-fact and agent, with full power of substitution and resubstitution, for him and in his name, place and stead, in any and all capacities, to sign any and all amendments to this registration statement on Form S-8, including any and all post-effective amendments and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and necessary to be done in connection therewith, as fully to all intents and purposes as he might or could do in person, hereby ratifying and confirming all that said attorney-in-fact and agent, or his substitutes or substitute, may lawfully do or cause to be done by virtue hereof.</w:t>
      </w:r>
    </w:p>
    <w:p>
      <w:pPr>
        <w:spacing w:after="0" w:line="192" w:lineRule="exact"/>
        <w:rPr>
          <w:sz w:val="20"/>
          <w:szCs w:val="20"/>
          <w:color w:val="auto"/>
        </w:rPr>
      </w:pPr>
    </w:p>
    <w:p>
      <w:pPr>
        <w:ind w:right="260" w:firstLine="440"/>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on Form S-8 has been signed below by the following persons on behalf of MagnaChip Semiconductor Corporation and in the capacities and on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2400" w:type="dxa"/>
            <w:vAlign w:val="bottom"/>
          </w:tcPr>
          <w:p>
            <w:pPr>
              <w:jc w:val="center"/>
              <w:ind w:left="1352"/>
              <w:spacing w:after="0"/>
              <w:rPr>
                <w:sz w:val="20"/>
                <w:szCs w:val="20"/>
                <w:color w:val="auto"/>
              </w:rPr>
            </w:pPr>
            <w:r>
              <w:rPr>
                <w:rFonts w:ascii="Arial" w:cs="Arial" w:eastAsia="Arial" w:hAnsi="Arial"/>
                <w:sz w:val="14"/>
                <w:szCs w:val="14"/>
                <w:b w:val="1"/>
                <w:bCs w:val="1"/>
                <w:color w:val="auto"/>
                <w:w w:val="92"/>
              </w:rPr>
              <w:t>Date</w:t>
            </w:r>
          </w:p>
        </w:tc>
      </w:tr>
      <w:tr>
        <w:trPr>
          <w:trHeight w:val="268"/>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Young-Joon Kim</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15, 2020</w:t>
            </w:r>
          </w:p>
        </w:tc>
      </w:tr>
      <w:tr>
        <w:trPr>
          <w:trHeight w:val="224"/>
        </w:trPr>
        <w:tc>
          <w:tcPr>
            <w:tcW w:w="7280" w:type="dxa"/>
            <w:vAlign w:val="bottom"/>
          </w:tcPr>
          <w:p>
            <w:pPr>
              <w:spacing w:after="0"/>
              <w:rPr>
                <w:sz w:val="20"/>
                <w:szCs w:val="20"/>
                <w:color w:val="auto"/>
              </w:rPr>
            </w:pPr>
            <w:r>
              <w:rPr>
                <w:rFonts w:ascii="Arial" w:cs="Arial" w:eastAsia="Arial" w:hAnsi="Arial"/>
                <w:sz w:val="18"/>
                <w:szCs w:val="18"/>
                <w:color w:val="auto"/>
              </w:rPr>
              <w:t xml:space="preserve">Young-Joon Kim, </w:t>
            </w:r>
            <w:r>
              <w:rPr>
                <w:rFonts w:ascii="Arial" w:cs="Arial" w:eastAsia="Arial" w:hAnsi="Arial"/>
                <w:sz w:val="18"/>
                <w:szCs w:val="18"/>
                <w:i w:val="1"/>
                <w:iCs w:val="1"/>
                <w:color w:val="auto"/>
              </w:rPr>
              <w:t>Chief Executive Officer (Principal Executive Officer) and Director</w:t>
            </w:r>
          </w:p>
        </w:tc>
        <w:tc>
          <w:tcPr>
            <w:tcW w:w="2400" w:type="dxa"/>
            <w:vAlign w:val="bottom"/>
          </w:tcPr>
          <w:p>
            <w:pPr>
              <w:spacing w:after="0"/>
              <w:rPr>
                <w:sz w:val="19"/>
                <w:szCs w:val="19"/>
                <w:color w:val="auto"/>
              </w:rPr>
            </w:pPr>
          </w:p>
        </w:tc>
      </w:tr>
      <w:tr>
        <w:trPr>
          <w:trHeight w:val="431"/>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Young Soo Woo</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15, 2020</w:t>
            </w:r>
          </w:p>
        </w:tc>
      </w:tr>
      <w:tr>
        <w:trPr>
          <w:trHeight w:val="224"/>
        </w:trPr>
        <w:tc>
          <w:tcPr>
            <w:tcW w:w="7280" w:type="dxa"/>
            <w:vAlign w:val="bottom"/>
          </w:tcPr>
          <w:p>
            <w:pPr>
              <w:spacing w:after="0"/>
              <w:rPr>
                <w:sz w:val="20"/>
                <w:szCs w:val="20"/>
                <w:color w:val="auto"/>
              </w:rPr>
            </w:pPr>
            <w:r>
              <w:rPr>
                <w:rFonts w:ascii="Arial" w:cs="Arial" w:eastAsia="Arial" w:hAnsi="Arial"/>
                <w:sz w:val="18"/>
                <w:szCs w:val="18"/>
                <w:color w:val="auto"/>
              </w:rPr>
              <w:t xml:space="preserve">Young Soo Woo, </w:t>
            </w:r>
            <w:r>
              <w:rPr>
                <w:rFonts w:ascii="Arial" w:cs="Arial" w:eastAsia="Arial" w:hAnsi="Arial"/>
                <w:sz w:val="18"/>
                <w:szCs w:val="18"/>
                <w:i w:val="1"/>
                <w:iCs w:val="1"/>
                <w:color w:val="auto"/>
              </w:rPr>
              <w:t>Chief Financial Officer (Principal Financial Officer)</w:t>
            </w:r>
          </w:p>
        </w:tc>
        <w:tc>
          <w:tcPr>
            <w:tcW w:w="2400" w:type="dxa"/>
            <w:vAlign w:val="bottom"/>
          </w:tcPr>
          <w:p>
            <w:pPr>
              <w:spacing w:after="0"/>
              <w:rPr>
                <w:sz w:val="19"/>
                <w:szCs w:val="19"/>
                <w:color w:val="auto"/>
              </w:rPr>
            </w:pPr>
          </w:p>
        </w:tc>
      </w:tr>
      <w:tr>
        <w:trPr>
          <w:trHeight w:val="431"/>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Shinyoung Park</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15, 2020</w:t>
            </w:r>
          </w:p>
        </w:tc>
      </w:tr>
      <w:tr>
        <w:trPr>
          <w:trHeight w:val="224"/>
        </w:trPr>
        <w:tc>
          <w:tcPr>
            <w:tcW w:w="7280" w:type="dxa"/>
            <w:vAlign w:val="bottom"/>
          </w:tcPr>
          <w:p>
            <w:pPr>
              <w:spacing w:after="0"/>
              <w:rPr>
                <w:sz w:val="20"/>
                <w:szCs w:val="20"/>
                <w:color w:val="auto"/>
              </w:rPr>
            </w:pPr>
            <w:r>
              <w:rPr>
                <w:rFonts w:ascii="Arial" w:cs="Arial" w:eastAsia="Arial" w:hAnsi="Arial"/>
                <w:sz w:val="18"/>
                <w:szCs w:val="18"/>
                <w:color w:val="auto"/>
              </w:rPr>
              <w:t xml:space="preserve">Shinyoung Park, </w:t>
            </w:r>
            <w:r>
              <w:rPr>
                <w:rFonts w:ascii="Arial" w:cs="Arial" w:eastAsia="Arial" w:hAnsi="Arial"/>
                <w:sz w:val="18"/>
                <w:szCs w:val="18"/>
                <w:i w:val="1"/>
                <w:iCs w:val="1"/>
                <w:color w:val="auto"/>
              </w:rPr>
              <w:t>Chief Accounting Officer (Principal Accounting Officer)</w:t>
            </w:r>
          </w:p>
        </w:tc>
        <w:tc>
          <w:tcPr>
            <w:tcW w:w="2400" w:type="dxa"/>
            <w:vAlign w:val="bottom"/>
          </w:tcPr>
          <w:p>
            <w:pPr>
              <w:spacing w:after="0"/>
              <w:rPr>
                <w:sz w:val="19"/>
                <w:szCs w:val="19"/>
                <w:color w:val="auto"/>
              </w:rPr>
            </w:pPr>
          </w:p>
        </w:tc>
      </w:tr>
      <w:tr>
        <w:trPr>
          <w:trHeight w:val="431"/>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Camillo Martino</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15, 2020</w:t>
            </w:r>
          </w:p>
        </w:tc>
      </w:tr>
      <w:tr>
        <w:trPr>
          <w:trHeight w:val="224"/>
        </w:trPr>
        <w:tc>
          <w:tcPr>
            <w:tcW w:w="7280" w:type="dxa"/>
            <w:vAlign w:val="bottom"/>
          </w:tcPr>
          <w:p>
            <w:pPr>
              <w:spacing w:after="0"/>
              <w:rPr>
                <w:sz w:val="20"/>
                <w:szCs w:val="20"/>
                <w:color w:val="auto"/>
              </w:rPr>
            </w:pPr>
            <w:r>
              <w:rPr>
                <w:rFonts w:ascii="Arial" w:cs="Arial" w:eastAsia="Arial" w:hAnsi="Arial"/>
                <w:sz w:val="18"/>
                <w:szCs w:val="18"/>
                <w:color w:val="auto"/>
              </w:rPr>
              <w:t xml:space="preserve">Camillo Martino, </w:t>
            </w:r>
            <w:r>
              <w:rPr>
                <w:rFonts w:ascii="Arial" w:cs="Arial" w:eastAsia="Arial" w:hAnsi="Arial"/>
                <w:sz w:val="18"/>
                <w:szCs w:val="18"/>
                <w:i w:val="1"/>
                <w:iCs w:val="1"/>
                <w:color w:val="auto"/>
              </w:rPr>
              <w:t>Non-Executive Chairman of the Board of Directors</w:t>
            </w:r>
          </w:p>
        </w:tc>
        <w:tc>
          <w:tcPr>
            <w:tcW w:w="2400" w:type="dxa"/>
            <w:vAlign w:val="bottom"/>
          </w:tcPr>
          <w:p>
            <w:pPr>
              <w:spacing w:after="0"/>
              <w:rPr>
                <w:sz w:val="19"/>
                <w:szCs w:val="19"/>
                <w:color w:val="auto"/>
              </w:rPr>
            </w:pPr>
          </w:p>
        </w:tc>
      </w:tr>
      <w:tr>
        <w:trPr>
          <w:trHeight w:val="431"/>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Melvin Keating</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15, 2020</w:t>
            </w:r>
          </w:p>
        </w:tc>
      </w:tr>
      <w:tr>
        <w:trPr>
          <w:trHeight w:val="224"/>
        </w:trPr>
        <w:tc>
          <w:tcPr>
            <w:tcW w:w="7280" w:type="dxa"/>
            <w:vAlign w:val="bottom"/>
          </w:tcPr>
          <w:p>
            <w:pPr>
              <w:spacing w:after="0"/>
              <w:rPr>
                <w:sz w:val="20"/>
                <w:szCs w:val="20"/>
                <w:color w:val="auto"/>
              </w:rPr>
            </w:pPr>
            <w:r>
              <w:rPr>
                <w:rFonts w:ascii="Arial" w:cs="Arial" w:eastAsia="Arial" w:hAnsi="Arial"/>
                <w:sz w:val="18"/>
                <w:szCs w:val="18"/>
                <w:color w:val="auto"/>
              </w:rPr>
              <w:t xml:space="preserve">Melvin Keating, </w:t>
            </w:r>
            <w:r>
              <w:rPr>
                <w:rFonts w:ascii="Arial" w:cs="Arial" w:eastAsia="Arial" w:hAnsi="Arial"/>
                <w:sz w:val="18"/>
                <w:szCs w:val="18"/>
                <w:i w:val="1"/>
                <w:iCs w:val="1"/>
                <w:color w:val="auto"/>
              </w:rPr>
              <w:t>Director</w:t>
            </w:r>
          </w:p>
        </w:tc>
        <w:tc>
          <w:tcPr>
            <w:tcW w:w="2400" w:type="dxa"/>
            <w:vAlign w:val="bottom"/>
          </w:tcPr>
          <w:p>
            <w:pPr>
              <w:spacing w:after="0"/>
              <w:rPr>
                <w:sz w:val="19"/>
                <w:szCs w:val="19"/>
                <w:color w:val="auto"/>
              </w:rPr>
            </w:pPr>
          </w:p>
        </w:tc>
      </w:tr>
      <w:tr>
        <w:trPr>
          <w:trHeight w:val="431"/>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Ilbok Lee</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15, 2020</w:t>
            </w:r>
          </w:p>
        </w:tc>
      </w:tr>
      <w:tr>
        <w:trPr>
          <w:trHeight w:val="224"/>
        </w:trPr>
        <w:tc>
          <w:tcPr>
            <w:tcW w:w="7280" w:type="dxa"/>
            <w:vAlign w:val="bottom"/>
          </w:tcPr>
          <w:p>
            <w:pPr>
              <w:spacing w:after="0"/>
              <w:rPr>
                <w:sz w:val="20"/>
                <w:szCs w:val="20"/>
                <w:color w:val="auto"/>
              </w:rPr>
            </w:pPr>
            <w:r>
              <w:rPr>
                <w:rFonts w:ascii="Arial" w:cs="Arial" w:eastAsia="Arial" w:hAnsi="Arial"/>
                <w:sz w:val="18"/>
                <w:szCs w:val="18"/>
                <w:color w:val="auto"/>
              </w:rPr>
              <w:t xml:space="preserve">Ilbok Lee, </w:t>
            </w:r>
            <w:r>
              <w:rPr>
                <w:rFonts w:ascii="Arial" w:cs="Arial" w:eastAsia="Arial" w:hAnsi="Arial"/>
                <w:sz w:val="18"/>
                <w:szCs w:val="18"/>
                <w:i w:val="1"/>
                <w:iCs w:val="1"/>
                <w:color w:val="auto"/>
              </w:rPr>
              <w:t>Director</w:t>
            </w:r>
          </w:p>
        </w:tc>
        <w:tc>
          <w:tcPr>
            <w:tcW w:w="2400" w:type="dxa"/>
            <w:vAlign w:val="bottom"/>
          </w:tcPr>
          <w:p>
            <w:pPr>
              <w:spacing w:after="0"/>
              <w:rPr>
                <w:sz w:val="19"/>
                <w:szCs w:val="19"/>
                <w:color w:val="auto"/>
              </w:rPr>
            </w:pPr>
          </w:p>
        </w:tc>
      </w:tr>
      <w:tr>
        <w:trPr>
          <w:trHeight w:val="431"/>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Tanner</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15, 2020</w:t>
            </w:r>
          </w:p>
        </w:tc>
      </w:tr>
      <w:tr>
        <w:trPr>
          <w:trHeight w:val="224"/>
        </w:trPr>
        <w:tc>
          <w:tcPr>
            <w:tcW w:w="7280" w:type="dxa"/>
            <w:vAlign w:val="bottom"/>
          </w:tcPr>
          <w:p>
            <w:pPr>
              <w:spacing w:after="0"/>
              <w:rPr>
                <w:sz w:val="20"/>
                <w:szCs w:val="20"/>
                <w:color w:val="auto"/>
              </w:rPr>
            </w:pPr>
            <w:r>
              <w:rPr>
                <w:rFonts w:ascii="Arial" w:cs="Arial" w:eastAsia="Arial" w:hAnsi="Arial"/>
                <w:sz w:val="18"/>
                <w:szCs w:val="18"/>
                <w:color w:val="auto"/>
              </w:rPr>
              <w:t xml:space="preserve">Gary Tanner, </w:t>
            </w:r>
            <w:r>
              <w:rPr>
                <w:rFonts w:ascii="Arial" w:cs="Arial" w:eastAsia="Arial" w:hAnsi="Arial"/>
                <w:sz w:val="18"/>
                <w:szCs w:val="18"/>
                <w:i w:val="1"/>
                <w:iCs w:val="1"/>
                <w:color w:val="auto"/>
              </w:rPr>
              <w:t>Director</w:t>
            </w:r>
          </w:p>
        </w:tc>
        <w:tc>
          <w:tcPr>
            <w:tcW w:w="2400" w:type="dxa"/>
            <w:vAlign w:val="bottom"/>
          </w:tcPr>
          <w:p>
            <w:pPr>
              <w:spacing w:after="0"/>
              <w:rPr>
                <w:sz w:val="19"/>
                <w:szCs w:val="19"/>
                <w:color w:val="auto"/>
              </w:rPr>
            </w:pPr>
          </w:p>
        </w:tc>
      </w:tr>
      <w:tr>
        <w:trPr>
          <w:trHeight w:val="431"/>
        </w:trPr>
        <w:tc>
          <w:tcPr>
            <w:tcW w:w="7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Nader Tavakoli</w:t>
            </w:r>
          </w:p>
        </w:tc>
        <w:tc>
          <w:tcPr>
            <w:tcW w:w="2400" w:type="dxa"/>
            <w:vAlign w:val="bottom"/>
          </w:tcPr>
          <w:p>
            <w:pPr>
              <w:jc w:val="center"/>
              <w:ind w:left="1332"/>
              <w:spacing w:after="0"/>
              <w:rPr>
                <w:sz w:val="20"/>
                <w:szCs w:val="20"/>
                <w:color w:val="auto"/>
              </w:rPr>
            </w:pPr>
            <w:r>
              <w:rPr>
                <w:rFonts w:ascii="Arial" w:cs="Arial" w:eastAsia="Arial" w:hAnsi="Arial"/>
                <w:sz w:val="18"/>
                <w:szCs w:val="18"/>
                <w:color w:val="auto"/>
                <w:w w:val="91"/>
              </w:rPr>
              <w:t>July 15, 2020</w:t>
            </w:r>
          </w:p>
        </w:tc>
      </w:tr>
      <w:tr>
        <w:trPr>
          <w:trHeight w:val="224"/>
        </w:trPr>
        <w:tc>
          <w:tcPr>
            <w:tcW w:w="7280" w:type="dxa"/>
            <w:vAlign w:val="bottom"/>
          </w:tcPr>
          <w:p>
            <w:pPr>
              <w:spacing w:after="0"/>
              <w:rPr>
                <w:sz w:val="20"/>
                <w:szCs w:val="20"/>
                <w:color w:val="auto"/>
              </w:rPr>
            </w:pPr>
            <w:r>
              <w:rPr>
                <w:rFonts w:ascii="Arial" w:cs="Arial" w:eastAsia="Arial" w:hAnsi="Arial"/>
                <w:sz w:val="18"/>
                <w:szCs w:val="18"/>
                <w:color w:val="auto"/>
              </w:rPr>
              <w:t xml:space="preserve">Nader Tavakoli, </w:t>
            </w:r>
            <w:r>
              <w:rPr>
                <w:rFonts w:ascii="Arial" w:cs="Arial" w:eastAsia="Arial" w:hAnsi="Arial"/>
                <w:sz w:val="18"/>
                <w:szCs w:val="18"/>
                <w:i w:val="1"/>
                <w:iCs w:val="1"/>
                <w:color w:val="auto"/>
              </w:rPr>
              <w:t>Director</w:t>
            </w:r>
          </w:p>
        </w:tc>
        <w:tc>
          <w:tcPr>
            <w:tcW w:w="2400" w:type="dxa"/>
            <w:vAlign w:val="bottom"/>
          </w:tcPr>
          <w:p>
            <w:pPr>
              <w:spacing w:after="0"/>
              <w:rPr>
                <w:sz w:val="19"/>
                <w:szCs w:val="19"/>
                <w:color w:val="auto"/>
              </w:rPr>
            </w:pPr>
          </w:p>
        </w:tc>
      </w:tr>
    </w:tbl>
    <w:p>
      <w:pPr>
        <w:sectPr>
          <w:pgSz w:w="11900" w:h="16838" w:orient="portrait"/>
          <w:cols w:equalWidth="0" w:num="1">
            <w:col w:w="10960"/>
          </w:cols>
          <w:pgMar w:left="440" w:top="270" w:right="49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2868930</wp:posOffset>
            </wp:positionH>
            <wp:positionV relativeFrom="paragraph">
              <wp:posOffset>171450</wp:posOffset>
            </wp:positionV>
            <wp:extent cx="1251585" cy="2146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8">
                      <a:extLst>
                        <a:ext uri="{28A0092B-C50C-407E-A947-70E740481C1C}"/>
                      </a:extLst>
                    </a:blip>
                    <a:srcRect/>
                    <a:stretch>
                      <a:fillRect/>
                    </a:stretch>
                  </pic:blipFill>
                  <pic:spPr bwMode="auto">
                    <a:xfrm>
                      <a:off x="0" y="0"/>
                      <a:ext cx="125158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SILICON VALLEY OFFICE • 1755 EMBARCADERO ROAD • PALO ALTO, CALIFORNIA 94303</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TELEPHONE: +1.650.739.3939 • FACSIMILE: +1.650.739.3900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July 15,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MagnaChip Semiconductor 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 MagnaChip Semiconductor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 Allée Scheffer, L-2520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Luxembourg, Grand Duchy of Luxembourg</w:t>
      </w:r>
    </w:p>
    <w:p>
      <w:pPr>
        <w:spacing w:after="0" w:line="238" w:lineRule="exact"/>
        <w:rPr>
          <w:sz w:val="20"/>
          <w:szCs w:val="20"/>
          <w:color w:val="auto"/>
        </w:rPr>
      </w:pPr>
    </w:p>
    <w:p>
      <w:pPr>
        <w:ind w:left="420"/>
        <w:spacing w:after="0"/>
        <w:tabs>
          <w:tab w:leader="none" w:pos="9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Registration Statement on Form S-8 Filed by MagnaChip Semiconductor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520" w:firstLine="440"/>
        <w:spacing w:after="0" w:line="286" w:lineRule="auto"/>
        <w:rPr>
          <w:sz w:val="20"/>
          <w:szCs w:val="20"/>
          <w:color w:val="auto"/>
        </w:rPr>
      </w:pPr>
      <w:r>
        <w:rPr>
          <w:rFonts w:ascii="Arial" w:cs="Arial" w:eastAsia="Arial" w:hAnsi="Arial"/>
          <w:sz w:val="17"/>
          <w:szCs w:val="17"/>
          <w:color w:val="auto"/>
        </w:rPr>
        <w:t>We have acted as counsel for MagnaChip Semiconductor Corporation,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Company’s 2020 Equity and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In connection with the opinion expressed herein, we have examined such documents, records and matters of law as we have deemed relevant or necessary for purposes of such opinion.</w:t>
      </w:r>
    </w:p>
    <w:p>
      <w:pPr>
        <w:spacing w:after="0" w:line="165" w:lineRule="exact"/>
        <w:rPr>
          <w:sz w:val="20"/>
          <w:szCs w:val="20"/>
          <w:color w:val="auto"/>
        </w:rPr>
      </w:pPr>
    </w:p>
    <w:p>
      <w:pPr>
        <w:ind w:right="120" w:firstLine="440"/>
        <w:spacing w:after="0" w:line="273" w:lineRule="auto"/>
        <w:rPr>
          <w:sz w:val="20"/>
          <w:szCs w:val="20"/>
          <w:color w:val="auto"/>
        </w:rPr>
      </w:pPr>
      <w:r>
        <w:rPr>
          <w:rFonts w:ascii="Arial" w:cs="Arial" w:eastAsia="Arial" w:hAnsi="Arial"/>
          <w:sz w:val="17"/>
          <w:szCs w:val="17"/>
          <w:color w:val="auto"/>
        </w:rPr>
        <w:t>Based on the foregoing, and subject to the further limitations, qualifications and assumptions set forth herein, we are of the opinion that the 6,007,715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common stock, par value $0.01 per share, of the Company that may be issued or delivered and sold pursuant to the Plan and the authorized forms of stock options or stock appreciation rights, restricted stock, restricted stock units, performance shares or performance units, other stock-based awards under the Plan or other applicable award agreements thereunder (the “</w:t>
      </w:r>
      <w:r>
        <w:rPr>
          <w:rFonts w:ascii="Arial" w:cs="Arial" w:eastAsia="Arial" w:hAnsi="Arial"/>
          <w:sz w:val="17"/>
          <w:szCs w:val="17"/>
          <w:b w:val="1"/>
          <w:bCs w:val="1"/>
          <w:i w:val="1"/>
          <w:iCs w:val="1"/>
          <w:color w:val="auto"/>
        </w:rPr>
        <w:t>Award Agreements</w:t>
      </w:r>
      <w:r>
        <w:rPr>
          <w:rFonts w:ascii="Arial" w:cs="Arial" w:eastAsia="Arial" w:hAnsi="Arial"/>
          <w:sz w:val="17"/>
          <w:szCs w:val="17"/>
          <w:color w:val="auto"/>
        </w:rPr>
        <w:t>”) will be, when issued or delivered and sold in accordance with the Plan and the Award Agreements, validly issued, fully paid and nonassessable, provided that the consideration for the Shares is at least equal to the stated par value thereof.</w:t>
      </w:r>
    </w:p>
    <w:p>
      <w:pPr>
        <w:spacing w:after="0" w:line="17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The opinion expressed herein is limited to the General Corporation Law of the State of Delaware, as currently in effect, and we express no opinion as to the effect of the laws of any other jurisdiction on the opinion expressed herein. In addition, we have assumed that the resolutions authorizing the Company to issue or deliver and sell the Shares pursuant to the Plan and the Award Agreements will be in full force and effect at all times at which the Shares are issued or delivered and sold by the Company, and that the Company will take no action inconsistent with such resolutions. In rendering the opinion above, we have assumed that each award under the Plan will be approved by the Board of Directors of the Company or an authorized committee of the Board of Directors.</w:t>
      </w:r>
    </w:p>
    <w:p>
      <w:pPr>
        <w:spacing w:after="0" w:line="121" w:lineRule="exact"/>
        <w:rPr>
          <w:sz w:val="20"/>
          <w:szCs w:val="20"/>
          <w:color w:val="auto"/>
        </w:rPr>
      </w:pPr>
    </w:p>
    <w:p>
      <w:pPr>
        <w:ind w:right="60"/>
        <w:spacing w:after="0" w:line="233" w:lineRule="auto"/>
        <w:rPr>
          <w:sz w:val="20"/>
          <w:szCs w:val="20"/>
          <w:color w:val="auto"/>
        </w:rPr>
      </w:pPr>
      <w:r>
        <w:rPr>
          <w:rFonts w:ascii="Arial" w:cs="Arial" w:eastAsia="Arial" w:hAnsi="Arial"/>
          <w:sz w:val="14"/>
          <w:szCs w:val="14"/>
          <w:color w:val="auto"/>
        </w:rPr>
        <w:t>AMSTERDAM • ATLANTA • BEIJING • BOSTON • BRISBANE • BRUSSELS • CHICAGO • CLEVELAND • COLUMBUS • DALLAS • DETROIT • DUBAI • DÜSSELDORF • FRANKFURT • HONG KONG • HOUSTON • IRVINE • LONDON • LOS ANGELES • MADRID • MELBOURNE • MEXICO CITY • MIAMI • MILAN • MINNEAPOLIS • MOSCOW • MUNICH • NEW YORK • PARIS • PERTH • PITTSBURGH • SAN DIEGO • SAN FRANCISCO • SÃO PAULO • SAUDI ARABIA • SHANGHAI • SILICON VALLEY • SINGAPORE • SYDNEY • TAIPEI • TOKYO • WASHINGTON</w:t>
      </w:r>
    </w:p>
    <w:p>
      <w:pPr>
        <w:sectPr>
          <w:pgSz w:w="11900" w:h="16838" w:orient="portrait"/>
          <w:cols w:equalWidth="0" w:num="1">
            <w:col w:w="11020"/>
          </w:cols>
          <w:pgMar w:left="440" w:top="121"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July 15,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firstLine="440"/>
        <w:spacing w:after="0" w:line="259" w:lineRule="auto"/>
        <w:rPr>
          <w:sz w:val="20"/>
          <w:szCs w:val="20"/>
          <w:color w:val="auto"/>
        </w:rPr>
      </w:pPr>
      <w:r>
        <w:rPr>
          <w:rFonts w:ascii="Arial" w:cs="Arial" w:eastAsia="Arial" w:hAnsi="Arial"/>
          <w:sz w:val="18"/>
          <w:szCs w:val="18"/>
          <w:color w:val="auto"/>
        </w:rPr>
        <w:t>We hereby consent to the filing of this opinion as Exhibit 5.1 to the Registration Statement on Form S-8 filed by the Company to effect the registration of the Shares under the Securities Act of 1933 (the “</w:t>
      </w:r>
      <w:r>
        <w:rPr>
          <w:rFonts w:ascii="Arial" w:cs="Arial" w:eastAsia="Arial" w:hAnsi="Arial"/>
          <w:sz w:val="18"/>
          <w:szCs w:val="18"/>
          <w:b w:val="1"/>
          <w:bCs w:val="1"/>
          <w:i w:val="1"/>
          <w:iCs w:val="1"/>
          <w:color w:val="auto"/>
        </w:rPr>
        <w:t>Act</w:t>
      </w:r>
      <w:r>
        <w:rPr>
          <w:rFonts w:ascii="Arial" w:cs="Arial" w:eastAsia="Arial" w:hAnsi="Arial"/>
          <w:sz w:val="18"/>
          <w:szCs w:val="18"/>
          <w:color w:val="auto"/>
        </w:rPr>
        <w:t>”). In giving such consent, we do not thereby admit that we are included in the category of persons whose consent is required under Section 7 of the Act or the rules and regulations of the Securities and Exchange Commission promulgated thereunder.</w:t>
      </w:r>
    </w:p>
    <w:p>
      <w:pPr>
        <w:spacing w:after="0" w:line="21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Jones Day</w:t>
      </w:r>
    </w:p>
    <w:p>
      <w:pPr>
        <w:sectPr>
          <w:pgSz w:w="11900" w:h="16838" w:orient="portrait"/>
          <w:cols w:equalWidth="0" w:num="1">
            <w:col w:w="10520"/>
          </w:cols>
          <w:pgMar w:left="440" w:top="274" w:right="9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hereby consent to the incorporation by reference in this Registration Statement on Form S-8 of MagnaChip Semiconductor Corporation of our report dated February 21, 2020 relating to the consolidated financial statements and the effectiveness of internal control over financial reporting of MagnaChip Semiconductor Corporation, which appears in MagnaChip Semiconductor Corporation’s Annual Report on Form 10-K for the year ended December 31, 2019.</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Samil PricewaterhouseCoopers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Seoul, Korea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July 15, 2020</w:t>
      </w:r>
    </w:p>
    <w:p>
      <w:pPr>
        <w:sectPr>
          <w:pgSz w:w="11900" w:h="16838" w:orient="portrait"/>
          <w:cols w:equalWidth="0" w:num="1">
            <w:col w:w="11020"/>
          </w:cols>
          <w:pgMar w:left="440" w:top="121" w:right="4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1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the Participant named in the Notice of Grant of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Award has been granted pursuant to and shall in all respects be subject to the terms conditions of the MagnaChip Semiconductor Corporation 2020 Equity and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200" w:lineRule="exact"/>
        <w:rPr>
          <w:sz w:val="20"/>
          <w:szCs w:val="20"/>
          <w:color w:val="auto"/>
        </w:rPr>
      </w:pPr>
    </w:p>
    <w:p>
      <w:pPr>
        <w:ind w:left="960" w:hanging="532"/>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Unless otherwise defined herein, capitalized terms shall have the meanings assigned to such terms in the Grant Notice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 the Plan.</w:t>
      </w:r>
    </w:p>
    <w:p>
      <w:pPr>
        <w:spacing w:after="0" w:line="211" w:lineRule="exact"/>
        <w:rPr>
          <w:sz w:val="20"/>
          <w:szCs w:val="20"/>
          <w:color w:val="auto"/>
        </w:rPr>
      </w:pPr>
    </w:p>
    <w:p>
      <w:pPr>
        <w:ind w:left="1760" w:hanging="332"/>
        <w:spacing w:after="0"/>
        <w:tabs>
          <w:tab w:leader="none" w:pos="17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Units</w:t>
      </w:r>
      <w:r>
        <w:rPr>
          <w:rFonts w:ascii="Arial" w:cs="Arial" w:eastAsia="Arial" w:hAnsi="Arial"/>
          <w:sz w:val="18"/>
          <w:szCs w:val="18"/>
          <w:color w:val="auto"/>
        </w:rPr>
        <w:t>” mean additional Restricted Stock Units credited pursuant to Section 3.3.</w:t>
      </w:r>
    </w:p>
    <w:p>
      <w:pPr>
        <w:spacing w:after="0" w:line="225" w:lineRule="exact"/>
        <w:rPr>
          <w:rFonts w:ascii="Arial" w:cs="Arial" w:eastAsia="Arial" w:hAnsi="Arial"/>
          <w:sz w:val="18"/>
          <w:szCs w:val="18"/>
          <w:color w:val="auto"/>
        </w:rPr>
      </w:pPr>
    </w:p>
    <w:p>
      <w:pPr>
        <w:ind w:right="200" w:firstLine="1428"/>
        <w:spacing w:after="0" w:line="277" w:lineRule="auto"/>
        <w:tabs>
          <w:tab w:leader="none" w:pos="1777"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mean the Restricted Stock Units originally granted pursuant to the Award and the Dividend Equivalent Units credited pursuant to the Award, as both shall be adjusted from time to time pursuant to Section 9.</w:t>
      </w:r>
    </w:p>
    <w:p>
      <w:pPr>
        <w:spacing w:after="0" w:line="166" w:lineRule="exact"/>
        <w:rPr>
          <w:sz w:val="20"/>
          <w:szCs w:val="20"/>
          <w:color w:val="auto"/>
        </w:rPr>
      </w:pPr>
    </w:p>
    <w:p>
      <w:pPr>
        <w:ind w:right="20" w:firstLine="991"/>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203" w:lineRule="exact"/>
        <w:rPr>
          <w:sz w:val="20"/>
          <w:szCs w:val="20"/>
          <w:color w:val="auto"/>
        </w:rPr>
      </w:pPr>
    </w:p>
    <w:p>
      <w:pPr>
        <w:ind w:left="960" w:hanging="532"/>
        <w:spacing w:after="0"/>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0" w:name="page11"/>
    <w:bookmarkEnd w:id="1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210" w:lineRule="exact"/>
        <w:rPr>
          <w:sz w:val="20"/>
          <w:szCs w:val="20"/>
          <w:color w:val="auto"/>
        </w:rPr>
      </w:pPr>
    </w:p>
    <w:p>
      <w:pPr>
        <w:ind w:left="960" w:hanging="532"/>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On the Date of Grant, the Participant shall acquire, subject to the provisions of this Agreement, the Total Number of Restricted Stock Units set forth in the Grant Notice, subject to adjustment as provided in Section 3.3 and Section 9. Subject to the terms and conditions set forth in the Grant Notice, this Agreement and the Plan, each Unit represents a right to receive on a date determined in accordance with the Grant Notice and this Agreement one (1) share of Stock.</w:t>
      </w:r>
    </w:p>
    <w:p>
      <w:pPr>
        <w:spacing w:after="0" w:line="180"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b w:val="1"/>
          <w:bCs w:val="1"/>
          <w:color w:val="auto"/>
        </w:rPr>
        <w:t>No Monetary Payment Required.</w:t>
      </w:r>
      <w:r>
        <w:rPr>
          <w:rFonts w:ascii="Arial" w:cs="Arial" w:eastAsia="Arial" w:hAnsi="Arial"/>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68"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Dividend Equivalent Units.</w:t>
      </w:r>
      <w:r>
        <w:rPr>
          <w:rFonts w:ascii="Arial" w:cs="Arial" w:eastAsia="Arial" w:hAnsi="Arial"/>
          <w:sz w:val="17"/>
          <w:szCs w:val="17"/>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Section 4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199" w:lineRule="exact"/>
        <w:rPr>
          <w:sz w:val="20"/>
          <w:szCs w:val="20"/>
          <w:color w:val="auto"/>
        </w:rPr>
      </w:pPr>
    </w:p>
    <w:p>
      <w:pPr>
        <w:ind w:left="960" w:hanging="532"/>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0"/>
          </w:cols>
          <w:pgMar w:left="440" w:top="274" w:right="479" w:bottom="1440" w:gutter="0" w:footer="0" w:header="0"/>
        </w:sectPr>
      </w:pPr>
    </w:p>
    <w:bookmarkStart w:id="11" w:name="page12"/>
    <w:bookmarkEnd w:id="11"/>
    <w:p>
      <w:pPr>
        <w:ind w:left="960" w:hanging="532"/>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w:t>
      </w:r>
      <w:r>
        <w:rPr>
          <w:rFonts w:ascii="Arial" w:cs="Arial" w:eastAsia="Arial" w:hAnsi="Arial"/>
          <w:sz w:val="14"/>
          <w:szCs w:val="14"/>
          <w:b w:val="1"/>
          <w:bCs w:val="1"/>
          <w:u w:val="single" w:color="auto"/>
          <w:color w:val="auto"/>
        </w:rPr>
        <w:t>ORFEITURE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Except to the extent expressly provided otherwise in an agreement between the Participant and the Company, in the event that the Participant’s Service terminates for any reason or no reason, with or without cause, insofar as permitted under Local Law the Participant shall forfeit and the Company shall automatically reacquire all Units which are not, as of the time of such termination, Vested Units, and the Participant shall not be entitled to any payment therefor.</w:t>
      </w:r>
    </w:p>
    <w:p>
      <w:pPr>
        <w:spacing w:after="0" w:line="210" w:lineRule="exact"/>
        <w:rPr>
          <w:sz w:val="20"/>
          <w:szCs w:val="20"/>
          <w:color w:val="auto"/>
        </w:rPr>
      </w:pPr>
    </w:p>
    <w:p>
      <w:pPr>
        <w:ind w:left="960" w:hanging="532"/>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60" w:firstLine="991"/>
        <w:spacing w:after="0" w:line="274"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b w:val="1"/>
          <w:bCs w:val="1"/>
          <w:color w:val="auto"/>
        </w:rPr>
        <w:t>Issuance of Shares of Stock.</w:t>
      </w:r>
      <w:r>
        <w:rPr>
          <w:rFonts w:ascii="Arial" w:cs="Arial" w:eastAsia="Arial" w:hAnsi="Arial"/>
          <w:sz w:val="17"/>
          <w:szCs w:val="17"/>
          <w:color w:val="auto"/>
        </w:rPr>
        <w:t xml:space="preserve"> Subject to the provisions of Section 6.3 and Section 8, on or as soon as reasonably practicable following the date upon which the Participant’s Service terminates for any reason (the “</w:t>
      </w:r>
      <w:r>
        <w:rPr>
          <w:rFonts w:ascii="Arial" w:cs="Arial" w:eastAsia="Arial" w:hAnsi="Arial"/>
          <w:sz w:val="17"/>
          <w:szCs w:val="17"/>
          <w:b w:val="1"/>
          <w:bCs w:val="1"/>
          <w:i w:val="1"/>
          <w:iCs w:val="1"/>
          <w:color w:val="auto"/>
        </w:rPr>
        <w:t>Termination Date</w:t>
      </w:r>
      <w:r>
        <w:rPr>
          <w:rFonts w:ascii="Arial" w:cs="Arial" w:eastAsia="Arial" w:hAnsi="Arial"/>
          <w:sz w:val="17"/>
          <w:szCs w:val="17"/>
          <w:color w:val="auto"/>
        </w:rPr>
        <w:t>”), but in no event later than the later of (i) the last day of the year in which the Termination Date occurs and (ii) the fifteenth day of the third calendar month following the Termination Date (such applicable date, the “</w:t>
      </w:r>
      <w:r>
        <w:rPr>
          <w:rFonts w:ascii="Arial" w:cs="Arial" w:eastAsia="Arial" w:hAnsi="Arial"/>
          <w:sz w:val="17"/>
          <w:szCs w:val="17"/>
          <w:b w:val="1"/>
          <w:bCs w:val="1"/>
          <w:i w:val="1"/>
          <w:iCs w:val="1"/>
          <w:color w:val="auto"/>
        </w:rPr>
        <w:t>Settlement Date</w:t>
      </w:r>
      <w:r>
        <w:rPr>
          <w:rFonts w:ascii="Arial" w:cs="Arial" w:eastAsia="Arial" w:hAnsi="Arial"/>
          <w:sz w:val="17"/>
          <w:szCs w:val="17"/>
          <w:color w:val="auto"/>
        </w:rPr>
        <w:t>”), the Company shall issue to the Participant with respect to each Unit that is a Vested Unit as of the Termination Date one (1) share of Stock. Shares of Stock issued in settlement of Units shall not be subject to any restriction on transfer other than any such restriction as may be required pursuant to Section 6.3, Section 7 or the Company’s Securities Trading Policy.</w:t>
      </w:r>
    </w:p>
    <w:p>
      <w:pPr>
        <w:spacing w:after="0" w:line="173" w:lineRule="exact"/>
        <w:rPr>
          <w:sz w:val="20"/>
          <w:szCs w:val="20"/>
          <w:color w:val="auto"/>
        </w:rPr>
      </w:pPr>
    </w:p>
    <w:p>
      <w:pPr>
        <w:ind w:right="140" w:firstLine="991"/>
        <w:spacing w:after="0" w:line="298" w:lineRule="auto"/>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b w:val="1"/>
          <w:bCs w:val="1"/>
          <w:color w:val="auto"/>
        </w:rPr>
        <w:t>Beneficial Ownership of Shares; Certificate Registration.</w:t>
      </w:r>
      <w:r>
        <w:rPr>
          <w:rFonts w:ascii="Arial" w:cs="Arial" w:eastAsia="Arial" w:hAnsi="Arial"/>
          <w:sz w:val="16"/>
          <w:szCs w:val="16"/>
          <w:color w:val="auto"/>
        </w:rPr>
        <w:t xml:space="preserve">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54" w:lineRule="exact"/>
        <w:rPr>
          <w:sz w:val="20"/>
          <w:szCs w:val="20"/>
          <w:color w:val="auto"/>
        </w:rPr>
      </w:pPr>
    </w:p>
    <w:p>
      <w:pPr>
        <w:ind w:firstLine="991"/>
        <w:spacing w:after="0" w:line="28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6" w:lineRule="exact"/>
        <w:rPr>
          <w:sz w:val="20"/>
          <w:szCs w:val="20"/>
          <w:color w:val="auto"/>
        </w:rPr>
      </w:pPr>
    </w:p>
    <w:p>
      <w:pPr>
        <w:jc w:val="center"/>
        <w:ind w:right="300"/>
        <w:spacing w:after="0"/>
        <w:tabs>
          <w:tab w:leader="none" w:pos="2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The Company shall not be required to issue fractional shares upon the settlement of the Award.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0" w:right="459" w:bottom="1440" w:gutter="0" w:footer="0" w:header="0"/>
        </w:sectPr>
      </w:pPr>
    </w:p>
    <w:bookmarkStart w:id="12" w:name="page13"/>
    <w:bookmarkEnd w:id="12"/>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100" w:firstLine="991"/>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In General.</w:t>
      </w:r>
      <w:r>
        <w:rPr>
          <w:rFonts w:ascii="Arial" w:cs="Arial" w:eastAsia="Arial" w:hAnsi="Arial"/>
          <w:sz w:val="18"/>
          <w:szCs w:val="18"/>
          <w:color w:val="auto"/>
        </w:rPr>
        <w:t xml:space="preserve"> At the time the Grant Notice is executed, or at any time thereafter as requested by a Participating Company, the Participant hereby authorizes withholding from payroll and any other amounts payable to the Participant, and otherwise agrees to make adequate provision for, any sums required to satisfy the federal, state, local and non-U.S. tax (including any social insurance) withholding obligations of the Participating 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w:t>
      </w:r>
    </w:p>
    <w:p>
      <w:pPr>
        <w:spacing w:after="0" w:line="187"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Assignment of Sale Proceeds</w:t>
      </w:r>
      <w:r>
        <w:rPr>
          <w:rFonts w:ascii="Arial" w:cs="Arial" w:eastAsia="Arial" w:hAnsi="Arial"/>
          <w:sz w:val="18"/>
          <w:szCs w:val="18"/>
          <w:color w:val="auto"/>
        </w:rPr>
        <w:t>. Subject to compliance with applicable law and the Company’s Securities Trading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spacing w:after="0" w:line="183" w:lineRule="exact"/>
        <w:rPr>
          <w:sz w:val="20"/>
          <w:szCs w:val="20"/>
          <w:color w:val="auto"/>
        </w:rPr>
      </w:pPr>
    </w:p>
    <w:p>
      <w:pPr>
        <w:ind w:right="380" w:firstLine="991"/>
        <w:spacing w:after="0" w:line="258"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Withholding in Shares.</w:t>
      </w:r>
      <w:r>
        <w:rPr>
          <w:rFonts w:ascii="Arial" w:cs="Arial" w:eastAsia="Arial" w:hAnsi="Arial"/>
          <w:sz w:val="18"/>
          <w:szCs w:val="18"/>
          <w:color w:val="auto"/>
        </w:rPr>
        <w:t xml:space="preserve"> The Company shall have the right, but not the 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minimum statutory withholding rates.</w:t>
      </w:r>
    </w:p>
    <w:p>
      <w:pPr>
        <w:spacing w:after="0" w:line="210" w:lineRule="exact"/>
        <w:rPr>
          <w:sz w:val="20"/>
          <w:szCs w:val="20"/>
          <w:color w:val="auto"/>
        </w:rPr>
      </w:pPr>
    </w:p>
    <w:p>
      <w:pPr>
        <w:ind w:left="960" w:hanging="532"/>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ONTROL</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380" w:firstLine="440"/>
        <w:spacing w:after="0" w:line="342" w:lineRule="auto"/>
        <w:rPr>
          <w:sz w:val="20"/>
          <w:szCs w:val="20"/>
          <w:color w:val="auto"/>
        </w:rPr>
      </w:pPr>
      <w:r>
        <w:rPr>
          <w:rFonts w:ascii="Arial" w:cs="Arial" w:eastAsia="Arial" w:hAnsi="Arial"/>
          <w:sz w:val="16"/>
          <w:szCs w:val="16"/>
          <w:color w:val="auto"/>
        </w:rPr>
        <w:t>In the event of a Change in Control, all Units granted hereunder shall automatically become Vested Units and shall be settled, paid, continued or substituted, as determined by the Committee, in connection with such Change in Control in accordance with the terms of the Plan.</w:t>
      </w:r>
    </w:p>
    <w:p>
      <w:pPr>
        <w:spacing w:after="0" w:line="147" w:lineRule="exact"/>
        <w:rPr>
          <w:sz w:val="20"/>
          <w:szCs w:val="20"/>
          <w:color w:val="auto"/>
        </w:rPr>
      </w:pPr>
    </w:p>
    <w:p>
      <w:pPr>
        <w:ind w:left="960" w:hanging="532"/>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TRUCTURE</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90" w:lineRule="auto"/>
        <w:rPr>
          <w:sz w:val="20"/>
          <w:szCs w:val="20"/>
          <w:color w:val="auto"/>
        </w:rPr>
      </w:pPr>
      <w:r>
        <w:rPr>
          <w:rFonts w:ascii="Arial" w:cs="Arial" w:eastAsia="Arial" w:hAnsi="Arial"/>
          <w:sz w:val="16"/>
          <w:szCs w:val="16"/>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13" w:name="page14"/>
    <w:bookmarkEnd w:id="13"/>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3.3)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87" w:lineRule="exact"/>
        <w:rPr>
          <w:sz w:val="20"/>
          <w:szCs w:val="20"/>
          <w:color w:val="auto"/>
        </w:rPr>
      </w:pPr>
    </w:p>
    <w:p>
      <w:pPr>
        <w:ind w:left="960" w:hanging="532"/>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4"/>
          <w:szCs w:val="14"/>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ONSULTANT</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80" w:firstLine="440"/>
        <w:spacing w:after="0" w:line="296" w:lineRule="auto"/>
        <w:rPr>
          <w:sz w:val="20"/>
          <w:szCs w:val="20"/>
          <w:color w:val="auto"/>
        </w:rPr>
      </w:pPr>
      <w:r>
        <w:rPr>
          <w:rFonts w:ascii="Arial" w:cs="Arial" w:eastAsia="Arial" w:hAnsi="Arial"/>
          <w:sz w:val="16"/>
          <w:szCs w:val="16"/>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3.3 and Section 9.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84" w:lineRule="exact"/>
        <w:rPr>
          <w:sz w:val="20"/>
          <w:szCs w:val="20"/>
          <w:color w:val="auto"/>
        </w:rPr>
      </w:pPr>
    </w:p>
    <w:p>
      <w:pPr>
        <w:ind w:left="960" w:hanging="532"/>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EGENDS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210" w:lineRule="exact"/>
        <w:rPr>
          <w:sz w:val="20"/>
          <w:szCs w:val="20"/>
          <w:color w:val="auto"/>
        </w:rPr>
      </w:pPr>
    </w:p>
    <w:p>
      <w:pPr>
        <w:ind w:left="960" w:hanging="532"/>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OMPLIANCE WITH</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ECTION</w:t>
      </w:r>
      <w:r>
        <w:rPr>
          <w:rFonts w:ascii="Arial" w:cs="Arial" w:eastAsia="Arial" w:hAnsi="Arial"/>
          <w:sz w:val="18"/>
          <w:szCs w:val="18"/>
          <w:b w:val="1"/>
          <w:bCs w:val="1"/>
          <w:u w:val="single" w:color="auto"/>
          <w:color w:val="auto"/>
        </w:rPr>
        <w:t xml:space="preserve"> 409A.</w:t>
      </w:r>
    </w:p>
    <w:p>
      <w:pPr>
        <w:spacing w:after="0" w:line="229" w:lineRule="exact"/>
        <w:rPr>
          <w:sz w:val="20"/>
          <w:szCs w:val="20"/>
          <w:color w:val="auto"/>
        </w:rPr>
      </w:pPr>
    </w:p>
    <w:p>
      <w:pPr>
        <w:ind w:right="40" w:firstLine="440"/>
        <w:spacing w:after="0" w:line="257" w:lineRule="auto"/>
        <w:rPr>
          <w:sz w:val="20"/>
          <w:szCs w:val="20"/>
          <w:color w:val="auto"/>
        </w:rPr>
      </w:pPr>
      <w:r>
        <w:rPr>
          <w:rFonts w:ascii="Arial" w:cs="Arial" w:eastAsia="Arial" w:hAnsi="Arial"/>
          <w:sz w:val="18"/>
          <w:szCs w:val="18"/>
          <w:color w:val="auto"/>
        </w:rPr>
        <w:t>To the extent applicable, 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 to the extent applicable:</w:t>
      </w:r>
    </w:p>
    <w:p>
      <w:pPr>
        <w:spacing w:after="0" w:line="184" w:lineRule="exact"/>
        <w:rPr>
          <w:sz w:val="20"/>
          <w:szCs w:val="20"/>
          <w:color w:val="auto"/>
        </w:rPr>
      </w:pPr>
    </w:p>
    <w:p>
      <w:pPr>
        <w:ind w:right="100" w:firstLine="991"/>
        <w:spacing w:after="0" w:line="281"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color w:val="auto"/>
        </w:rPr>
        <w:t>Separation from Service; Required Delay in Payment to Specified Employee.</w:t>
      </w:r>
      <w:r>
        <w:rPr>
          <w:rFonts w:ascii="Arial" w:cs="Arial" w:eastAsia="Arial" w:hAnsi="Arial"/>
          <w:sz w:val="17"/>
          <w:szCs w:val="17"/>
          <w:color w:val="auto"/>
        </w:rPr>
        <w:t xml:space="preserve"> 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Arial" w:cs="Arial" w:eastAsia="Arial" w:hAnsi="Arial"/>
          <w:sz w:val="17"/>
          <w:szCs w:val="17"/>
          <w:b w:val="1"/>
          <w:bCs w:val="1"/>
          <w:i w:val="1"/>
          <w:iCs w:val="1"/>
          <w:color w:val="auto"/>
        </w:rPr>
        <w:t>Section 409A Regulations</w:t>
      </w:r>
      <w:r>
        <w:rPr>
          <w:rFonts w:ascii="Arial" w:cs="Arial" w:eastAsia="Arial" w:hAnsi="Arial"/>
          <w:sz w:val="17"/>
          <w:szCs w:val="17"/>
          <w:color w:val="auto"/>
        </w:rPr>
        <w:t>”) shall be paid unless and until the Participant has incurred a “separation from service” within the meaning of the Section 409A</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20"/>
          </w:cols>
          <w:pgMar w:left="440" w:top="274" w:right="439" w:bottom="1440" w:gutter="0" w:footer="0" w:header="0"/>
        </w:sectPr>
      </w:pPr>
    </w:p>
    <w:bookmarkStart w:id="14" w:name="page15"/>
    <w:bookmarkEnd w:id="14"/>
    <w:p>
      <w:pPr>
        <w:ind w:right="2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paid to the Participant before the date (the “</w:t>
      </w:r>
      <w:r>
        <w:rPr>
          <w:rFonts w:ascii="Arial" w:cs="Arial" w:eastAsia="Arial" w:hAnsi="Arial"/>
          <w:sz w:val="16"/>
          <w:szCs w:val="16"/>
          <w:b w:val="1"/>
          <w:bCs w:val="1"/>
          <w:i w:val="1"/>
          <w:iCs w:val="1"/>
          <w:color w:val="auto"/>
        </w:rPr>
        <w:t>Delayed Payment Date</w:t>
      </w:r>
      <w:r>
        <w:rPr>
          <w:rFonts w:ascii="Arial" w:cs="Arial" w:eastAsia="Arial" w:hAnsi="Arial"/>
          <w:sz w:val="16"/>
          <w:szCs w:val="16"/>
          <w:color w:val="auto"/>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spacing w:after="0" w:line="157" w:lineRule="exact"/>
        <w:rPr>
          <w:sz w:val="20"/>
          <w:szCs w:val="20"/>
          <w:color w:val="auto"/>
        </w:rPr>
      </w:pPr>
    </w:p>
    <w:p>
      <w:pPr>
        <w:ind w:firstLine="991"/>
        <w:spacing w:after="0" w:line="282"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Other Delays in Payment.</w:t>
      </w:r>
      <w:r>
        <w:rPr>
          <w:rFonts w:ascii="Arial" w:cs="Arial" w:eastAsia="Arial" w:hAnsi="Arial"/>
          <w:sz w:val="18"/>
          <w:szCs w:val="18"/>
          <w:color w:val="auto"/>
        </w:rPr>
        <w:t xml:space="preserve"> Neither the Participant nor the Company shall take any action to accelerate or delay the payment of any benefits under this Agreement in any manner which would not be in compliance with the Section 409A Regulations.</w:t>
      </w:r>
    </w:p>
    <w:p>
      <w:pPr>
        <w:spacing w:after="0" w:line="162" w:lineRule="exact"/>
        <w:rPr>
          <w:sz w:val="20"/>
          <w:szCs w:val="20"/>
          <w:color w:val="auto"/>
        </w:rPr>
      </w:pPr>
    </w:p>
    <w:p>
      <w:pPr>
        <w:ind w:right="100" w:firstLine="991"/>
        <w:spacing w:after="0" w:line="312" w:lineRule="auto"/>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b w:val="1"/>
          <w:bCs w:val="1"/>
          <w:color w:val="auto"/>
        </w:rPr>
        <w:t>Separate Payments</w:t>
      </w:r>
      <w:r>
        <w:rPr>
          <w:rFonts w:ascii="Arial" w:cs="Arial" w:eastAsia="Arial" w:hAnsi="Arial"/>
          <w:sz w:val="17"/>
          <w:szCs w:val="17"/>
          <w:color w:val="auto"/>
        </w:rPr>
        <w:t>. To the extent required to comply with the Section 409A Regulations, each amount to be paid or benefit to be provided under this Agreement shall be construed as a separate identified payment for purposes of the Section 409A Regulations.</w:t>
      </w:r>
    </w:p>
    <w:p>
      <w:pPr>
        <w:spacing w:after="0" w:line="140"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b w:val="1"/>
          <w:bCs w:val="1"/>
          <w:color w:val="auto"/>
        </w:rPr>
        <w:t>Amendments to Comply with Section 409A; Indemnification.</w:t>
      </w:r>
      <w:r>
        <w:rPr>
          <w:rFonts w:ascii="Arial" w:cs="Arial" w:eastAsia="Arial" w:hAnsi="Arial"/>
          <w:sz w:val="18"/>
          <w:szCs w:val="18"/>
          <w:color w:val="auto"/>
        </w:rPr>
        <w:t xml:space="preserve"> 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spacing w:after="0" w:line="189" w:lineRule="exact"/>
        <w:rPr>
          <w:sz w:val="20"/>
          <w:szCs w:val="20"/>
          <w:color w:val="auto"/>
        </w:rPr>
      </w:pPr>
    </w:p>
    <w:p>
      <w:pPr>
        <w:ind w:right="20" w:firstLine="991"/>
        <w:spacing w:after="0" w:line="298"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b w:val="1"/>
          <w:bCs w:val="1"/>
          <w:color w:val="auto"/>
        </w:rPr>
        <w:t>Advice of Independent Tax Advisor.</w:t>
      </w:r>
      <w:r>
        <w:rPr>
          <w:rFonts w:ascii="Arial" w:cs="Arial" w:eastAsia="Arial" w:hAnsi="Arial"/>
          <w:sz w:val="16"/>
          <w:szCs w:val="16"/>
          <w:color w:val="auto"/>
        </w:rPr>
        <w:t xml:space="preserve"> 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spacing w:after="0" w:line="181" w:lineRule="exact"/>
        <w:rPr>
          <w:sz w:val="20"/>
          <w:szCs w:val="20"/>
          <w:color w:val="auto"/>
        </w:rPr>
      </w:pPr>
    </w:p>
    <w:p>
      <w:pPr>
        <w:ind w:left="960" w:hanging="532"/>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firstLine="991"/>
        <w:spacing w:after="0" w:line="30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Termination or Amendment.</w:t>
      </w:r>
      <w:r>
        <w:rPr>
          <w:rFonts w:ascii="Arial" w:cs="Arial" w:eastAsia="Arial" w:hAnsi="Arial"/>
          <w:sz w:val="16"/>
          <w:szCs w:val="16"/>
          <w:color w:val="auto"/>
        </w:rPr>
        <w:t xml:space="preserve"> The Committee may terminate or amend the Plan or this Agreement at any time; provided, however, that except as provided in Section 8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5" w:name="page16"/>
    <w:bookmarkEnd w:id="15"/>
    <w:p>
      <w:pPr>
        <w:ind w:firstLine="99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3" w:lineRule="exact"/>
        <w:rPr>
          <w:sz w:val="20"/>
          <w:szCs w:val="20"/>
          <w:color w:val="auto"/>
        </w:rPr>
      </w:pPr>
    </w:p>
    <w:p>
      <w:pPr>
        <w:ind w:right="700" w:firstLine="99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340" w:firstLine="991"/>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6" w:lineRule="exact"/>
        <w:rPr>
          <w:sz w:val="20"/>
          <w:szCs w:val="20"/>
          <w:color w:val="auto"/>
        </w:rPr>
      </w:pPr>
    </w:p>
    <w:p>
      <w:pPr>
        <w:ind w:right="80" w:firstLine="99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77" w:lineRule="exact"/>
        <w:rPr>
          <w:sz w:val="20"/>
          <w:szCs w:val="20"/>
          <w:color w:val="auto"/>
        </w:rPr>
      </w:pPr>
    </w:p>
    <w:p>
      <w:pPr>
        <w:ind w:firstLine="1428"/>
        <w:spacing w:after="0" w:line="273" w:lineRule="auto"/>
        <w:tabs>
          <w:tab w:leader="none" w:pos="1767"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7" w:lineRule="exact"/>
        <w:rPr>
          <w:rFonts w:ascii="Arial" w:cs="Arial" w:eastAsia="Arial" w:hAnsi="Arial"/>
          <w:sz w:val="17"/>
          <w:szCs w:val="17"/>
          <w:color w:val="auto"/>
        </w:rPr>
      </w:pPr>
    </w:p>
    <w:p>
      <w:pPr>
        <w:ind w:right="40" w:firstLine="1428"/>
        <w:spacing w:after="0" w:line="273" w:lineRule="auto"/>
        <w:tabs>
          <w:tab w:leader="none" w:pos="1777"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Consent to Electronic Delivery. </w:t>
      </w:r>
      <w:r>
        <w:rPr>
          <w:rFonts w:ascii="Arial" w:cs="Arial" w:eastAsia="Arial" w:hAnsi="Arial"/>
          <w:sz w:val="17"/>
          <w:szCs w:val="17"/>
          <w:color w:val="auto"/>
        </w:rPr>
        <w:t>The Participant acknowledges that the Participant has read Section 13.5(a) of this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16" w:name="page17"/>
    <w:bookmarkEnd w:id="16"/>
    <w:p>
      <w:pPr>
        <w:ind w:right="1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84" w:lineRule="exact"/>
        <w:rPr>
          <w:sz w:val="20"/>
          <w:szCs w:val="20"/>
          <w:color w:val="auto"/>
        </w:rPr>
      </w:pPr>
    </w:p>
    <w:p>
      <w:pPr>
        <w:ind w:right="80" w:firstLine="991"/>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3" w:lineRule="exact"/>
        <w:rPr>
          <w:sz w:val="20"/>
          <w:szCs w:val="20"/>
          <w:color w:val="auto"/>
        </w:rPr>
      </w:pPr>
    </w:p>
    <w:p>
      <w:pPr>
        <w:ind w:firstLine="991"/>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Non-U.S. Terms and Conditions</w:t>
      </w:r>
      <w:r>
        <w:rPr>
          <w:rFonts w:ascii="Arial" w:cs="Arial" w:eastAsia="Arial" w:hAnsi="Arial"/>
          <w:sz w:val="18"/>
          <w:szCs w:val="18"/>
          <w:color w:val="auto"/>
        </w:rPr>
        <w:t>.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87" w:lineRule="exact"/>
        <w:rPr>
          <w:sz w:val="20"/>
          <w:szCs w:val="20"/>
          <w:color w:val="auto"/>
        </w:rPr>
      </w:pPr>
    </w:p>
    <w:p>
      <w:pPr>
        <w:ind w:right="120" w:firstLine="991"/>
        <w:spacing w:after="0" w:line="303"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51" w:lineRule="exact"/>
        <w:rPr>
          <w:sz w:val="20"/>
          <w:szCs w:val="20"/>
          <w:color w:val="auto"/>
        </w:rPr>
      </w:pPr>
    </w:p>
    <w:p>
      <w:pPr>
        <w:ind w:right="360" w:firstLine="991"/>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June 2020.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6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notifications.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270" w:right="4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11" w:lineRule="exact"/>
        <w:rPr>
          <w:sz w:val="20"/>
          <w:szCs w:val="20"/>
          <w:color w:val="auto"/>
        </w:rPr>
      </w:pPr>
    </w:p>
    <w:p>
      <w:pPr>
        <w:ind w:right="20" w:firstLine="440"/>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the Participant named in the Notice of Grant of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Award has been granted pursuant to and shall in all respects be subject to the terms conditions of the MagnaChip Semiconductor Corporation 2020 Equity and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200" w:lineRule="exact"/>
        <w:rPr>
          <w:sz w:val="20"/>
          <w:szCs w:val="20"/>
          <w:color w:val="auto"/>
        </w:rPr>
      </w:pPr>
    </w:p>
    <w:p>
      <w:pPr>
        <w:ind w:left="960" w:hanging="532"/>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left="980"/>
        <w:spacing w:after="0"/>
        <w:tabs>
          <w:tab w:leader="none" w:pos="142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Unless otherwise defined herein, capitalized terms shall have the meanings assigned to such terms in the Grant Notice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or the Plan.</w:t>
      </w:r>
    </w:p>
    <w:p>
      <w:pPr>
        <w:spacing w:after="0" w:line="211" w:lineRule="exact"/>
        <w:rPr>
          <w:sz w:val="20"/>
          <w:szCs w:val="20"/>
          <w:color w:val="auto"/>
        </w:rPr>
      </w:pPr>
    </w:p>
    <w:p>
      <w:pPr>
        <w:ind w:left="1800" w:hanging="372"/>
        <w:spacing w:after="0"/>
        <w:tabs>
          <w:tab w:leader="none" w:pos="1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Units</w:t>
      </w:r>
      <w:r>
        <w:rPr>
          <w:rFonts w:ascii="Arial" w:cs="Arial" w:eastAsia="Arial" w:hAnsi="Arial"/>
          <w:sz w:val="18"/>
          <w:szCs w:val="18"/>
          <w:color w:val="auto"/>
        </w:rPr>
        <w:t>” mean additional Restricted Stock Units credited pursuant to Section 4.3.</w:t>
      </w:r>
    </w:p>
    <w:p>
      <w:pPr>
        <w:spacing w:after="0" w:line="225" w:lineRule="exact"/>
        <w:rPr>
          <w:rFonts w:ascii="Arial" w:cs="Arial" w:eastAsia="Arial" w:hAnsi="Arial"/>
          <w:sz w:val="18"/>
          <w:szCs w:val="18"/>
          <w:color w:val="auto"/>
        </w:rPr>
      </w:pPr>
    </w:p>
    <w:p>
      <w:pPr>
        <w:ind w:right="140" w:firstLine="1428"/>
        <w:spacing w:after="0" w:line="277" w:lineRule="auto"/>
        <w:tabs>
          <w:tab w:leader="none" w:pos="1822"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mean the Restricted Stock Units originally granted pursuant to the Award and the Dividend Equivalent Units credited pursuant to the Award, as both shall be adjusted from time to time pursuant to Section 9.</w:t>
      </w:r>
    </w:p>
    <w:p>
      <w:pPr>
        <w:spacing w:after="0" w:line="166" w:lineRule="exact"/>
        <w:rPr>
          <w:sz w:val="20"/>
          <w:szCs w:val="20"/>
          <w:color w:val="auto"/>
        </w:rPr>
      </w:pPr>
    </w:p>
    <w:p>
      <w:pPr>
        <w:ind w:right="20" w:firstLine="991"/>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203" w:lineRule="exact"/>
        <w:rPr>
          <w:sz w:val="20"/>
          <w:szCs w:val="20"/>
          <w:color w:val="auto"/>
        </w:rPr>
      </w:pPr>
    </w:p>
    <w:p>
      <w:pPr>
        <w:ind w:left="960" w:hanging="532"/>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160" w:firstLine="99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19" w:name="page20"/>
    <w:bookmarkEnd w:id="19"/>
    <w:p>
      <w:pPr>
        <w:ind w:left="94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color w:val="auto"/>
        </w:rPr>
        <w:t xml:space="preserve">Employment Conditions. </w:t>
      </w:r>
      <w:r>
        <w:rPr>
          <w:rFonts w:ascii="Arial" w:cs="Arial" w:eastAsia="Arial" w:hAnsi="Arial"/>
          <w:sz w:val="16"/>
          <w:szCs w:val="16"/>
          <w:color w:val="auto"/>
        </w:rPr>
        <w:t>By accepting the Award, the Participant acknowledges and agrees that:</w:t>
      </w:r>
    </w:p>
    <w:p>
      <w:pPr>
        <w:spacing w:after="0" w:line="229" w:lineRule="exact"/>
        <w:rPr>
          <w:sz w:val="20"/>
          <w:szCs w:val="20"/>
          <w:color w:val="auto"/>
        </w:rPr>
      </w:pPr>
    </w:p>
    <w:p>
      <w:pPr>
        <w:ind w:left="-40" w:right="80" w:firstLine="1428"/>
        <w:spacing w:after="0" w:line="257" w:lineRule="auto"/>
        <w:tabs>
          <w:tab w:leader="none" w:pos="1762"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87" w:lineRule="exact"/>
        <w:rPr>
          <w:rFonts w:ascii="Arial" w:cs="Arial" w:eastAsia="Arial" w:hAnsi="Arial"/>
          <w:sz w:val="18"/>
          <w:szCs w:val="18"/>
          <w:color w:val="auto"/>
        </w:rPr>
      </w:pPr>
    </w:p>
    <w:p>
      <w:pPr>
        <w:ind w:left="-40" w:right="180" w:firstLine="1428"/>
        <w:spacing w:after="0" w:line="293" w:lineRule="auto"/>
        <w:tabs>
          <w:tab w:leader="none" w:pos="1782"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Notwithstanding anything to the contrary in the Grant Notice, if the Participant’s employment is terminated by the Company without Cause or if the Participant resigns for Good Reason, in each case not in connection with a CIC Qualified Termination (each as defined in the Participant’s employment agreement with the Company) and prior to the settlement of the Award, the Participant will vest in a pro rata portion of the next tranche of Restricted Stock Units scheduled to vest hereunder, determined by multiplying the number of unvested Restricted Stock Units in such tranche by a fraction, the numerator of which is the number of full months from the last vesting date (or, if none, the Grant Date) to the date of such termination and the denominator of which is the number of full months from the last vesting date (or, if none, the Grant Date) to the next vesting date.</w:t>
      </w:r>
    </w:p>
    <w:p>
      <w:pPr>
        <w:spacing w:after="0" w:line="164" w:lineRule="exact"/>
        <w:rPr>
          <w:rFonts w:ascii="Arial" w:cs="Arial" w:eastAsia="Arial" w:hAnsi="Arial"/>
          <w:sz w:val="16"/>
          <w:szCs w:val="16"/>
          <w:color w:val="auto"/>
        </w:rPr>
      </w:pPr>
    </w:p>
    <w:p>
      <w:pPr>
        <w:ind w:left="1760" w:hanging="372"/>
        <w:spacing w:after="0"/>
        <w:tabs>
          <w:tab w:leader="none" w:pos="17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If the Participant incurs a CIC Qualified Termination, all unvested Units will fully vest on the date of such termination.</w:t>
      </w:r>
    </w:p>
    <w:p>
      <w:pPr>
        <w:spacing w:after="0" w:line="236" w:lineRule="exact"/>
        <w:rPr>
          <w:rFonts w:ascii="Arial" w:cs="Arial" w:eastAsia="Arial" w:hAnsi="Arial"/>
          <w:sz w:val="17"/>
          <w:szCs w:val="17"/>
          <w:color w:val="auto"/>
        </w:rPr>
      </w:pPr>
    </w:p>
    <w:p>
      <w:pPr>
        <w:ind w:left="-40" w:firstLine="1428"/>
        <w:spacing w:after="0" w:line="263" w:lineRule="auto"/>
        <w:tabs>
          <w:tab w:leader="none" w:pos="17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2.2(b) or (c). Further, all unvested Units will be forfeited and cancelled and the Participant will not be entitled to any compensation or other amount with respect thereto.</w:t>
      </w:r>
    </w:p>
    <w:p>
      <w:pPr>
        <w:spacing w:after="0" w:line="183" w:lineRule="exact"/>
        <w:rPr>
          <w:rFonts w:ascii="Arial" w:cs="Arial" w:eastAsia="Arial" w:hAnsi="Arial"/>
          <w:sz w:val="18"/>
          <w:szCs w:val="18"/>
          <w:color w:val="auto"/>
        </w:rPr>
      </w:pPr>
    </w:p>
    <w:p>
      <w:pPr>
        <w:ind w:left="-40" w:right="140" w:firstLine="1428"/>
        <w:spacing w:after="0" w:line="277" w:lineRule="auto"/>
        <w:tabs>
          <w:tab w:leader="none" w:pos="176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left="-40" w:right="40" w:firstLine="1428"/>
        <w:spacing w:after="0" w:line="277" w:lineRule="auto"/>
        <w:tabs>
          <w:tab w:leader="none" w:pos="174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70" w:lineRule="exact"/>
        <w:rPr>
          <w:rFonts w:ascii="Arial" w:cs="Arial" w:eastAsia="Arial" w:hAnsi="Arial"/>
          <w:sz w:val="18"/>
          <w:szCs w:val="18"/>
          <w:color w:val="auto"/>
        </w:rPr>
      </w:pPr>
    </w:p>
    <w:p>
      <w:pPr>
        <w:ind w:left="1760" w:hanging="372"/>
        <w:spacing w:after="0"/>
        <w:tabs>
          <w:tab w:leader="none" w:pos="1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225" w:lineRule="exact"/>
        <w:rPr>
          <w:rFonts w:ascii="Arial" w:cs="Arial" w:eastAsia="Arial" w:hAnsi="Arial"/>
          <w:sz w:val="18"/>
          <w:szCs w:val="18"/>
          <w:color w:val="auto"/>
        </w:rPr>
      </w:pPr>
    </w:p>
    <w:p>
      <w:pPr>
        <w:ind w:left="-40" w:firstLine="1428"/>
        <w:spacing w:after="0" w:line="263" w:lineRule="auto"/>
        <w:tabs>
          <w:tab w:leader="none" w:pos="1779"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83" w:lineRule="exact"/>
        <w:rPr>
          <w:rFonts w:ascii="Arial" w:cs="Arial" w:eastAsia="Arial" w:hAnsi="Arial"/>
          <w:sz w:val="18"/>
          <w:szCs w:val="18"/>
          <w:color w:val="auto"/>
        </w:rPr>
      </w:pPr>
    </w:p>
    <w:p>
      <w:pPr>
        <w:ind w:left="1740" w:hanging="352"/>
        <w:spacing w:after="0"/>
        <w:tabs>
          <w:tab w:leader="none" w:pos="1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25" w:lineRule="exact"/>
        <w:rPr>
          <w:rFonts w:ascii="Arial" w:cs="Arial" w:eastAsia="Arial" w:hAnsi="Arial"/>
          <w:sz w:val="18"/>
          <w:szCs w:val="18"/>
          <w:color w:val="auto"/>
        </w:rPr>
      </w:pPr>
    </w:p>
    <w:p>
      <w:pPr>
        <w:ind w:left="-40" w:right="80" w:firstLine="1428"/>
        <w:spacing w:after="0" w:line="308" w:lineRule="auto"/>
        <w:tabs>
          <w:tab w:leader="none" w:pos="173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480" w:top="270" w:right="479" w:bottom="1440" w:gutter="0" w:footer="0" w:header="0"/>
        </w:sectPr>
      </w:pPr>
    </w:p>
    <w:bookmarkStart w:id="20" w:name="page21"/>
    <w:bookmarkEnd w:id="20"/>
    <w:p>
      <w:pPr>
        <w:ind w:left="-20" w:right="120" w:firstLine="1428"/>
        <w:spacing w:after="0" w:line="263" w:lineRule="auto"/>
        <w:tabs>
          <w:tab w:leader="none" w:pos="1799"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183" w:lineRule="exact"/>
        <w:rPr>
          <w:rFonts w:ascii="Arial" w:cs="Arial" w:eastAsia="Arial" w:hAnsi="Arial"/>
          <w:sz w:val="18"/>
          <w:szCs w:val="18"/>
          <w:color w:val="auto"/>
        </w:rPr>
      </w:pPr>
    </w:p>
    <w:p>
      <w:pPr>
        <w:ind w:left="-20" w:right="200" w:firstLine="1428"/>
        <w:spacing w:after="0" w:line="263" w:lineRule="auto"/>
        <w:tabs>
          <w:tab w:leader="none" w:pos="1762"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183" w:lineRule="exact"/>
        <w:rPr>
          <w:rFonts w:ascii="Arial" w:cs="Arial" w:eastAsia="Arial" w:hAnsi="Arial"/>
          <w:sz w:val="18"/>
          <w:szCs w:val="18"/>
          <w:color w:val="auto"/>
        </w:rPr>
      </w:pPr>
    </w:p>
    <w:p>
      <w:pPr>
        <w:ind w:left="-20" w:right="140" w:firstLine="1428"/>
        <w:spacing w:after="0" w:line="277" w:lineRule="auto"/>
        <w:tabs>
          <w:tab w:leader="none" w:pos="1849"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jc w:val="both"/>
        <w:ind w:left="-20" w:right="140" w:firstLine="1428"/>
        <w:spacing w:after="0" w:line="296" w:lineRule="auto"/>
        <w:tabs>
          <w:tab w:leader="none" w:pos="1802"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157" w:lineRule="exact"/>
        <w:rPr>
          <w:sz w:val="20"/>
          <w:szCs w:val="20"/>
          <w:color w:val="auto"/>
        </w:rPr>
      </w:pPr>
    </w:p>
    <w:p>
      <w:pPr>
        <w:ind w:left="960"/>
        <w:spacing w:after="0"/>
        <w:tabs>
          <w:tab w:leader="none" w:pos="14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Data Privacy Consent</w:t>
      </w:r>
      <w:r>
        <w:rPr>
          <w:rFonts w:ascii="Arial" w:cs="Arial" w:eastAsia="Arial" w:hAnsi="Arial"/>
          <w:sz w:val="16"/>
          <w:szCs w:val="16"/>
          <w:color w:val="auto"/>
        </w:rPr>
        <w:t>.</w:t>
      </w:r>
    </w:p>
    <w:p>
      <w:pPr>
        <w:spacing w:after="0" w:line="225" w:lineRule="exact"/>
        <w:rPr>
          <w:sz w:val="20"/>
          <w:szCs w:val="20"/>
          <w:color w:val="auto"/>
        </w:rPr>
      </w:pPr>
    </w:p>
    <w:p>
      <w:pPr>
        <w:ind w:left="-20" w:right="80" w:firstLine="1428"/>
        <w:spacing w:after="0" w:line="275" w:lineRule="auto"/>
        <w:tabs>
          <w:tab w:leader="none" w:pos="1792"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IN 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PERSONAL DATA AS DESCRIBED IN THIS DOCUMENT BY AND AMONG THE MEMBERS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ARTICIPATING </w:t>
      </w:r>
      <w:r>
        <w:rPr>
          <w:rFonts w:ascii="Arial" w:cs="Arial" w:eastAsia="Arial" w:hAnsi="Arial"/>
          <w:sz w:val="17"/>
          <w:szCs w:val="17"/>
          <w:b w:val="1"/>
          <w:bCs w:val="1"/>
          <w:color w:val="auto"/>
        </w:rPr>
        <w:t>C</w:t>
      </w:r>
      <w:r>
        <w:rPr>
          <w:rFonts w:ascii="Arial" w:cs="Arial" w:eastAsia="Arial" w:hAnsi="Arial"/>
          <w:sz w:val="14"/>
          <w:szCs w:val="14"/>
          <w:b w:val="1"/>
          <w:bCs w:val="1"/>
          <w:color w:val="auto"/>
        </w:rPr>
        <w:t xml:space="preserve">OMPANY </w:t>
      </w:r>
      <w:r>
        <w:rPr>
          <w:rFonts w:ascii="Arial" w:cs="Arial" w:eastAsia="Arial" w:hAnsi="Arial"/>
          <w:sz w:val="17"/>
          <w:szCs w:val="17"/>
          <w:b w:val="1"/>
          <w:bCs w:val="1"/>
          <w:color w:val="auto"/>
        </w:rPr>
        <w:t>G</w:t>
      </w:r>
      <w:r>
        <w:rPr>
          <w:rFonts w:ascii="Arial" w:cs="Arial" w:eastAsia="Arial" w:hAnsi="Arial"/>
          <w:sz w:val="14"/>
          <w:szCs w:val="14"/>
          <w:b w:val="1"/>
          <w:bCs w:val="1"/>
          <w:color w:val="auto"/>
        </w:rPr>
        <w:t>ROUP FOR THE EXCLUSIVE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PARTICIPATION IN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70" w:lineRule="exact"/>
        <w:rPr>
          <w:rFonts w:ascii="Arial" w:cs="Arial" w:eastAsia="Arial" w:hAnsi="Arial"/>
          <w:sz w:val="18"/>
          <w:szCs w:val="18"/>
          <w:color w:val="auto"/>
        </w:rPr>
      </w:pPr>
    </w:p>
    <w:p>
      <w:pPr>
        <w:ind w:left="-20" w:firstLine="1428"/>
        <w:spacing w:after="0" w:line="268" w:lineRule="auto"/>
        <w:tabs>
          <w:tab w:leader="none" w:pos="1802" w:val="left"/>
        </w:tabs>
        <w:numPr>
          <w:ilvl w:val="0"/>
          <w:numId w:val="27"/>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 HOLDS CERTAIN PERSONAL</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 xml:space="preserve">INFORMATION ABOUT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BUT NOT LIMITED TO</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NAME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HOME ADDRESS AND TELEPHONE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DATE OF BIRTH</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SOCIAL INSURANCE NUMBER OR OTHER IDENTIFICATION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SALARY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NATIONALITY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JOB TITLE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ANY SHARES OR DIRECTORSHIPS HELD IN THE </w:t>
      </w:r>
      <w:r>
        <w:rPr>
          <w:rFonts w:ascii="Arial" w:cs="Arial" w:eastAsia="Arial" w:hAnsi="Arial"/>
          <w:sz w:val="17"/>
          <w:szCs w:val="17"/>
          <w:b w:val="1"/>
          <w:bCs w:val="1"/>
          <w:color w:val="auto"/>
        </w:rPr>
        <w:t>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DETAILS OF ALL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WARDS OR ANY OTHER ENTITLEMENT TO SHARES AWARDED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CANCELED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EXERCISED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VESTED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UNVESTED OR OUTSTANDING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FAVOR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LAN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MAY BE TRANSFERRED TO ANY THIRD PARTIES ASSISTING IN THE IMPLEMENTATION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ADMINISTRATION AND MANAGEMENT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THESE RECIPIENTS MAY BE LOCATED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 OR ELSEWHERE</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WHICH MAY INCLUDE AREAS OUTSIDE THE</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UROPEAN</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CONOMIC AREA AND THAT THE</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RECIPIENT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COUNTRY MAY HAVE DIFFERENT DATA PRIVACY LAWS AND PROTECTIONS THAN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 THAT HE OR SHE MAY REQUEST A LIST WITH THE NAMES AND ADDRESSES OF ANY POTENTIAL RECIPIENTS OF</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 xml:space="preserve">THE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BY CONTACTING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60" w:top="274" w:right="459" w:bottom="1440" w:gutter="0" w:footer="0" w:header="0"/>
        </w:sectPr>
      </w:pPr>
    </w:p>
    <w:bookmarkStart w:id="21" w:name="page22"/>
    <w:bookmarkEnd w:id="21"/>
    <w:p>
      <w:pPr>
        <w:spacing w:after="0" w:line="269"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REPRESENTATIVE</w:t>
      </w:r>
      <w:r>
        <w:rPr>
          <w:rFonts w:ascii="Arial" w:cs="Arial" w:eastAsia="Arial" w:hAnsi="Arial"/>
          <w:sz w:val="17"/>
          <w:szCs w:val="17"/>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 AUTHORIZES THE RECIPIENTS TO RECEIVE</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POSSESS</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USE</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RETAIN AND TRANSFER THE </w:t>
      </w:r>
      <w:r>
        <w:rPr>
          <w:rFonts w:ascii="Arial" w:cs="Arial" w:eastAsia="Arial" w:hAnsi="Arial"/>
          <w:sz w:val="17"/>
          <w:szCs w:val="17"/>
          <w:b w:val="1"/>
          <w:bCs w:val="1"/>
          <w:color w:val="auto"/>
        </w:rPr>
        <w:t>D</w:t>
      </w:r>
      <w:r>
        <w:rPr>
          <w:rFonts w:ascii="Arial" w:cs="Arial" w:eastAsia="Arial" w:hAnsi="Arial"/>
          <w:sz w:val="15"/>
          <w:szCs w:val="15"/>
          <w:b w:val="1"/>
          <w:bCs w:val="1"/>
          <w:color w:val="auto"/>
        </w:rPr>
        <w:t>ATA</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IN ELECTRONIC OR OTHER FORM</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FOR THE PURPOSES OF IMPLEMENTING</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LAN</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INCLUDING ANY REQUISITE TRANSFER OF SUCH </w:t>
      </w:r>
      <w:r>
        <w:rPr>
          <w:rFonts w:ascii="Arial" w:cs="Arial" w:eastAsia="Arial" w:hAnsi="Arial"/>
          <w:sz w:val="17"/>
          <w:szCs w:val="17"/>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 xml:space="preserve">ARTICIPANT MAY ELECT TO DEPOSIT ANY SHARES ACQUIRED UPON SETTLEMENT OF THE </w:t>
      </w:r>
      <w:r>
        <w:rPr>
          <w:rFonts w:ascii="Arial" w:cs="Arial" w:eastAsia="Arial" w:hAnsi="Arial"/>
          <w:sz w:val="17"/>
          <w:szCs w:val="17"/>
          <w:b w:val="1"/>
          <w:bCs w:val="1"/>
          <w:color w:val="auto"/>
        </w:rPr>
        <w:t>A</w:t>
      </w:r>
      <w:r>
        <w:rPr>
          <w:rFonts w:ascii="Arial" w:cs="Arial" w:eastAsia="Arial" w:hAnsi="Arial"/>
          <w:sz w:val="15"/>
          <w:szCs w:val="15"/>
          <w:b w:val="1"/>
          <w:bCs w:val="1"/>
          <w:color w:val="auto"/>
        </w:rPr>
        <w:t>WARD</w:t>
      </w:r>
      <w:r>
        <w:rPr>
          <w:rFonts w:ascii="Arial" w:cs="Arial" w:eastAsia="Arial" w:hAnsi="Arial"/>
          <w:sz w:val="17"/>
          <w:szCs w:val="17"/>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5"/>
          <w:szCs w:val="15"/>
          <w:b w:val="1"/>
          <w:bCs w:val="1"/>
          <w:color w:val="auto"/>
        </w:rPr>
        <w:t>ATA WILL BE HELD ONLY AS LONG AS IS NECESSARY TO IMPLEMENT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LAN</w:t>
      </w:r>
      <w:r>
        <w:rPr>
          <w:rFonts w:ascii="Arial" w:cs="Arial" w:eastAsia="Arial" w:hAnsi="Arial"/>
          <w:sz w:val="17"/>
          <w:szCs w:val="17"/>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 UNDERSTANDS THAT HE OR SHE MAY</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AT ANY TIME</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VIEW </w:t>
      </w:r>
      <w:r>
        <w:rPr>
          <w:rFonts w:ascii="Arial" w:cs="Arial" w:eastAsia="Arial" w:hAnsi="Arial"/>
          <w:sz w:val="17"/>
          <w:szCs w:val="17"/>
          <w:b w:val="1"/>
          <w:bCs w:val="1"/>
          <w:color w:val="auto"/>
        </w:rPr>
        <w:t>D</w:t>
      </w:r>
      <w:r>
        <w:rPr>
          <w:rFonts w:ascii="Arial" w:cs="Arial" w:eastAsia="Arial" w:hAnsi="Arial"/>
          <w:sz w:val="15"/>
          <w:szCs w:val="15"/>
          <w:b w:val="1"/>
          <w:bCs w:val="1"/>
          <w:color w:val="auto"/>
        </w:rPr>
        <w:t>ATA</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REQUEST ADDITIONAL INFORMATION ABOUT THE STORAGE AND PROCESSING OF </w:t>
      </w:r>
      <w:r>
        <w:rPr>
          <w:rFonts w:ascii="Arial" w:cs="Arial" w:eastAsia="Arial" w:hAnsi="Arial"/>
          <w:sz w:val="17"/>
          <w:szCs w:val="17"/>
          <w:b w:val="1"/>
          <w:bCs w:val="1"/>
          <w:color w:val="auto"/>
        </w:rPr>
        <w:t>D</w:t>
      </w:r>
      <w:r>
        <w:rPr>
          <w:rFonts w:ascii="Arial" w:cs="Arial" w:eastAsia="Arial" w:hAnsi="Arial"/>
          <w:sz w:val="15"/>
          <w:szCs w:val="15"/>
          <w:b w:val="1"/>
          <w:bCs w:val="1"/>
          <w:color w:val="auto"/>
        </w:rPr>
        <w:t>ATA</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REQUIRE ANY NECESSARY AMENDMENTS TO </w:t>
      </w:r>
      <w:r>
        <w:rPr>
          <w:rFonts w:ascii="Arial" w:cs="Arial" w:eastAsia="Arial" w:hAnsi="Arial"/>
          <w:sz w:val="17"/>
          <w:szCs w:val="17"/>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IN ANY CASE WITHOUT COST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BY CONTACTING IN WRITING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 UNDERSTANDS</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HOWEVER</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THAT REFUSING OR WITHDRAWING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S CONSENT MAY AFFECT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S ABILITY TO PARTICIPATE IN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LAN</w:t>
      </w:r>
      <w:r>
        <w:rPr>
          <w:rFonts w:ascii="Arial" w:cs="Arial" w:eastAsia="Arial" w:hAnsi="Arial"/>
          <w:sz w:val="17"/>
          <w:szCs w:val="17"/>
          <w:b w:val="1"/>
          <w:bCs w:val="1"/>
          <w:color w:val="auto"/>
        </w:rPr>
        <w:t>. F</w:t>
      </w:r>
      <w:r>
        <w:rPr>
          <w:rFonts w:ascii="Arial" w:cs="Arial" w:eastAsia="Arial" w:hAnsi="Arial"/>
          <w:sz w:val="15"/>
          <w:szCs w:val="15"/>
          <w:b w:val="1"/>
          <w:bCs w:val="1"/>
          <w:color w:val="auto"/>
        </w:rPr>
        <w:t xml:space="preserve">OR MORE INFORMATION ON THE CONSEQUENCES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REFUSAL TO CONSENT OR WITHDRAWAL OF CONSENT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 UNDERSTANDS THAT HE OR SHE MAY CONTACT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w:t>
      </w:r>
    </w:p>
    <w:p>
      <w:pPr>
        <w:spacing w:after="0" w:line="200" w:lineRule="exact"/>
        <w:rPr>
          <w:sz w:val="20"/>
          <w:szCs w:val="20"/>
          <w:color w:val="auto"/>
        </w:rPr>
      </w:pPr>
    </w:p>
    <w:p>
      <w:pPr>
        <w:spacing w:after="0" w:line="225" w:lineRule="exact"/>
        <w:rPr>
          <w:sz w:val="20"/>
          <w:szCs w:val="20"/>
          <w:color w:val="auto"/>
        </w:rPr>
      </w:pPr>
    </w:p>
    <w:p>
      <w:pPr>
        <w:ind w:left="960" w:hanging="532"/>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215" w:lineRule="exact"/>
        <w:rPr>
          <w:sz w:val="20"/>
          <w:szCs w:val="20"/>
          <w:color w:val="auto"/>
        </w:rPr>
      </w:pPr>
    </w:p>
    <w:p>
      <w:pPr>
        <w:ind w:left="960" w:hanging="532"/>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120" w:firstLine="99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9. Subject to the terms and conditions set forth in the Grant Notice, this Agreement and the Plan, each Unit represents a right to receive on a date determined in accordance with the Grant Notice and this Agreement one (1) share of Stock.</w:t>
      </w:r>
    </w:p>
    <w:p>
      <w:pPr>
        <w:spacing w:after="0" w:line="180"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No Monetary Payment Required.</w:t>
      </w:r>
      <w:r>
        <w:rPr>
          <w:rFonts w:ascii="Arial" w:cs="Arial" w:eastAsia="Arial" w:hAnsi="Arial"/>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0" w:right="479" w:bottom="1440" w:gutter="0" w:footer="0" w:header="0"/>
        </w:sectPr>
      </w:pPr>
    </w:p>
    <w:bookmarkStart w:id="22" w:name="page23"/>
    <w:bookmarkEnd w:id="22"/>
    <w:p>
      <w:pPr>
        <w:ind w:right="6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4.3 </w:t>
      </w:r>
      <w:r>
        <w:rPr>
          <w:rFonts w:ascii="Arial" w:cs="Arial" w:eastAsia="Arial" w:hAnsi="Arial"/>
          <w:sz w:val="17"/>
          <w:szCs w:val="17"/>
          <w:b w:val="1"/>
          <w:bCs w:val="1"/>
          <w:color w:val="auto"/>
        </w:rPr>
        <w:t>Dividend Equivalent Units.</w:t>
      </w:r>
      <w:r>
        <w:rPr>
          <w:rFonts w:ascii="Arial" w:cs="Arial" w:eastAsia="Arial" w:hAnsi="Arial"/>
          <w:sz w:val="17"/>
          <w:szCs w:val="17"/>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199" w:lineRule="exact"/>
        <w:rPr>
          <w:sz w:val="20"/>
          <w:szCs w:val="20"/>
          <w:color w:val="auto"/>
        </w:rPr>
      </w:pPr>
    </w:p>
    <w:p>
      <w:pPr>
        <w:ind w:left="960" w:hanging="532"/>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60" w:firstLine="440"/>
        <w:spacing w:after="0" w:line="342" w:lineRule="auto"/>
        <w:rPr>
          <w:sz w:val="20"/>
          <w:szCs w:val="20"/>
          <w:color w:val="auto"/>
        </w:rPr>
      </w:pPr>
      <w:r>
        <w:rPr>
          <w:rFonts w:ascii="Arial" w:cs="Arial" w:eastAsia="Arial" w:hAnsi="Arial"/>
          <w:sz w:val="16"/>
          <w:szCs w:val="16"/>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147" w:lineRule="exact"/>
        <w:rPr>
          <w:sz w:val="20"/>
          <w:szCs w:val="20"/>
          <w:color w:val="auto"/>
        </w:rPr>
      </w:pPr>
    </w:p>
    <w:p>
      <w:pPr>
        <w:ind w:left="960" w:hanging="532"/>
        <w:spacing w:after="0"/>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w:t>
      </w:r>
    </w:p>
    <w:p>
      <w:pPr>
        <w:spacing w:after="0" w:line="207" w:lineRule="exact"/>
        <w:rPr>
          <w:sz w:val="20"/>
          <w:szCs w:val="20"/>
          <w:color w:val="auto"/>
        </w:rPr>
      </w:pPr>
    </w:p>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the Award.</w:t>
      </w:r>
    </w:p>
    <w:p>
      <w:pPr>
        <w:spacing w:after="0" w:line="225" w:lineRule="exact"/>
        <w:rPr>
          <w:sz w:val="20"/>
          <w:szCs w:val="20"/>
          <w:color w:val="auto"/>
        </w:rPr>
      </w:pPr>
    </w:p>
    <w:p>
      <w:pPr>
        <w:ind w:right="20" w:firstLine="991"/>
        <w:spacing w:after="0" w:line="29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Issuance of Shares of Stock.</w:t>
      </w:r>
      <w:r>
        <w:rPr>
          <w:rFonts w:ascii="Arial" w:cs="Arial" w:eastAsia="Arial" w:hAnsi="Arial"/>
          <w:sz w:val="16"/>
          <w:szCs w:val="16"/>
          <w:color w:val="auto"/>
        </w:rPr>
        <w:t xml:space="preserve"> Subject to the provisions of Section 7.3 below, as soon as reasonably practicable following the date upon which Units vest (such date, the “</w:t>
      </w:r>
      <w:r>
        <w:rPr>
          <w:rFonts w:ascii="Arial" w:cs="Arial" w:eastAsia="Arial" w:hAnsi="Arial"/>
          <w:sz w:val="16"/>
          <w:szCs w:val="16"/>
          <w:b w:val="1"/>
          <w:bCs w:val="1"/>
          <w:i w:val="1"/>
          <w:iCs w:val="1"/>
          <w:color w:val="auto"/>
        </w:rPr>
        <w:t>Settlement Date</w:t>
      </w:r>
      <w:r>
        <w:rPr>
          <w:rFonts w:ascii="Arial" w:cs="Arial" w:eastAsia="Arial" w:hAnsi="Arial"/>
          <w:sz w:val="16"/>
          <w:szCs w:val="16"/>
          <w:color w:val="auto"/>
        </w:rPr>
        <w:t>”) (but in no event later than March 15th of the calendar year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w:t>
      </w:r>
    </w:p>
    <w:p>
      <w:pPr>
        <w:spacing w:after="0" w:line="154"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0" w:right="459" w:bottom="1440" w:gutter="0" w:footer="0" w:header="0"/>
        </w:sectPr>
      </w:pPr>
    </w:p>
    <w:bookmarkStart w:id="23" w:name="page24"/>
    <w:bookmarkEnd w:id="23"/>
    <w:p>
      <w:pPr>
        <w:ind w:right="20"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The Company shall not be required to issue fractional shares upon the settlement of the Award.</w:t>
      </w:r>
    </w:p>
    <w:p>
      <w:pPr>
        <w:spacing w:after="0" w:line="252" w:lineRule="exact"/>
        <w:rPr>
          <w:sz w:val="20"/>
          <w:szCs w:val="20"/>
          <w:color w:val="auto"/>
        </w:rPr>
      </w:pPr>
    </w:p>
    <w:p>
      <w:pPr>
        <w:ind w:left="960" w:hanging="53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Regardless of any action the Company or the Participant’s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income tax, social insurance, payroll tax, payment on account or other tax-related withholding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the Participant acknowledges and agrees that the ultimate liability for all Tax-Related Items legally due by the Participant is and remains the Participant’s responsibility and that the Company and/or the Employer (i) make no 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Participant shall satisfy Tax-Related Items by having the Company or the Employer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Employer in cash any amount of Tax-Related Items that the Company or the Employer may be required to withhold as a result of the Participant’s participation in the Plan or the Participant’s receipt of Units (including, without limitation, by the Employer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 Further, if the Participant is subject 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24" w:name="page25"/>
    <w:bookmarkEnd w:id="24"/>
    <w:p>
      <w:pPr>
        <w:ind w:right="10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Participant acknowledges and understands that the Participant should consult a tax adviser regarding the Participant’s tax obligations prior to such settlement or disposition.</w:t>
      </w:r>
    </w:p>
    <w:p>
      <w:pPr>
        <w:spacing w:after="0" w:line="193" w:lineRule="exact"/>
        <w:rPr>
          <w:sz w:val="20"/>
          <w:szCs w:val="20"/>
          <w:color w:val="auto"/>
        </w:rPr>
      </w:pPr>
    </w:p>
    <w:p>
      <w:pPr>
        <w:ind w:left="960" w:hanging="532"/>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TRUCTURE</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94" w:lineRule="exact"/>
        <w:rPr>
          <w:sz w:val="20"/>
          <w:szCs w:val="20"/>
          <w:color w:val="auto"/>
        </w:rPr>
      </w:pPr>
    </w:p>
    <w:p>
      <w:pPr>
        <w:ind w:left="960" w:hanging="532"/>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4"/>
          <w:szCs w:val="14"/>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ONSULTANT</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9.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25" w:name="page26"/>
    <w:bookmarkEnd w:id="25"/>
    <w:p>
      <w:pPr>
        <w:ind w:left="960" w:hanging="532"/>
        <w:spacing w:after="0"/>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w:t>
      </w:r>
      <w:r>
        <w:rPr>
          <w:rFonts w:ascii="Arial" w:cs="Arial" w:eastAsia="Arial" w:hAnsi="Arial"/>
          <w:sz w:val="14"/>
          <w:szCs w:val="14"/>
          <w:b w:val="1"/>
          <w:bCs w:val="1"/>
          <w:u w:val="single" w:color="auto"/>
          <w:color w:val="auto"/>
        </w:rPr>
        <w:t>EGENDS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210" w:lineRule="exact"/>
        <w:rPr>
          <w:sz w:val="20"/>
          <w:szCs w:val="20"/>
          <w:color w:val="auto"/>
        </w:rPr>
      </w:pPr>
    </w:p>
    <w:p>
      <w:pPr>
        <w:ind w:left="960" w:hanging="532"/>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jc w:val="both"/>
        <w:ind w:right="40" w:firstLine="991"/>
        <w:spacing w:after="0" w:line="281" w:lineRule="auto"/>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b w:val="1"/>
          <w:bCs w:val="1"/>
          <w:color w:val="auto"/>
        </w:rPr>
        <w:t>Termination or Amendment.</w:t>
      </w:r>
      <w:r>
        <w:rPr>
          <w:rFonts w:ascii="Arial" w:cs="Arial" w:eastAsia="Arial" w:hAnsi="Arial"/>
          <w:sz w:val="17"/>
          <w:szCs w:val="17"/>
          <w:color w:val="auto"/>
        </w:rPr>
        <w:t xml:space="preserve"> The Committee may terminate or amend the Plan or this Agreement at any time; provided, however, that except as set forth in Section 9 or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65"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3" w:lineRule="exact"/>
        <w:rPr>
          <w:sz w:val="20"/>
          <w:szCs w:val="20"/>
          <w:color w:val="auto"/>
        </w:rPr>
      </w:pPr>
    </w:p>
    <w:p>
      <w:pPr>
        <w:ind w:right="740" w:firstLine="991"/>
        <w:spacing w:after="0" w:line="282" w:lineRule="auto"/>
        <w:rPr>
          <w:sz w:val="20"/>
          <w:szCs w:val="20"/>
          <w:color w:val="auto"/>
        </w:rPr>
      </w:pPr>
      <w:r>
        <w:rPr>
          <w:rFonts w:ascii="Arial" w:cs="Arial" w:eastAsia="Arial" w:hAnsi="Arial"/>
          <w:sz w:val="18"/>
          <w:szCs w:val="18"/>
          <w:color w:val="auto"/>
        </w:rPr>
        <w:t xml:space="preserve">12.3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340" w:firstLine="991"/>
        <w:spacing w:after="0" w:line="347"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6" w:lineRule="exact"/>
        <w:rPr>
          <w:sz w:val="20"/>
          <w:szCs w:val="20"/>
          <w:color w:val="auto"/>
        </w:rPr>
      </w:pPr>
    </w:p>
    <w:p>
      <w:pPr>
        <w:ind w:right="80" w:firstLine="991"/>
        <w:spacing w:after="0" w:line="274" w:lineRule="auto"/>
        <w:rPr>
          <w:sz w:val="20"/>
          <w:szCs w:val="20"/>
          <w:color w:val="auto"/>
        </w:rPr>
      </w:pPr>
      <w:r>
        <w:rPr>
          <w:rFonts w:ascii="Arial" w:cs="Arial" w:eastAsia="Arial" w:hAnsi="Arial"/>
          <w:sz w:val="17"/>
          <w:szCs w:val="17"/>
          <w:color w:val="auto"/>
        </w:rPr>
        <w:t xml:space="preserve">12.5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77" w:lineRule="exact"/>
        <w:rPr>
          <w:sz w:val="20"/>
          <w:szCs w:val="20"/>
          <w:color w:val="auto"/>
        </w:rPr>
      </w:pPr>
    </w:p>
    <w:p>
      <w:pPr>
        <w:ind w:firstLine="1428"/>
        <w:spacing w:after="0" w:line="311" w:lineRule="auto"/>
        <w:tabs>
          <w:tab w:leader="none" w:pos="1812" w:val="left"/>
        </w:tabs>
        <w:numPr>
          <w:ilvl w:val="0"/>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Description of Electronic Delivery. </w:t>
      </w:r>
      <w:r>
        <w:rPr>
          <w:rFonts w:ascii="Arial" w:cs="Arial" w:eastAsia="Arial" w:hAnsi="Arial"/>
          <w:sz w:val="16"/>
          <w:szCs w:val="16"/>
          <w:color w:val="auto"/>
        </w:rPr>
        <w:t>The Plan documents, which may include but do not necessarily include: the Plan, the Grant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26" w:name="page27"/>
    <w:bookmarkEnd w:id="26"/>
    <w:p>
      <w:pPr>
        <w:jc w:val="both"/>
        <w:ind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65" w:lineRule="exact"/>
        <w:rPr>
          <w:sz w:val="20"/>
          <w:szCs w:val="20"/>
          <w:color w:val="auto"/>
        </w:rPr>
      </w:pPr>
    </w:p>
    <w:p>
      <w:pPr>
        <w:ind w:right="40" w:firstLine="1428"/>
        <w:spacing w:after="0" w:line="288" w:lineRule="auto"/>
        <w:tabs>
          <w:tab w:leader="none" w:pos="1822"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12.5(a)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12.5(a).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12.5(a)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12.5(a).</w:t>
      </w:r>
    </w:p>
    <w:p>
      <w:pPr>
        <w:spacing w:after="0" w:line="164"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color w:val="auto"/>
        </w:rPr>
        <w:t xml:space="preserve">12.6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3" w:lineRule="exact"/>
        <w:rPr>
          <w:sz w:val="20"/>
          <w:szCs w:val="20"/>
          <w:color w:val="auto"/>
        </w:rPr>
      </w:pPr>
    </w:p>
    <w:p>
      <w:pPr>
        <w:ind w:right="20" w:firstLine="991"/>
        <w:spacing w:after="0" w:line="256" w:lineRule="auto"/>
        <w:rPr>
          <w:sz w:val="20"/>
          <w:szCs w:val="20"/>
          <w:color w:val="auto"/>
        </w:rPr>
      </w:pPr>
      <w:r>
        <w:rPr>
          <w:rFonts w:ascii="Arial" w:cs="Arial" w:eastAsia="Arial" w:hAnsi="Arial"/>
          <w:sz w:val="18"/>
          <w:szCs w:val="18"/>
          <w:color w:val="auto"/>
        </w:rPr>
        <w:t xml:space="preserve">12.7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87" w:lineRule="exact"/>
        <w:rPr>
          <w:sz w:val="20"/>
          <w:szCs w:val="20"/>
          <w:color w:val="auto"/>
        </w:rPr>
      </w:pPr>
    </w:p>
    <w:p>
      <w:pPr>
        <w:ind w:firstLine="991"/>
        <w:spacing w:after="0" w:line="281"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b w:val="1"/>
          <w:bCs w:val="1"/>
          <w:color w:val="auto"/>
        </w:rPr>
        <w:t>Applicable Law.</w:t>
      </w:r>
      <w:r>
        <w:rPr>
          <w:rFonts w:ascii="Arial" w:cs="Arial" w:eastAsia="Arial" w:hAnsi="Arial"/>
          <w:sz w:val="17"/>
          <w:szCs w:val="17"/>
          <w:color w:val="auto"/>
        </w:rPr>
        <w:t xml:space="preserve"> 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27" w:name="page28"/>
    <w:bookmarkEnd w:id="27"/>
    <w:p>
      <w:pPr>
        <w:ind w:right="300" w:firstLine="99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12.9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62" w:lineRule="exact"/>
        <w:rPr>
          <w:sz w:val="20"/>
          <w:szCs w:val="20"/>
          <w:color w:val="auto"/>
        </w:rPr>
      </w:pPr>
    </w:p>
    <w:p>
      <w:pPr>
        <w:ind w:firstLine="991"/>
        <w:spacing w:after="0" w:line="261" w:lineRule="auto"/>
        <w:rPr>
          <w:sz w:val="20"/>
          <w:szCs w:val="20"/>
          <w:color w:val="auto"/>
        </w:rPr>
      </w:pPr>
      <w:r>
        <w:rPr>
          <w:rFonts w:ascii="Arial" w:cs="Arial" w:eastAsia="Arial" w:hAnsi="Arial"/>
          <w:sz w:val="18"/>
          <w:szCs w:val="18"/>
          <w:color w:val="auto"/>
        </w:rPr>
        <w:t xml:space="preserve">12.10 </w:t>
      </w:r>
      <w:r>
        <w:rPr>
          <w:rFonts w:ascii="Arial" w:cs="Arial" w:eastAsia="Arial" w:hAnsi="Arial"/>
          <w:sz w:val="18"/>
          <w:szCs w:val="18"/>
          <w:b w:val="1"/>
          <w:bCs w:val="1"/>
          <w:color w:val="auto"/>
        </w:rPr>
        <w:t>Clawback</w:t>
      </w:r>
      <w:r>
        <w:rPr>
          <w:rFonts w:ascii="Arial" w:cs="Arial" w:eastAsia="Arial" w:hAnsi="Arial"/>
          <w:sz w:val="18"/>
          <w:szCs w:val="18"/>
          <w:color w:val="auto"/>
        </w:rPr>
        <w:t>. The Award will be subject to recoupment in accordance with the clawback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35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00"/>
          </w:cols>
          <w:pgMar w:left="440" w:top="270" w:right="55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June 2020.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6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Germany, Hong Kong, Japan, Korea, and the United States.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Please consult the notice addressing the EU General Data Protection Regulation (GDPR), which is attached hereto and which replaces the Data Privacy provision set forth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Cross-border payments in excess of €12,500 must be reported monthly to the German Federal Bank. If Participant uses a German bank to transfer a cross-border payment in excess of €12,500 in connection with the sale of Company shares acquired under the Plan, the bank will make the report. In addition, Participant must report any receivables, payables, or debts in foreign currency exceeding an amount of €5,000,000 on a monthly basis.</w:t>
      </w:r>
    </w:p>
    <w:p>
      <w:pPr>
        <w:sectPr>
          <w:pgSz w:w="11900" w:h="16838" w:orient="portrait"/>
          <w:cols w:equalWidth="0" w:num="1">
            <w:col w:w="11020"/>
          </w:cols>
          <w:pgMar w:left="440" w:top="270"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HONG KONG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Awards and the underlying shares do not constitute a public offering of securities under Hong Kong law and are available only to employees of the Company or its subsidiaries and affiliates. The Agreement, including this Appendix A,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and any related documentation are intended only for the personal use of each eligible employee of the Company or its subsidiaries and affiliates and may not be distributed to any other person. If Participant has any doubts about any of the contents of the Agreement, including this Appendix A, or the Plan, Participant understands that he/she should obtain independent professional advice.</w:t>
      </w:r>
    </w:p>
    <w:p>
      <w:pPr>
        <w:spacing w:after="0" w:line="17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Notwithstanding anything to the contrary in the Plan and/or the Agreement, you understand that any Units shall be paid in shares only and do not provide any right to receive a cash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notifications.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a Participant acquires shares valued at more than ¥100,000,000 in a single transaction, Participant must file a Securities Acquisition Report with the Ministry of Finance through the Bank of Japan within 20 days of the acquisition of the shares unless a Japanese securities broker or a Japanese branch of a non-Japanese securities broker is involved in the acquisition of the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notifications.</w:t>
      </w:r>
    </w:p>
    <w:p>
      <w:pPr>
        <w:sectPr>
          <w:pgSz w:w="11900" w:h="16838" w:orient="portrait"/>
          <w:cols w:equalWidth="0" w:num="1">
            <w:col w:w="11000"/>
          </w:cols>
          <w:pgMar w:left="440" w:top="270" w:right="459" w:bottom="1440" w:gutter="0" w:footer="0" w:header="0"/>
        </w:sectPr>
      </w:pPr>
    </w:p>
    <w:bookmarkStart w:id="30" w:name="page31"/>
    <w:bookmarkEnd w:id="3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UNITED STATES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52" w:lineRule="exact"/>
        <w:rPr>
          <w:sz w:val="20"/>
          <w:szCs w:val="20"/>
          <w:color w:val="auto"/>
        </w:rPr>
      </w:pPr>
    </w:p>
    <w:p>
      <w:pPr>
        <w:ind w:left="424" w:hanging="424"/>
        <w:spacing w:after="0"/>
        <w:tabs>
          <w:tab w:leader="none" w:pos="4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12.11:</w:t>
      </w:r>
    </w:p>
    <w:p>
      <w:pPr>
        <w:spacing w:after="0" w:line="221" w:lineRule="exact"/>
        <w:rPr>
          <w:rFonts w:ascii="Arial" w:cs="Arial" w:eastAsia="Arial" w:hAnsi="Arial"/>
          <w:sz w:val="18"/>
          <w:szCs w:val="18"/>
          <w:color w:val="auto"/>
        </w:rPr>
      </w:pPr>
    </w:p>
    <w:p>
      <w:pPr>
        <w:ind w:left="444"/>
        <w:spacing w:after="0" w:line="27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 are no country-specific notifications.</w:t>
      </w:r>
    </w:p>
    <w:p>
      <w:pPr>
        <w:sectPr>
          <w:pgSz w:w="11900" w:h="16838" w:orient="portrait"/>
          <w:cols w:equalWidth="0" w:num="1">
            <w:col w:w="10964"/>
          </w:cols>
          <w:pgMar w:left="436" w:top="270" w:right="4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99.4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RESTRICTED STOCK UNITS AGREEMENT</w:t>
      </w:r>
    </w:p>
    <w:p>
      <w:pPr>
        <w:spacing w:after="0" w:line="21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the Participant named in the Notice of Grant of Performance-Based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Performance-Based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Award has been granted pursuant to and shall in all respects be subject to the terms conditions of the MagnaChip Semiconductor Corporation 2020 Equity and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73" w:lineRule="exact"/>
        <w:rPr>
          <w:sz w:val="20"/>
          <w:szCs w:val="20"/>
          <w:color w:val="auto"/>
        </w:rPr>
      </w:pPr>
    </w:p>
    <w:p>
      <w:pPr>
        <w:ind w:left="800" w:hanging="364"/>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Unless otherwise defined herein, capitalized terms shall have the meanings assigned to such terms in the Grant Notice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1800" w:hanging="372"/>
        <w:spacing w:after="0"/>
        <w:tabs>
          <w:tab w:leader="none" w:pos="1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Units</w:t>
      </w:r>
      <w:r>
        <w:rPr>
          <w:rFonts w:ascii="Arial" w:cs="Arial" w:eastAsia="Arial" w:hAnsi="Arial"/>
          <w:sz w:val="18"/>
          <w:szCs w:val="18"/>
          <w:color w:val="auto"/>
        </w:rPr>
        <w:t>” mean additional Restricted Stock Units credited pursuant to Section 4.3.</w:t>
      </w:r>
    </w:p>
    <w:p>
      <w:pPr>
        <w:spacing w:after="0" w:line="225" w:lineRule="exact"/>
        <w:rPr>
          <w:rFonts w:ascii="Arial" w:cs="Arial" w:eastAsia="Arial" w:hAnsi="Arial"/>
          <w:sz w:val="18"/>
          <w:szCs w:val="18"/>
          <w:color w:val="auto"/>
        </w:rPr>
      </w:pPr>
    </w:p>
    <w:p>
      <w:pPr>
        <w:ind w:right="140" w:firstLine="1428"/>
        <w:spacing w:after="0" w:line="277" w:lineRule="auto"/>
        <w:tabs>
          <w:tab w:leader="none" w:pos="182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mean the Restricted Stock Units originally granted pursuant to the Award and the Dividend Equivalent Units credited pursuant to the Award, as both shall be adjusted from time to time pursuant to Section 10.</w:t>
      </w:r>
    </w:p>
    <w:p>
      <w:pPr>
        <w:spacing w:after="0" w:line="166"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ind w:left="800" w:hanging="364"/>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162"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 xml:space="preserve">Employment Conditions. </w:t>
      </w:r>
      <w:r>
        <w:rPr>
          <w:rFonts w:ascii="Arial" w:cs="Arial" w:eastAsia="Arial" w:hAnsi="Arial"/>
          <w:sz w:val="16"/>
          <w:szCs w:val="16"/>
          <w:color w:val="auto"/>
        </w:rPr>
        <w:t>By accepting the Award, the Participant acknowledges and agrees that: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2" w:name="page33"/>
    <w:bookmarkEnd w:id="32"/>
    <w:p>
      <w:pPr>
        <w:ind w:right="120" w:firstLine="1428"/>
        <w:spacing w:after="0" w:line="257" w:lineRule="auto"/>
        <w:tabs>
          <w:tab w:leader="none" w:pos="1802"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87" w:lineRule="exact"/>
        <w:rPr>
          <w:rFonts w:ascii="Arial" w:cs="Arial" w:eastAsia="Arial" w:hAnsi="Arial"/>
          <w:sz w:val="18"/>
          <w:szCs w:val="18"/>
          <w:color w:val="auto"/>
        </w:rPr>
      </w:pPr>
    </w:p>
    <w:p>
      <w:pPr>
        <w:ind w:firstLine="1428"/>
        <w:spacing w:after="0" w:line="286" w:lineRule="auto"/>
        <w:tabs>
          <w:tab w:leader="none" w:pos="1822"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Notwithstanding anything to the contrary in the Grant Notice, if the Participant is terminated without Cause or resigns for Good Reason, in each case not in connection with a CIC Qualified Termination (each as defined in the Participant’s employment agreement with the Company) prior to the settlement of the Award, the Participant will remain eligible to vest (determined in accordance with the terms set forth in the Grant Notice) in a pro rata portion of the Restricted Stock Units on the Certification Date following the end of the Performance Period based on actual Company performance, with such pro rata portion determined by multiplying the total number of Restricted Stock Units remaining outstanding and unvested immediately prior to such termination by a fraction, the numerator of which is the number of full months that the Participant provided continuous Service during the Performance Period, and the denominator of which is the number of full months in the full Performance Period. All Restricted Stock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Restricted Stock Units remaining outstanding and unvested immediately prior to the Change in Control (after application of the foregoing provisions of this Section 2.2(b)) shall vest and become nonforfeitable at the target level of achievement (determined in accordance with the Grant Notice) immediately upon the occurrence of the Change in Control and the date that the Change in Control is consummated shall be the Settlement Date for purposes of Section 7 hereof.</w:t>
      </w:r>
    </w:p>
    <w:p>
      <w:pPr>
        <w:spacing w:after="0" w:line="173" w:lineRule="exact"/>
        <w:rPr>
          <w:rFonts w:ascii="Arial" w:cs="Arial" w:eastAsia="Arial" w:hAnsi="Arial"/>
          <w:sz w:val="16"/>
          <w:szCs w:val="16"/>
          <w:color w:val="auto"/>
        </w:rPr>
      </w:pPr>
    </w:p>
    <w:p>
      <w:pPr>
        <w:ind w:right="180" w:firstLine="1428"/>
        <w:spacing w:after="0" w:line="277" w:lineRule="auto"/>
        <w:tabs>
          <w:tab w:leader="none" w:pos="1812"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the Participant incurs a CIC Qualified Termination, all outstanding and unvested Units (if any) will fully vest on the date of such termination at the target level of achievement (determined in accordance with the Grant Notice).</w:t>
      </w:r>
    </w:p>
    <w:p>
      <w:pPr>
        <w:spacing w:after="0" w:line="170" w:lineRule="exact"/>
        <w:rPr>
          <w:rFonts w:ascii="Arial" w:cs="Arial" w:eastAsia="Arial" w:hAnsi="Arial"/>
          <w:sz w:val="18"/>
          <w:szCs w:val="18"/>
          <w:color w:val="auto"/>
        </w:rPr>
      </w:pPr>
    </w:p>
    <w:p>
      <w:pPr>
        <w:jc w:val="both"/>
        <w:ind w:right="180" w:firstLine="1428"/>
        <w:spacing w:after="0" w:line="263" w:lineRule="auto"/>
        <w:tabs>
          <w:tab w:leader="none" w:pos="1819"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 (b) or (c). Further, all unvested Units will be forfeited and cancelled and the Participant will not be entitled to any compensation or other amount with respect thereto.</w:t>
      </w:r>
    </w:p>
    <w:p>
      <w:pPr>
        <w:spacing w:after="0" w:line="183" w:lineRule="exact"/>
        <w:rPr>
          <w:rFonts w:ascii="Arial" w:cs="Arial" w:eastAsia="Arial" w:hAnsi="Arial"/>
          <w:sz w:val="18"/>
          <w:szCs w:val="18"/>
          <w:color w:val="auto"/>
        </w:rPr>
      </w:pPr>
    </w:p>
    <w:p>
      <w:pPr>
        <w:ind w:right="120" w:firstLine="1428"/>
        <w:spacing w:after="0" w:line="277" w:lineRule="auto"/>
        <w:tabs>
          <w:tab w:leader="none" w:pos="1677"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right="80" w:firstLine="1428"/>
        <w:spacing w:after="0" w:line="277" w:lineRule="auto"/>
        <w:tabs>
          <w:tab w:leader="none" w:pos="178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4" w:right="439" w:bottom="1440" w:gutter="0" w:footer="0" w:header="0"/>
        </w:sectPr>
      </w:pPr>
    </w:p>
    <w:bookmarkStart w:id="33" w:name="page34"/>
    <w:bookmarkEnd w:id="33"/>
    <w:p>
      <w:pPr>
        <w:ind w:left="1800" w:hanging="372"/>
        <w:spacing w:after="0"/>
        <w:tabs>
          <w:tab w:leader="none" w:pos="1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decisions with respect to future Award grants, if any, will be at the sole discretion of the Company.</w:t>
      </w:r>
    </w:p>
    <w:p>
      <w:pPr>
        <w:spacing w:after="0" w:line="225" w:lineRule="exact"/>
        <w:rPr>
          <w:rFonts w:ascii="Arial" w:cs="Arial" w:eastAsia="Arial" w:hAnsi="Arial"/>
          <w:sz w:val="18"/>
          <w:szCs w:val="18"/>
          <w:color w:val="auto"/>
        </w:rPr>
      </w:pPr>
    </w:p>
    <w:p>
      <w:pPr>
        <w:ind w:firstLine="1428"/>
        <w:spacing w:after="0" w:line="263" w:lineRule="auto"/>
        <w:tabs>
          <w:tab w:leader="none" w:pos="18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83" w:lineRule="exact"/>
        <w:rPr>
          <w:rFonts w:ascii="Arial" w:cs="Arial" w:eastAsia="Arial" w:hAnsi="Arial"/>
          <w:sz w:val="18"/>
          <w:szCs w:val="18"/>
          <w:color w:val="auto"/>
        </w:rPr>
      </w:pPr>
    </w:p>
    <w:p>
      <w:pPr>
        <w:ind w:left="1780" w:hanging="352"/>
        <w:spacing w:after="0"/>
        <w:tabs>
          <w:tab w:leader="none" w:pos="17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25" w:lineRule="exact"/>
        <w:rPr>
          <w:rFonts w:ascii="Arial" w:cs="Arial" w:eastAsia="Arial" w:hAnsi="Arial"/>
          <w:sz w:val="18"/>
          <w:szCs w:val="18"/>
          <w:color w:val="auto"/>
        </w:rPr>
      </w:pPr>
    </w:p>
    <w:p>
      <w:pPr>
        <w:ind w:right="80" w:firstLine="1428"/>
        <w:spacing w:after="0" w:line="308" w:lineRule="auto"/>
        <w:tabs>
          <w:tab w:leader="none" w:pos="1779"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146" w:lineRule="exact"/>
        <w:rPr>
          <w:rFonts w:ascii="Arial" w:cs="Arial" w:eastAsia="Arial" w:hAnsi="Arial"/>
          <w:sz w:val="17"/>
          <w:szCs w:val="17"/>
          <w:color w:val="auto"/>
        </w:rPr>
      </w:pPr>
    </w:p>
    <w:p>
      <w:pPr>
        <w:ind w:right="100" w:firstLine="1428"/>
        <w:spacing w:after="0" w:line="263" w:lineRule="auto"/>
        <w:tabs>
          <w:tab w:leader="none" w:pos="181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183" w:lineRule="exact"/>
        <w:rPr>
          <w:rFonts w:ascii="Arial" w:cs="Arial" w:eastAsia="Arial" w:hAnsi="Arial"/>
          <w:sz w:val="18"/>
          <w:szCs w:val="18"/>
          <w:color w:val="auto"/>
        </w:rPr>
      </w:pPr>
    </w:p>
    <w:p>
      <w:pPr>
        <w:ind w:right="180" w:firstLine="1428"/>
        <w:spacing w:after="0" w:line="263" w:lineRule="auto"/>
        <w:tabs>
          <w:tab w:leader="none" w:pos="1782"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183" w:lineRule="exact"/>
        <w:rPr>
          <w:rFonts w:ascii="Arial" w:cs="Arial" w:eastAsia="Arial" w:hAnsi="Arial"/>
          <w:sz w:val="18"/>
          <w:szCs w:val="18"/>
          <w:color w:val="auto"/>
        </w:rPr>
      </w:pPr>
    </w:p>
    <w:p>
      <w:pPr>
        <w:ind w:right="120" w:firstLine="1428"/>
        <w:spacing w:after="0" w:line="277" w:lineRule="auto"/>
        <w:tabs>
          <w:tab w:leader="none" w:pos="1869"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jc w:val="both"/>
        <w:ind w:right="120" w:firstLine="1428"/>
        <w:spacing w:after="0" w:line="296" w:lineRule="auto"/>
        <w:tabs>
          <w:tab w:leader="none" w:pos="1822" w:val="left"/>
        </w:tabs>
        <w:numPr>
          <w:ilvl w:val="0"/>
          <w:numId w:val="45"/>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157"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Data Privacy Consent.</w:t>
      </w:r>
    </w:p>
    <w:p>
      <w:pPr>
        <w:spacing w:after="0" w:line="225" w:lineRule="exact"/>
        <w:rPr>
          <w:sz w:val="20"/>
          <w:szCs w:val="20"/>
          <w:color w:val="auto"/>
        </w:rPr>
      </w:pPr>
    </w:p>
    <w:p>
      <w:pPr>
        <w:jc w:val="both"/>
        <w:ind w:right="20" w:firstLine="1432"/>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A</w:t>
      </w:r>
      <w:r>
        <w:rPr>
          <w:rFonts w:ascii="Arial" w:cs="Arial" w:eastAsia="Arial" w:hAnsi="Arial"/>
          <w:sz w:val="18"/>
          <w:szCs w:val="18"/>
          <w:color w:val="auto"/>
        </w:rPr>
        <w:t xml:space="preserve">) </w:t>
      </w: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color w:val="auto"/>
        </w:rPr>
        <w:t xml:space="preserve"> </w:t>
      </w: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 HEREBY EXPLICITLY AND UNAMBIGUOUSLY CONSENTS TO THE COLLECTION</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4"/>
          <w:szCs w:val="14"/>
          <w:b w:val="1"/>
          <w:bCs w:val="1"/>
          <w:color w:val="auto"/>
        </w:rPr>
        <w:t>USE AND TRANSFER</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4"/>
          <w:szCs w:val="14"/>
          <w:b w:val="1"/>
          <w:bCs w:val="1"/>
          <w:color w:val="auto"/>
        </w:rPr>
        <w:t>IN</w:t>
      </w:r>
      <w:r>
        <w:rPr>
          <w:rFonts w:ascii="Arial" w:cs="Arial" w:eastAsia="Arial" w:hAnsi="Arial"/>
          <w:sz w:val="18"/>
          <w:szCs w:val="18"/>
          <w:color w:val="auto"/>
        </w:rPr>
        <w:t xml:space="preserve"> </w:t>
      </w:r>
      <w:r>
        <w:rPr>
          <w:rFonts w:ascii="Arial" w:cs="Arial" w:eastAsia="Arial" w:hAnsi="Arial"/>
          <w:sz w:val="14"/>
          <w:szCs w:val="14"/>
          <w:b w:val="1"/>
          <w:bCs w:val="1"/>
          <w:color w:val="auto"/>
        </w:rPr>
        <w:t>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PERSONAL DATA AS DESCRIBED IN THIS DOCUMENT BY AND AMONG THE MEMBERS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ARTICIPATING </w:t>
      </w:r>
      <w:r>
        <w:rPr>
          <w:rFonts w:ascii="Arial" w:cs="Arial" w:eastAsia="Arial" w:hAnsi="Arial"/>
          <w:sz w:val="17"/>
          <w:szCs w:val="17"/>
          <w:b w:val="1"/>
          <w:bCs w:val="1"/>
          <w:color w:val="auto"/>
        </w:rPr>
        <w:t>C</w:t>
      </w:r>
      <w:r>
        <w:rPr>
          <w:rFonts w:ascii="Arial" w:cs="Arial" w:eastAsia="Arial" w:hAnsi="Arial"/>
          <w:sz w:val="14"/>
          <w:szCs w:val="14"/>
          <w:b w:val="1"/>
          <w:bCs w:val="1"/>
          <w:color w:val="auto"/>
        </w:rPr>
        <w:t xml:space="preserve">OMPANY </w:t>
      </w:r>
      <w:r>
        <w:rPr>
          <w:rFonts w:ascii="Arial" w:cs="Arial" w:eastAsia="Arial" w:hAnsi="Arial"/>
          <w:sz w:val="17"/>
          <w:szCs w:val="17"/>
          <w:b w:val="1"/>
          <w:bCs w:val="1"/>
          <w:color w:val="auto"/>
        </w:rPr>
        <w:t>G</w:t>
      </w:r>
      <w:r>
        <w:rPr>
          <w:rFonts w:ascii="Arial" w:cs="Arial" w:eastAsia="Arial" w:hAnsi="Arial"/>
          <w:sz w:val="14"/>
          <w:szCs w:val="14"/>
          <w:b w:val="1"/>
          <w:bCs w:val="1"/>
          <w:color w:val="auto"/>
        </w:rPr>
        <w:t>ROUP FOR THE EXCLUSIVE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PARTICIPATION IN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34" w:name="page35"/>
    <w:bookmarkEnd w:id="34"/>
    <w:p>
      <w:pPr>
        <w:ind w:left="14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4"/>
          <w:szCs w:val="14"/>
          <w:b w:val="1"/>
          <w:bCs w:val="1"/>
          <w:color w:val="auto"/>
        </w:rPr>
        <w:t>B</w:t>
      </w:r>
      <w:r>
        <w:rPr>
          <w:rFonts w:ascii="Arial" w:cs="Arial" w:eastAsia="Arial" w:hAnsi="Arial"/>
          <w:sz w:val="18"/>
          <w:szCs w:val="18"/>
          <w:b w:val="1"/>
          <w:bCs w:val="1"/>
          <w:color w:val="auto"/>
        </w:rPr>
        <w:t>) 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 HOLDS CERTAIN PERSONAL</w:t>
      </w:r>
    </w:p>
    <w:p>
      <w:pPr>
        <w:spacing w:after="0" w:line="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INFORMATION ABOUT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INCLUDING</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BUT NOT LIMITED TO</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S NAME</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HOME ADDRESS AND TELEPHONE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NUMBER</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DATE OF BIRTH</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SOCIAL INSURANCE NUMBER OR OTHER IDENTIFICATION NUMBER</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SALARY</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NATIONALITY</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JOB TITLE</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ANY SHARES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OR DIRECTORSHIPS HELD IN THE </w:t>
      </w:r>
      <w:r>
        <w:rPr>
          <w:rFonts w:ascii="Arial" w:cs="Arial" w:eastAsia="Arial" w:hAnsi="Arial"/>
          <w:sz w:val="17"/>
          <w:szCs w:val="17"/>
          <w:b w:val="1"/>
          <w:bCs w:val="1"/>
          <w:color w:val="auto"/>
        </w:rPr>
        <w:t>C</w:t>
      </w:r>
      <w:r>
        <w:rPr>
          <w:rFonts w:ascii="Arial" w:cs="Arial" w:eastAsia="Arial" w:hAnsi="Arial"/>
          <w:sz w:val="15"/>
          <w:szCs w:val="15"/>
          <w:b w:val="1"/>
          <w:bCs w:val="1"/>
          <w:color w:val="auto"/>
        </w:rPr>
        <w:t>OMPANY</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DETAILS OF ALL </w:t>
      </w:r>
      <w:r>
        <w:rPr>
          <w:rFonts w:ascii="Arial" w:cs="Arial" w:eastAsia="Arial" w:hAnsi="Arial"/>
          <w:sz w:val="17"/>
          <w:szCs w:val="17"/>
          <w:b w:val="1"/>
          <w:bCs w:val="1"/>
          <w:color w:val="auto"/>
        </w:rPr>
        <w:t>A</w:t>
      </w:r>
      <w:r>
        <w:rPr>
          <w:rFonts w:ascii="Arial" w:cs="Arial" w:eastAsia="Arial" w:hAnsi="Arial"/>
          <w:sz w:val="15"/>
          <w:szCs w:val="15"/>
          <w:b w:val="1"/>
          <w:bCs w:val="1"/>
          <w:color w:val="auto"/>
        </w:rPr>
        <w:t>WARDS OR ANY OTHER ENTITLEMENT TO SHARES AWARDED</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CANCELED</w:t>
      </w:r>
      <w:r>
        <w:rPr>
          <w:rFonts w:ascii="Arial" w:cs="Arial" w:eastAsia="Arial" w:hAnsi="Arial"/>
          <w:sz w:val="17"/>
          <w:szCs w:val="17"/>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EXERCISED</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VESTED</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UNVESTED OR OUTSTANDING IN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S FAVOR</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FOR THE PURPOSE OF IMPLEMENTING</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ADMINISTERING AND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MANAGING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 xml:space="preserve">LAN </w:t>
      </w:r>
      <w:r>
        <w:rPr>
          <w:rFonts w:ascii="Arial" w:cs="Arial" w:eastAsia="Arial" w:hAnsi="Arial"/>
          <w:sz w:val="17"/>
          <w:szCs w:val="17"/>
          <w:b w:val="1"/>
          <w:bCs w:val="1"/>
          <w:color w:val="auto"/>
        </w:rPr>
        <w:t>(“D</w:t>
      </w:r>
      <w:r>
        <w:rPr>
          <w:rFonts w:ascii="Arial" w:cs="Arial" w:eastAsia="Arial" w:hAnsi="Arial"/>
          <w:sz w:val="15"/>
          <w:szCs w:val="15"/>
          <w:b w:val="1"/>
          <w:bCs w:val="1"/>
          <w:color w:val="auto"/>
        </w:rPr>
        <w:t>ATA</w:t>
      </w:r>
      <w:r>
        <w:rPr>
          <w:rFonts w:ascii="Arial" w:cs="Arial" w:eastAsia="Arial" w:hAnsi="Arial"/>
          <w:sz w:val="17"/>
          <w:szCs w:val="17"/>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5"/>
          <w:szCs w:val="15"/>
          <w:b w:val="1"/>
          <w:bCs w:val="1"/>
          <w:color w:val="auto"/>
        </w:rPr>
        <w:t>ATA MAY BE TRANSFERRED TO ANY THIRD PARTIES ASSISTING IN</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IMPLEMENTATION</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ADMINISTRATION AND MANAGEMENT OF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LAN</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THAT THESE RECIPIENTS MAY BE LOCATED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w:t>
      </w:r>
      <w:r>
        <w:rPr>
          <w:rFonts w:ascii="Arial" w:cs="Arial" w:eastAsia="Arial" w:hAnsi="Arial"/>
          <w:sz w:val="18"/>
          <w:szCs w:val="18"/>
          <w:b w:val="1"/>
          <w:bCs w:val="1"/>
          <w:color w:val="auto"/>
        </w:rPr>
        <w:t>’</w:t>
      </w:r>
      <w:r>
        <w:rPr>
          <w:rFonts w:ascii="Arial" w:cs="Arial" w:eastAsia="Arial" w:hAnsi="Arial"/>
          <w:sz w:val="14"/>
          <w:szCs w:val="14"/>
          <w:b w:val="1"/>
          <w:bCs w:val="1"/>
          <w:color w:val="auto"/>
        </w:rPr>
        <w:t>S COUNTRY OR ELSEWHERE</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WHICH MAY INCLUDE AREAS OUTSIDE THE</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UROPEAN</w:t>
      </w:r>
      <w:r>
        <w:rPr>
          <w:rFonts w:ascii="Arial" w:cs="Arial" w:eastAsia="Arial" w:hAnsi="Arial"/>
          <w:sz w:val="18"/>
          <w:szCs w:val="18"/>
          <w:b w:val="1"/>
          <w:bCs w:val="1"/>
          <w:color w:val="auto"/>
        </w:rPr>
        <w:t xml:space="preserve"> E</w:t>
      </w:r>
      <w:r>
        <w:rPr>
          <w:rFonts w:ascii="Arial" w:cs="Arial" w:eastAsia="Arial" w:hAnsi="Arial"/>
          <w:sz w:val="14"/>
          <w:szCs w:val="14"/>
          <w:b w:val="1"/>
          <w:bCs w:val="1"/>
          <w:color w:val="auto"/>
        </w:rPr>
        <w:t>CONOMIC AREA AND THAT THE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RECIPIENT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S COUNTRY MAY HAVE DIFFERENT DATA PRIVACY LAWS AND PROTECTIONS THAN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S COUNTRY</w:t>
      </w:r>
      <w:r>
        <w:rPr>
          <w:rFonts w:ascii="Arial" w:cs="Arial" w:eastAsia="Arial" w:hAnsi="Arial"/>
          <w:sz w:val="17"/>
          <w:szCs w:val="17"/>
          <w:b w:val="1"/>
          <w:bCs w:val="1"/>
          <w:color w:val="auto"/>
        </w:rPr>
        <w:t>. T</w:t>
      </w:r>
      <w:r>
        <w:rPr>
          <w:rFonts w:ascii="Arial" w:cs="Arial" w:eastAsia="Arial" w:hAnsi="Arial"/>
          <w:sz w:val="15"/>
          <w:szCs w:val="15"/>
          <w:b w:val="1"/>
          <w:bCs w:val="1"/>
          <w:color w:val="auto"/>
        </w:rPr>
        <w: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 UNDERSTANDS THAT HE OR SHE MAY REQUEST A LIST WITH THE NAMES AND ADDRESSES OF ANY POTENTIAL RECIPIENTS OF</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THE </w:t>
      </w:r>
      <w:r>
        <w:rPr>
          <w:rFonts w:ascii="Arial" w:cs="Arial" w:eastAsia="Arial" w:hAnsi="Arial"/>
          <w:sz w:val="17"/>
          <w:szCs w:val="17"/>
          <w:b w:val="1"/>
          <w:bCs w:val="1"/>
          <w:color w:val="auto"/>
        </w:rPr>
        <w:t>D</w:t>
      </w:r>
      <w:r>
        <w:rPr>
          <w:rFonts w:ascii="Arial" w:cs="Arial" w:eastAsia="Arial" w:hAnsi="Arial"/>
          <w:sz w:val="15"/>
          <w:szCs w:val="15"/>
          <w:b w:val="1"/>
          <w:bCs w:val="1"/>
          <w:color w:val="auto"/>
        </w:rPr>
        <w:t xml:space="preserve">ATA BY CONTACTING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 AUTHORIZES THE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RECIPIENTS TO RECEIVE</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POSSESS</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USE</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RETAIN AND TRANSFER THE </w:t>
      </w:r>
      <w:r>
        <w:rPr>
          <w:rFonts w:ascii="Arial" w:cs="Arial" w:eastAsia="Arial" w:hAnsi="Arial"/>
          <w:sz w:val="17"/>
          <w:szCs w:val="17"/>
          <w:b w:val="1"/>
          <w:bCs w:val="1"/>
          <w:color w:val="auto"/>
        </w:rPr>
        <w:t>D</w:t>
      </w:r>
      <w:r>
        <w:rPr>
          <w:rFonts w:ascii="Arial" w:cs="Arial" w:eastAsia="Arial" w:hAnsi="Arial"/>
          <w:sz w:val="15"/>
          <w:szCs w:val="15"/>
          <w:b w:val="1"/>
          <w:bCs w:val="1"/>
          <w:color w:val="auto"/>
        </w:rPr>
        <w:t>ATA</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IN ELECTRONIC OR OTHER FORM</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FOR THE PURPOSES OF</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IMPLEMENTING</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LAN</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INCLUDING ANY REQUISITE TRANSFER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OF SUCH </w:t>
      </w:r>
      <w:r>
        <w:rPr>
          <w:rFonts w:ascii="Arial" w:cs="Arial" w:eastAsia="Arial" w:hAnsi="Arial"/>
          <w:sz w:val="17"/>
          <w:szCs w:val="17"/>
          <w:b w:val="1"/>
          <w:bCs w:val="1"/>
          <w:color w:val="auto"/>
        </w:rPr>
        <w:t>D</w:t>
      </w:r>
      <w:r>
        <w:rPr>
          <w:rFonts w:ascii="Arial" w:cs="Arial" w:eastAsia="Arial" w:hAnsi="Arial"/>
          <w:sz w:val="15"/>
          <w:szCs w:val="15"/>
          <w:b w:val="1"/>
          <w:bCs w:val="1"/>
          <w:color w:val="auto"/>
        </w:rPr>
        <w:t xml:space="preserve">ATA AS MAY BE REQUIRED TO A BROKER OR OTHER THIRD PARTY WITH WHOM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 MAY ELECT TO DEPOSIT ANY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SHARES ACQUIRED UPON SETTLEMENT OF THE </w:t>
      </w:r>
      <w:r>
        <w:rPr>
          <w:rFonts w:ascii="Arial" w:cs="Arial" w:eastAsia="Arial" w:hAnsi="Arial"/>
          <w:sz w:val="17"/>
          <w:szCs w:val="17"/>
          <w:b w:val="1"/>
          <w:bCs w:val="1"/>
          <w:color w:val="auto"/>
        </w:rPr>
        <w:t>A</w:t>
      </w:r>
      <w:r>
        <w:rPr>
          <w:rFonts w:ascii="Arial" w:cs="Arial" w:eastAsia="Arial" w:hAnsi="Arial"/>
          <w:sz w:val="15"/>
          <w:szCs w:val="15"/>
          <w:b w:val="1"/>
          <w:bCs w:val="1"/>
          <w:color w:val="auto"/>
        </w:rPr>
        <w:t>WARD</w:t>
      </w:r>
      <w:r>
        <w:rPr>
          <w:rFonts w:ascii="Arial" w:cs="Arial" w:eastAsia="Arial" w:hAnsi="Arial"/>
          <w:sz w:val="17"/>
          <w:szCs w:val="17"/>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5"/>
          <w:szCs w:val="15"/>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5"/>
          <w:szCs w:val="15"/>
          <w:b w:val="1"/>
          <w:bCs w:val="1"/>
          <w:color w:val="auto"/>
        </w:rPr>
        <w:t>ATA WILL BE HELD ONLY AS LONG AS IS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NECESSARY TO IMPLEMENT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ADMINISTER AND MANAGE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LAN</w:t>
      </w:r>
      <w:r>
        <w:rPr>
          <w:rFonts w:ascii="Arial" w:cs="Arial" w:eastAsia="Arial" w:hAnsi="Arial"/>
          <w:sz w:val="17"/>
          <w:szCs w:val="17"/>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 UNDERSTANDS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THAT HE OR SHE MAY</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AT ANY TIME</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VIEW </w:t>
      </w:r>
      <w:r>
        <w:rPr>
          <w:rFonts w:ascii="Arial" w:cs="Arial" w:eastAsia="Arial" w:hAnsi="Arial"/>
          <w:sz w:val="17"/>
          <w:szCs w:val="17"/>
          <w:b w:val="1"/>
          <w:bCs w:val="1"/>
          <w:color w:val="auto"/>
        </w:rPr>
        <w:t>D</w:t>
      </w:r>
      <w:r>
        <w:rPr>
          <w:rFonts w:ascii="Arial" w:cs="Arial" w:eastAsia="Arial" w:hAnsi="Arial"/>
          <w:sz w:val="15"/>
          <w:szCs w:val="15"/>
          <w:b w:val="1"/>
          <w:bCs w:val="1"/>
          <w:color w:val="auto"/>
        </w:rPr>
        <w:t>ATA</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REQUEST ADDITIONAL INFORMATION ABOUT THE STORAGE AND PROCESSING OF </w:t>
      </w:r>
      <w:r>
        <w:rPr>
          <w:rFonts w:ascii="Arial" w:cs="Arial" w:eastAsia="Arial" w:hAnsi="Arial"/>
          <w:sz w:val="17"/>
          <w:szCs w:val="17"/>
          <w:b w:val="1"/>
          <w:bCs w:val="1"/>
          <w:color w:val="auto"/>
        </w:rPr>
        <w:t>D</w:t>
      </w:r>
      <w:r>
        <w:rPr>
          <w:rFonts w:ascii="Arial" w:cs="Arial" w:eastAsia="Arial" w:hAnsi="Arial"/>
          <w:sz w:val="15"/>
          <w:szCs w:val="15"/>
          <w:b w:val="1"/>
          <w:bCs w:val="1"/>
          <w:color w:val="auto"/>
        </w:rPr>
        <w:t>ATA</w:t>
      </w:r>
      <w:r>
        <w:rPr>
          <w:rFonts w:ascii="Arial" w:cs="Arial" w:eastAsia="Arial" w:hAnsi="Arial"/>
          <w:sz w:val="17"/>
          <w:szCs w:val="17"/>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REQUIRE ANY NECESSARY AMENDMENTS TO </w:t>
      </w:r>
      <w:r>
        <w:rPr>
          <w:rFonts w:ascii="Arial" w:cs="Arial" w:eastAsia="Arial" w:hAnsi="Arial"/>
          <w:sz w:val="17"/>
          <w:szCs w:val="17"/>
          <w:b w:val="1"/>
          <w:bCs w:val="1"/>
          <w:color w:val="auto"/>
        </w:rPr>
        <w:t>D</w:t>
      </w:r>
      <w:r>
        <w:rPr>
          <w:rFonts w:ascii="Arial" w:cs="Arial" w:eastAsia="Arial" w:hAnsi="Arial"/>
          <w:sz w:val="15"/>
          <w:szCs w:val="15"/>
          <w:b w:val="1"/>
          <w:bCs w:val="1"/>
          <w:color w:val="auto"/>
        </w:rPr>
        <w:t>ATA OR REFUSE OR WITHDRAW THE CONSENTS HEREIN</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IN ANY CASE WITHOUT COST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BY</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CONTACTING IN WRITING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5"/>
          <w:szCs w:val="15"/>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 UNDERSTANDS</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 HOWEVER</w:t>
      </w:r>
      <w:r>
        <w:rPr>
          <w:rFonts w:ascii="Arial" w:cs="Arial" w:eastAsia="Arial" w:hAnsi="Arial"/>
          <w:sz w:val="17"/>
          <w:szCs w:val="17"/>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THAT REFUSING OR WITHDRAWING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S CONSENT MAY AFFECT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ARTICIPANT</w:t>
      </w:r>
      <w:r>
        <w:rPr>
          <w:rFonts w:ascii="Arial" w:cs="Arial" w:eastAsia="Arial" w:hAnsi="Arial"/>
          <w:sz w:val="17"/>
          <w:szCs w:val="17"/>
          <w:b w:val="1"/>
          <w:bCs w:val="1"/>
          <w:color w:val="auto"/>
        </w:rPr>
        <w:t>’</w:t>
      </w:r>
      <w:r>
        <w:rPr>
          <w:rFonts w:ascii="Arial" w:cs="Arial" w:eastAsia="Arial" w:hAnsi="Arial"/>
          <w:sz w:val="15"/>
          <w:szCs w:val="15"/>
          <w:b w:val="1"/>
          <w:bCs w:val="1"/>
          <w:color w:val="auto"/>
        </w:rPr>
        <w:t xml:space="preserve">S ABILITY TO PARTICIPATE IN THE </w:t>
      </w:r>
      <w:r>
        <w:rPr>
          <w:rFonts w:ascii="Arial" w:cs="Arial" w:eastAsia="Arial" w:hAnsi="Arial"/>
          <w:sz w:val="17"/>
          <w:szCs w:val="17"/>
          <w:b w:val="1"/>
          <w:bCs w:val="1"/>
          <w:color w:val="auto"/>
        </w:rPr>
        <w:t>P</w:t>
      </w:r>
      <w:r>
        <w:rPr>
          <w:rFonts w:ascii="Arial" w:cs="Arial" w:eastAsia="Arial" w:hAnsi="Arial"/>
          <w:sz w:val="15"/>
          <w:szCs w:val="15"/>
          <w:b w:val="1"/>
          <w:bCs w:val="1"/>
          <w:color w:val="auto"/>
        </w:rPr>
        <w:t>LAN</w:t>
      </w:r>
      <w:r>
        <w:rPr>
          <w:rFonts w:ascii="Arial" w:cs="Arial" w:eastAsia="Arial" w:hAnsi="Arial"/>
          <w:sz w:val="17"/>
          <w:szCs w:val="17"/>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4"/>
          <w:szCs w:val="14"/>
          <w:b w:val="1"/>
          <w:bCs w:val="1"/>
          <w:color w:val="auto"/>
        </w:rPr>
        <w:t>OR MORE INFORMATION ON THE CONSEQUENCES OF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8"/>
          <w:szCs w:val="18"/>
          <w:b w:val="1"/>
          <w:bCs w:val="1"/>
          <w:color w:val="auto"/>
        </w:rPr>
        <w:t>’</w:t>
      </w:r>
      <w:r>
        <w:rPr>
          <w:rFonts w:ascii="Arial" w:cs="Arial" w:eastAsia="Arial" w:hAnsi="Arial"/>
          <w:sz w:val="14"/>
          <w:szCs w:val="14"/>
          <w:b w:val="1"/>
          <w:bCs w:val="1"/>
          <w:color w:val="auto"/>
        </w:rPr>
        <w:t>S REFUSAL TO CONSENT OR WITHDRAWAL OF CONSENT</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ARTICIPANT UNDERSTANDS THAT HE OR SHE MAY CONTACT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8"/>
          <w:szCs w:val="18"/>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8"/>
          <w:szCs w:val="18"/>
          <w:b w:val="1"/>
          <w:bCs w:val="1"/>
          <w:color w:val="auto"/>
        </w:rPr>
        <w:t>.</w:t>
      </w:r>
    </w:p>
    <w:p>
      <w:pPr>
        <w:spacing w:after="0" w:line="198" w:lineRule="exact"/>
        <w:rPr>
          <w:sz w:val="20"/>
          <w:szCs w:val="20"/>
          <w:color w:val="auto"/>
        </w:rPr>
      </w:pPr>
    </w:p>
    <w:p>
      <w:pPr>
        <w:ind w:left="800" w:hanging="364"/>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35" w:name="page36"/>
    <w:bookmarkEnd w:id="35"/>
    <w:p>
      <w:pPr>
        <w:ind w:left="800" w:hanging="36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80"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No Monetary Payment Required.</w:t>
      </w:r>
      <w:r>
        <w:rPr>
          <w:rFonts w:ascii="Arial" w:cs="Arial" w:eastAsia="Arial" w:hAnsi="Arial"/>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68"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Dividend Equivalent Units.</w:t>
      </w:r>
      <w:r>
        <w:rPr>
          <w:rFonts w:ascii="Arial" w:cs="Arial" w:eastAsia="Arial" w:hAnsi="Arial"/>
          <w:sz w:val="17"/>
          <w:szCs w:val="17"/>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172" w:lineRule="exact"/>
        <w:rPr>
          <w:sz w:val="20"/>
          <w:szCs w:val="20"/>
          <w:color w:val="auto"/>
        </w:rPr>
      </w:pPr>
    </w:p>
    <w:p>
      <w:pPr>
        <w:ind w:left="800" w:hanging="364"/>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120" w:lineRule="exact"/>
        <w:rPr>
          <w:sz w:val="20"/>
          <w:szCs w:val="20"/>
          <w:color w:val="auto"/>
        </w:rPr>
      </w:pPr>
    </w:p>
    <w:p>
      <w:pPr>
        <w:ind w:left="800" w:hanging="364"/>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36" w:name="page37"/>
    <w:bookmarkEnd w:id="36"/>
    <w:p>
      <w:pPr>
        <w:ind w:left="800" w:hanging="364"/>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below, as soon as reasonably practicable following the date upon which Units satisfy the vesting conditions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calendar year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w:t>
      </w:r>
    </w:p>
    <w:p>
      <w:pPr>
        <w:spacing w:after="0" w:line="187"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Fractional Shares.</w:t>
      </w:r>
      <w:r>
        <w:rPr>
          <w:rFonts w:ascii="Arial" w:cs="Arial" w:eastAsia="Arial" w:hAnsi="Arial"/>
          <w:sz w:val="18"/>
          <w:szCs w:val="18"/>
          <w:color w:val="auto"/>
        </w:rPr>
        <w:t xml:space="preserve"> The Company shall not be required to issue fractional shares upon the settlement of the Award.</w:t>
      </w:r>
    </w:p>
    <w:p>
      <w:pPr>
        <w:spacing w:after="0" w:line="225" w:lineRule="exact"/>
        <w:rPr>
          <w:sz w:val="20"/>
          <w:szCs w:val="20"/>
          <w:color w:val="auto"/>
        </w:rPr>
      </w:pPr>
    </w:p>
    <w:p>
      <w:pPr>
        <w:ind w:left="800" w:hanging="364"/>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Regardless of any action the Company or the Participant’s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income tax, social insurance, payroll tax, payment on account or other tax-related withholding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the Participant acknowledges and agrees that the ultimate liability for all Tax-Related Items legally due by the Participant is and remains the Participant’s responsibility and that the Company and or the Employer (i) make no 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37" w:name="page38"/>
    <w:bookmarkEnd w:id="37"/>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Participant shall satisfy Tax-Related Items by having the Company or the Employer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Employer in cash any amount of Tax-Related Items that the Company or the Employer may be required to withhold as a result of the Participant’s participation in the Plan or the Participant’s receipt of Units (including, without limitation, by the Employer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 Further, if the Participant is subject 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7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166" w:lineRule="exact"/>
        <w:rPr>
          <w:sz w:val="20"/>
          <w:szCs w:val="20"/>
          <w:color w:val="auto"/>
        </w:rPr>
      </w:pPr>
    </w:p>
    <w:p>
      <w:pPr>
        <w:ind w:left="800" w:hanging="364"/>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ONTROL</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the event of a Change in Control during the Performance Period, subject to the Participant’s continued Service on the date that such Change in Control is consummated, the Target Award (and any Dividend Equivalent Units associated therewith) will vest and the date that the Change in Control is consummated will be treated as the Settlement Date for purposes of Section 7 hereof. No Restricted Stock Units in excess of the Target Award shall vest pursuant to this Agreement and all Restricted Stock Units in excess of the Target Award shall immediately be forfeited and cancelled, and the Participant shall not be entitled to any compensation or other amount with respect thereto.</w:t>
      </w:r>
    </w:p>
    <w:p>
      <w:pPr>
        <w:spacing w:after="0" w:line="172" w:lineRule="exact"/>
        <w:rPr>
          <w:sz w:val="20"/>
          <w:szCs w:val="20"/>
          <w:color w:val="auto"/>
        </w:rPr>
      </w:pPr>
    </w:p>
    <w:p>
      <w:pPr>
        <w:ind w:left="840" w:hanging="404"/>
        <w:spacing w:after="0"/>
        <w:tabs>
          <w:tab w:leader="none" w:pos="840" w:val="left"/>
        </w:tabs>
        <w:numPr>
          <w:ilvl w:val="0"/>
          <w:numId w:val="53"/>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TRUCTURE</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5" w:lineRule="auto"/>
        <w:rPr>
          <w:sz w:val="20"/>
          <w:szCs w:val="20"/>
          <w:color w:val="auto"/>
        </w:rPr>
      </w:pPr>
      <w:r>
        <w:rPr>
          <w:rFonts w:ascii="Arial" w:cs="Arial" w:eastAsia="Arial" w:hAnsi="Arial"/>
          <w:sz w:val="18"/>
          <w:szCs w:val="18"/>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8" w:name="page39"/>
    <w:bookmarkEnd w:id="38"/>
    <w:p>
      <w:pPr>
        <w:ind w:right="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62" w:lineRule="exact"/>
        <w:rPr>
          <w:sz w:val="20"/>
          <w:szCs w:val="20"/>
          <w:color w:val="auto"/>
        </w:rPr>
      </w:pPr>
    </w:p>
    <w:p>
      <w:pPr>
        <w:ind w:left="840" w:hanging="404"/>
        <w:spacing w:after="0"/>
        <w:tabs>
          <w:tab w:leader="none" w:pos="840"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4"/>
          <w:szCs w:val="14"/>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ONSULTANT</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88" w:lineRule="exact"/>
        <w:rPr>
          <w:sz w:val="20"/>
          <w:szCs w:val="20"/>
          <w:color w:val="auto"/>
        </w:rPr>
      </w:pPr>
    </w:p>
    <w:p>
      <w:pPr>
        <w:ind w:left="840" w:hanging="404"/>
        <w:spacing w:after="0"/>
        <w:tabs>
          <w:tab w:leader="none" w:pos="84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EGENDS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83" w:lineRule="exact"/>
        <w:rPr>
          <w:sz w:val="20"/>
          <w:szCs w:val="20"/>
          <w:color w:val="auto"/>
        </w:rPr>
      </w:pPr>
    </w:p>
    <w:p>
      <w:pPr>
        <w:ind w:left="840" w:hanging="404"/>
        <w:spacing w:after="0"/>
        <w:tabs>
          <w:tab w:leader="none" w:pos="84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180" w:firstLine="991"/>
        <w:spacing w:after="0" w:line="30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Termination or Amendment.</w:t>
      </w:r>
      <w:r>
        <w:rPr>
          <w:rFonts w:ascii="Arial" w:cs="Arial" w:eastAsia="Arial" w:hAnsi="Arial"/>
          <w:sz w:val="16"/>
          <w:szCs w:val="16"/>
          <w:color w:val="auto"/>
        </w:rPr>
        <w:t xml:space="preserve"> The Committee may terminate or amend the Plan or this Agreement at any time; provided, however, that except as set forth in Section 9 in connection with a Change in Control or Section 10,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9" w:name="page40"/>
    <w:bookmarkEnd w:id="39"/>
    <w:p>
      <w:pPr>
        <w:ind w:right="120" w:firstLine="991"/>
        <w:spacing w:after="0" w:line="25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3" w:lineRule="exact"/>
        <w:rPr>
          <w:sz w:val="20"/>
          <w:szCs w:val="20"/>
          <w:color w:val="auto"/>
        </w:rPr>
      </w:pPr>
    </w:p>
    <w:p>
      <w:pPr>
        <w:ind w:right="60" w:firstLine="99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340" w:firstLine="991"/>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6" w:lineRule="exact"/>
        <w:rPr>
          <w:sz w:val="20"/>
          <w:szCs w:val="20"/>
          <w:color w:val="auto"/>
        </w:rPr>
      </w:pPr>
    </w:p>
    <w:p>
      <w:pPr>
        <w:ind w:right="80" w:firstLine="99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77" w:lineRule="exact"/>
        <w:rPr>
          <w:sz w:val="20"/>
          <w:szCs w:val="20"/>
          <w:color w:val="auto"/>
        </w:rPr>
      </w:pPr>
    </w:p>
    <w:p>
      <w:pPr>
        <w:ind w:firstLine="1428"/>
        <w:spacing w:after="0" w:line="273" w:lineRule="auto"/>
        <w:tabs>
          <w:tab w:leader="none" w:pos="1812" w:val="left"/>
        </w:tabs>
        <w:numPr>
          <w:ilvl w:val="0"/>
          <w:numId w:val="5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7" w:lineRule="exact"/>
        <w:rPr>
          <w:rFonts w:ascii="Arial" w:cs="Arial" w:eastAsia="Arial" w:hAnsi="Arial"/>
          <w:sz w:val="17"/>
          <w:szCs w:val="17"/>
          <w:color w:val="auto"/>
        </w:rPr>
      </w:pPr>
    </w:p>
    <w:p>
      <w:pPr>
        <w:ind w:right="120" w:firstLine="1428"/>
        <w:spacing w:after="0" w:line="301" w:lineRule="auto"/>
        <w:tabs>
          <w:tab w:leader="none" w:pos="1822" w:val="left"/>
        </w:tabs>
        <w:numPr>
          <w:ilvl w:val="0"/>
          <w:numId w:val="5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13.5(a)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40" w:name="page41"/>
    <w:bookmarkEnd w:id="40"/>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91" w:lineRule="exact"/>
        <w:rPr>
          <w:sz w:val="20"/>
          <w:szCs w:val="20"/>
          <w:color w:val="auto"/>
        </w:rPr>
      </w:pPr>
    </w:p>
    <w:p>
      <w:pPr>
        <w:ind w:right="40" w:firstLine="1432"/>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3" w:lineRule="exact"/>
        <w:rPr>
          <w:sz w:val="20"/>
          <w:szCs w:val="20"/>
          <w:color w:val="auto"/>
        </w:rPr>
      </w:pPr>
    </w:p>
    <w:p>
      <w:pPr>
        <w:ind w:firstLine="1432"/>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87" w:lineRule="exact"/>
        <w:rPr>
          <w:sz w:val="20"/>
          <w:szCs w:val="20"/>
          <w:color w:val="auto"/>
        </w:rPr>
      </w:pPr>
    </w:p>
    <w:p>
      <w:pPr>
        <w:ind w:firstLine="1432"/>
        <w:spacing w:after="0" w:line="303" w:lineRule="auto"/>
        <w:rPr>
          <w:sz w:val="20"/>
          <w:szCs w:val="20"/>
          <w:color w:val="auto"/>
        </w:rPr>
      </w:pPr>
      <w:r>
        <w:rPr>
          <w:rFonts w:ascii="Arial" w:cs="Arial" w:eastAsia="Arial" w:hAnsi="Arial"/>
          <w:sz w:val="16"/>
          <w:szCs w:val="16"/>
          <w:color w:val="auto"/>
        </w:rPr>
        <w:t xml:space="preserve">13.8 </w:t>
      </w:r>
      <w:r>
        <w:rPr>
          <w:rFonts w:ascii="Arial" w:cs="Arial" w:eastAsia="Arial" w:hAnsi="Arial"/>
          <w:sz w:val="16"/>
          <w:szCs w:val="16"/>
          <w:b w:val="1"/>
          <w:bCs w:val="1"/>
          <w:color w:val="auto"/>
        </w:rPr>
        <w:t>Applicable Law.</w:t>
      </w:r>
      <w:r>
        <w:rPr>
          <w:rFonts w:ascii="Arial" w:cs="Arial" w:eastAsia="Arial" w:hAnsi="Arial"/>
          <w:sz w:val="16"/>
          <w:szCs w:val="16"/>
          <w:color w:val="auto"/>
        </w:rPr>
        <w:t xml:space="preserve"> 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51" w:lineRule="exact"/>
        <w:rPr>
          <w:sz w:val="20"/>
          <w:szCs w:val="20"/>
          <w:color w:val="auto"/>
        </w:rPr>
      </w:pPr>
    </w:p>
    <w:p>
      <w:pPr>
        <w:ind w:right="100" w:firstLine="1432"/>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62" w:lineRule="exact"/>
        <w:rPr>
          <w:sz w:val="20"/>
          <w:szCs w:val="20"/>
          <w:color w:val="auto"/>
        </w:rPr>
      </w:pPr>
    </w:p>
    <w:p>
      <w:pPr>
        <w:ind w:right="100" w:firstLine="1432"/>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The Award will be subject to recoupment in accordance with the clawback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June 2020.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6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 and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notifications.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42" w:name="page43"/>
    <w:bookmarkEnd w:id="4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UNITED STATES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25" w:lineRule="exact"/>
        <w:rPr>
          <w:sz w:val="20"/>
          <w:szCs w:val="20"/>
          <w:color w:val="auto"/>
        </w:rPr>
      </w:pPr>
    </w:p>
    <w:p>
      <w:pPr>
        <w:ind w:left="404" w:hanging="404"/>
        <w:spacing w:after="0"/>
        <w:tabs>
          <w:tab w:leader="none" w:pos="404"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13.11:</w:t>
      </w:r>
    </w:p>
    <w:p>
      <w:pPr>
        <w:spacing w:after="0" w:line="221" w:lineRule="exact"/>
        <w:rPr>
          <w:sz w:val="20"/>
          <w:szCs w:val="20"/>
          <w:color w:val="auto"/>
        </w:rPr>
      </w:pPr>
    </w:p>
    <w:p>
      <w:pPr>
        <w:ind w:left="44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 are no country-specific notifications.</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0" w:right="49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99.5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PERFORMANCE-BASED RESTRICTED STOCK UNITS AGREEMENT</w:t>
      </w:r>
    </w:p>
    <w:p>
      <w:pPr>
        <w:spacing w:after="0" w:line="211" w:lineRule="exact"/>
        <w:rPr>
          <w:sz w:val="20"/>
          <w:szCs w:val="20"/>
          <w:color w:val="auto"/>
        </w:rPr>
      </w:pPr>
    </w:p>
    <w:p>
      <w:pPr>
        <w:ind w:right="60" w:firstLine="440"/>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the Participant named in the Notice of Grant of Performance-Based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Performance-Based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Award has been granted pursuant to and shall in all respects be subject to the terms conditions of the MagnaChip Semiconductor Corporation 2020 Equity and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73" w:lineRule="exact"/>
        <w:rPr>
          <w:sz w:val="20"/>
          <w:szCs w:val="20"/>
          <w:color w:val="auto"/>
        </w:rPr>
      </w:pPr>
    </w:p>
    <w:p>
      <w:pPr>
        <w:ind w:left="760" w:hanging="324"/>
        <w:spacing w:after="0"/>
        <w:tabs>
          <w:tab w:leader="none" w:pos="760" w:val="left"/>
        </w:tabs>
        <w:numPr>
          <w:ilvl w:val="0"/>
          <w:numId w:val="59"/>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Unless otherwise defined herein, capitalized terms shall have the meanings assigned to such terms in the Grant Notice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1800" w:hanging="372"/>
        <w:spacing w:after="0"/>
        <w:tabs>
          <w:tab w:leader="none" w:pos="1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Units</w:t>
      </w:r>
      <w:r>
        <w:rPr>
          <w:rFonts w:ascii="Arial" w:cs="Arial" w:eastAsia="Arial" w:hAnsi="Arial"/>
          <w:sz w:val="18"/>
          <w:szCs w:val="18"/>
          <w:color w:val="auto"/>
        </w:rPr>
        <w:t>” mean additional Restricted Stock Units credited pursuant to Section 4.3.</w:t>
      </w:r>
    </w:p>
    <w:p>
      <w:pPr>
        <w:spacing w:after="0" w:line="225" w:lineRule="exact"/>
        <w:rPr>
          <w:rFonts w:ascii="Arial" w:cs="Arial" w:eastAsia="Arial" w:hAnsi="Arial"/>
          <w:sz w:val="18"/>
          <w:szCs w:val="18"/>
          <w:color w:val="auto"/>
        </w:rPr>
      </w:pPr>
    </w:p>
    <w:p>
      <w:pPr>
        <w:ind w:right="140" w:firstLine="1428"/>
        <w:spacing w:after="0" w:line="277" w:lineRule="auto"/>
        <w:tabs>
          <w:tab w:leader="none" w:pos="1822" w:val="left"/>
        </w:tabs>
        <w:numPr>
          <w:ilvl w:val="0"/>
          <w:numId w:val="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mean the Restricted Stock Units originally granted pursuant to the Award and the Dividend Equivalent Units credited pursuant to the Award, as both shall be adjusted from time to time pursuant to Section 10.</w:t>
      </w:r>
    </w:p>
    <w:p>
      <w:pPr>
        <w:spacing w:after="0" w:line="166"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ind w:left="760" w:hanging="324"/>
        <w:spacing w:after="0"/>
        <w:tabs>
          <w:tab w:leader="none" w:pos="760" w:val="left"/>
        </w:tabs>
        <w:numPr>
          <w:ilvl w:val="0"/>
          <w:numId w:val="61"/>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44" w:name="page45"/>
    <w:bookmarkEnd w:id="44"/>
    <w:p>
      <w:pPr>
        <w:ind w:left="98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color w:val="auto"/>
        </w:rPr>
        <w:t xml:space="preserve">Employment Conditions. </w:t>
      </w:r>
      <w:r>
        <w:rPr>
          <w:rFonts w:ascii="Arial" w:cs="Arial" w:eastAsia="Arial" w:hAnsi="Arial"/>
          <w:sz w:val="16"/>
          <w:szCs w:val="16"/>
          <w:color w:val="auto"/>
        </w:rPr>
        <w:t>By accepting the Award, the Participant acknowledges and agrees that:</w:t>
      </w:r>
    </w:p>
    <w:p>
      <w:pPr>
        <w:spacing w:after="0" w:line="229" w:lineRule="exact"/>
        <w:rPr>
          <w:sz w:val="20"/>
          <w:szCs w:val="20"/>
          <w:color w:val="auto"/>
        </w:rPr>
      </w:pPr>
    </w:p>
    <w:p>
      <w:pPr>
        <w:ind w:right="120" w:firstLine="1428"/>
        <w:spacing w:after="0" w:line="257" w:lineRule="auto"/>
        <w:tabs>
          <w:tab w:leader="none" w:pos="1802"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87" w:lineRule="exact"/>
        <w:rPr>
          <w:rFonts w:ascii="Arial" w:cs="Arial" w:eastAsia="Arial" w:hAnsi="Arial"/>
          <w:sz w:val="18"/>
          <w:szCs w:val="18"/>
          <w:color w:val="auto"/>
        </w:rPr>
      </w:pPr>
    </w:p>
    <w:p>
      <w:pPr>
        <w:ind w:firstLine="1428"/>
        <w:spacing w:after="0" w:line="286" w:lineRule="auto"/>
        <w:tabs>
          <w:tab w:leader="none" w:pos="1822" w:val="left"/>
        </w:tabs>
        <w:numPr>
          <w:ilvl w:val="0"/>
          <w:numId w:val="62"/>
        </w:numPr>
        <w:rPr>
          <w:rFonts w:ascii="Arial" w:cs="Arial" w:eastAsia="Arial" w:hAnsi="Arial"/>
          <w:sz w:val="16"/>
          <w:szCs w:val="16"/>
          <w:color w:val="auto"/>
        </w:rPr>
      </w:pPr>
      <w:r>
        <w:rPr>
          <w:rFonts w:ascii="Arial" w:cs="Arial" w:eastAsia="Arial" w:hAnsi="Arial"/>
          <w:sz w:val="16"/>
          <w:szCs w:val="16"/>
          <w:color w:val="auto"/>
        </w:rPr>
        <w:t>Notwithstanding anything to the contrary in the Grant Notice, if the Participant is terminated without Cause or resigns for Good Reason, in each case not in connection with a CIC Qualified Termination (each as defined in the Participant’s employment agreement with the Company) prior to the settlement of the Award, the Participant will remain eligible to vest (determined in accordance with the terms set forth in the Grant Notice) in a pro rata portion of the Restricted Stock Units on the Certification Date following the end of the Performance Period based on actual Company performance, with such pro rata portion determined by multiplying the total number of Restricted Stock Units remaining outstanding and unvested immediately prior to such termination, by a fraction, the numerator of which is the number of full months that the Participant provided continuous Service during the Performance Period, and the denominator of which is the number of full months in the full Performance Period. All Restricted Stock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Restricted Stock Units remaining outstanding and unvested immediately prior to the Change in Control (after application of the foregoing provisions of this Section 2.2(b)) shall vest and become nonforfeitable at the target level of achievement (determined in accordance with the Grant Notice) immediately upon the occurrence of the Change in Control and the date that the Change in Control is consummated shall be the Settlement Date for purposes of Section 7 hereof.</w:t>
      </w:r>
    </w:p>
    <w:p>
      <w:pPr>
        <w:spacing w:after="0" w:line="173" w:lineRule="exact"/>
        <w:rPr>
          <w:rFonts w:ascii="Arial" w:cs="Arial" w:eastAsia="Arial" w:hAnsi="Arial"/>
          <w:sz w:val="16"/>
          <w:szCs w:val="16"/>
          <w:color w:val="auto"/>
        </w:rPr>
      </w:pPr>
    </w:p>
    <w:p>
      <w:pPr>
        <w:ind w:firstLine="1428"/>
        <w:spacing w:after="0" w:line="259" w:lineRule="auto"/>
        <w:tabs>
          <w:tab w:leader="none" w:pos="1812" w:val="left"/>
        </w:tabs>
        <w:numPr>
          <w:ilvl w:val="0"/>
          <w:numId w:val="62"/>
        </w:numPr>
        <w:rPr>
          <w:rFonts w:ascii="Arial" w:cs="Arial" w:eastAsia="Arial" w:hAnsi="Arial"/>
          <w:sz w:val="18"/>
          <w:szCs w:val="18"/>
          <w:color w:val="auto"/>
        </w:rPr>
      </w:pPr>
      <w:r>
        <w:rPr>
          <w:rFonts w:ascii="Arial" w:cs="Arial" w:eastAsia="Arial" w:hAnsi="Arial"/>
          <w:sz w:val="18"/>
          <w:szCs w:val="18"/>
          <w:color w:val="auto"/>
        </w:rPr>
        <w:t>If the Participant incurs a CIC Qualified Termination, all outstanding and unvested Units (after application of the provisions of Section 9) will fully vest on the date of such termination, and, in the event that the date of such CIC Qualified Termination occurs prior to the occurrence of any Change in Control, the outstanding and unvested Units will vest at the target level of achievement (determined in accordance with the Grant Notice).</w:t>
      </w:r>
    </w:p>
    <w:p>
      <w:pPr>
        <w:spacing w:after="0" w:line="186" w:lineRule="exact"/>
        <w:rPr>
          <w:rFonts w:ascii="Arial" w:cs="Arial" w:eastAsia="Arial" w:hAnsi="Arial"/>
          <w:sz w:val="18"/>
          <w:szCs w:val="18"/>
          <w:color w:val="auto"/>
        </w:rPr>
      </w:pPr>
    </w:p>
    <w:p>
      <w:pPr>
        <w:jc w:val="both"/>
        <w:ind w:right="180" w:firstLine="1428"/>
        <w:spacing w:after="0" w:line="263" w:lineRule="auto"/>
        <w:tabs>
          <w:tab w:leader="none" w:pos="1819"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 (b) or (c). Further, all unvested Units will be forfeited and cancelled and the Participant will not be entitled to any compensation or other amount with respect thereto.</w:t>
      </w:r>
    </w:p>
    <w:p>
      <w:pPr>
        <w:spacing w:after="0" w:line="183" w:lineRule="exact"/>
        <w:rPr>
          <w:rFonts w:ascii="Arial" w:cs="Arial" w:eastAsia="Arial" w:hAnsi="Arial"/>
          <w:sz w:val="18"/>
          <w:szCs w:val="18"/>
          <w:color w:val="auto"/>
        </w:rPr>
      </w:pPr>
    </w:p>
    <w:p>
      <w:pPr>
        <w:ind w:right="180" w:firstLine="1428"/>
        <w:spacing w:after="0" w:line="277" w:lineRule="auto"/>
        <w:tabs>
          <w:tab w:leader="none" w:pos="180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45" w:name="page46"/>
    <w:bookmarkEnd w:id="45"/>
    <w:p>
      <w:pPr>
        <w:ind w:left="-40" w:right="40" w:firstLine="1428"/>
        <w:spacing w:after="0" w:line="277" w:lineRule="auto"/>
        <w:tabs>
          <w:tab w:leader="none" w:pos="1748"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grant of the Award is voluntary and occasional and does not create any contractual or other right to receive future grants of Awards, or benefits in lieu of Awards, even if Awards have been granted repeatedly in the past.</w:t>
      </w:r>
    </w:p>
    <w:p>
      <w:pPr>
        <w:spacing w:after="0" w:line="170" w:lineRule="exact"/>
        <w:rPr>
          <w:rFonts w:ascii="Arial" w:cs="Arial" w:eastAsia="Arial" w:hAnsi="Arial"/>
          <w:sz w:val="18"/>
          <w:szCs w:val="18"/>
          <w:color w:val="auto"/>
        </w:rPr>
      </w:pPr>
    </w:p>
    <w:p>
      <w:pPr>
        <w:ind w:left="1760" w:hanging="372"/>
        <w:spacing w:after="0"/>
        <w:tabs>
          <w:tab w:leader="none" w:pos="17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225" w:lineRule="exact"/>
        <w:rPr>
          <w:rFonts w:ascii="Arial" w:cs="Arial" w:eastAsia="Arial" w:hAnsi="Arial"/>
          <w:sz w:val="18"/>
          <w:szCs w:val="18"/>
          <w:color w:val="auto"/>
        </w:rPr>
      </w:pPr>
    </w:p>
    <w:p>
      <w:pPr>
        <w:ind w:left="-40" w:firstLine="1428"/>
        <w:spacing w:after="0" w:line="263" w:lineRule="auto"/>
        <w:tabs>
          <w:tab w:leader="none" w:pos="177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83" w:lineRule="exact"/>
        <w:rPr>
          <w:rFonts w:ascii="Arial" w:cs="Arial" w:eastAsia="Arial" w:hAnsi="Arial"/>
          <w:sz w:val="18"/>
          <w:szCs w:val="18"/>
          <w:color w:val="auto"/>
        </w:rPr>
      </w:pPr>
    </w:p>
    <w:p>
      <w:pPr>
        <w:ind w:left="1740" w:hanging="352"/>
        <w:spacing w:after="0"/>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25" w:lineRule="exact"/>
        <w:rPr>
          <w:rFonts w:ascii="Arial" w:cs="Arial" w:eastAsia="Arial" w:hAnsi="Arial"/>
          <w:sz w:val="18"/>
          <w:szCs w:val="18"/>
          <w:color w:val="auto"/>
        </w:rPr>
      </w:pPr>
    </w:p>
    <w:p>
      <w:pPr>
        <w:ind w:left="-40" w:right="80" w:firstLine="1428"/>
        <w:spacing w:after="0" w:line="308" w:lineRule="auto"/>
        <w:tabs>
          <w:tab w:leader="none" w:pos="1739"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146" w:lineRule="exact"/>
        <w:rPr>
          <w:rFonts w:ascii="Arial" w:cs="Arial" w:eastAsia="Arial" w:hAnsi="Arial"/>
          <w:sz w:val="17"/>
          <w:szCs w:val="17"/>
          <w:color w:val="auto"/>
        </w:rPr>
      </w:pPr>
    </w:p>
    <w:p>
      <w:pPr>
        <w:ind w:left="-40" w:right="100" w:firstLine="1428"/>
        <w:spacing w:after="0" w:line="263" w:lineRule="auto"/>
        <w:tabs>
          <w:tab w:leader="none" w:pos="177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183" w:lineRule="exact"/>
        <w:rPr>
          <w:rFonts w:ascii="Arial" w:cs="Arial" w:eastAsia="Arial" w:hAnsi="Arial"/>
          <w:sz w:val="18"/>
          <w:szCs w:val="18"/>
          <w:color w:val="auto"/>
        </w:rPr>
      </w:pPr>
    </w:p>
    <w:p>
      <w:pPr>
        <w:ind w:left="-40" w:right="180" w:firstLine="1428"/>
        <w:spacing w:after="0" w:line="263" w:lineRule="auto"/>
        <w:tabs>
          <w:tab w:leader="none" w:pos="1742"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183" w:lineRule="exact"/>
        <w:rPr>
          <w:rFonts w:ascii="Arial" w:cs="Arial" w:eastAsia="Arial" w:hAnsi="Arial"/>
          <w:sz w:val="18"/>
          <w:szCs w:val="18"/>
          <w:color w:val="auto"/>
        </w:rPr>
      </w:pPr>
    </w:p>
    <w:p>
      <w:pPr>
        <w:ind w:left="-40" w:right="120" w:firstLine="1428"/>
        <w:spacing w:after="0" w:line="277" w:lineRule="auto"/>
        <w:tabs>
          <w:tab w:leader="none" w:pos="1829"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jc w:val="both"/>
        <w:ind w:left="-40" w:right="120" w:firstLine="1428"/>
        <w:spacing w:after="0" w:line="296" w:lineRule="auto"/>
        <w:tabs>
          <w:tab w:leader="none" w:pos="1782" w:val="left"/>
        </w:tabs>
        <w:numPr>
          <w:ilvl w:val="0"/>
          <w:numId w:val="63"/>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157"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Data Privacy Consent.</w:t>
      </w:r>
    </w:p>
    <w:p>
      <w:pPr>
        <w:spacing w:after="0" w:line="225" w:lineRule="exact"/>
        <w:rPr>
          <w:sz w:val="20"/>
          <w:szCs w:val="20"/>
          <w:color w:val="auto"/>
        </w:rPr>
      </w:pPr>
    </w:p>
    <w:p>
      <w:pPr>
        <w:ind w:left="-40" w:right="60" w:firstLine="1428"/>
        <w:spacing w:after="0" w:line="275" w:lineRule="auto"/>
        <w:tabs>
          <w:tab w:leader="none" w:pos="1768"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IN 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PERSONAL DATA AS DESCRIBED IN THIS DOCUMENT BY AND AMONG THE MEMBERS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ARTICIPATING </w:t>
      </w:r>
      <w:r>
        <w:rPr>
          <w:rFonts w:ascii="Arial" w:cs="Arial" w:eastAsia="Arial" w:hAnsi="Arial"/>
          <w:sz w:val="17"/>
          <w:szCs w:val="17"/>
          <w:b w:val="1"/>
          <w:bCs w:val="1"/>
          <w:color w:val="auto"/>
        </w:rPr>
        <w:t>C</w:t>
      </w:r>
      <w:r>
        <w:rPr>
          <w:rFonts w:ascii="Arial" w:cs="Arial" w:eastAsia="Arial" w:hAnsi="Arial"/>
          <w:sz w:val="14"/>
          <w:szCs w:val="14"/>
          <w:b w:val="1"/>
          <w:bCs w:val="1"/>
          <w:color w:val="auto"/>
        </w:rPr>
        <w:t xml:space="preserve">OMPANY </w:t>
      </w:r>
      <w:r>
        <w:rPr>
          <w:rFonts w:ascii="Arial" w:cs="Arial" w:eastAsia="Arial" w:hAnsi="Arial"/>
          <w:sz w:val="17"/>
          <w:szCs w:val="17"/>
          <w:b w:val="1"/>
          <w:bCs w:val="1"/>
          <w:color w:val="auto"/>
        </w:rPr>
        <w:t>G</w:t>
      </w:r>
      <w:r>
        <w:rPr>
          <w:rFonts w:ascii="Arial" w:cs="Arial" w:eastAsia="Arial" w:hAnsi="Arial"/>
          <w:sz w:val="14"/>
          <w:szCs w:val="14"/>
          <w:b w:val="1"/>
          <w:bCs w:val="1"/>
          <w:color w:val="auto"/>
        </w:rPr>
        <w:t>ROUP FOR THE EXCLUSIVE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PARTICIPATION IN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46" w:name="page47"/>
    <w:bookmarkEnd w:id="46"/>
    <w:p>
      <w:pPr>
        <w:ind w:firstLine="1428"/>
        <w:spacing w:after="0" w:line="266" w:lineRule="auto"/>
        <w:tabs>
          <w:tab w:leader="none" w:pos="1818" w:val="left"/>
        </w:tabs>
        <w:numPr>
          <w:ilvl w:val="1"/>
          <w:numId w:val="6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 HOLDS CERTAIN PERSONAL</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 xml:space="preserve">INFORMATION ABOUT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BUT NOT LIMITED TO</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NAME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HOME ADDRESS AND TELEPHONE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DATE OF BIRTH</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SOCIAL INSURANCE NUMBER OR OTHER IDENTIFICATION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SALARY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NATIONALITY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JOB TITLE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ANY SHARES OR DIRECTORSHIPS HELD IN THE </w:t>
      </w:r>
      <w:r>
        <w:rPr>
          <w:rFonts w:ascii="Arial" w:cs="Arial" w:eastAsia="Arial" w:hAnsi="Arial"/>
          <w:sz w:val="17"/>
          <w:szCs w:val="17"/>
          <w:b w:val="1"/>
          <w:bCs w:val="1"/>
          <w:color w:val="auto"/>
        </w:rPr>
        <w:t>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DETAILS OF ALL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WARDS OR ANY OTHER ENTITLEMENT TO SHARES AWARDED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CANCELED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EXERCISED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VESTED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UNVESTED OR OUTSTANDING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FAVOR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LAN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MAY BE TRANSFERRED TO ANY THIRD PARTIES ASSISTING IN THE IMPLEMENTATION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ADMINISTRATION AND MANAGEMENT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THESE RECIPIENTS MAY BE LOCATED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 OR ELSEWHERE</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WHICH MAY INCLUDE AREAS OUTSIDE THE</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UROPEAN</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CONOMIC AREA AND THAT THE</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RECIPIENT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COUNTRY MAY HAVE DIFFERENT DATA PRIVACY LAWS AND PROTECTIONS THAN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 THAT HE OR SHE MAY REQUEST A LIST WITH THE NAMES AND ADDRESSES OF ANY POTENTIAL RECIPIENTS OF</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 xml:space="preserve">THE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BY CONTACTING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AUTHORIZES THE RECIPIENTS TO RECEIVE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POSSESS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USE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RETAIN AND TRANSFER THE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PURPOSES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 ANY REQUISITE TRANSFER OF SUCH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AS MAY BE REQUIRED TO A BROKER OR OTHER THIRD PARTY WITH WHOM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MAY ELECT TO DEPOSIT ANY SHARES ACQUIRED UPON SETTLEMENT OF THE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WILL BE HELD ONLY AS LONG AS IS NECESSARY TO IMPLEMENT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 AND MANAGE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 THAT HE OR SHE MAY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AT ANY TIME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VIEW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REQUEST ADDITIONAL INFORMATION ABOUT THE STORAGE AND PROCESSING OF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REQUIRE ANY NECESSARY AMENDMENTS TO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OR REFUSE OR WITHDRAW THE CONSENTS HEREIN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ANY CASE WITHOUT COST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BY CONTACTING IN WRITING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HOWEVER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REFUSING OR WITHDRAWING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CONSENT MAY AFFECT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ABILITY TO PARTICIPATE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rPr>
        <w:t>F</w:t>
      </w:r>
      <w:r>
        <w:rPr>
          <w:rFonts w:ascii="Arial" w:cs="Arial" w:eastAsia="Arial" w:hAnsi="Arial"/>
          <w:sz w:val="14"/>
          <w:szCs w:val="14"/>
          <w:b w:val="1"/>
          <w:bCs w:val="1"/>
          <w:color w:val="auto"/>
        </w:rPr>
        <w:t>OR MORE INFORMATION ON THE CONSEQUENCES OF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REFUSAL TO CONSENT OR WITHDRAWAL OF CONSENT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 UNDERSTANDS THAT HE OR SHE MAY CONTACT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w:t>
      </w: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760" w:hanging="324"/>
        <w:spacing w:after="0"/>
        <w:tabs>
          <w:tab w:leader="none" w:pos="760" w:val="left"/>
        </w:tabs>
        <w:numPr>
          <w:ilvl w:val="0"/>
          <w:numId w:val="6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47" w:name="page48"/>
    <w:bookmarkEnd w:id="47"/>
    <w:p>
      <w:pPr>
        <w:ind w:left="760" w:hanging="324"/>
        <w:spacing w:after="0"/>
        <w:tabs>
          <w:tab w:leader="none" w:pos="760" w:val="left"/>
        </w:tabs>
        <w:numPr>
          <w:ilvl w:val="0"/>
          <w:numId w:val="6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80"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No Monetary Payment Required.</w:t>
      </w:r>
      <w:r>
        <w:rPr>
          <w:rFonts w:ascii="Arial" w:cs="Arial" w:eastAsia="Arial" w:hAnsi="Arial"/>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68"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Dividend Equivalent Units.</w:t>
      </w:r>
      <w:r>
        <w:rPr>
          <w:rFonts w:ascii="Arial" w:cs="Arial" w:eastAsia="Arial" w:hAnsi="Arial"/>
          <w:sz w:val="17"/>
          <w:szCs w:val="17"/>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172" w:lineRule="exact"/>
        <w:rPr>
          <w:sz w:val="20"/>
          <w:szCs w:val="20"/>
          <w:color w:val="auto"/>
        </w:rPr>
      </w:pPr>
    </w:p>
    <w:p>
      <w:pPr>
        <w:ind w:left="760" w:hanging="324"/>
        <w:spacing w:after="0"/>
        <w:tabs>
          <w:tab w:leader="none" w:pos="760" w:val="left"/>
        </w:tabs>
        <w:numPr>
          <w:ilvl w:val="0"/>
          <w:numId w:val="68"/>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120" w:lineRule="exact"/>
        <w:rPr>
          <w:sz w:val="20"/>
          <w:szCs w:val="20"/>
          <w:color w:val="auto"/>
        </w:rPr>
      </w:pPr>
    </w:p>
    <w:p>
      <w:pPr>
        <w:ind w:left="760" w:hanging="324"/>
        <w:spacing w:after="0"/>
        <w:tabs>
          <w:tab w:leader="none" w:pos="760" w:val="left"/>
        </w:tabs>
        <w:numPr>
          <w:ilvl w:val="0"/>
          <w:numId w:val="69"/>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48" w:name="page49"/>
    <w:bookmarkEnd w:id="48"/>
    <w:p>
      <w:pPr>
        <w:ind w:left="760" w:hanging="324"/>
        <w:spacing w:after="0"/>
        <w:tabs>
          <w:tab w:leader="none" w:pos="760" w:val="left"/>
        </w:tabs>
        <w:numPr>
          <w:ilvl w:val="0"/>
          <w:numId w:val="7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w:t>
      </w:r>
      <w:r>
        <w:rPr>
          <w:rFonts w:ascii="Arial" w:cs="Arial" w:eastAsia="Arial" w:hAnsi="Arial"/>
          <w:sz w:val="14"/>
          <w:szCs w:val="14"/>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80" w:firstLine="991"/>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below, as soon as reasonably practicable following the date upon which Units satisfy the vesting conditions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15th of the calendar year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w:t>
      </w:r>
    </w:p>
    <w:p>
      <w:pPr>
        <w:spacing w:after="0" w:line="187"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6"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The Company shall not be required to issue fractional shares upon the settlement of the Award.</w:t>
      </w:r>
    </w:p>
    <w:p>
      <w:pPr>
        <w:spacing w:after="0" w:line="225" w:lineRule="exact"/>
        <w:rPr>
          <w:sz w:val="20"/>
          <w:szCs w:val="20"/>
          <w:color w:val="auto"/>
        </w:rPr>
      </w:pPr>
    </w:p>
    <w:p>
      <w:pPr>
        <w:ind w:left="760" w:hanging="324"/>
        <w:spacing w:after="0"/>
        <w:tabs>
          <w:tab w:leader="none" w:pos="760"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Regardless of any action the Company or the Participant’s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income tax, social insurance, payroll tax, payment on account or other tax-related withholding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the Participant acknowledges and agrees that the ultimate liability for all Tax-Related Items legally due by the Participant is and remains the Participant’s responsibility and that the Company and/or the Employer (i) make no 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49" w:name="page50"/>
    <w:bookmarkEnd w:id="49"/>
    <w:p>
      <w:pPr>
        <w:ind w:firstLine="44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Participant shall satisfy Tax-Related Items by having the Company or the Employer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Employer in cash any amount of Tax-Related Items that the Company or the Employer may be required to withhold as a result of the Participant’s participation in the Plan or the Participant’s receipt of Units (including, without limitation, by the Employer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 Further, if the Participant is subject 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7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166" w:lineRule="exact"/>
        <w:rPr>
          <w:sz w:val="20"/>
          <w:szCs w:val="20"/>
          <w:color w:val="auto"/>
        </w:rPr>
      </w:pPr>
    </w:p>
    <w:p>
      <w:pPr>
        <w:ind w:left="760" w:hanging="324"/>
        <w:spacing w:after="0"/>
        <w:tabs>
          <w:tab w:leader="none" w:pos="760"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ONTROL</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Change in Control</w:t>
      </w:r>
      <w:r>
        <w:rPr>
          <w:rFonts w:ascii="Arial" w:cs="Arial" w:eastAsia="Arial" w:hAnsi="Arial"/>
          <w:sz w:val="18"/>
          <w:szCs w:val="18"/>
          <w:color w:val="auto"/>
        </w:rPr>
        <w:t>. Upon the occurrence of a Change in Control during the Performance Period where a Replacement Award (as defined below) is provided to the Participant at the time of the Change in Control in lieu of the Units, the Units that remain outstanding and unvested as of immediately prior to the Change in Control shall remain outstanding and unvested, but the performance conditions with respect thereto shall be deemed satisfied at the target level of achievement. Upon the occurrence of a Change in Control where a Replacement Award is not provided to the Participant in lieu of the Units, the Units shall immediately vest at the target level of achievement. In either case, all Units in excess of the Target Award shall immediately be forfeited and cancelled, unless otherwise determined by the Committee, and Participant shall not be entitled to any compensation or other amount with respect thereto.</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50" w:name="page51"/>
    <w:bookmarkEnd w:id="50"/>
    <w:p>
      <w:pPr>
        <w:ind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9.2 </w:t>
      </w:r>
      <w:r>
        <w:rPr>
          <w:rFonts w:ascii="Arial" w:cs="Arial" w:eastAsia="Arial" w:hAnsi="Arial"/>
          <w:sz w:val="16"/>
          <w:szCs w:val="16"/>
          <w:b w:val="1"/>
          <w:bCs w:val="1"/>
          <w:color w:val="auto"/>
        </w:rPr>
        <w:t>Replacement Award</w:t>
      </w:r>
      <w:r>
        <w:rPr>
          <w:rFonts w:ascii="Arial" w:cs="Arial" w:eastAsia="Arial" w:hAnsi="Arial"/>
          <w:sz w:val="16"/>
          <w:szCs w:val="16"/>
          <w:color w:val="auto"/>
        </w:rPr>
        <w:t>. A “Replacement Award” is an Award that (i) is the same (i.e., the Award continues) or is of the same type as the Award that is replaced or adjusted by a Replacement Award (the “</w:t>
      </w:r>
      <w:r>
        <w:rPr>
          <w:rFonts w:ascii="Arial" w:cs="Arial" w:eastAsia="Arial" w:hAnsi="Arial"/>
          <w:sz w:val="16"/>
          <w:szCs w:val="16"/>
          <w:b w:val="1"/>
          <w:bCs w:val="1"/>
          <w:i w:val="1"/>
          <w:iCs w:val="1"/>
          <w:color w:val="auto"/>
        </w:rPr>
        <w:t>Replaced Award</w:t>
      </w:r>
      <w:r>
        <w:rPr>
          <w:rFonts w:ascii="Arial" w:cs="Arial" w:eastAsia="Arial" w:hAnsi="Arial"/>
          <w:sz w:val="16"/>
          <w:szCs w:val="16"/>
          <w:color w:val="auto"/>
        </w:rPr>
        <w:t>”) (i.e., restricted stock units); (ii) has a value at least equal to the value of the Replaced Award at the time of the Change in Control; (iii) is subject to the same vesting schedule as the Replaced Award; (iv) relates to equity securities of the Company or its successor upon the Change in Control, or a parent entity of the Company or its successor upon the Change in Control, which securities are subject to an effective registration statement under the Securities Act; (v) if the Participant is subject to U.S. federal income tax under the Code, the tax consequences to the Participant under the Code of the Replacement Award are not less favorable to the Participant than the tax consequences of the Replaced Award; and (vi) its other terms and conditions are not less favorable to the Participant than the terms and conditions of the Replaced Award (including, but not limited to,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requirements for a Replacement Award are satisfied will be made by the Committee, as constituted immediately before the Change in Control, in its good faith discretion (taking into account the requirements of Treasury Regulation 1.409A-3(i)(5)(iv)(B) and compliance of the Replaced Award or Replacement Award with Section 409A).</w:t>
      </w:r>
    </w:p>
    <w:p>
      <w:pPr>
        <w:spacing w:after="0" w:line="168" w:lineRule="exact"/>
        <w:rPr>
          <w:sz w:val="20"/>
          <w:szCs w:val="20"/>
          <w:color w:val="auto"/>
        </w:rPr>
      </w:pPr>
    </w:p>
    <w:p>
      <w:pPr>
        <w:ind w:left="840" w:hanging="404"/>
        <w:spacing w:after="0"/>
        <w:tabs>
          <w:tab w:leader="none" w:pos="840"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TRUCTURE</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51" w:name="page52"/>
    <w:bookmarkEnd w:id="51"/>
    <w:p>
      <w:pPr>
        <w:ind w:left="840" w:hanging="404"/>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w:t>
      </w:r>
      <w:r>
        <w:rPr>
          <w:rFonts w:ascii="Arial" w:cs="Arial" w:eastAsia="Arial" w:hAnsi="Arial"/>
          <w:sz w:val="14"/>
          <w:szCs w:val="14"/>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4"/>
          <w:szCs w:val="14"/>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ONSULTANT</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88" w:lineRule="exact"/>
        <w:rPr>
          <w:sz w:val="20"/>
          <w:szCs w:val="20"/>
          <w:color w:val="auto"/>
        </w:rPr>
      </w:pPr>
    </w:p>
    <w:p>
      <w:pPr>
        <w:ind w:left="840" w:hanging="404"/>
        <w:spacing w:after="0"/>
        <w:tabs>
          <w:tab w:leader="none" w:pos="840" w:val="left"/>
        </w:tabs>
        <w:numPr>
          <w:ilvl w:val="0"/>
          <w:numId w:val="75"/>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EGENDS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83" w:lineRule="exact"/>
        <w:rPr>
          <w:sz w:val="20"/>
          <w:szCs w:val="20"/>
          <w:color w:val="auto"/>
        </w:rPr>
      </w:pPr>
    </w:p>
    <w:p>
      <w:pPr>
        <w:ind w:left="840" w:hanging="404"/>
        <w:spacing w:after="0"/>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40" w:firstLine="991"/>
        <w:spacing w:after="0" w:line="281"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Termination or Amendment.</w:t>
      </w:r>
      <w:r>
        <w:rPr>
          <w:rFonts w:ascii="Arial" w:cs="Arial" w:eastAsia="Arial" w:hAnsi="Arial"/>
          <w:sz w:val="17"/>
          <w:szCs w:val="17"/>
          <w:color w:val="auto"/>
        </w:rPr>
        <w:t xml:space="preserve"> The Committee may terminate or amend the Plan or this Agreement at any time; provided, however, that except as set forth in Section 10 or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65"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3" w:lineRule="exact"/>
        <w:rPr>
          <w:sz w:val="20"/>
          <w:szCs w:val="20"/>
          <w:color w:val="auto"/>
        </w:rPr>
      </w:pPr>
    </w:p>
    <w:p>
      <w:pPr>
        <w:ind w:right="740" w:firstLine="99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340" w:firstLine="991"/>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52" w:name="page53"/>
    <w:bookmarkEnd w:id="52"/>
    <w:p>
      <w:pPr>
        <w:ind w:right="80" w:firstLine="991"/>
        <w:spacing w:after="0" w:line="274"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77" w:lineRule="exact"/>
        <w:rPr>
          <w:sz w:val="20"/>
          <w:szCs w:val="20"/>
          <w:color w:val="auto"/>
        </w:rPr>
      </w:pPr>
    </w:p>
    <w:p>
      <w:pPr>
        <w:ind w:firstLine="1428"/>
        <w:spacing w:after="0" w:line="273" w:lineRule="auto"/>
        <w:tabs>
          <w:tab w:leader="none" w:pos="1812" w:val="left"/>
        </w:tabs>
        <w:numPr>
          <w:ilvl w:val="0"/>
          <w:numId w:val="7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7" w:lineRule="exact"/>
        <w:rPr>
          <w:rFonts w:ascii="Arial" w:cs="Arial" w:eastAsia="Arial" w:hAnsi="Arial"/>
          <w:sz w:val="17"/>
          <w:szCs w:val="17"/>
          <w:color w:val="auto"/>
        </w:rPr>
      </w:pPr>
    </w:p>
    <w:p>
      <w:pPr>
        <w:ind w:right="20" w:firstLine="1428"/>
        <w:spacing w:after="0" w:line="288" w:lineRule="auto"/>
        <w:tabs>
          <w:tab w:leader="none" w:pos="1822" w:val="left"/>
        </w:tabs>
        <w:numPr>
          <w:ilvl w:val="0"/>
          <w:numId w:val="7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13.5(a)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64"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53" w:name="page54"/>
    <w:bookmarkEnd w:id="53"/>
    <w:p>
      <w:pPr>
        <w:ind w:right="20" w:firstLine="991"/>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87" w:lineRule="exact"/>
        <w:rPr>
          <w:sz w:val="20"/>
          <w:szCs w:val="20"/>
          <w:color w:val="auto"/>
        </w:rPr>
      </w:pPr>
    </w:p>
    <w:p>
      <w:pPr>
        <w:ind w:firstLine="991"/>
        <w:spacing w:after="0" w:line="281"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b w:val="1"/>
          <w:bCs w:val="1"/>
          <w:color w:val="auto"/>
        </w:rPr>
        <w:t>Applicable Law.</w:t>
      </w:r>
      <w:r>
        <w:rPr>
          <w:rFonts w:ascii="Arial" w:cs="Arial" w:eastAsia="Arial" w:hAnsi="Arial"/>
          <w:sz w:val="17"/>
          <w:szCs w:val="17"/>
          <w:color w:val="auto"/>
        </w:rPr>
        <w:t xml:space="preserve"> 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65" w:lineRule="exact"/>
        <w:rPr>
          <w:sz w:val="20"/>
          <w:szCs w:val="20"/>
          <w:color w:val="auto"/>
        </w:rPr>
      </w:pPr>
    </w:p>
    <w:p>
      <w:pPr>
        <w:ind w:right="420" w:firstLine="991"/>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62" w:lineRule="exact"/>
        <w:rPr>
          <w:sz w:val="20"/>
          <w:szCs w:val="20"/>
          <w:color w:val="auto"/>
        </w:rPr>
      </w:pPr>
    </w:p>
    <w:p>
      <w:pPr>
        <w:ind w:right="120" w:firstLine="991"/>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xml:space="preserve"> The Award will be subject to recoupment in accordance with the clawback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June 2020.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6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Germany, Hong Kong, Japan, Korea, and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Please consult the notice addressing the EU General Data Protection Regulation (GDPR), which is attached hereto and which replaces the Data Privacy provision set forth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Notifications</w:t>
      </w:r>
    </w:p>
    <w:p>
      <w:pPr>
        <w:spacing w:after="0" w:line="225"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Cross-border payments in excess of €12,500 must be reported monthly to the German Federal Bank. If Participant uses a German bank to transfer a cross-border payment in excess of €12,500 in connection with the sale of Company shares acquired under the Plan, the bank will make the report. In addition, Participant must report any receivables, payables, or debts in foreign currency exceeding an amount of €5,000,000 on a monthly basis.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HONG KONG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Awards and the underlying shares do not constitute a public offering of securities under Hong Kong law and are available only to employees of the Company or its subsidiaries and affiliates. The Agreement, including this Appendix A,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and any related documentation are intended only for the personal use of each eligible employee of the Company or its subsidiaries and affiliates and may not be distributed to any other person. If Participant has any doubts about any of the contents of the Agreement, including this Appendix A, or the Plan, Participant understands that he/she should obtain independent professional advice.</w:t>
      </w:r>
    </w:p>
    <w:p>
      <w:pPr>
        <w:spacing w:after="0" w:line="17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Notwithstanding anything to the contrary in the Plan and/or the Agreement, you understand that any Units shall be paid in shares only and do not provide any right to receive a cash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notifications.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a Participant acquires shares valued at more than ¥100,000,000 in a single transaction, Participant must file a Securities Acquisition Report with the Ministry of Finance through the Bank of Japan within 20 days of the acquisition of the shares unless a Japanese securities broker or a Japanese branch of a non-Japanese securities broker is involved in the acquisition of the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56" w:name="page57"/>
    <w:bookmarkEnd w:id="56"/>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Notifications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 are no country-specific notifications.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25" w:lineRule="exact"/>
        <w:rPr>
          <w:sz w:val="20"/>
          <w:szCs w:val="20"/>
          <w:color w:val="auto"/>
        </w:rPr>
      </w:pPr>
    </w:p>
    <w:p>
      <w:pPr>
        <w:ind w:left="364" w:hanging="364"/>
        <w:spacing w:after="0"/>
        <w:tabs>
          <w:tab w:leader="none" w:pos="364"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13.11:</w:t>
      </w:r>
    </w:p>
    <w:p>
      <w:pPr>
        <w:spacing w:after="0" w:line="221" w:lineRule="exact"/>
        <w:rPr>
          <w:sz w:val="20"/>
          <w:szCs w:val="20"/>
          <w:color w:val="auto"/>
        </w:rPr>
      </w:pPr>
    </w:p>
    <w:p>
      <w:pPr>
        <w:ind w:left="44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 are no country-specific notifications.</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64"/>
          </w:cols>
          <w:pgMar w:left="436" w:top="274" w:right="49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99.6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(TSR PERFORMANCE)</w:t>
      </w:r>
    </w:p>
    <w:p>
      <w:pPr>
        <w:spacing w:after="0" w:line="211" w:lineRule="exact"/>
        <w:rPr>
          <w:sz w:val="20"/>
          <w:szCs w:val="20"/>
          <w:color w:val="auto"/>
        </w:rPr>
      </w:pPr>
    </w:p>
    <w:p>
      <w:pPr>
        <w:ind w:right="300" w:firstLine="440"/>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has granted to the Participant named in the Notice of Grant of TSR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right="20" w:firstLine="440"/>
        <w:spacing w:after="0" w:line="272" w:lineRule="auto"/>
        <w:rPr>
          <w:sz w:val="20"/>
          <w:szCs w:val="20"/>
          <w:color w:val="auto"/>
        </w:rPr>
      </w:pPr>
      <w:r>
        <w:rPr>
          <w:rFonts w:ascii="Arial" w:cs="Arial" w:eastAsia="Arial" w:hAnsi="Arial"/>
          <w:sz w:val="17"/>
          <w:szCs w:val="17"/>
          <w:color w:val="auto"/>
        </w:rPr>
        <w:t>The Award has been granted pursuant to and shall in all respects be subject to the terms conditions of the MagnaChip Semiconductor Corporation 2020 Equity and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200" w:lineRule="exact"/>
        <w:rPr>
          <w:sz w:val="20"/>
          <w:szCs w:val="20"/>
          <w:color w:val="auto"/>
        </w:rPr>
      </w:pPr>
    </w:p>
    <w:p>
      <w:pPr>
        <w:ind w:left="960" w:hanging="532"/>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Unless otherwise defined herein, capitalized terms shall have the meanings assigned to such terms in the Grant Notice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1800" w:hanging="372"/>
        <w:spacing w:after="0"/>
        <w:tabs>
          <w:tab w:leader="none" w:pos="1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Dividend Equivalent Units</w:t>
      </w:r>
      <w:r>
        <w:rPr>
          <w:rFonts w:ascii="Arial" w:cs="Arial" w:eastAsia="Arial" w:hAnsi="Arial"/>
          <w:sz w:val="18"/>
          <w:szCs w:val="18"/>
          <w:color w:val="auto"/>
        </w:rPr>
        <w:t>” mean additional Restricted Stock Units credited pursuant to Section 4.3.</w:t>
      </w:r>
    </w:p>
    <w:p>
      <w:pPr>
        <w:spacing w:after="0" w:line="225" w:lineRule="exact"/>
        <w:rPr>
          <w:rFonts w:ascii="Arial" w:cs="Arial" w:eastAsia="Arial" w:hAnsi="Arial"/>
          <w:sz w:val="18"/>
          <w:szCs w:val="18"/>
          <w:color w:val="auto"/>
        </w:rPr>
      </w:pPr>
    </w:p>
    <w:p>
      <w:pPr>
        <w:ind w:right="140" w:firstLine="1428"/>
        <w:spacing w:after="0" w:line="277" w:lineRule="auto"/>
        <w:tabs>
          <w:tab w:leader="none" w:pos="1822" w:val="left"/>
        </w:tabs>
        <w:numPr>
          <w:ilvl w:val="0"/>
          <w:numId w:val="8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mean the Restricted Stock Units originally granted pursuant to the Award and the Dividend Equivalent Units credited pursuant to the Award, as both shall be adjusted from time to time pursuant to Section 10.</w:t>
      </w:r>
    </w:p>
    <w:p>
      <w:pPr>
        <w:spacing w:after="0" w:line="166"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203" w:lineRule="exact"/>
        <w:rPr>
          <w:sz w:val="20"/>
          <w:szCs w:val="20"/>
          <w:color w:val="auto"/>
        </w:rPr>
      </w:pPr>
    </w:p>
    <w:p>
      <w:pPr>
        <w:ind w:left="960" w:hanging="532"/>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58" w:name="page59"/>
    <w:bookmarkEnd w:id="58"/>
    <w:p>
      <w:pPr>
        <w:ind w:left="98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color w:val="auto"/>
        </w:rPr>
        <w:t xml:space="preserve">Employment Conditions. </w:t>
      </w:r>
      <w:r>
        <w:rPr>
          <w:rFonts w:ascii="Arial" w:cs="Arial" w:eastAsia="Arial" w:hAnsi="Arial"/>
          <w:sz w:val="16"/>
          <w:szCs w:val="16"/>
          <w:color w:val="auto"/>
        </w:rPr>
        <w:t>By accepting the Award, the Participant acknowledges and agrees that:</w:t>
      </w:r>
    </w:p>
    <w:p>
      <w:pPr>
        <w:spacing w:after="0" w:line="229" w:lineRule="exact"/>
        <w:rPr>
          <w:sz w:val="20"/>
          <w:szCs w:val="20"/>
          <w:color w:val="auto"/>
        </w:rPr>
      </w:pPr>
    </w:p>
    <w:p>
      <w:pPr>
        <w:ind w:right="120" w:firstLine="1428"/>
        <w:spacing w:after="0" w:line="257" w:lineRule="auto"/>
        <w:tabs>
          <w:tab w:leader="none" w:pos="1802"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87" w:lineRule="exact"/>
        <w:rPr>
          <w:rFonts w:ascii="Arial" w:cs="Arial" w:eastAsia="Arial" w:hAnsi="Arial"/>
          <w:sz w:val="18"/>
          <w:szCs w:val="18"/>
          <w:color w:val="auto"/>
        </w:rPr>
      </w:pPr>
    </w:p>
    <w:p>
      <w:pPr>
        <w:ind w:firstLine="1428"/>
        <w:spacing w:after="0" w:line="286" w:lineRule="auto"/>
        <w:tabs>
          <w:tab w:leader="none" w:pos="1822" w:val="left"/>
        </w:tabs>
        <w:numPr>
          <w:ilvl w:val="0"/>
          <w:numId w:val="82"/>
        </w:numPr>
        <w:rPr>
          <w:rFonts w:ascii="Arial" w:cs="Arial" w:eastAsia="Arial" w:hAnsi="Arial"/>
          <w:sz w:val="16"/>
          <w:szCs w:val="16"/>
          <w:color w:val="auto"/>
        </w:rPr>
      </w:pPr>
      <w:r>
        <w:rPr>
          <w:rFonts w:ascii="Arial" w:cs="Arial" w:eastAsia="Arial" w:hAnsi="Arial"/>
          <w:sz w:val="16"/>
          <w:szCs w:val="16"/>
          <w:color w:val="auto"/>
        </w:rPr>
        <w:t>Notwithstanding anything to the contrary in the Grant Notice, if the Participant is terminated without Cause or resigns for Good Reason, in each case not in connection with a CIC Qualified Termination (each as defined in the Participant’s employment agreement with the Company) prior to the settlement of the Award, the Participant will remain eligible to vest (determined in accordance with the terms set forth in the Grant Notice) in a pro rata portion of the Restricted Stock Units on the Certification Date following the end of the Performance Period based on actual Company performance, with such pro rata portion determined by multiplying the total number of Restricted Stock Units remaining outstanding and unvested immediately prior to such termination by a fraction, the numerator of which is the number of full months that the Participant provided continuous Service during the Performance Period, and the denominator of which is the number of full months in the full Performance Period. All Restricted Stock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Restricted Stock Units remaining outstanding and unvested immediately prior to the Change in Control (after application of the foregoing provisions of this Section 2.2(b)) shall vest and become nonforfeitable at the target level of achievement (determined in accordance with the Grant Notice) immediately upon the occurrence of the Change in Control and the date that the Change in Control is consummated shall be the Settlement Date for purposes of Section 7 hereof.</w:t>
      </w:r>
    </w:p>
    <w:p>
      <w:pPr>
        <w:spacing w:after="0" w:line="173" w:lineRule="exact"/>
        <w:rPr>
          <w:rFonts w:ascii="Arial" w:cs="Arial" w:eastAsia="Arial" w:hAnsi="Arial"/>
          <w:sz w:val="16"/>
          <w:szCs w:val="16"/>
          <w:color w:val="auto"/>
        </w:rPr>
      </w:pPr>
    </w:p>
    <w:p>
      <w:pPr>
        <w:ind w:right="180" w:firstLine="1428"/>
        <w:spacing w:after="0" w:line="277" w:lineRule="auto"/>
        <w:tabs>
          <w:tab w:leader="none" w:pos="1812" w:val="left"/>
        </w:tabs>
        <w:numPr>
          <w:ilvl w:val="0"/>
          <w:numId w:val="82"/>
        </w:numPr>
        <w:rPr>
          <w:rFonts w:ascii="Arial" w:cs="Arial" w:eastAsia="Arial" w:hAnsi="Arial"/>
          <w:sz w:val="18"/>
          <w:szCs w:val="18"/>
          <w:color w:val="auto"/>
        </w:rPr>
      </w:pPr>
      <w:r>
        <w:rPr>
          <w:rFonts w:ascii="Arial" w:cs="Arial" w:eastAsia="Arial" w:hAnsi="Arial"/>
          <w:sz w:val="18"/>
          <w:szCs w:val="18"/>
          <w:color w:val="auto"/>
        </w:rPr>
        <w:t>If the Participant incurs a CIC Qualified Termination, all outstanding and unvested Units (if any) will fully vest on the date of such termination at the target level of achievement (determined in accordance with the Grant Notice).</w:t>
      </w:r>
    </w:p>
    <w:p>
      <w:pPr>
        <w:spacing w:after="0" w:line="170" w:lineRule="exact"/>
        <w:rPr>
          <w:rFonts w:ascii="Arial" w:cs="Arial" w:eastAsia="Arial" w:hAnsi="Arial"/>
          <w:sz w:val="18"/>
          <w:szCs w:val="18"/>
          <w:color w:val="auto"/>
        </w:rPr>
      </w:pPr>
    </w:p>
    <w:p>
      <w:pPr>
        <w:jc w:val="both"/>
        <w:ind w:right="180" w:firstLine="1428"/>
        <w:spacing w:after="0" w:line="263" w:lineRule="auto"/>
        <w:tabs>
          <w:tab w:leader="none" w:pos="1819"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 (b) or (c). Further, all unvested Units will be forfeited and cancelled and the Participant will not be entitled to any compensation or other amount with respect thereto.</w:t>
      </w:r>
    </w:p>
    <w:p>
      <w:pPr>
        <w:spacing w:after="0" w:line="183" w:lineRule="exact"/>
        <w:rPr>
          <w:rFonts w:ascii="Arial" w:cs="Arial" w:eastAsia="Arial" w:hAnsi="Arial"/>
          <w:sz w:val="18"/>
          <w:szCs w:val="18"/>
          <w:color w:val="auto"/>
        </w:rPr>
      </w:pPr>
    </w:p>
    <w:p>
      <w:pPr>
        <w:ind w:right="180" w:firstLine="1428"/>
        <w:spacing w:after="0" w:line="277" w:lineRule="auto"/>
        <w:tabs>
          <w:tab w:leader="none" w:pos="1808"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59" w:name="page60"/>
    <w:bookmarkEnd w:id="59"/>
    <w:p>
      <w:pPr>
        <w:ind w:left="-40" w:right="40" w:firstLine="1428"/>
        <w:spacing w:after="0" w:line="277" w:lineRule="auto"/>
        <w:tabs>
          <w:tab w:leader="none" w:pos="1748" w:val="left"/>
        </w:tabs>
        <w:numPr>
          <w:ilvl w:val="0"/>
          <w:numId w:val="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grant of the Award is voluntary and occasional and does not create any contractual or other right to receive future grants of Awards, or benefits in lieu of Awards, even if Awards have been granted repeatedly in the past.</w:t>
      </w:r>
    </w:p>
    <w:p>
      <w:pPr>
        <w:spacing w:after="0" w:line="170" w:lineRule="exact"/>
        <w:rPr>
          <w:rFonts w:ascii="Arial" w:cs="Arial" w:eastAsia="Arial" w:hAnsi="Arial"/>
          <w:sz w:val="18"/>
          <w:szCs w:val="18"/>
          <w:color w:val="auto"/>
        </w:rPr>
      </w:pPr>
    </w:p>
    <w:p>
      <w:pPr>
        <w:ind w:left="1760" w:hanging="372"/>
        <w:spacing w:after="0"/>
        <w:tabs>
          <w:tab w:leader="none" w:pos="17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225" w:lineRule="exact"/>
        <w:rPr>
          <w:rFonts w:ascii="Arial" w:cs="Arial" w:eastAsia="Arial" w:hAnsi="Arial"/>
          <w:sz w:val="18"/>
          <w:szCs w:val="18"/>
          <w:color w:val="auto"/>
        </w:rPr>
      </w:pPr>
    </w:p>
    <w:p>
      <w:pPr>
        <w:ind w:left="-40" w:firstLine="1428"/>
        <w:spacing w:after="0" w:line="263" w:lineRule="auto"/>
        <w:tabs>
          <w:tab w:leader="none" w:pos="177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83" w:lineRule="exact"/>
        <w:rPr>
          <w:rFonts w:ascii="Arial" w:cs="Arial" w:eastAsia="Arial" w:hAnsi="Arial"/>
          <w:sz w:val="18"/>
          <w:szCs w:val="18"/>
          <w:color w:val="auto"/>
        </w:rPr>
      </w:pPr>
    </w:p>
    <w:p>
      <w:pPr>
        <w:ind w:left="1740" w:hanging="352"/>
        <w:spacing w:after="0"/>
        <w:tabs>
          <w:tab w:leader="none" w:pos="174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25" w:lineRule="exact"/>
        <w:rPr>
          <w:rFonts w:ascii="Arial" w:cs="Arial" w:eastAsia="Arial" w:hAnsi="Arial"/>
          <w:sz w:val="18"/>
          <w:szCs w:val="18"/>
          <w:color w:val="auto"/>
        </w:rPr>
      </w:pPr>
    </w:p>
    <w:p>
      <w:pPr>
        <w:ind w:left="-40" w:right="80" w:firstLine="1428"/>
        <w:spacing w:after="0" w:line="308" w:lineRule="auto"/>
        <w:tabs>
          <w:tab w:leader="none" w:pos="1739"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146" w:lineRule="exact"/>
        <w:rPr>
          <w:rFonts w:ascii="Arial" w:cs="Arial" w:eastAsia="Arial" w:hAnsi="Arial"/>
          <w:sz w:val="17"/>
          <w:szCs w:val="17"/>
          <w:color w:val="auto"/>
        </w:rPr>
      </w:pPr>
    </w:p>
    <w:p>
      <w:pPr>
        <w:ind w:left="-40" w:right="100" w:firstLine="1428"/>
        <w:spacing w:after="0" w:line="263" w:lineRule="auto"/>
        <w:tabs>
          <w:tab w:leader="none" w:pos="177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183" w:lineRule="exact"/>
        <w:rPr>
          <w:rFonts w:ascii="Arial" w:cs="Arial" w:eastAsia="Arial" w:hAnsi="Arial"/>
          <w:sz w:val="18"/>
          <w:szCs w:val="18"/>
          <w:color w:val="auto"/>
        </w:rPr>
      </w:pPr>
    </w:p>
    <w:p>
      <w:pPr>
        <w:ind w:left="-40" w:right="180" w:firstLine="1428"/>
        <w:spacing w:after="0" w:line="263" w:lineRule="auto"/>
        <w:tabs>
          <w:tab w:leader="none" w:pos="174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183" w:lineRule="exact"/>
        <w:rPr>
          <w:rFonts w:ascii="Arial" w:cs="Arial" w:eastAsia="Arial" w:hAnsi="Arial"/>
          <w:sz w:val="18"/>
          <w:szCs w:val="18"/>
          <w:color w:val="auto"/>
        </w:rPr>
      </w:pPr>
    </w:p>
    <w:p>
      <w:pPr>
        <w:ind w:left="-40" w:right="120" w:firstLine="1428"/>
        <w:spacing w:after="0" w:line="277" w:lineRule="auto"/>
        <w:tabs>
          <w:tab w:leader="none" w:pos="1829"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jc w:val="both"/>
        <w:ind w:left="-40" w:right="120" w:firstLine="1428"/>
        <w:spacing w:after="0" w:line="296" w:lineRule="auto"/>
        <w:tabs>
          <w:tab w:leader="none" w:pos="1782"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157" w:lineRule="exact"/>
        <w:rPr>
          <w:sz w:val="20"/>
          <w:szCs w:val="20"/>
          <w:color w:val="auto"/>
        </w:rPr>
      </w:pPr>
    </w:p>
    <w:p>
      <w:pPr>
        <w:ind w:left="940"/>
        <w:spacing w:after="0"/>
        <w:tabs>
          <w:tab w:leader="none" w:pos="13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b w:val="1"/>
          <w:bCs w:val="1"/>
          <w:color w:val="auto"/>
        </w:rPr>
        <w:t>Data Privacy Consent.</w:t>
      </w:r>
    </w:p>
    <w:p>
      <w:pPr>
        <w:spacing w:after="0" w:line="225" w:lineRule="exact"/>
        <w:rPr>
          <w:sz w:val="20"/>
          <w:szCs w:val="20"/>
          <w:color w:val="auto"/>
        </w:rPr>
      </w:pPr>
    </w:p>
    <w:p>
      <w:pPr>
        <w:ind w:left="-40" w:right="60" w:firstLine="1428"/>
        <w:spacing w:after="0" w:line="275" w:lineRule="auto"/>
        <w:tabs>
          <w:tab w:leader="none" w:pos="1772"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IN 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PERSONAL DATA AS DESCRIBED IN THIS DOCUMENT BY AND AMONG THE MEMBERS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ARTICIPATING </w:t>
      </w:r>
      <w:r>
        <w:rPr>
          <w:rFonts w:ascii="Arial" w:cs="Arial" w:eastAsia="Arial" w:hAnsi="Arial"/>
          <w:sz w:val="17"/>
          <w:szCs w:val="17"/>
          <w:b w:val="1"/>
          <w:bCs w:val="1"/>
          <w:color w:val="auto"/>
        </w:rPr>
        <w:t>C</w:t>
      </w:r>
      <w:r>
        <w:rPr>
          <w:rFonts w:ascii="Arial" w:cs="Arial" w:eastAsia="Arial" w:hAnsi="Arial"/>
          <w:sz w:val="14"/>
          <w:szCs w:val="14"/>
          <w:b w:val="1"/>
          <w:bCs w:val="1"/>
          <w:color w:val="auto"/>
        </w:rPr>
        <w:t xml:space="preserve">OMPANY </w:t>
      </w:r>
      <w:r>
        <w:rPr>
          <w:rFonts w:ascii="Arial" w:cs="Arial" w:eastAsia="Arial" w:hAnsi="Arial"/>
          <w:sz w:val="17"/>
          <w:szCs w:val="17"/>
          <w:b w:val="1"/>
          <w:bCs w:val="1"/>
          <w:color w:val="auto"/>
        </w:rPr>
        <w:t>G</w:t>
      </w:r>
      <w:r>
        <w:rPr>
          <w:rFonts w:ascii="Arial" w:cs="Arial" w:eastAsia="Arial" w:hAnsi="Arial"/>
          <w:sz w:val="14"/>
          <w:szCs w:val="14"/>
          <w:b w:val="1"/>
          <w:bCs w:val="1"/>
          <w:color w:val="auto"/>
        </w:rPr>
        <w:t>ROUP FOR THE EXCLUSIVE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PARTICIPATION IN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60" w:name="page61"/>
    <w:bookmarkEnd w:id="60"/>
    <w:p>
      <w:pPr>
        <w:ind w:firstLine="1428"/>
        <w:spacing w:after="0" w:line="266" w:lineRule="auto"/>
        <w:tabs>
          <w:tab w:leader="none" w:pos="1822" w:val="left"/>
        </w:tabs>
        <w:numPr>
          <w:ilvl w:val="1"/>
          <w:numId w:val="8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 HOLDS CERTAIN PERSONAL</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 xml:space="preserve">INFORMATION ABOUT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BUT NOT LIMITED TO</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NAME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HOME ADDRESS AND TELEPHONE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DATE OF BIRTH</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SOCIAL INSURANCE NUMBER OR OTHER IDENTIFICATION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SALARY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NATIONALITY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JOB TITLE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ANY SHARES OR DIRECTORSHIPS HELD IN THE </w:t>
      </w:r>
      <w:r>
        <w:rPr>
          <w:rFonts w:ascii="Arial" w:cs="Arial" w:eastAsia="Arial" w:hAnsi="Arial"/>
          <w:sz w:val="17"/>
          <w:szCs w:val="17"/>
          <w:b w:val="1"/>
          <w:bCs w:val="1"/>
          <w:color w:val="auto"/>
        </w:rPr>
        <w:t>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DETAILS OF ALL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WARDS OR ANY OTHER ENTITLEMENT TO SHARES AWARDED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CANCELED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EXERCISED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VESTED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UNVESTED OR OUTSTANDING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FAVOR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LAN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MAY BE TRANSFERRED TO ANY THIRD PARTIES ASSISTING IN THE IMPLEMENTATION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ADMINISTRATION AND MANAGEMENT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THESE RECIPIENTS MAY BE LOCATED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 OR ELSEWHERE</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WHICH MAY INCLUDE AREAS OUTSIDE THE</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UROPEAN</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CONOMIC AREA AND THAT THE</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RECIPIENT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COUNTRY MAY HAVE DIFFERENT DATA PRIVACY LAWS AND PROTECTIONS THAN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 THAT HE OR SHE MAY REQUEST A LIST WITH THE NAMES AND ADDRESSES OF ANY POTENTIAL RECIPIENTS OF</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 xml:space="preserve">THE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BY CONTACTING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AUTHORIZES THE RECIPIENTS TO RECEIVE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POSSESS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USE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RETAIN AND TRANSFER THE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PURPOSES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 ANY REQUISITE TRANSFER OF SUCH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AS MAY BE REQUIRED TO A BROKER OR OTHER THIRD PARTY WITH WHOM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MAY ELECT TO DEPOSIT ANY SHARES ACQUIRED UPON SETTLEMENT OF THE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WILL BE HELD ONLY AS LONG AS IS NECESSARY TO IMPLEMENT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 AND MANAGE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 THAT HE OR SHE MAY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AT ANY TIME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VIEW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REQUEST ADDITIONAL INFORMATION ABOUT THE STORAGE AND PROCESSING OF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REQUIRE ANY NECESSARY AMENDMENTS TO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OR REFUSE OR WITHDRAW THE CONSENTS HEREIN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ANY CASE WITHOUT COST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BY CONTACTING IN WRITING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HOWEVER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REFUSING OR WITHDRAWING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CONSENT MAY AFFECT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ABILITY TO PARTICIPATE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rPr>
        <w:t>F</w:t>
      </w:r>
      <w:r>
        <w:rPr>
          <w:rFonts w:ascii="Arial" w:cs="Arial" w:eastAsia="Arial" w:hAnsi="Arial"/>
          <w:sz w:val="14"/>
          <w:szCs w:val="14"/>
          <w:b w:val="1"/>
          <w:bCs w:val="1"/>
          <w:color w:val="auto"/>
        </w:rPr>
        <w:t>OR MORE INFORMATION ON THE CONSEQUENCES OF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REFUSAL TO CONSENT OR WITHDRAWAL OF CONSENT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 UNDERSTANDS THAT HE OR SHE MAY CONTACT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w:t>
      </w:r>
    </w:p>
    <w:p>
      <w:pPr>
        <w:spacing w:after="0" w:line="200" w:lineRule="exact"/>
        <w:rPr>
          <w:rFonts w:ascii="Arial" w:cs="Arial" w:eastAsia="Arial" w:hAnsi="Arial"/>
          <w:sz w:val="18"/>
          <w:szCs w:val="18"/>
          <w:color w:val="auto"/>
        </w:rPr>
      </w:pPr>
    </w:p>
    <w:p>
      <w:pPr>
        <w:spacing w:after="0" w:line="232" w:lineRule="exact"/>
        <w:rPr>
          <w:rFonts w:ascii="Arial" w:cs="Arial" w:eastAsia="Arial" w:hAnsi="Arial"/>
          <w:sz w:val="18"/>
          <w:szCs w:val="18"/>
          <w:color w:val="auto"/>
        </w:rPr>
      </w:pPr>
    </w:p>
    <w:p>
      <w:pPr>
        <w:ind w:left="960" w:hanging="532"/>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0" w:firstLine="440"/>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0"/>
          </w:cols>
          <w:pgMar w:left="440" w:top="270" w:right="459" w:bottom="1440" w:gutter="0" w:footer="0" w:header="0"/>
        </w:sectPr>
      </w:pPr>
    </w:p>
    <w:bookmarkStart w:id="61" w:name="page62"/>
    <w:bookmarkEnd w:id="61"/>
    <w:p>
      <w:pPr>
        <w:ind w:left="960" w:hanging="532"/>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80"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No Monetary Payment Required.</w:t>
      </w:r>
      <w:r>
        <w:rPr>
          <w:rFonts w:ascii="Arial" w:cs="Arial" w:eastAsia="Arial" w:hAnsi="Arial"/>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68"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Dividend Equivalent Units.</w:t>
      </w:r>
      <w:r>
        <w:rPr>
          <w:rFonts w:ascii="Arial" w:cs="Arial" w:eastAsia="Arial" w:hAnsi="Arial"/>
          <w:sz w:val="17"/>
          <w:szCs w:val="17"/>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199" w:lineRule="exact"/>
        <w:rPr>
          <w:sz w:val="20"/>
          <w:szCs w:val="20"/>
          <w:color w:val="auto"/>
        </w:rPr>
      </w:pPr>
    </w:p>
    <w:p>
      <w:pPr>
        <w:ind w:left="960" w:hanging="532"/>
        <w:spacing w:after="0"/>
        <w:tabs>
          <w:tab w:leader="none" w:pos="96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147" w:lineRule="exact"/>
        <w:rPr>
          <w:sz w:val="20"/>
          <w:szCs w:val="20"/>
          <w:color w:val="auto"/>
        </w:rPr>
      </w:pPr>
    </w:p>
    <w:p>
      <w:pPr>
        <w:ind w:left="960" w:hanging="532"/>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F</w:t>
      </w:r>
      <w:r>
        <w:rPr>
          <w:rFonts w:ascii="Arial" w:cs="Arial" w:eastAsia="Arial" w:hAnsi="Arial"/>
          <w:sz w:val="14"/>
          <w:szCs w:val="14"/>
          <w:b w:val="1"/>
          <w:bCs w:val="1"/>
          <w:u w:val="single" w:color="auto"/>
          <w:color w:val="auto"/>
        </w:rPr>
        <w:t>ORFEITURE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20" w:firstLine="440"/>
        <w:spacing w:after="0" w:line="263" w:lineRule="auto"/>
        <w:rPr>
          <w:sz w:val="20"/>
          <w:szCs w:val="20"/>
          <w:color w:val="auto"/>
        </w:rPr>
      </w:pPr>
      <w:r>
        <w:rPr>
          <w:rFonts w:ascii="Arial" w:cs="Arial" w:eastAsia="Arial" w:hAnsi="Arial"/>
          <w:sz w:val="18"/>
          <w:szCs w:val="18"/>
          <w:color w:val="auto"/>
        </w:rPr>
        <w:t>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62" w:name="page63"/>
    <w:bookmarkEnd w:id="62"/>
    <w:p>
      <w:pPr>
        <w:ind w:left="960" w:hanging="532"/>
        <w:spacing w:after="0"/>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w:t>
      </w:r>
      <w:r>
        <w:rPr>
          <w:rFonts w:ascii="Arial" w:cs="Arial" w:eastAsia="Arial" w:hAnsi="Arial"/>
          <w:sz w:val="14"/>
          <w:szCs w:val="14"/>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80" w:firstLine="991"/>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below, as soon as reasonably practicable following the date upon which Units satisfy the vesting conditions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calendar year following the calendar year in which the Units vest),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w:t>
      </w:r>
    </w:p>
    <w:p>
      <w:pPr>
        <w:spacing w:after="0" w:line="187"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6" w:lineRule="exact"/>
        <w:rPr>
          <w:sz w:val="20"/>
          <w:szCs w:val="20"/>
          <w:color w:val="auto"/>
        </w:rPr>
      </w:pPr>
    </w:p>
    <w:p>
      <w:pPr>
        <w:jc w:val="center"/>
        <w:ind w:right="340"/>
        <w:spacing w:after="0"/>
        <w:tabs>
          <w:tab w:leader="none" w:pos="1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The Company shall not be required to issue fractional shares upon the settlement of the Award.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63" w:name="page64"/>
    <w:bookmarkEnd w:id="63"/>
    <w:p>
      <w:pPr>
        <w:ind w:left="960" w:hanging="532"/>
        <w:spacing w:after="0"/>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80" w:firstLine="440"/>
        <w:spacing w:after="0" w:line="272" w:lineRule="auto"/>
        <w:rPr>
          <w:sz w:val="20"/>
          <w:szCs w:val="20"/>
          <w:color w:val="auto"/>
        </w:rPr>
      </w:pPr>
      <w:r>
        <w:rPr>
          <w:rFonts w:ascii="Arial" w:cs="Arial" w:eastAsia="Arial" w:hAnsi="Arial"/>
          <w:sz w:val="17"/>
          <w:szCs w:val="17"/>
          <w:color w:val="auto"/>
        </w:rPr>
        <w:t>Regardless of any action the Company or the Participant’s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income tax, social insurance, payroll tax, payment on account or other tax-related withholding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the Participant acknowledges and agrees that the ultimate liability for all Tax-Related Items legally due by the Participant is and remains the Participant’s responsibility and that the Company and or the Employer (i) make no 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Participant shall satisfy Tax-Related Items by having the Company or the Employer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Employer in cash any amount of Tax-Related Items that the Company or the Employer may be required to withhold as a result of the Participant’s participation in the Plan or the Participant’s receipt of Units (including, without limitation, by the Employer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 Further, if the Participant is subject 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7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193" w:lineRule="exact"/>
        <w:rPr>
          <w:sz w:val="20"/>
          <w:szCs w:val="20"/>
          <w:color w:val="auto"/>
        </w:rPr>
      </w:pPr>
    </w:p>
    <w:p>
      <w:pPr>
        <w:ind w:left="960" w:hanging="532"/>
        <w:spacing w:after="0"/>
        <w:tabs>
          <w:tab w:leader="none" w:pos="960"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ONTROL</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75" w:lineRule="auto"/>
        <w:rPr>
          <w:sz w:val="20"/>
          <w:szCs w:val="20"/>
          <w:color w:val="auto"/>
        </w:rPr>
      </w:pPr>
      <w:r>
        <w:rPr>
          <w:rFonts w:ascii="Arial" w:cs="Arial" w:eastAsia="Arial" w:hAnsi="Arial"/>
          <w:sz w:val="17"/>
          <w:szCs w:val="17"/>
          <w:color w:val="auto"/>
        </w:rPr>
        <w:t>In the event of a Change in Control during the Performance Period, subject to the Participant’s continued Service on the date that such Change in Control is consummated, the Target Award (and any Dividend Equivalent Units associated therewith) will vest and the date that the Change in Control is consummated will be treated as the Settlement Date for purposes of Section 7 hereof. No Restricted Stock Units in excess of the Target Award shall vest pursuant to this Agreement and all Restricted Stock Units in excess of the Target Award shall immediately be forfeited and cancelled, and the Participant shall not be entitled to any compensation or other amount with respect thereto.</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64" w:name="page65"/>
    <w:bookmarkEnd w:id="64"/>
    <w:p>
      <w:pPr>
        <w:ind w:left="960" w:hanging="532"/>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Arial" w:cs="Arial" w:eastAsia="Arial" w:hAnsi="Arial"/>
          <w:sz w:val="14"/>
          <w:szCs w:val="14"/>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TRUCTURE</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86" w:lineRule="auto"/>
        <w:rPr>
          <w:sz w:val="20"/>
          <w:szCs w:val="20"/>
          <w:color w:val="auto"/>
        </w:rPr>
      </w:pPr>
      <w:r>
        <w:rPr>
          <w:rFonts w:ascii="Arial" w:cs="Arial" w:eastAsia="Arial" w:hAnsi="Arial"/>
          <w:sz w:val="16"/>
          <w:szCs w:val="16"/>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94" w:lineRule="exact"/>
        <w:rPr>
          <w:sz w:val="20"/>
          <w:szCs w:val="20"/>
          <w:color w:val="auto"/>
        </w:rPr>
      </w:pPr>
    </w:p>
    <w:p>
      <w:pPr>
        <w:ind w:left="960" w:hanging="532"/>
        <w:spacing w:after="0"/>
        <w:tabs>
          <w:tab w:leader="none" w:pos="960" w:val="left"/>
        </w:tabs>
        <w:numPr>
          <w:ilvl w:val="0"/>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R</w:t>
      </w:r>
      <w:r>
        <w:rPr>
          <w:rFonts w:ascii="Arial" w:cs="Arial" w:eastAsia="Arial" w:hAnsi="Arial"/>
          <w:sz w:val="14"/>
          <w:szCs w:val="14"/>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4"/>
          <w:szCs w:val="14"/>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ONSULTANT</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215" w:lineRule="exact"/>
        <w:rPr>
          <w:sz w:val="20"/>
          <w:szCs w:val="20"/>
          <w:color w:val="auto"/>
        </w:rPr>
      </w:pPr>
    </w:p>
    <w:p>
      <w:pPr>
        <w:ind w:left="960" w:hanging="532"/>
        <w:spacing w:after="0"/>
        <w:tabs>
          <w:tab w:leader="none" w:pos="960" w:val="left"/>
        </w:tabs>
        <w:numPr>
          <w:ilvl w:val="0"/>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EGENDS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0" w:right="459" w:bottom="1440" w:gutter="0" w:footer="0" w:header="0"/>
        </w:sectPr>
      </w:pPr>
    </w:p>
    <w:bookmarkStart w:id="65" w:name="page66"/>
    <w:bookmarkEnd w:id="65"/>
    <w:p>
      <w:pPr>
        <w:ind w:left="960" w:hanging="532"/>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M</w:t>
      </w:r>
      <w:r>
        <w:rPr>
          <w:rFonts w:ascii="Arial" w:cs="Arial" w:eastAsia="Arial" w:hAnsi="Arial"/>
          <w:sz w:val="14"/>
          <w:szCs w:val="14"/>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40" w:firstLine="991"/>
        <w:spacing w:after="0" w:line="303" w:lineRule="auto"/>
        <w:rPr>
          <w:sz w:val="20"/>
          <w:szCs w:val="20"/>
          <w:color w:val="auto"/>
        </w:rPr>
      </w:pPr>
      <w:r>
        <w:rPr>
          <w:rFonts w:ascii="Arial" w:cs="Arial" w:eastAsia="Arial" w:hAnsi="Arial"/>
          <w:sz w:val="16"/>
          <w:szCs w:val="16"/>
          <w:color w:val="auto"/>
        </w:rPr>
        <w:t xml:space="preserve">13.1 </w:t>
      </w:r>
      <w:r>
        <w:rPr>
          <w:rFonts w:ascii="Arial" w:cs="Arial" w:eastAsia="Arial" w:hAnsi="Arial"/>
          <w:sz w:val="16"/>
          <w:szCs w:val="16"/>
          <w:b w:val="1"/>
          <w:bCs w:val="1"/>
          <w:color w:val="auto"/>
        </w:rPr>
        <w:t>Termination or Amendment.</w:t>
      </w:r>
      <w:r>
        <w:rPr>
          <w:rFonts w:ascii="Arial" w:cs="Arial" w:eastAsia="Arial" w:hAnsi="Arial"/>
          <w:sz w:val="16"/>
          <w:szCs w:val="16"/>
          <w:color w:val="auto"/>
        </w:rPr>
        <w:t xml:space="preserve"> The Committee may terminate or amend the Plan or this Agreement at any time; provided, however, that except as set forth in Section 9 in connection with a Change in Control or Section 10,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51"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3" w:lineRule="exact"/>
        <w:rPr>
          <w:sz w:val="20"/>
          <w:szCs w:val="20"/>
          <w:color w:val="auto"/>
        </w:rPr>
      </w:pPr>
    </w:p>
    <w:p>
      <w:pPr>
        <w:ind w:right="740" w:firstLine="99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162" w:lineRule="exact"/>
        <w:rPr>
          <w:sz w:val="20"/>
          <w:szCs w:val="20"/>
          <w:color w:val="auto"/>
        </w:rPr>
      </w:pPr>
    </w:p>
    <w:p>
      <w:pPr>
        <w:ind w:right="340" w:firstLine="991"/>
        <w:spacing w:after="0" w:line="347" w:lineRule="auto"/>
        <w:rPr>
          <w:sz w:val="20"/>
          <w:szCs w:val="20"/>
          <w:color w:val="auto"/>
        </w:rPr>
      </w:pPr>
      <w:r>
        <w:rPr>
          <w:rFonts w:ascii="Arial" w:cs="Arial" w:eastAsia="Arial" w:hAnsi="Arial"/>
          <w:sz w:val="16"/>
          <w:szCs w:val="16"/>
          <w:color w:val="auto"/>
        </w:rPr>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6" w:lineRule="exact"/>
        <w:rPr>
          <w:sz w:val="20"/>
          <w:szCs w:val="20"/>
          <w:color w:val="auto"/>
        </w:rPr>
      </w:pPr>
    </w:p>
    <w:p>
      <w:pPr>
        <w:ind w:right="80" w:firstLine="99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77" w:lineRule="exact"/>
        <w:rPr>
          <w:sz w:val="20"/>
          <w:szCs w:val="20"/>
          <w:color w:val="auto"/>
        </w:rPr>
      </w:pPr>
    </w:p>
    <w:p>
      <w:pPr>
        <w:ind w:firstLine="1428"/>
        <w:spacing w:after="0" w:line="273" w:lineRule="auto"/>
        <w:tabs>
          <w:tab w:leader="none" w:pos="1812" w:val="left"/>
        </w:tabs>
        <w:numPr>
          <w:ilvl w:val="0"/>
          <w:numId w:val="9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66" w:name="page67"/>
    <w:bookmarkEnd w:id="66"/>
    <w:p>
      <w:pPr>
        <w:ind w:right="40" w:firstLine="1428"/>
        <w:spacing w:after="0" w:line="288" w:lineRule="auto"/>
        <w:tabs>
          <w:tab w:leader="none" w:pos="1822" w:val="left"/>
        </w:tabs>
        <w:numPr>
          <w:ilvl w:val="0"/>
          <w:numId w:val="98"/>
        </w:numPr>
        <w:rPr>
          <w:rFonts w:ascii="Arial" w:cs="Arial" w:eastAsia="Arial" w:hAnsi="Arial"/>
          <w:sz w:val="16"/>
          <w:szCs w:val="16"/>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Consent to Electronic Delivery. </w:t>
      </w:r>
      <w:r>
        <w:rPr>
          <w:rFonts w:ascii="Arial" w:cs="Arial" w:eastAsia="Arial" w:hAnsi="Arial"/>
          <w:sz w:val="16"/>
          <w:szCs w:val="16"/>
          <w:color w:val="auto"/>
        </w:rPr>
        <w:t>The Participant acknowledges that the Participant has read Section 13.5(a)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64" w:lineRule="exact"/>
        <w:rPr>
          <w:sz w:val="20"/>
          <w:szCs w:val="20"/>
          <w:color w:val="auto"/>
        </w:rPr>
      </w:pPr>
    </w:p>
    <w:p>
      <w:pPr>
        <w:ind w:right="60" w:firstLine="991"/>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83" w:lineRule="exact"/>
        <w:rPr>
          <w:sz w:val="20"/>
          <w:szCs w:val="20"/>
          <w:color w:val="auto"/>
        </w:rPr>
      </w:pPr>
    </w:p>
    <w:p>
      <w:pPr>
        <w:ind w:right="20" w:firstLine="991"/>
        <w:spacing w:after="0" w:line="256" w:lineRule="auto"/>
        <w:rPr>
          <w:sz w:val="20"/>
          <w:szCs w:val="20"/>
          <w:color w:val="auto"/>
        </w:rPr>
      </w:pPr>
      <w:r>
        <w:rPr>
          <w:rFonts w:ascii="Arial" w:cs="Arial" w:eastAsia="Arial" w:hAnsi="Arial"/>
          <w:sz w:val="18"/>
          <w:szCs w:val="18"/>
          <w:color w:val="auto"/>
        </w:rPr>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87" w:lineRule="exact"/>
        <w:rPr>
          <w:sz w:val="20"/>
          <w:szCs w:val="20"/>
          <w:color w:val="auto"/>
        </w:rPr>
      </w:pPr>
    </w:p>
    <w:p>
      <w:pPr>
        <w:ind w:firstLine="991"/>
        <w:spacing w:after="0" w:line="281"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b w:val="1"/>
          <w:bCs w:val="1"/>
          <w:color w:val="auto"/>
        </w:rPr>
        <w:t>Applicable Law.</w:t>
      </w:r>
      <w:r>
        <w:rPr>
          <w:rFonts w:ascii="Arial" w:cs="Arial" w:eastAsia="Arial" w:hAnsi="Arial"/>
          <w:sz w:val="17"/>
          <w:szCs w:val="17"/>
          <w:color w:val="auto"/>
        </w:rPr>
        <w:t xml:space="preserve"> 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65" w:lineRule="exact"/>
        <w:rPr>
          <w:sz w:val="20"/>
          <w:szCs w:val="20"/>
          <w:color w:val="auto"/>
        </w:rPr>
      </w:pPr>
    </w:p>
    <w:p>
      <w:pPr>
        <w:ind w:right="420" w:firstLine="991"/>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62" w:lineRule="exact"/>
        <w:rPr>
          <w:sz w:val="20"/>
          <w:szCs w:val="20"/>
          <w:color w:val="auto"/>
        </w:rPr>
      </w:pPr>
    </w:p>
    <w:p>
      <w:pPr>
        <w:ind w:right="160" w:firstLine="991"/>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The Award will be subject to recoupment in accordance with the clawback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74" w:right="439"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229"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June 2020.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6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Korea and the United States.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notifications.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68" w:name="page69"/>
    <w:bookmarkEnd w:id="6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UNITED STATES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52" w:lineRule="exact"/>
        <w:rPr>
          <w:sz w:val="20"/>
          <w:szCs w:val="20"/>
          <w:color w:val="auto"/>
        </w:rPr>
      </w:pPr>
    </w:p>
    <w:p>
      <w:pPr>
        <w:ind w:left="424" w:hanging="424"/>
        <w:spacing w:after="0"/>
        <w:tabs>
          <w:tab w:leader="none" w:pos="4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13.11:</w:t>
      </w:r>
    </w:p>
    <w:p>
      <w:pPr>
        <w:spacing w:after="0" w:line="221" w:lineRule="exact"/>
        <w:rPr>
          <w:rFonts w:ascii="Arial" w:cs="Arial" w:eastAsia="Arial" w:hAnsi="Arial"/>
          <w:sz w:val="18"/>
          <w:szCs w:val="18"/>
          <w:color w:val="auto"/>
        </w:rPr>
      </w:pPr>
    </w:p>
    <w:p>
      <w:pPr>
        <w:ind w:left="444"/>
        <w:spacing w:after="0" w:line="272"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 are no country-specific notifications.</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64"/>
          </w:cols>
          <w:pgMar w:left="436" w:top="270" w:right="49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99.7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(TSR PERFORMANCE)</w:t>
      </w:r>
    </w:p>
    <w:p>
      <w:pPr>
        <w:spacing w:after="0" w:line="211"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MagnaChip Semiconductor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has granted to the Participant named in the Notice of Grant of TSR Restricted Stock Units (the </w:t>
      </w:r>
      <w:r>
        <w:rPr>
          <w:rFonts w:ascii="Arial" w:cs="Arial" w:eastAsia="Arial" w:hAnsi="Arial"/>
          <w:sz w:val="18"/>
          <w:szCs w:val="18"/>
          <w:b w:val="1"/>
          <w:bCs w:val="1"/>
          <w:i w:val="1"/>
          <w:iCs w:val="1"/>
          <w:color w:val="auto"/>
        </w:rPr>
        <w:t>“Grant Notice”</w:t>
      </w:r>
      <w:r>
        <w:rPr>
          <w:rFonts w:ascii="Arial" w:cs="Arial" w:eastAsia="Arial" w:hAnsi="Arial"/>
          <w:sz w:val="18"/>
          <w:szCs w:val="18"/>
          <w:color w:val="auto"/>
        </w:rPr>
        <w:t xml:space="preserve">) to which this Restricted Stock Units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attached an Award consisting of Restricted Stock Units subject to the terms and conditions set forth in the Grant Notice and this Agreement. The Participant shall be entitled to Dividend Equivalent Rights with respect to the Award.</w:t>
      </w:r>
    </w:p>
    <w:p>
      <w:pPr>
        <w:spacing w:after="0" w:line="187" w:lineRule="exact"/>
        <w:rPr>
          <w:sz w:val="20"/>
          <w:szCs w:val="20"/>
          <w:color w:val="auto"/>
        </w:rPr>
      </w:pPr>
    </w:p>
    <w:p>
      <w:pPr>
        <w:ind w:right="60" w:firstLine="440"/>
        <w:spacing w:after="0" w:line="272" w:lineRule="auto"/>
        <w:rPr>
          <w:sz w:val="20"/>
          <w:szCs w:val="20"/>
          <w:color w:val="auto"/>
        </w:rPr>
      </w:pPr>
      <w:r>
        <w:rPr>
          <w:rFonts w:ascii="Arial" w:cs="Arial" w:eastAsia="Arial" w:hAnsi="Arial"/>
          <w:sz w:val="17"/>
          <w:szCs w:val="17"/>
          <w:color w:val="auto"/>
        </w:rPr>
        <w:t xml:space="preserve">The Award has been granted pursuant to and shall in all respects be subject to the terms conditions of the MagnaChip Semiconductor Corporation 2020 Equity and Incentive Compensation Plan (the </w:t>
      </w:r>
      <w:r>
        <w:rPr>
          <w:rFonts w:ascii="Arial" w:cs="Arial" w:eastAsia="Arial" w:hAnsi="Arial"/>
          <w:sz w:val="17"/>
          <w:szCs w:val="17"/>
          <w:b w:val="1"/>
          <w:bCs w:val="1"/>
          <w:i w:val="1"/>
          <w:iCs w:val="1"/>
          <w:color w:val="auto"/>
        </w:rPr>
        <w:t>“Plan”</w:t>
      </w:r>
      <w:r>
        <w:rPr>
          <w:rFonts w:ascii="Arial" w:cs="Arial" w:eastAsia="Arial" w:hAnsi="Arial"/>
          <w:sz w:val="17"/>
          <w:szCs w:val="17"/>
          <w:color w:val="auto"/>
        </w:rPr>
        <w:t xml:space="preserve">), as amended from time to time,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Arial" w:cs="Arial" w:eastAsia="Arial" w:hAnsi="Arial"/>
          <w:sz w:val="17"/>
          <w:szCs w:val="17"/>
          <w:b w:val="1"/>
          <w:bCs w:val="1"/>
          <w:i w:val="1"/>
          <w:iCs w:val="1"/>
          <w:color w:val="auto"/>
        </w:rPr>
        <w:t>“Plan Prospectus”</w:t>
      </w:r>
      <w:r>
        <w:rPr>
          <w:rFonts w:ascii="Arial" w:cs="Arial" w:eastAsia="Arial" w:hAnsi="Arial"/>
          <w:sz w:val="17"/>
          <w:szCs w:val="17"/>
          <w:color w:val="auto"/>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spacing w:after="0" w:line="173" w:lineRule="exact"/>
        <w:rPr>
          <w:sz w:val="20"/>
          <w:szCs w:val="20"/>
          <w:color w:val="auto"/>
        </w:rPr>
      </w:pPr>
    </w:p>
    <w:p>
      <w:pPr>
        <w:ind w:left="760" w:hanging="324"/>
        <w:spacing w:after="0"/>
        <w:tabs>
          <w:tab w:leader="none" w:pos="76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D</w:t>
      </w:r>
      <w:r>
        <w:rPr>
          <w:rFonts w:ascii="Arial" w:cs="Arial" w:eastAsia="Arial" w:hAnsi="Arial"/>
          <w:sz w:val="14"/>
          <w:szCs w:val="14"/>
          <w:b w:val="1"/>
          <w:bCs w:val="1"/>
          <w:u w:val="single" w:color="auto"/>
          <w:color w:val="auto"/>
        </w:rPr>
        <w:t>EFINITIONS AND</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ONSTRUCTION</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left="980"/>
        <w:spacing w:after="0"/>
        <w:tabs>
          <w:tab w:leader="none" w:pos="13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b w:val="1"/>
          <w:bCs w:val="1"/>
          <w:color w:val="auto"/>
        </w:rPr>
        <w:t xml:space="preserve">Definitions. </w:t>
      </w:r>
      <w:r>
        <w:rPr>
          <w:rFonts w:ascii="Arial" w:cs="Arial" w:eastAsia="Arial" w:hAnsi="Arial"/>
          <w:sz w:val="16"/>
          <w:szCs w:val="16"/>
          <w:color w:val="auto"/>
        </w:rPr>
        <w:t>Unless otherwise defined herein, capitalized terms shall have the meanings assigned to such terms in the Grant Notice 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1800" w:hanging="372"/>
        <w:spacing w:after="0"/>
        <w:tabs>
          <w:tab w:leader="none" w:pos="1800"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“Dividend Equivalent Units” </w:t>
      </w:r>
      <w:r>
        <w:rPr>
          <w:rFonts w:ascii="Arial" w:cs="Arial" w:eastAsia="Arial" w:hAnsi="Arial"/>
          <w:sz w:val="18"/>
          <w:szCs w:val="18"/>
          <w:color w:val="auto"/>
        </w:rPr>
        <w:t>mean additional Restricted Stock Units credited pursuant to Section 4.3.</w:t>
      </w:r>
    </w:p>
    <w:p>
      <w:pPr>
        <w:spacing w:after="0" w:line="225" w:lineRule="exact"/>
        <w:rPr>
          <w:rFonts w:ascii="Arial" w:cs="Arial" w:eastAsia="Arial" w:hAnsi="Arial"/>
          <w:sz w:val="18"/>
          <w:szCs w:val="18"/>
          <w:color w:val="auto"/>
        </w:rPr>
      </w:pPr>
    </w:p>
    <w:p>
      <w:pPr>
        <w:ind w:right="120" w:firstLine="1428"/>
        <w:spacing w:after="0" w:line="277" w:lineRule="auto"/>
        <w:tabs>
          <w:tab w:leader="none" w:pos="1822" w:val="left"/>
        </w:tabs>
        <w:numPr>
          <w:ilvl w:val="0"/>
          <w:numId w:val="10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“Units” </w:t>
      </w:r>
      <w:r>
        <w:rPr>
          <w:rFonts w:ascii="Arial" w:cs="Arial" w:eastAsia="Arial" w:hAnsi="Arial"/>
          <w:sz w:val="18"/>
          <w:szCs w:val="18"/>
          <w:color w:val="auto"/>
        </w:rPr>
        <w:t>mean the Restricted Stock Units originally granted pursuant to the Award and the Dividend Equivalent Units credited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Award, as both shall be adjusted from time to time pursuant to Section 10.</w:t>
      </w:r>
    </w:p>
    <w:p>
      <w:pPr>
        <w:spacing w:after="0" w:line="166" w:lineRule="exact"/>
        <w:rPr>
          <w:sz w:val="20"/>
          <w:szCs w:val="20"/>
          <w:color w:val="auto"/>
        </w:rPr>
      </w:pPr>
    </w:p>
    <w:p>
      <w:pPr>
        <w:ind w:right="60" w:firstLine="991"/>
        <w:spacing w:after="0" w:line="266"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b w:val="1"/>
          <w:bCs w:val="1"/>
          <w:color w:val="auto"/>
        </w:rPr>
        <w:t>Construction.</w:t>
      </w:r>
      <w:r>
        <w:rPr>
          <w:rFonts w:ascii="Arial" w:cs="Arial" w:eastAsia="Arial" w:hAnsi="Arial"/>
          <w:sz w:val="18"/>
          <w:szCs w:val="18"/>
          <w:color w:val="auto"/>
        </w:rPr>
        <w:t xml:space="preserve"> 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spacing w:after="0" w:line="176" w:lineRule="exact"/>
        <w:rPr>
          <w:sz w:val="20"/>
          <w:szCs w:val="20"/>
          <w:color w:val="auto"/>
        </w:rPr>
      </w:pPr>
    </w:p>
    <w:p>
      <w:pPr>
        <w:ind w:left="760" w:hanging="324"/>
        <w:spacing w:after="0"/>
        <w:tabs>
          <w:tab w:leader="none" w:pos="760" w:val="left"/>
        </w:tabs>
        <w:numPr>
          <w:ilvl w:val="0"/>
          <w:numId w:val="102"/>
        </w:numPr>
        <w:rPr>
          <w:rFonts w:ascii="Arial" w:cs="Arial" w:eastAsia="Arial" w:hAnsi="Arial"/>
          <w:sz w:val="18"/>
          <w:szCs w:val="18"/>
          <w:color w:val="auto"/>
        </w:rPr>
      </w:pPr>
      <w:r>
        <w:rPr>
          <w:rFonts w:ascii="Arial" w:cs="Arial" w:eastAsia="Arial" w:hAnsi="Arial"/>
          <w:sz w:val="18"/>
          <w:szCs w:val="18"/>
          <w:b w:val="1"/>
          <w:bCs w:val="1"/>
          <w:u w:val="single" w:color="auto"/>
          <w:color w:val="auto"/>
        </w:rPr>
        <w:t>C</w:t>
      </w:r>
      <w:r>
        <w:rPr>
          <w:rFonts w:ascii="Arial" w:cs="Arial" w:eastAsia="Arial" w:hAnsi="Arial"/>
          <w:sz w:val="14"/>
          <w:szCs w:val="14"/>
          <w:b w:val="1"/>
          <w:bCs w:val="1"/>
          <w:u w:val="single" w:color="auto"/>
          <w:color w:val="auto"/>
        </w:rPr>
        <w:t>ERTAIN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ONDITIONS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200" w:firstLine="991"/>
        <w:spacing w:after="0" w:line="282"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Compliance with Local Law.</w:t>
      </w:r>
      <w:r>
        <w:rPr>
          <w:rFonts w:ascii="Arial" w:cs="Arial" w:eastAsia="Arial" w:hAnsi="Arial"/>
          <w:sz w:val="18"/>
          <w:szCs w:val="18"/>
          <w:color w:val="auto"/>
        </w:rPr>
        <w:t xml:space="preserve"> The Participant agrees that the Participant will not acquire shares pursuant to the Award, or transfer, assign, sell or otherwise deal in such shares except in compliance with Local Law.</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70" w:name="page71"/>
    <w:bookmarkEnd w:id="70"/>
    <w:p>
      <w:pPr>
        <w:ind w:left="980"/>
        <w:spacing w:after="0"/>
        <w:tabs>
          <w:tab w:leader="none" w:pos="13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2.2</w:t>
      </w:r>
      <w:r>
        <w:rPr>
          <w:sz w:val="20"/>
          <w:szCs w:val="20"/>
          <w:color w:val="auto"/>
        </w:rPr>
        <w:tab/>
      </w:r>
      <w:r>
        <w:rPr>
          <w:rFonts w:ascii="Arial" w:cs="Arial" w:eastAsia="Arial" w:hAnsi="Arial"/>
          <w:sz w:val="16"/>
          <w:szCs w:val="16"/>
          <w:b w:val="1"/>
          <w:bCs w:val="1"/>
          <w:color w:val="auto"/>
        </w:rPr>
        <w:t xml:space="preserve">Employment Conditions. </w:t>
      </w:r>
      <w:r>
        <w:rPr>
          <w:rFonts w:ascii="Arial" w:cs="Arial" w:eastAsia="Arial" w:hAnsi="Arial"/>
          <w:sz w:val="16"/>
          <w:szCs w:val="16"/>
          <w:color w:val="auto"/>
        </w:rPr>
        <w:t>By accepting the Award, the Participant acknowledges and agrees that:</w:t>
      </w:r>
    </w:p>
    <w:p>
      <w:pPr>
        <w:spacing w:after="0" w:line="229" w:lineRule="exact"/>
        <w:rPr>
          <w:sz w:val="20"/>
          <w:szCs w:val="20"/>
          <w:color w:val="auto"/>
        </w:rPr>
      </w:pPr>
    </w:p>
    <w:p>
      <w:pPr>
        <w:ind w:right="120" w:firstLine="1428"/>
        <w:spacing w:after="0" w:line="257" w:lineRule="auto"/>
        <w:tabs>
          <w:tab w:leader="none" w:pos="180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notice period mandated under Local Law shall not be treated as Service for the purpose of determining the vesting of the Award; and the Participant’s right to receive shares in settlement of the Award after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spacing w:after="0" w:line="187" w:lineRule="exact"/>
        <w:rPr>
          <w:rFonts w:ascii="Arial" w:cs="Arial" w:eastAsia="Arial" w:hAnsi="Arial"/>
          <w:sz w:val="18"/>
          <w:szCs w:val="18"/>
          <w:color w:val="auto"/>
        </w:rPr>
      </w:pPr>
    </w:p>
    <w:p>
      <w:pPr>
        <w:ind w:firstLine="1428"/>
        <w:spacing w:after="0" w:line="286" w:lineRule="auto"/>
        <w:tabs>
          <w:tab w:leader="none" w:pos="1822" w:val="left"/>
        </w:tabs>
        <w:numPr>
          <w:ilvl w:val="0"/>
          <w:numId w:val="103"/>
        </w:numPr>
        <w:rPr>
          <w:rFonts w:ascii="Arial" w:cs="Arial" w:eastAsia="Arial" w:hAnsi="Arial"/>
          <w:sz w:val="16"/>
          <w:szCs w:val="16"/>
          <w:color w:val="auto"/>
        </w:rPr>
      </w:pPr>
      <w:r>
        <w:rPr>
          <w:rFonts w:ascii="Arial" w:cs="Arial" w:eastAsia="Arial" w:hAnsi="Arial"/>
          <w:sz w:val="16"/>
          <w:szCs w:val="16"/>
          <w:color w:val="auto"/>
        </w:rPr>
        <w:t>Notwithstanding anything to the contrary in the Grant Notice, if the Participant is terminated without Cause or resigns for Good Reason, in each case not in connection with a CIC Qualified Termination (each as defined in the Participant’s employment agreement with the Company) prior to the settlement of the Award, the Participant will remain eligible to vest (determined in accordance with the terms set forth in the Grant Notice) in a pro rata portion of the Restricted Stock Units on the Certification Date following the end of the Performance Period based on actual Company performance, with such pro rata portion determined by multiplying the total number of Restricted Stock Units remaining outstanding and unvested immediately prior to such termination by a fraction, the numerator of which is the number of full months that the Participant provided continuous Service during the Performance Period, and the denominator of which is the number of full months in the full Performance Period. All Restricted Stock Units in excess of the pro rata portion thereof that remains outstanding in accordance with the immediately preceding sentence shall immediately be forfeited and cancelled, and the Participant shall not be entitled to any compensation or other amount with respect thereto. If a Change in Control occurs upon or following such termination and prior to the end of the Performance Period, then the portion of the Restricted Stock Units remaining outstanding and unvested immediately prior to the Change in Control (after application of the foregoing provisions of this Section 2.2(b)) that are eligible to vest and become nonforfeitable (“</w:t>
      </w:r>
      <w:r>
        <w:rPr>
          <w:rFonts w:ascii="Arial" w:cs="Arial" w:eastAsia="Arial" w:hAnsi="Arial"/>
          <w:sz w:val="16"/>
          <w:szCs w:val="16"/>
          <w:b w:val="1"/>
          <w:bCs w:val="1"/>
          <w:i w:val="1"/>
          <w:iCs w:val="1"/>
          <w:color w:val="auto"/>
        </w:rPr>
        <w:t>CIC Post-Termination Units</w:t>
      </w:r>
      <w:r>
        <w:rPr>
          <w:rFonts w:ascii="Arial" w:cs="Arial" w:eastAsia="Arial" w:hAnsi="Arial"/>
          <w:sz w:val="16"/>
          <w:szCs w:val="16"/>
          <w:color w:val="auto"/>
        </w:rPr>
        <w:t>”) will be determined as of the date of the Change in Control in accordance with Exhibit A to the Grant Notice and the date of the Change in Control will serve as the last day of the Performance Period for purposes of such determination. The CIC Post-Termination Units, if any, will vest immediately upon the occurrence of the Change in Control and the date that the Change in Control is consummated shall be the Settlement Date for purposes of Section 7 hereof.</w:t>
      </w:r>
    </w:p>
    <w:p>
      <w:pPr>
        <w:spacing w:after="0" w:line="167" w:lineRule="exact"/>
        <w:rPr>
          <w:rFonts w:ascii="Arial" w:cs="Arial" w:eastAsia="Arial" w:hAnsi="Arial"/>
          <w:sz w:val="16"/>
          <w:szCs w:val="16"/>
          <w:color w:val="auto"/>
        </w:rPr>
      </w:pPr>
    </w:p>
    <w:p>
      <w:pPr>
        <w:ind w:firstLine="1428"/>
        <w:spacing w:after="0" w:line="259" w:lineRule="auto"/>
        <w:tabs>
          <w:tab w:leader="none" w:pos="1812"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If the Participant incurs a CIC Qualified Termination, all outstanding and unvested Units (after application of the provisions of Section 9) will fully vest on the date of such termination, and, in the event that the date of such CIC Qualified Termination occurs prior to the occurrence of any Change in Control, the number of vested Units will be determined by the level of actual performance through the date of such CIC Qualified Termination.</w:t>
      </w:r>
    </w:p>
    <w:p>
      <w:pPr>
        <w:spacing w:after="0" w:line="186" w:lineRule="exact"/>
        <w:rPr>
          <w:rFonts w:ascii="Arial" w:cs="Arial" w:eastAsia="Arial" w:hAnsi="Arial"/>
          <w:sz w:val="18"/>
          <w:szCs w:val="18"/>
          <w:color w:val="auto"/>
        </w:rPr>
      </w:pPr>
    </w:p>
    <w:p>
      <w:pPr>
        <w:jc w:val="both"/>
        <w:ind w:right="180" w:firstLine="1428"/>
        <w:spacing w:after="0" w:line="263" w:lineRule="auto"/>
        <w:tabs>
          <w:tab w:leader="none" w:pos="181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vesting of the Award shall cease upon, and no Units shall vest following, the Participant’s termination of Service for any reason other than as set forth in Section 2.2 (b) or (c). Further, all unvested Units will be forfeited and cancelled and the Participant will not be entitled to any compensation or other amount with respect thereto.</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440" w:top="270" w:right="439" w:bottom="1440" w:gutter="0" w:footer="0" w:header="0"/>
        </w:sectPr>
      </w:pPr>
    </w:p>
    <w:bookmarkStart w:id="71" w:name="page72"/>
    <w:bookmarkEnd w:id="71"/>
    <w:p>
      <w:pPr>
        <w:ind w:left="-40" w:right="140" w:firstLine="1428"/>
        <w:spacing w:after="0" w:line="277" w:lineRule="auto"/>
        <w:tabs>
          <w:tab w:leader="none" w:pos="1768"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Plan is established voluntarily by the Company. It is discretionary in nature and it may be modified, amended, suspended or terminated by the Company at any time, unless otherwise provided in the Plan and this Agreement.</w:t>
      </w:r>
    </w:p>
    <w:p>
      <w:pPr>
        <w:spacing w:after="0" w:line="170" w:lineRule="exact"/>
        <w:rPr>
          <w:rFonts w:ascii="Arial" w:cs="Arial" w:eastAsia="Arial" w:hAnsi="Arial"/>
          <w:sz w:val="18"/>
          <w:szCs w:val="18"/>
          <w:color w:val="auto"/>
        </w:rPr>
      </w:pPr>
    </w:p>
    <w:p>
      <w:pPr>
        <w:ind w:left="-40" w:right="40" w:firstLine="1428"/>
        <w:spacing w:after="0" w:line="277" w:lineRule="auto"/>
        <w:tabs>
          <w:tab w:leader="none" w:pos="1748"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grant of the Award is voluntary and occasional and does not create any contractual or other right to receive future grants of Awards, or benefits in lieu of Awards, even if Awards have been granted repeatedly in the past.</w:t>
      </w:r>
    </w:p>
    <w:p>
      <w:pPr>
        <w:spacing w:after="0" w:line="170" w:lineRule="exact"/>
        <w:rPr>
          <w:rFonts w:ascii="Arial" w:cs="Arial" w:eastAsia="Arial" w:hAnsi="Arial"/>
          <w:sz w:val="18"/>
          <w:szCs w:val="18"/>
          <w:color w:val="auto"/>
        </w:rPr>
      </w:pPr>
    </w:p>
    <w:p>
      <w:pPr>
        <w:ind w:left="1760" w:hanging="372"/>
        <w:spacing w:after="0"/>
        <w:tabs>
          <w:tab w:leader="none" w:pos="17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decisions with respect to future Award grants, if any, will be at the sole discretion of the Company.</w:t>
      </w:r>
    </w:p>
    <w:p>
      <w:pPr>
        <w:spacing w:after="0" w:line="225" w:lineRule="exact"/>
        <w:rPr>
          <w:rFonts w:ascii="Arial" w:cs="Arial" w:eastAsia="Arial" w:hAnsi="Arial"/>
          <w:sz w:val="18"/>
          <w:szCs w:val="18"/>
          <w:color w:val="auto"/>
        </w:rPr>
      </w:pPr>
    </w:p>
    <w:p>
      <w:pPr>
        <w:ind w:left="-40" w:firstLine="1428"/>
        <w:spacing w:after="0" w:line="263" w:lineRule="auto"/>
        <w:tabs>
          <w:tab w:leader="none" w:pos="177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Participant’s participation in the Plan shall not create a right to further Service with any Participating Company and shall not interfere with the ability of any Participating Company to terminate the Participant’s Service at any time, with or without Cause, insofar as permitted under Local Law.</w:t>
      </w:r>
    </w:p>
    <w:p>
      <w:pPr>
        <w:spacing w:after="0" w:line="183" w:lineRule="exact"/>
        <w:rPr>
          <w:rFonts w:ascii="Arial" w:cs="Arial" w:eastAsia="Arial" w:hAnsi="Arial"/>
          <w:sz w:val="18"/>
          <w:szCs w:val="18"/>
          <w:color w:val="auto"/>
        </w:rPr>
      </w:pPr>
    </w:p>
    <w:p>
      <w:pPr>
        <w:ind w:left="1740" w:hanging="352"/>
        <w:spacing w:after="0"/>
        <w:tabs>
          <w:tab w:leader="none" w:pos="17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Participant is voluntarily participating in the Plan.</w:t>
      </w:r>
    </w:p>
    <w:p>
      <w:pPr>
        <w:spacing w:after="0" w:line="225" w:lineRule="exact"/>
        <w:rPr>
          <w:rFonts w:ascii="Arial" w:cs="Arial" w:eastAsia="Arial" w:hAnsi="Arial"/>
          <w:sz w:val="18"/>
          <w:szCs w:val="18"/>
          <w:color w:val="auto"/>
        </w:rPr>
      </w:pPr>
    </w:p>
    <w:p>
      <w:pPr>
        <w:ind w:left="-40" w:right="80" w:firstLine="1428"/>
        <w:spacing w:after="0" w:line="308" w:lineRule="auto"/>
        <w:tabs>
          <w:tab w:leader="none" w:pos="1739"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Award and resulting shares, if any, are an extraordinary item that does not constitute compensation of any kind for Service of any kind rendered to any Participating Company, and which is outside the scope of the Participant’s employment contract, if any.</w:t>
      </w:r>
    </w:p>
    <w:p>
      <w:pPr>
        <w:spacing w:after="0" w:line="146" w:lineRule="exact"/>
        <w:rPr>
          <w:rFonts w:ascii="Arial" w:cs="Arial" w:eastAsia="Arial" w:hAnsi="Arial"/>
          <w:sz w:val="17"/>
          <w:szCs w:val="17"/>
          <w:color w:val="auto"/>
        </w:rPr>
      </w:pPr>
    </w:p>
    <w:p>
      <w:pPr>
        <w:ind w:left="-40" w:right="100" w:firstLine="1428"/>
        <w:spacing w:after="0" w:line="263" w:lineRule="auto"/>
        <w:tabs>
          <w:tab w:leader="none" w:pos="177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spacing w:after="0" w:line="183" w:lineRule="exact"/>
        <w:rPr>
          <w:rFonts w:ascii="Arial" w:cs="Arial" w:eastAsia="Arial" w:hAnsi="Arial"/>
          <w:sz w:val="18"/>
          <w:szCs w:val="18"/>
          <w:color w:val="auto"/>
        </w:rPr>
      </w:pPr>
    </w:p>
    <w:p>
      <w:pPr>
        <w:ind w:left="-40" w:right="180" w:firstLine="1428"/>
        <w:spacing w:after="0" w:line="263" w:lineRule="auto"/>
        <w:tabs>
          <w:tab w:leader="none" w:pos="174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spacing w:after="0" w:line="183" w:lineRule="exact"/>
        <w:rPr>
          <w:rFonts w:ascii="Arial" w:cs="Arial" w:eastAsia="Arial" w:hAnsi="Arial"/>
          <w:sz w:val="18"/>
          <w:szCs w:val="18"/>
          <w:color w:val="auto"/>
        </w:rPr>
      </w:pPr>
    </w:p>
    <w:p>
      <w:pPr>
        <w:ind w:left="-40" w:right="120" w:firstLine="1428"/>
        <w:spacing w:after="0" w:line="277" w:lineRule="auto"/>
        <w:tabs>
          <w:tab w:leader="none" w:pos="1829"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 If the Participant obtains shares upon settlement of the Award, the value of those shares may increase or decrease.</w:t>
      </w:r>
    </w:p>
    <w:p>
      <w:pPr>
        <w:spacing w:after="0" w:line="170" w:lineRule="exact"/>
        <w:rPr>
          <w:rFonts w:ascii="Arial" w:cs="Arial" w:eastAsia="Arial" w:hAnsi="Arial"/>
          <w:sz w:val="18"/>
          <w:szCs w:val="18"/>
          <w:color w:val="auto"/>
        </w:rPr>
      </w:pPr>
    </w:p>
    <w:p>
      <w:pPr>
        <w:jc w:val="both"/>
        <w:ind w:left="-40" w:right="120" w:firstLine="1428"/>
        <w:spacing w:after="0" w:line="296" w:lineRule="auto"/>
        <w:tabs>
          <w:tab w:leader="none" w:pos="1782" w:val="left"/>
        </w:tabs>
        <w:numPr>
          <w:ilvl w:val="0"/>
          <w:numId w:val="104"/>
        </w:numPr>
        <w:rPr>
          <w:rFonts w:ascii="Arial" w:cs="Arial" w:eastAsia="Arial" w:hAnsi="Arial"/>
          <w:sz w:val="16"/>
          <w:szCs w:val="16"/>
          <w:color w:val="auto"/>
        </w:rPr>
      </w:pPr>
      <w:r>
        <w:rPr>
          <w:rFonts w:ascii="Arial" w:cs="Arial" w:eastAsia="Arial" w:hAnsi="Arial"/>
          <w:sz w:val="16"/>
          <w:szCs w:val="16"/>
          <w:color w:val="auto"/>
        </w:rPr>
        <w:t>In consideration of the grant of an Award, 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480" w:top="274" w:right="479" w:bottom="1440" w:gutter="0" w:footer="0" w:header="0"/>
        </w:sectPr>
      </w:pPr>
    </w:p>
    <w:bookmarkStart w:id="72" w:name="page73"/>
    <w:bookmarkEnd w:id="72"/>
    <w:p>
      <w:pPr>
        <w:ind w:left="960"/>
        <w:spacing w:after="0"/>
        <w:tabs>
          <w:tab w:leader="none" w:pos="13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2.3</w:t>
      </w:r>
      <w:r>
        <w:rPr>
          <w:sz w:val="20"/>
          <w:szCs w:val="20"/>
          <w:color w:val="auto"/>
        </w:rPr>
        <w:tab/>
      </w:r>
      <w:r>
        <w:rPr>
          <w:rFonts w:ascii="Arial" w:cs="Arial" w:eastAsia="Arial" w:hAnsi="Arial"/>
          <w:sz w:val="16"/>
          <w:szCs w:val="16"/>
          <w:b w:val="1"/>
          <w:bCs w:val="1"/>
          <w:color w:val="auto"/>
        </w:rPr>
        <w:t>Data Privacy Consent</w:t>
      </w:r>
      <w:r>
        <w:rPr>
          <w:rFonts w:ascii="Arial" w:cs="Arial" w:eastAsia="Arial" w:hAnsi="Arial"/>
          <w:sz w:val="16"/>
          <w:szCs w:val="16"/>
          <w:color w:val="auto"/>
        </w:rPr>
        <w:t>.</w:t>
      </w:r>
    </w:p>
    <w:p>
      <w:pPr>
        <w:spacing w:after="0" w:line="225" w:lineRule="exact"/>
        <w:rPr>
          <w:sz w:val="20"/>
          <w:szCs w:val="20"/>
          <w:color w:val="auto"/>
        </w:rPr>
      </w:pPr>
    </w:p>
    <w:p>
      <w:pPr>
        <w:ind w:left="-20" w:right="80" w:firstLine="1428"/>
        <w:spacing w:after="0" w:line="275" w:lineRule="auto"/>
        <w:tabs>
          <w:tab w:leader="none" w:pos="1792"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HEREBY EXPLICITLY AND UNAMBIGUOUSLY CONSENTS TO THE COLLECTION</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USE AND TRANSFER</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IN 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PERSONAL DATA AS DESCRIBED IN THIS DOCUMENT BY AND AMONG THE MEMBERS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ARTICIPATING </w:t>
      </w:r>
      <w:r>
        <w:rPr>
          <w:rFonts w:ascii="Arial" w:cs="Arial" w:eastAsia="Arial" w:hAnsi="Arial"/>
          <w:sz w:val="17"/>
          <w:szCs w:val="17"/>
          <w:b w:val="1"/>
          <w:bCs w:val="1"/>
          <w:color w:val="auto"/>
        </w:rPr>
        <w:t>C</w:t>
      </w:r>
      <w:r>
        <w:rPr>
          <w:rFonts w:ascii="Arial" w:cs="Arial" w:eastAsia="Arial" w:hAnsi="Arial"/>
          <w:sz w:val="14"/>
          <w:szCs w:val="14"/>
          <w:b w:val="1"/>
          <w:bCs w:val="1"/>
          <w:color w:val="auto"/>
        </w:rPr>
        <w:t xml:space="preserve">OMPANY </w:t>
      </w:r>
      <w:r>
        <w:rPr>
          <w:rFonts w:ascii="Arial" w:cs="Arial" w:eastAsia="Arial" w:hAnsi="Arial"/>
          <w:sz w:val="17"/>
          <w:szCs w:val="17"/>
          <w:b w:val="1"/>
          <w:bCs w:val="1"/>
          <w:color w:val="auto"/>
        </w:rPr>
        <w:t>G</w:t>
      </w:r>
      <w:r>
        <w:rPr>
          <w:rFonts w:ascii="Arial" w:cs="Arial" w:eastAsia="Arial" w:hAnsi="Arial"/>
          <w:sz w:val="14"/>
          <w:szCs w:val="14"/>
          <w:b w:val="1"/>
          <w:bCs w:val="1"/>
          <w:color w:val="auto"/>
        </w:rPr>
        <w:t>ROUP FOR THE EXCLUSIVE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PARTICIPATION IN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p>
    <w:p>
      <w:pPr>
        <w:spacing w:after="0" w:line="170" w:lineRule="exact"/>
        <w:rPr>
          <w:rFonts w:ascii="Arial" w:cs="Arial" w:eastAsia="Arial" w:hAnsi="Arial"/>
          <w:sz w:val="18"/>
          <w:szCs w:val="18"/>
          <w:color w:val="auto"/>
        </w:rPr>
      </w:pPr>
    </w:p>
    <w:p>
      <w:pPr>
        <w:ind w:left="-20" w:firstLine="1428"/>
        <w:spacing w:after="0" w:line="266" w:lineRule="auto"/>
        <w:tabs>
          <w:tab w:leader="none" w:pos="1802" w:val="left"/>
        </w:tabs>
        <w:numPr>
          <w:ilvl w:val="0"/>
          <w:numId w:val="105"/>
        </w:numPr>
        <w:rPr>
          <w:rFonts w:ascii="Arial" w:cs="Arial" w:eastAsia="Arial" w:hAnsi="Arial"/>
          <w:sz w:val="18"/>
          <w:szCs w:val="18"/>
          <w:color w:val="auto"/>
        </w:rPr>
      </w:pPr>
      <w:r>
        <w:rPr>
          <w:rFonts w:ascii="Arial" w:cs="Arial" w:eastAsia="Arial" w:hAnsi="Arial"/>
          <w:sz w:val="18"/>
          <w:szCs w:val="18"/>
          <w:b w:val="1"/>
          <w:bCs w:val="1"/>
          <w:color w:val="auto"/>
        </w:rPr>
        <w:t>T</w:t>
      </w:r>
      <w:r>
        <w:rPr>
          <w:rFonts w:ascii="Arial" w:cs="Arial" w:eastAsia="Arial" w:hAnsi="Arial"/>
          <w:sz w:val="14"/>
          <w:szCs w:val="14"/>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ARTICIPANT UNDERSTANDS THAT THE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ARTICIPATING</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OMPANY</w:t>
      </w:r>
      <w:r>
        <w:rPr>
          <w:rFonts w:ascii="Arial" w:cs="Arial" w:eastAsia="Arial" w:hAnsi="Arial"/>
          <w:sz w:val="18"/>
          <w:szCs w:val="18"/>
          <w:b w:val="1"/>
          <w:bCs w:val="1"/>
          <w:color w:val="auto"/>
        </w:rPr>
        <w:t xml:space="preserve"> G</w:t>
      </w:r>
      <w:r>
        <w:rPr>
          <w:rFonts w:ascii="Arial" w:cs="Arial" w:eastAsia="Arial" w:hAnsi="Arial"/>
          <w:sz w:val="14"/>
          <w:szCs w:val="14"/>
          <w:b w:val="1"/>
          <w:bCs w:val="1"/>
          <w:color w:val="auto"/>
        </w:rPr>
        <w:t>ROUP HOLDS CERTAIN PERSONAL</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 xml:space="preserve">INFORMATION ABOUT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BUT NOT LIMITED TO</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NAME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HOME ADDRESS AND TELEPHONE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DATE OF BIRTH</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SOCIAL INSURANCE NUMBER OR OTHER IDENTIFICATION NUMBER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SALARY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NATIONALITY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JOB TITLE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ANY SHARES OR DIRECTORSHIPS HELD IN THE </w:t>
      </w:r>
      <w:r>
        <w:rPr>
          <w:rFonts w:ascii="Arial" w:cs="Arial" w:eastAsia="Arial" w:hAnsi="Arial"/>
          <w:sz w:val="17"/>
          <w:szCs w:val="17"/>
          <w:b w:val="1"/>
          <w:bCs w:val="1"/>
          <w:color w:val="auto"/>
        </w:rPr>
        <w:t>C</w:t>
      </w:r>
      <w:r>
        <w:rPr>
          <w:rFonts w:ascii="Arial" w:cs="Arial" w:eastAsia="Arial" w:hAnsi="Arial"/>
          <w:sz w:val="14"/>
          <w:szCs w:val="14"/>
          <w:b w:val="1"/>
          <w:bCs w:val="1"/>
          <w:color w:val="auto"/>
        </w:rPr>
        <w:t>OMPANY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DETAILS OF ALL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WARDS OR ANY OTHER ENTITLEMENT TO SHARES AWARDED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CANCELED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EXERCISED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VESTED</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UNVESTED OR OUTSTANDING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FAVOR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LAN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MAY BE TRANSFERRED TO ANY THIRD PARTIES ASSISTING IN THE IMPLEMENTATION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ADMINISTRATION AND MANAGEMENT OF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THESE RECIPIENTS MAY BE LOCATED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 OR ELSEWHERE</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WHICH MAY INCLUDE AREAS OUTSIDE THE</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UROPEAN</w:t>
      </w:r>
      <w:r>
        <w:rPr>
          <w:rFonts w:ascii="Arial" w:cs="Arial" w:eastAsia="Arial" w:hAnsi="Arial"/>
          <w:sz w:val="17"/>
          <w:szCs w:val="17"/>
          <w:b w:val="1"/>
          <w:bCs w:val="1"/>
          <w:color w:val="auto"/>
        </w:rPr>
        <w:t xml:space="preserve"> E</w:t>
      </w:r>
      <w:r>
        <w:rPr>
          <w:rFonts w:ascii="Arial" w:cs="Arial" w:eastAsia="Arial" w:hAnsi="Arial"/>
          <w:sz w:val="14"/>
          <w:szCs w:val="14"/>
          <w:b w:val="1"/>
          <w:bCs w:val="1"/>
          <w:color w:val="auto"/>
        </w:rPr>
        <w:t>CONOMIC AREA AND THAT THE</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RECIPIENT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COUNTRY MAY HAVE DIFFERENT DATA PRIVACY LAWS AND PROTECTIONS THAN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COUNTRY</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 THAT HE OR SHE MAY REQUEST A LIST WITH THE NAMES AND ADDRESSES OF ANY POTENTIAL RECIPIENTS OF</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 xml:space="preserve">THE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BY CONTACTING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AUTHORIZES THE RECIPIENTS TO RECEIVE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POSSESS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USE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RETAIN AND TRANSFER THE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ELECTRONIC OR OTHER FORM</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FOR THE PURPOSES OF IMPLEMENTING</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ADMINISTERING AND MANAGING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INCLUDING ANY REQUISITE TRANSFER OF SUCH </w:t>
      </w:r>
      <w:r>
        <w:rPr>
          <w:rFonts w:ascii="Arial" w:cs="Arial" w:eastAsia="Arial" w:hAnsi="Arial"/>
          <w:sz w:val="17"/>
          <w:szCs w:val="17"/>
          <w:b w:val="1"/>
          <w:bCs w:val="1"/>
          <w:color w:val="auto"/>
        </w:rPr>
        <w:t>D</w:t>
      </w:r>
      <w:r>
        <w:rPr>
          <w:rFonts w:ascii="Arial" w:cs="Arial" w:eastAsia="Arial" w:hAnsi="Arial"/>
          <w:sz w:val="14"/>
          <w:szCs w:val="14"/>
          <w:b w:val="1"/>
          <w:bCs w:val="1"/>
          <w:color w:val="auto"/>
        </w:rPr>
        <w:t xml:space="preserve">ATA AS MAY BE REQUIRED TO A BROKER OR OTHER THIRD PARTY WITH WHOM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MAY ELECT TO DEPOSIT ANY SHARES ACQUIRED UPON SETTLEMENT OF THE </w:t>
      </w:r>
      <w:r>
        <w:rPr>
          <w:rFonts w:ascii="Arial" w:cs="Arial" w:eastAsia="Arial" w:hAnsi="Arial"/>
          <w:sz w:val="17"/>
          <w:szCs w:val="17"/>
          <w:b w:val="1"/>
          <w:bCs w:val="1"/>
          <w:color w:val="auto"/>
        </w:rPr>
        <w:t>A</w:t>
      </w:r>
      <w:r>
        <w:rPr>
          <w:rFonts w:ascii="Arial" w:cs="Arial" w:eastAsia="Arial" w:hAnsi="Arial"/>
          <w:sz w:val="14"/>
          <w:szCs w:val="14"/>
          <w:b w:val="1"/>
          <w:bCs w:val="1"/>
          <w:color w:val="auto"/>
        </w:rPr>
        <w:t>WARD</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 xml:space="preserve">ARTICIPANT UNDERSTANDS THAT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WILL BE HELD ONLY AS LONG AS IS NECESSARY TO IMPLEMENT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ADMINISTER AND MANAGE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PARTICIPATION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 THAT HE OR SHE MAY</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AT ANY TIME</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VIEW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REQUEST ADDITIONAL INFORMATION ABOUT THE STORAGE AND PROCESSING OF </w:t>
      </w:r>
      <w:r>
        <w:rPr>
          <w:rFonts w:ascii="Arial" w:cs="Arial" w:eastAsia="Arial" w:hAnsi="Arial"/>
          <w:sz w:val="17"/>
          <w:szCs w:val="17"/>
          <w:b w:val="1"/>
          <w:bCs w:val="1"/>
          <w:color w:val="auto"/>
        </w:rPr>
        <w:t>D</w:t>
      </w:r>
      <w:r>
        <w:rPr>
          <w:rFonts w:ascii="Arial" w:cs="Arial" w:eastAsia="Arial" w:hAnsi="Arial"/>
          <w:sz w:val="14"/>
          <w:szCs w:val="14"/>
          <w:b w:val="1"/>
          <w:bCs w:val="1"/>
          <w:color w:val="auto"/>
        </w:rPr>
        <w:t>ATA</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REQUIRE ANY NECESSARY AMENDMENTS TO </w:t>
      </w:r>
      <w:r>
        <w:rPr>
          <w:rFonts w:ascii="Arial" w:cs="Arial" w:eastAsia="Arial" w:hAnsi="Arial"/>
          <w:sz w:val="17"/>
          <w:szCs w:val="17"/>
          <w:b w:val="1"/>
          <w:bCs w:val="1"/>
          <w:color w:val="auto"/>
        </w:rPr>
        <w:t>D</w:t>
      </w:r>
      <w:r>
        <w:rPr>
          <w:rFonts w:ascii="Arial" w:cs="Arial" w:eastAsia="Arial" w:hAnsi="Arial"/>
          <w:sz w:val="14"/>
          <w:szCs w:val="14"/>
          <w:b w:val="1"/>
          <w:bCs w:val="1"/>
          <w:color w:val="auto"/>
        </w:rPr>
        <w:t>ATA OR REFUSE OR WITHDRAW THE CONSENTS HEREIN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IN ANY CASE WITHOUT COST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BY CONTACTING IN WRITING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 T</w:t>
      </w:r>
      <w:r>
        <w:rPr>
          <w:rFonts w:ascii="Arial" w:cs="Arial" w:eastAsia="Arial" w:hAnsi="Arial"/>
          <w:sz w:val="14"/>
          <w:szCs w:val="14"/>
          <w:b w:val="1"/>
          <w:bCs w:val="1"/>
          <w:color w:val="auto"/>
        </w:rPr>
        <w:t xml:space="preserve">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 UNDERSTANDS</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HOWEVER</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THAT REFUSING OR WITHDRAWING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CONSENT MAY AFFECT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S ABILITY TO PARTICIPATE IN THE </w:t>
      </w:r>
      <w:r>
        <w:rPr>
          <w:rFonts w:ascii="Arial" w:cs="Arial" w:eastAsia="Arial" w:hAnsi="Arial"/>
          <w:sz w:val="17"/>
          <w:szCs w:val="17"/>
          <w:b w:val="1"/>
          <w:bCs w:val="1"/>
          <w:color w:val="auto"/>
        </w:rPr>
        <w:t>P</w:t>
      </w:r>
      <w:r>
        <w:rPr>
          <w:rFonts w:ascii="Arial" w:cs="Arial" w:eastAsia="Arial" w:hAnsi="Arial"/>
          <w:sz w:val="14"/>
          <w:szCs w:val="14"/>
          <w:b w:val="1"/>
          <w:bCs w:val="1"/>
          <w:color w:val="auto"/>
        </w:rPr>
        <w:t>LAN</w:t>
      </w:r>
      <w:r>
        <w:rPr>
          <w:rFonts w:ascii="Arial" w:cs="Arial" w:eastAsia="Arial" w:hAnsi="Arial"/>
          <w:sz w:val="17"/>
          <w:szCs w:val="17"/>
          <w:b w:val="1"/>
          <w:bCs w:val="1"/>
          <w:color w:val="auto"/>
        </w:rPr>
        <w:t>.</w:t>
      </w: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rPr>
        <w:t>F</w:t>
      </w:r>
      <w:r>
        <w:rPr>
          <w:rFonts w:ascii="Arial" w:cs="Arial" w:eastAsia="Arial" w:hAnsi="Arial"/>
          <w:sz w:val="14"/>
          <w:szCs w:val="14"/>
          <w:b w:val="1"/>
          <w:bCs w:val="1"/>
          <w:color w:val="auto"/>
        </w:rPr>
        <w:t>OR MORE INFORMATION ON THE CONSEQUENCES OF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REFUSAL TO CONSENT OR WITHDRAWAL OF CONSENT</w:t>
      </w:r>
      <w:r>
        <w:rPr>
          <w:rFonts w:ascii="Arial" w:cs="Arial" w:eastAsia="Arial" w:hAnsi="Arial"/>
          <w:sz w:val="17"/>
          <w:szCs w:val="17"/>
          <w:b w:val="1"/>
          <w:bCs w:val="1"/>
          <w:color w:val="auto"/>
        </w:rPr>
        <w:t xml:space="preserve">, </w:t>
      </w:r>
      <w:r>
        <w:rPr>
          <w:rFonts w:ascii="Arial" w:cs="Arial" w:eastAsia="Arial" w:hAnsi="Arial"/>
          <w:sz w:val="14"/>
          <w:szCs w:val="14"/>
          <w:b w:val="1"/>
          <w:bCs w:val="1"/>
          <w:color w:val="auto"/>
        </w:rPr>
        <w:t>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 UNDERSTANDS THAT HE OR SHE MAY CONTACT THE</w:t>
      </w:r>
      <w:r>
        <w:rPr>
          <w:rFonts w:ascii="Arial" w:cs="Arial" w:eastAsia="Arial" w:hAnsi="Arial"/>
          <w:sz w:val="17"/>
          <w:szCs w:val="17"/>
          <w:b w:val="1"/>
          <w:bCs w:val="1"/>
          <w:color w:val="auto"/>
        </w:rPr>
        <w:t xml:space="preserve"> P</w:t>
      </w:r>
      <w:r>
        <w:rPr>
          <w:rFonts w:ascii="Arial" w:cs="Arial" w:eastAsia="Arial" w:hAnsi="Arial"/>
          <w:sz w:val="14"/>
          <w:szCs w:val="14"/>
          <w:b w:val="1"/>
          <w:bCs w:val="1"/>
          <w:color w:val="auto"/>
        </w:rPr>
        <w:t>ARTICIPANT</w:t>
      </w:r>
      <w:r>
        <w:rPr>
          <w:rFonts w:ascii="Arial" w:cs="Arial" w:eastAsia="Arial" w:hAnsi="Arial"/>
          <w:sz w:val="17"/>
          <w:szCs w:val="17"/>
          <w:b w:val="1"/>
          <w:bCs w:val="1"/>
          <w:color w:val="auto"/>
        </w:rPr>
        <w:t>’</w:t>
      </w:r>
      <w:r>
        <w:rPr>
          <w:rFonts w:ascii="Arial" w:cs="Arial" w:eastAsia="Arial" w:hAnsi="Arial"/>
          <w:sz w:val="14"/>
          <w:szCs w:val="14"/>
          <w:b w:val="1"/>
          <w:bCs w:val="1"/>
          <w:color w:val="auto"/>
        </w:rPr>
        <w:t>S LOCAL HUMAN RESOURCES REPRESENTATIVE</w:t>
      </w:r>
      <w:r>
        <w:rPr>
          <w:rFonts w:ascii="Arial" w:cs="Arial" w:eastAsia="Arial" w:hAnsi="Arial"/>
          <w:sz w:val="17"/>
          <w:szCs w:val="17"/>
          <w:b w:val="1"/>
          <w:bCs w:val="1"/>
          <w:color w:val="auto"/>
        </w:rPr>
        <w:t>.</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60" w:top="270" w:right="459" w:bottom="1440" w:gutter="0" w:footer="0" w:header="0"/>
        </w:sectPr>
      </w:pPr>
    </w:p>
    <w:bookmarkStart w:id="73" w:name="page74"/>
    <w:bookmarkEnd w:id="73"/>
    <w:p>
      <w:pPr>
        <w:ind w:left="760" w:hanging="324"/>
        <w:spacing w:after="0"/>
        <w:tabs>
          <w:tab w:leader="none" w:pos="760" w:val="left"/>
        </w:tabs>
        <w:numPr>
          <w:ilvl w:val="0"/>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w:t>
      </w:r>
      <w:r>
        <w:rPr>
          <w:rFonts w:ascii="Arial" w:cs="Arial" w:eastAsia="Arial" w:hAnsi="Arial"/>
          <w:sz w:val="14"/>
          <w:szCs w:val="14"/>
          <w:b w:val="1"/>
          <w:bCs w:val="1"/>
          <w:u w:val="single" w:color="auto"/>
          <w:color w:val="auto"/>
        </w:rPr>
        <w:t>DMINISTRATION</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actual authority with respect to such matter, right, obligation, or election.</w:t>
      </w:r>
    </w:p>
    <w:p>
      <w:pPr>
        <w:spacing w:after="0" w:line="188" w:lineRule="exact"/>
        <w:rPr>
          <w:sz w:val="20"/>
          <w:szCs w:val="20"/>
          <w:color w:val="auto"/>
        </w:rPr>
      </w:pPr>
    </w:p>
    <w:p>
      <w:pPr>
        <w:ind w:left="760" w:hanging="324"/>
        <w:spacing w:after="0"/>
        <w:tabs>
          <w:tab w:leader="none" w:pos="76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T</w:t>
      </w:r>
      <w:r>
        <w:rPr>
          <w:rFonts w:ascii="Arial" w:cs="Arial" w:eastAsia="Arial" w:hAnsi="Arial"/>
          <w:sz w:val="14"/>
          <w:szCs w:val="14"/>
          <w:b w:val="1"/>
          <w:bCs w:val="1"/>
          <w:u w:val="single" w:color="auto"/>
          <w:color w:val="auto"/>
        </w:rPr>
        <w: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 of Units.</w:t>
      </w:r>
      <w:r>
        <w:rPr>
          <w:rFonts w:ascii="Arial" w:cs="Arial" w:eastAsia="Arial" w:hAnsi="Arial"/>
          <w:sz w:val="18"/>
          <w:szCs w:val="18"/>
          <w:color w:val="auto"/>
        </w:rPr>
        <w:t xml:space="preserve"> The Company hereby grants to the Participant, subject to the provisions of this Agreement, the Total Number of Restricted Stock Units set forth in the Grant Notice, subject to adjustment as provided in Section 4.3 and Section 10. Subject to the terms and conditions set forth in the Grant Notice, this Agreement and the Plan, each Unit represents a right to receive on a date determined in accordance with the Grant Notice and this Agreement one (1) share of Stock.</w:t>
      </w:r>
    </w:p>
    <w:p>
      <w:pPr>
        <w:spacing w:after="0" w:line="180" w:lineRule="exact"/>
        <w:rPr>
          <w:sz w:val="20"/>
          <w:szCs w:val="20"/>
          <w:color w:val="auto"/>
        </w:rPr>
      </w:pPr>
    </w:p>
    <w:p>
      <w:pPr>
        <w:ind w:firstLine="991"/>
        <w:spacing w:after="0" w:line="277"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b w:val="1"/>
          <w:bCs w:val="1"/>
          <w:color w:val="auto"/>
        </w:rPr>
        <w:t>No Monetary Payment Required.</w:t>
      </w:r>
      <w:r>
        <w:rPr>
          <w:rFonts w:ascii="Arial" w:cs="Arial" w:eastAsia="Arial" w:hAnsi="Arial"/>
          <w:sz w:val="17"/>
          <w:szCs w:val="17"/>
          <w:color w:val="auto"/>
        </w:rPr>
        <w:t xml:space="preserve"> 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spacing w:after="0" w:line="168" w:lineRule="exact"/>
        <w:rPr>
          <w:sz w:val="20"/>
          <w:szCs w:val="20"/>
          <w:color w:val="auto"/>
        </w:rPr>
      </w:pPr>
    </w:p>
    <w:p>
      <w:pPr>
        <w:ind w:right="40" w:firstLine="991"/>
        <w:spacing w:after="0" w:line="273"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b w:val="1"/>
          <w:bCs w:val="1"/>
          <w:color w:val="auto"/>
        </w:rPr>
        <w:t>Dividend Equivalent Units.</w:t>
      </w:r>
      <w:r>
        <w:rPr>
          <w:rFonts w:ascii="Arial" w:cs="Arial" w:eastAsia="Arial" w:hAnsi="Arial"/>
          <w:sz w:val="17"/>
          <w:szCs w:val="17"/>
          <w:color w:val="auto"/>
        </w:rPr>
        <w:t xml:space="preserve"> On the date that the Company pays a cash dividend to holders of Stock generally, the Participant shall be credited with a number of additional whole Dividend Equivalent Units determined by dividing (a) the product of (i) the dollar amount of the cash dividend paid per share of Stock on such date and (ii) the total number of Restricted Stock Units and Dividend Equivalent Units previously credited to the Participant pursuant to the Award and which have not been settled or forfeited pursuant to Section 6 below as of such date, by (b) the Fair Market Value per share of Stock on such date. Any resulting fractional Dividend Equivalent Unit shall be rounded to the nearest whole number. Such additional Dividend Equivalent Units shall be subject to the same terms and conditions and shall be settled or forfeited in the same manner and at the same time as the Restricted Stock Units originally subject to the Award with respect to which they have been credited.</w:t>
      </w:r>
    </w:p>
    <w:p>
      <w:pPr>
        <w:spacing w:after="0" w:line="172" w:lineRule="exact"/>
        <w:rPr>
          <w:sz w:val="20"/>
          <w:szCs w:val="20"/>
          <w:color w:val="auto"/>
        </w:rPr>
      </w:pPr>
    </w:p>
    <w:p>
      <w:pPr>
        <w:ind w:left="760" w:hanging="324"/>
        <w:spacing w:after="0"/>
        <w:tabs>
          <w:tab w:leader="none" w:pos="760" w:val="left"/>
        </w:tabs>
        <w:numPr>
          <w:ilvl w:val="0"/>
          <w:numId w:val="108"/>
        </w:numPr>
        <w:rPr>
          <w:rFonts w:ascii="Arial" w:cs="Arial" w:eastAsia="Arial" w:hAnsi="Arial"/>
          <w:sz w:val="18"/>
          <w:szCs w:val="18"/>
          <w:color w:val="auto"/>
        </w:rPr>
      </w:pPr>
      <w:r>
        <w:rPr>
          <w:rFonts w:ascii="Arial" w:cs="Arial" w:eastAsia="Arial" w:hAnsi="Arial"/>
          <w:sz w:val="18"/>
          <w:szCs w:val="18"/>
          <w:b w:val="1"/>
          <w:bCs w:val="1"/>
          <w:u w:val="single" w:color="auto"/>
          <w:color w:val="auto"/>
        </w:rPr>
        <w:t>V</w:t>
      </w:r>
      <w:r>
        <w:rPr>
          <w:rFonts w:ascii="Arial" w:cs="Arial" w:eastAsia="Arial" w:hAnsi="Arial"/>
          <w:sz w:val="14"/>
          <w:szCs w:val="14"/>
          <w:b w:val="1"/>
          <w:bCs w:val="1"/>
          <w:u w:val="single" w:color="auto"/>
          <w:color w:val="auto"/>
        </w:rPr>
        <w:t>ESTING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20" w:firstLine="440"/>
        <w:spacing w:after="0" w:line="342" w:lineRule="auto"/>
        <w:rPr>
          <w:sz w:val="20"/>
          <w:szCs w:val="20"/>
          <w:color w:val="auto"/>
        </w:rPr>
      </w:pPr>
      <w:r>
        <w:rPr>
          <w:rFonts w:ascii="Arial" w:cs="Arial" w:eastAsia="Arial" w:hAnsi="Arial"/>
          <w:sz w:val="16"/>
          <w:szCs w:val="16"/>
          <w:color w:val="auto"/>
        </w:rPr>
        <w:t>Units acquired pursuant to this Agreement shall become Vested Units as provided in the Grant Notice. Dividend Equivalent Units shall become Vested Units at the same time as the Restricted Stock Units originally subject to the Award with respect to which they have been credited.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70" w:right="479" w:bottom="1440" w:gutter="0" w:footer="0" w:header="0"/>
        </w:sectPr>
      </w:pPr>
    </w:p>
    <w:bookmarkStart w:id="74" w:name="page75"/>
    <w:bookmarkEnd w:id="74"/>
    <w:p>
      <w:pPr>
        <w:ind w:left="760" w:hanging="324"/>
        <w:spacing w:after="0"/>
        <w:tabs>
          <w:tab w:leader="none" w:pos="760" w:val="left"/>
        </w:tabs>
        <w:numPr>
          <w:ilvl w:val="0"/>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w:t>
      </w:r>
      <w:r>
        <w:rPr>
          <w:rFonts w:ascii="Arial" w:cs="Arial" w:eastAsia="Arial" w:hAnsi="Arial"/>
          <w:sz w:val="14"/>
          <w:szCs w:val="14"/>
          <w:b w:val="1"/>
          <w:bCs w:val="1"/>
          <w:u w:val="single" w:color="auto"/>
          <w:color w:val="auto"/>
        </w:rPr>
        <w:t>ORFEITURE OF</w:t>
      </w:r>
      <w:r>
        <w:rPr>
          <w:rFonts w:ascii="Arial" w:cs="Arial" w:eastAsia="Arial" w:hAnsi="Arial"/>
          <w:sz w:val="18"/>
          <w:szCs w:val="18"/>
          <w:b w:val="1"/>
          <w:bCs w:val="1"/>
          <w:u w:val="single" w:color="auto"/>
          <w:color w:val="auto"/>
        </w:rPr>
        <w:t xml:space="preserve"> U</w:t>
      </w:r>
      <w:r>
        <w:rPr>
          <w:rFonts w:ascii="Arial" w:cs="Arial" w:eastAsia="Arial" w:hAnsi="Arial"/>
          <w:sz w:val="14"/>
          <w:szCs w:val="14"/>
          <w:b w:val="1"/>
          <w:bCs w:val="1"/>
          <w:u w:val="single" w:color="auto"/>
          <w:color w:val="auto"/>
        </w:rPr>
        <w:t>NITS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240" w:firstLine="440"/>
        <w:spacing w:after="0" w:line="263" w:lineRule="auto"/>
        <w:rPr>
          <w:sz w:val="20"/>
          <w:szCs w:val="20"/>
          <w:color w:val="auto"/>
        </w:rPr>
      </w:pPr>
      <w:r>
        <w:rPr>
          <w:rFonts w:ascii="Arial" w:cs="Arial" w:eastAsia="Arial" w:hAnsi="Arial"/>
          <w:sz w:val="18"/>
          <w:szCs w:val="18"/>
          <w:color w:val="auto"/>
        </w:rPr>
        <w:t>In the event that the Participant’s Service with a Participating Company is terminated by the Participating Company for Cause, insofar as permitted under Local Law the Participant shall forfeit and the Company shall automatically reacquire all Units (whether vested or unvested), and the Participant shall not be entitled to any payment therefor.</w:t>
      </w:r>
    </w:p>
    <w:p>
      <w:pPr>
        <w:spacing w:after="0" w:line="180" w:lineRule="exact"/>
        <w:rPr>
          <w:sz w:val="20"/>
          <w:szCs w:val="20"/>
          <w:color w:val="auto"/>
        </w:rPr>
      </w:pPr>
    </w:p>
    <w:p>
      <w:pPr>
        <w:ind w:left="760" w:hanging="324"/>
        <w:spacing w:after="0"/>
        <w:tabs>
          <w:tab w:leader="none" w:pos="760"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S</w:t>
      </w:r>
      <w:r>
        <w:rPr>
          <w:rFonts w:ascii="Arial" w:cs="Arial" w:eastAsia="Arial" w:hAnsi="Arial"/>
          <w:sz w:val="14"/>
          <w:szCs w:val="14"/>
          <w:b w:val="1"/>
          <w:bCs w:val="1"/>
          <w:u w:val="single" w:color="auto"/>
          <w:color w:val="auto"/>
        </w:rPr>
        <w:t>ETTLEMENT OF THE</w:t>
      </w:r>
      <w:r>
        <w:rPr>
          <w:rFonts w:ascii="Arial" w:cs="Arial" w:eastAsia="Arial" w:hAnsi="Arial"/>
          <w:sz w:val="18"/>
          <w:szCs w:val="18"/>
          <w:b w:val="1"/>
          <w:bCs w:val="1"/>
          <w:u w:val="single" w:color="auto"/>
          <w:color w:val="auto"/>
        </w:rPr>
        <w:t xml:space="preserve"> A</w:t>
      </w:r>
      <w:r>
        <w:rPr>
          <w:rFonts w:ascii="Arial" w:cs="Arial" w:eastAsia="Arial" w:hAnsi="Arial"/>
          <w:sz w:val="14"/>
          <w:szCs w:val="14"/>
          <w:b w:val="1"/>
          <w:bCs w:val="1"/>
          <w:u w:val="single" w:color="auto"/>
          <w:color w:val="auto"/>
        </w:rPr>
        <w:t>WARD</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60" w:firstLine="991"/>
        <w:spacing w:after="0" w:line="256"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color w:val="auto"/>
        </w:rPr>
        <w:t>Issuance of Shares of Stock.</w:t>
      </w:r>
      <w:r>
        <w:rPr>
          <w:rFonts w:ascii="Arial" w:cs="Arial" w:eastAsia="Arial" w:hAnsi="Arial"/>
          <w:sz w:val="18"/>
          <w:szCs w:val="18"/>
          <w:color w:val="auto"/>
        </w:rPr>
        <w:t xml:space="preserve"> Subject to the provisions of Section 7.3 below, as soon as reasonably practicable following the date upon which Units vest (such date, the “</w:t>
      </w:r>
      <w:r>
        <w:rPr>
          <w:rFonts w:ascii="Arial" w:cs="Arial" w:eastAsia="Arial" w:hAnsi="Arial"/>
          <w:sz w:val="18"/>
          <w:szCs w:val="18"/>
          <w:b w:val="1"/>
          <w:bCs w:val="1"/>
          <w:i w:val="1"/>
          <w:iCs w:val="1"/>
          <w:color w:val="auto"/>
        </w:rPr>
        <w:t>Settlement Date</w:t>
      </w:r>
      <w:r>
        <w:rPr>
          <w:rFonts w:ascii="Arial" w:cs="Arial" w:eastAsia="Arial" w:hAnsi="Arial"/>
          <w:sz w:val="18"/>
          <w:szCs w:val="18"/>
          <w:color w:val="auto"/>
        </w:rPr>
        <w:t>”) (but in no event later than March 15</w:t>
      </w:r>
      <w:r>
        <w:rPr>
          <w:rFonts w:ascii="Arial" w:cs="Arial" w:eastAsia="Arial" w:hAnsi="Arial"/>
          <w:sz w:val="15"/>
          <w:szCs w:val="15"/>
          <w:color w:val="auto"/>
        </w:rPr>
        <w:t>th</w:t>
      </w:r>
      <w:r>
        <w:rPr>
          <w:rFonts w:ascii="Arial" w:cs="Arial" w:eastAsia="Arial" w:hAnsi="Arial"/>
          <w:sz w:val="18"/>
          <w:szCs w:val="18"/>
          <w:color w:val="auto"/>
        </w:rPr>
        <w:t xml:space="preserve"> of the calendar year following the calendar year in which such vesting occurs), the Company shall issue to the Participant with respect to each such Vested Unit one (1) share of Stock. Shares of Stock issued in settlement of Units shall not be subject to any restriction on transfer other than any such restriction as may be required pursuant to Section 7.3, Section 7 or the Company’s Securities Trading Policy or any stock ownership guidelines or holding period guidelines established by the Board from time to time.</w:t>
      </w:r>
    </w:p>
    <w:p>
      <w:pPr>
        <w:spacing w:after="0" w:line="187"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b w:val="1"/>
          <w:bCs w:val="1"/>
          <w:color w:val="auto"/>
        </w:rPr>
        <w:t>Beneficial Ownership of Shares; Certificate Registration</w:t>
      </w:r>
      <w:r>
        <w:rPr>
          <w:rFonts w:ascii="Arial" w:cs="Arial" w:eastAsia="Arial" w:hAnsi="Arial"/>
          <w:sz w:val="17"/>
          <w:szCs w:val="17"/>
          <w:color w:val="auto"/>
        </w:rPr>
        <w:t>. 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spacing w:after="0" w:line="168"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b w:val="1"/>
          <w:bCs w:val="1"/>
          <w:color w:val="auto"/>
        </w:rPr>
        <w:t>Restrictions on Grant of the Award and Issuance of Shares.</w:t>
      </w:r>
      <w:r>
        <w:rPr>
          <w:rFonts w:ascii="Arial" w:cs="Arial" w:eastAsia="Arial" w:hAnsi="Arial"/>
          <w:sz w:val="16"/>
          <w:szCs w:val="16"/>
          <w:color w:val="auto"/>
        </w:rPr>
        <w:t xml:space="preserve"> The grant of the Award and issuance of shares of Stock upon settlement of the Award shall be subject to compliance with all applicable requirements of United States federal, state law and Local Law with respect to such securities. No shares of Stock may be issued hereunder if the issuance of such shares would constitute a violation of any applicable United States federal, state, or Local Law, or other law or regulations or the requirements of any stock exchange or market system upon which the Stock may then be listed. The inability of the Company to obtain from any regulatory body having jurisdiction the authority, if any, or the impracticality of doing so,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spacing w:after="0" w:line="166" w:lineRule="exact"/>
        <w:rPr>
          <w:sz w:val="20"/>
          <w:szCs w:val="20"/>
          <w:color w:val="auto"/>
        </w:rPr>
      </w:pPr>
    </w:p>
    <w:p>
      <w:pPr>
        <w:jc w:val="center"/>
        <w:ind w:right="340"/>
        <w:spacing w:after="0"/>
        <w:tabs>
          <w:tab w:leader="none" w:pos="1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 xml:space="preserve">Fractional Shares. </w:t>
      </w:r>
      <w:r>
        <w:rPr>
          <w:rFonts w:ascii="Arial" w:cs="Arial" w:eastAsia="Arial" w:hAnsi="Arial"/>
          <w:sz w:val="16"/>
          <w:szCs w:val="16"/>
          <w:color w:val="auto"/>
        </w:rPr>
        <w:t>The Company shall not be required to issue fractional shares upon the settlement of the Award.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0" w:right="459" w:bottom="1440" w:gutter="0" w:footer="0" w:header="0"/>
        </w:sectPr>
      </w:pPr>
    </w:p>
    <w:bookmarkStart w:id="75" w:name="page76"/>
    <w:bookmarkEnd w:id="75"/>
    <w:p>
      <w:pPr>
        <w:ind w:left="760" w:hanging="324"/>
        <w:spacing w:after="0"/>
        <w:tabs>
          <w:tab w:leader="none" w:pos="760"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Arial" w:cs="Arial" w:eastAsia="Arial" w:hAnsi="Arial"/>
          <w:sz w:val="14"/>
          <w:szCs w:val="14"/>
          <w:b w:val="1"/>
          <w:bCs w:val="1"/>
          <w:u w:val="single" w:color="auto"/>
          <w:color w:val="auto"/>
        </w:rPr>
        <w:t>AX</w:t>
      </w:r>
      <w:r>
        <w:rPr>
          <w:rFonts w:ascii="Arial" w:cs="Arial" w:eastAsia="Arial" w:hAnsi="Arial"/>
          <w:sz w:val="18"/>
          <w:szCs w:val="18"/>
          <w:b w:val="1"/>
          <w:bCs w:val="1"/>
          <w:u w:val="single" w:color="auto"/>
          <w:color w:val="auto"/>
        </w:rPr>
        <w:t xml:space="preserve"> W</w:t>
      </w:r>
      <w:r>
        <w:rPr>
          <w:rFonts w:ascii="Arial" w:cs="Arial" w:eastAsia="Arial" w:hAnsi="Arial"/>
          <w:sz w:val="14"/>
          <w:szCs w:val="14"/>
          <w:b w:val="1"/>
          <w:bCs w:val="1"/>
          <w:u w:val="single" w:color="auto"/>
          <w:color w:val="auto"/>
        </w:rPr>
        <w:t>ITHHOLDING</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100" w:firstLine="440"/>
        <w:spacing w:after="0" w:line="272" w:lineRule="auto"/>
        <w:rPr>
          <w:sz w:val="20"/>
          <w:szCs w:val="20"/>
          <w:color w:val="auto"/>
        </w:rPr>
      </w:pPr>
      <w:r>
        <w:rPr>
          <w:rFonts w:ascii="Arial" w:cs="Arial" w:eastAsia="Arial" w:hAnsi="Arial"/>
          <w:sz w:val="17"/>
          <w:szCs w:val="17"/>
          <w:color w:val="auto"/>
        </w:rPr>
        <w:t>Regardless of any action the Company or the Participant’s employer (the “</w:t>
      </w:r>
      <w:r>
        <w:rPr>
          <w:rFonts w:ascii="Arial" w:cs="Arial" w:eastAsia="Arial" w:hAnsi="Arial"/>
          <w:sz w:val="17"/>
          <w:szCs w:val="17"/>
          <w:b w:val="1"/>
          <w:bCs w:val="1"/>
          <w:i w:val="1"/>
          <w:iCs w:val="1"/>
          <w:color w:val="auto"/>
        </w:rPr>
        <w:t>Employer</w:t>
      </w:r>
      <w:r>
        <w:rPr>
          <w:rFonts w:ascii="Arial" w:cs="Arial" w:eastAsia="Arial" w:hAnsi="Arial"/>
          <w:sz w:val="17"/>
          <w:szCs w:val="17"/>
          <w:color w:val="auto"/>
        </w:rPr>
        <w:t>”) takes with respect to any or all income tax, social insurance, payroll tax, payment on account or other tax-related withholding (“</w:t>
      </w:r>
      <w:r>
        <w:rPr>
          <w:rFonts w:ascii="Arial" w:cs="Arial" w:eastAsia="Arial" w:hAnsi="Arial"/>
          <w:sz w:val="17"/>
          <w:szCs w:val="17"/>
          <w:b w:val="1"/>
          <w:bCs w:val="1"/>
          <w:i w:val="1"/>
          <w:iCs w:val="1"/>
          <w:color w:val="auto"/>
        </w:rPr>
        <w:t>Tax-Related Items</w:t>
      </w:r>
      <w:r>
        <w:rPr>
          <w:rFonts w:ascii="Arial" w:cs="Arial" w:eastAsia="Arial" w:hAnsi="Arial"/>
          <w:sz w:val="17"/>
          <w:szCs w:val="17"/>
          <w:color w:val="auto"/>
        </w:rPr>
        <w:t>”), the Participant acknowledges and agrees that the ultimate liability for all Tax-Related Items legally due by the Participant is and remains the Participant’s responsibility and that the Company and/or the Employer (i) make no representations nor undertakings regarding the treatment of any Tax-Related Items in connection with any aspect of this grant of Units, including the grant and vesting of Units, subsequent delivery of shares and/or cash related to such Units or the subsequent sale of any shares acquired pursuant to such Units and receipt of any dividend equivalent payments (if any) and (ii) do not commit to structure the terms or any aspect of this grant of Units to reduce or eliminate the Participant’s liability for Tax-Related Items.</w:t>
      </w:r>
    </w:p>
    <w:p>
      <w:pPr>
        <w:spacing w:after="0" w:line="177" w:lineRule="exact"/>
        <w:rPr>
          <w:sz w:val="20"/>
          <w:szCs w:val="20"/>
          <w:color w:val="auto"/>
        </w:rPr>
      </w:pPr>
    </w:p>
    <w:p>
      <w:pPr>
        <w:ind w:firstLine="440"/>
        <w:spacing w:after="0" w:line="269" w:lineRule="auto"/>
        <w:rPr>
          <w:sz w:val="20"/>
          <w:szCs w:val="20"/>
          <w:color w:val="auto"/>
        </w:rPr>
      </w:pPr>
      <w:r>
        <w:rPr>
          <w:rFonts w:ascii="Arial" w:cs="Arial" w:eastAsia="Arial" w:hAnsi="Arial"/>
          <w:sz w:val="17"/>
          <w:szCs w:val="17"/>
          <w:color w:val="auto"/>
        </w:rPr>
        <w:t>The Participant shall satisfy Tax-Related Items by having the Company or the Employer deduct from shares of Stock otherwise deliverable to the Participant in settlement of the Award a number of whole shares having a Fair Market Value not in excess of the amount of such Tax-Related Items determined by the maximum applicable statutory withholding rates. Notwithstanding the foregoing, the Committee may instead, upon notice to the Participant, require the Participant to pay the Company or the Employer in cash any amount of Tax-Related Items that the Company or the Employer may be required to withhold as a result of the Participant’s participation in the Plan or the Participant’s receipt of Units (including, without limitation, by the Employer withholding such amounts from the Participant’s wages, which the Participant hereby authorizes). If the obligation for Tax-Related Items is satisfied by withholding a number of shares as described herein, the Participant understands that he or she will be deemed to have been issued the full number of shares subject to the settled Units, notwithstanding that a number of shares are held back solely for the purpose of paying the Tax-Related Items due as a result of the settlement of the Units. Further, if the Participant is subject to tax in more than one jurisdiction, the Participant acknowledges that the Company and/or Employer (or former Employer, as applicable) may be required to withhold or account for Tax-Related Items in more than one jurisdiction. The Company may refuse to deliver the shares if the Participant fails to comply with the Participant’s obligations in connection with the Tax-Related Items.</w:t>
      </w:r>
    </w:p>
    <w:p>
      <w:pPr>
        <w:spacing w:after="0" w:line="179"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Participant acknowledges and understands that the Participant should consult a tax adviser regarding the Participant’s tax obligations prior to such settlement or disposition.</w:t>
      </w:r>
    </w:p>
    <w:p>
      <w:pPr>
        <w:spacing w:after="0" w:line="166" w:lineRule="exact"/>
        <w:rPr>
          <w:sz w:val="20"/>
          <w:szCs w:val="20"/>
          <w:color w:val="auto"/>
        </w:rPr>
      </w:pPr>
    </w:p>
    <w:p>
      <w:pPr>
        <w:ind w:left="760" w:hanging="324"/>
        <w:spacing w:after="0"/>
        <w:tabs>
          <w:tab w:leader="none" w:pos="760" w:val="left"/>
        </w:tabs>
        <w:numPr>
          <w:ilvl w:val="0"/>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E</w:t>
      </w:r>
      <w:r>
        <w:rPr>
          <w:rFonts w:ascii="Arial" w:cs="Arial" w:eastAsia="Arial" w:hAnsi="Arial"/>
          <w:sz w:val="14"/>
          <w:szCs w:val="14"/>
          <w:b w:val="1"/>
          <w:bCs w:val="1"/>
          <w:u w:val="single" w:color="auto"/>
          <w:color w:val="auto"/>
        </w:rPr>
        <w:t>FFECT OF</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ONTROL</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b w:val="1"/>
          <w:bCs w:val="1"/>
          <w:color w:val="auto"/>
        </w:rPr>
        <w:t>Change in Control</w:t>
      </w:r>
      <w:r>
        <w:rPr>
          <w:rFonts w:ascii="Arial" w:cs="Arial" w:eastAsia="Arial" w:hAnsi="Arial"/>
          <w:sz w:val="17"/>
          <w:szCs w:val="17"/>
          <w:color w:val="auto"/>
        </w:rPr>
        <w:t>. Upon the occurrence of a Change in Control during the Performance Period where a Replacement Award (as defined below) is provided to the Participant at the time of the Change in Control in lieu of the Units, the number of Units that remain outstanding and unvested following the Change in Control and eligible to vest solely based on the passage of time will be determined as of the date of the Change in Control in accordance with Exhibit A to the Grant Notice (the “</w:t>
      </w:r>
      <w:r>
        <w:rPr>
          <w:rFonts w:ascii="Arial" w:cs="Arial" w:eastAsia="Arial" w:hAnsi="Arial"/>
          <w:sz w:val="17"/>
          <w:szCs w:val="17"/>
          <w:b w:val="1"/>
          <w:bCs w:val="1"/>
          <w:i w:val="1"/>
          <w:iCs w:val="1"/>
          <w:color w:val="auto"/>
        </w:rPr>
        <w:t>CIC Eligible Units</w:t>
      </w:r>
      <w:r>
        <w:rPr>
          <w:rFonts w:ascii="Arial" w:cs="Arial" w:eastAsia="Arial" w:hAnsi="Arial"/>
          <w:sz w:val="17"/>
          <w:szCs w:val="17"/>
          <w:color w:val="auto"/>
        </w:rPr>
        <w:t>”) and the date of the Change in Control will serve as the last day of the Performance Period for purposes of such determination. Subject to the Participant’s continuous employment, the CIC Eligible Units will vest on the last day of the Performance Period. Upon the occurrence of a Change in Control where a Replacement Award is not provided to the Participant in lieu of the Units, the CIC Eligible Units will vest. In either case, all Units in excess of the CIC Eligible Units shall immediately be forfeited and cancelled, and Participant shall not be entitled to any compensation or other amount with respect thereto.</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0" w:right="459" w:bottom="1440" w:gutter="0" w:footer="0" w:header="0"/>
        </w:sectPr>
      </w:pPr>
    </w:p>
    <w:bookmarkStart w:id="76" w:name="page77"/>
    <w:bookmarkEnd w:id="76"/>
    <w:p>
      <w:pPr>
        <w:ind w:left="984"/>
        <w:spacing w:after="0"/>
        <w:tabs>
          <w:tab w:leader="none" w:pos="138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9.2</w:t>
      </w:r>
      <w:r>
        <w:rPr>
          <w:sz w:val="20"/>
          <w:szCs w:val="20"/>
          <w:color w:val="auto"/>
        </w:rPr>
        <w:tab/>
      </w:r>
      <w:r>
        <w:rPr>
          <w:rFonts w:ascii="Arial" w:cs="Arial" w:eastAsia="Arial" w:hAnsi="Arial"/>
          <w:sz w:val="16"/>
          <w:szCs w:val="16"/>
          <w:b w:val="1"/>
          <w:bCs w:val="1"/>
          <w:color w:val="auto"/>
        </w:rPr>
        <w:t>Replacement Award</w:t>
      </w:r>
      <w:r>
        <w:rPr>
          <w:rFonts w:ascii="Arial" w:cs="Arial" w:eastAsia="Arial" w:hAnsi="Arial"/>
          <w:sz w:val="16"/>
          <w:szCs w:val="16"/>
          <w:color w:val="auto"/>
        </w:rPr>
        <w:t>. A “Replacement Award” is an Award that (i) is the same (i.e., the Award continues, other than with respect to</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7"/>
          <w:szCs w:val="17"/>
          <w:color w:val="auto"/>
        </w:rPr>
        <w:t>performance conditions as set forth in Section 9.1) or is of the same type as the Award that is replaced or adjusted by a Replacement Award (the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Replaced Award</w:t>
      </w:r>
      <w:r>
        <w:rPr>
          <w:rFonts w:ascii="Arial" w:cs="Arial" w:eastAsia="Arial" w:hAnsi="Arial"/>
          <w:sz w:val="16"/>
          <w:szCs w:val="16"/>
          <w:color w:val="auto"/>
        </w:rPr>
        <w:t>”) (i.e., restricted stock units); (ii) has a value at least equal to the value of the Replaced Award at the time of the Change in Control;</w:t>
      </w:r>
    </w:p>
    <w:p>
      <w:pPr>
        <w:spacing w:after="0" w:line="32" w:lineRule="exact"/>
        <w:rPr>
          <w:sz w:val="20"/>
          <w:szCs w:val="20"/>
          <w:color w:val="auto"/>
        </w:rPr>
      </w:pPr>
    </w:p>
    <w:p>
      <w:pPr>
        <w:ind w:left="4" w:hanging="4"/>
        <w:spacing w:after="0" w:line="268" w:lineRule="auto"/>
        <w:tabs>
          <w:tab w:leader="none" w:pos="31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is subject to the same vesting schedule as the Replaced Award; (iv) relates to equity securities of the Company or its successor upon the Change in Control, or a parent entity of the Company or its successor upon the Change in Control, which securities are subject to an effective registration statement under the Securities Act; (v) if the Participant is subject to U.S. federal income tax under the Code, the tax consequences to the Participant under the Code of the Replacement Award are not less favorable to the Participant than the tax consequences of the Replaced Award; and (vi) its other terms and conditions are not less favorable to the Participant than the terms and conditions of the Replaced Award (including, but not limited to, the provisions that would apply in the event of a subsequent Change in Control). Without limiting the generality of the foregoing, the Replacement Award may take the form of a continuation of the Replaced Award if the requirements of the preceding sentence are satisfied. The determination of whether the requirements for a Replacement Award are satisfied will be made by the Committee, as constituted immediately before the Change in Control, in its good faith discretion (taking into account the requirements of Treasury Regulation 1.409A-3(i)(5)(iv)(B) and compliance of the Replaced Award or Replacement Award with Section 409A).</w:t>
      </w:r>
    </w:p>
    <w:p>
      <w:pPr>
        <w:spacing w:after="0" w:line="174" w:lineRule="exact"/>
        <w:rPr>
          <w:rFonts w:ascii="Arial" w:cs="Arial" w:eastAsia="Arial" w:hAnsi="Arial"/>
          <w:sz w:val="17"/>
          <w:szCs w:val="17"/>
          <w:color w:val="auto"/>
        </w:rPr>
      </w:pPr>
    </w:p>
    <w:p>
      <w:pPr>
        <w:ind w:left="844" w:hanging="404"/>
        <w:spacing w:after="0"/>
        <w:tabs>
          <w:tab w:leader="none" w:pos="844" w:val="left"/>
        </w:tabs>
        <w:numPr>
          <w:ilvl w:val="1"/>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A</w:t>
      </w:r>
      <w:r>
        <w:rPr>
          <w:rFonts w:ascii="Arial" w:cs="Arial" w:eastAsia="Arial" w:hAnsi="Arial"/>
          <w:sz w:val="14"/>
          <w:szCs w:val="14"/>
          <w:b w:val="1"/>
          <w:bCs w:val="1"/>
          <w:u w:val="single" w:color="auto"/>
          <w:color w:val="auto"/>
        </w:rPr>
        <w:t>DJUSTMENTS FOR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HANGES IN</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APITAL</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TRUCTURE</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left="4" w:firstLine="440"/>
        <w:spacing w:after="0" w:line="286" w:lineRule="auto"/>
        <w:rPr>
          <w:sz w:val="20"/>
          <w:szCs w:val="20"/>
          <w:color w:val="auto"/>
        </w:rPr>
      </w:pPr>
      <w:r>
        <w:rPr>
          <w:rFonts w:ascii="Arial" w:cs="Arial" w:eastAsia="Arial" w:hAnsi="Arial"/>
          <w:sz w:val="16"/>
          <w:szCs w:val="16"/>
          <w:color w:val="auto"/>
        </w:rPr>
        <w:t>Subject to any required action by the stockholders of the Company and the requirements of Section 409A, to the extent applicable, in the event of any change in the Stock effected without receipt of consideration by the Company, whether through merger, consolidation, reorganization, reincorporation, recapitalization, reclassification, stock dividend, stock split, reverse stock split, split-up, split-off, spin-off, combination of shares, exchange of shares, or similar change in the capital structure of the Company, or in the event of payment of a dividend or distribution to the stockholders of the Company in a form other than Stock (other than regular, periodic cash dividends paid on Stock pursuant to the Company’s dividend policy) that has a material effect on the Fair Market Value of shares of Stock, or any other corporate transaction or event having an effect similar to any of the foregoing, appropriate and proportionate adjustments shall be made in the number of Units subject to the Award and/or the number and kind of shares or other property to be issued in settlement of the Award, in order to prevent dilution or enlargement of the Participant’s rights under the Award. For purposes of the foregoing, conversion of any convertible securities of the Company shall not be treated as “effected without receipt of consideration by the Company.” Any and all new, substituted or additional securities or other property (other than regular, periodic cash dividends paid on Stock pursuant to the Company’s dividend policy, which shall be treated in accordance with Section 4.3) to which the Participant is entitled by reason of ownership of Units acquired pursuant to this Award will be immediately subject to the provisions of this Award on the same basis as all Units originally acquired hereunder. Any fractional Unit or share resulting from an adjustment pursuant to this Section shall be rounded down to the nearest whole number. Such adjustments shall be determined by the Committee, and its determination shall be final, binding and conclusive.</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4"/>
          </w:cols>
          <w:pgMar w:left="436" w:top="270" w:right="459" w:bottom="1440" w:gutter="0" w:footer="0" w:header="0"/>
        </w:sectPr>
      </w:pPr>
    </w:p>
    <w:bookmarkStart w:id="77" w:name="page78"/>
    <w:bookmarkEnd w:id="77"/>
    <w:p>
      <w:pPr>
        <w:ind w:left="840" w:hanging="404"/>
        <w:spacing w:after="0"/>
        <w:tabs>
          <w:tab w:leader="none" w:pos="840" w:val="left"/>
        </w:tabs>
        <w:numPr>
          <w:ilvl w:val="0"/>
          <w:numId w:val="114"/>
        </w:numPr>
        <w:rPr>
          <w:rFonts w:ascii="Arial" w:cs="Arial" w:eastAsia="Arial" w:hAnsi="Arial"/>
          <w:sz w:val="18"/>
          <w:szCs w:val="18"/>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R</w:t>
      </w:r>
      <w:r>
        <w:rPr>
          <w:rFonts w:ascii="Arial" w:cs="Arial" w:eastAsia="Arial" w:hAnsi="Arial"/>
          <w:sz w:val="14"/>
          <w:szCs w:val="14"/>
          <w:b w:val="1"/>
          <w:bCs w:val="1"/>
          <w:u w:val="single" w:color="auto"/>
          <w:color w:val="auto"/>
        </w:rPr>
        <w:t>IGHTS AS A</w:t>
      </w:r>
      <w:r>
        <w:rPr>
          <w:rFonts w:ascii="Arial" w:cs="Arial" w:eastAsia="Arial" w:hAnsi="Arial"/>
          <w:sz w:val="18"/>
          <w:szCs w:val="18"/>
          <w:b w:val="1"/>
          <w:bCs w:val="1"/>
          <w:u w:val="single" w:color="auto"/>
          <w:color w:val="auto"/>
        </w:rPr>
        <w:t xml:space="preserve"> S</w:t>
      </w:r>
      <w:r>
        <w:rPr>
          <w:rFonts w:ascii="Arial" w:cs="Arial" w:eastAsia="Arial" w:hAnsi="Arial"/>
          <w:sz w:val="14"/>
          <w:szCs w:val="14"/>
          <w:b w:val="1"/>
          <w:bCs w:val="1"/>
          <w:u w:val="single" w:color="auto"/>
          <w:color w:val="auto"/>
        </w:rPr>
        <w:t>TOCKHOLDER</w:t>
      </w:r>
      <w:r>
        <w:rPr>
          <w:rFonts w:ascii="Arial" w:cs="Arial" w:eastAsia="Arial" w:hAnsi="Arial"/>
          <w:sz w:val="18"/>
          <w:szCs w:val="18"/>
          <w:b w:val="1"/>
          <w:bCs w:val="1"/>
          <w:u w:val="single" w:color="auto"/>
          <w:color w:val="auto"/>
        </w:rPr>
        <w:t>, D</w:t>
      </w:r>
      <w:r>
        <w:rPr>
          <w:rFonts w:ascii="Arial" w:cs="Arial" w:eastAsia="Arial" w:hAnsi="Arial"/>
          <w:sz w:val="14"/>
          <w:szCs w:val="14"/>
          <w:b w:val="1"/>
          <w:bCs w:val="1"/>
          <w:u w:val="single" w:color="auto"/>
          <w:color w:val="auto"/>
        </w:rPr>
        <w:t>IRECTOR</w:t>
      </w:r>
      <w:r>
        <w:rPr>
          <w:rFonts w:ascii="Arial" w:cs="Arial" w:eastAsia="Arial" w:hAnsi="Arial"/>
          <w:sz w:val="18"/>
          <w:szCs w:val="18"/>
          <w:b w:val="1"/>
          <w:bCs w:val="1"/>
          <w:u w:val="single" w:color="auto"/>
          <w:color w:val="auto"/>
        </w:rPr>
        <w:t>, E</w:t>
      </w:r>
      <w:r>
        <w:rPr>
          <w:rFonts w:ascii="Arial" w:cs="Arial" w:eastAsia="Arial" w:hAnsi="Arial"/>
          <w:sz w:val="14"/>
          <w:szCs w:val="14"/>
          <w:b w:val="1"/>
          <w:bCs w:val="1"/>
          <w:u w:val="single" w:color="auto"/>
          <w:color w:val="auto"/>
        </w:rPr>
        <w:t>MPLOYEE OR</w:t>
      </w:r>
      <w:r>
        <w:rPr>
          <w:rFonts w:ascii="Arial" w:cs="Arial" w:eastAsia="Arial" w:hAnsi="Arial"/>
          <w:sz w:val="18"/>
          <w:szCs w:val="18"/>
          <w:b w:val="1"/>
          <w:bCs w:val="1"/>
          <w:u w:val="single" w:color="auto"/>
          <w:color w:val="auto"/>
        </w:rPr>
        <w:t xml:space="preserve"> C</w:t>
      </w:r>
      <w:r>
        <w:rPr>
          <w:rFonts w:ascii="Arial" w:cs="Arial" w:eastAsia="Arial" w:hAnsi="Arial"/>
          <w:sz w:val="14"/>
          <w:szCs w:val="14"/>
          <w:b w:val="1"/>
          <w:bCs w:val="1"/>
          <w:u w:val="single" w:color="auto"/>
          <w:color w:val="auto"/>
        </w:rPr>
        <w:t>ONSULTANT</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right="80" w:firstLine="440"/>
        <w:spacing w:after="0" w:line="254" w:lineRule="auto"/>
        <w:rPr>
          <w:sz w:val="20"/>
          <w:szCs w:val="20"/>
          <w:color w:val="auto"/>
        </w:rPr>
      </w:pPr>
      <w:r>
        <w:rPr>
          <w:rFonts w:ascii="Arial" w:cs="Arial" w:eastAsia="Arial" w:hAnsi="Arial"/>
          <w:sz w:val="18"/>
          <w:szCs w:val="18"/>
          <w:color w:val="auto"/>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4.3 and Section 10. If the Participant is an Employee, the Participant understands and acknowledges that, except as otherwise provided in a separate, written employment agreement between a Participating Company and the Participant, the Participant’s employment is “at will” and is for no specified term unless otherwise required under applicable law. Nothing in this Agreement shall confer upon the Participant any right to continue in the Service of a Participating Company or interfere in any way with any right of the Participating Company Group to terminate the Participant’s Service at any time.</w:t>
      </w:r>
    </w:p>
    <w:p>
      <w:pPr>
        <w:spacing w:after="0" w:line="188" w:lineRule="exact"/>
        <w:rPr>
          <w:sz w:val="20"/>
          <w:szCs w:val="20"/>
          <w:color w:val="auto"/>
        </w:rPr>
      </w:pPr>
    </w:p>
    <w:p>
      <w:pPr>
        <w:ind w:left="840" w:hanging="404"/>
        <w:spacing w:after="0"/>
        <w:tabs>
          <w:tab w:leader="none" w:pos="840" w:val="left"/>
        </w:tabs>
        <w:numPr>
          <w:ilvl w:val="0"/>
          <w:numId w:val="115"/>
        </w:numPr>
        <w:rPr>
          <w:rFonts w:ascii="Arial" w:cs="Arial" w:eastAsia="Arial" w:hAnsi="Arial"/>
          <w:sz w:val="18"/>
          <w:szCs w:val="18"/>
          <w:color w:val="auto"/>
        </w:rPr>
      </w:pPr>
      <w:r>
        <w:rPr>
          <w:rFonts w:ascii="Arial" w:cs="Arial" w:eastAsia="Arial" w:hAnsi="Arial"/>
          <w:sz w:val="18"/>
          <w:szCs w:val="18"/>
          <w:b w:val="1"/>
          <w:bCs w:val="1"/>
          <w:u w:val="single" w:color="auto"/>
          <w:color w:val="auto"/>
        </w:rPr>
        <w:t>L</w:t>
      </w:r>
      <w:r>
        <w:rPr>
          <w:rFonts w:ascii="Arial" w:cs="Arial" w:eastAsia="Arial" w:hAnsi="Arial"/>
          <w:sz w:val="14"/>
          <w:szCs w:val="14"/>
          <w:b w:val="1"/>
          <w:bCs w:val="1"/>
          <w:u w:val="single" w:color="auto"/>
          <w:color w:val="auto"/>
        </w:rPr>
        <w:t>EGENDS</w:t>
      </w:r>
      <w:r>
        <w:rPr>
          <w:rFonts w:ascii="Arial" w:cs="Arial" w:eastAsia="Arial" w:hAnsi="Arial"/>
          <w:sz w:val="18"/>
          <w:szCs w:val="18"/>
          <w:b w:val="1"/>
          <w:bCs w:val="1"/>
          <w:u w:val="single" w:color="auto"/>
          <w:color w:val="auto"/>
        </w:rPr>
        <w:t>.</w:t>
      </w:r>
    </w:p>
    <w:p>
      <w:pPr>
        <w:spacing w:after="0" w:line="229"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The Company may at any time place legends referencing any applicable United States federal, state or non-U.S. securities law, including Local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spacing w:after="0" w:line="183" w:lineRule="exact"/>
        <w:rPr>
          <w:sz w:val="20"/>
          <w:szCs w:val="20"/>
          <w:color w:val="auto"/>
        </w:rPr>
      </w:pPr>
    </w:p>
    <w:p>
      <w:pPr>
        <w:ind w:left="840" w:hanging="404"/>
        <w:spacing w:after="0"/>
        <w:tabs>
          <w:tab w:leader="none" w:pos="840"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M</w:t>
      </w:r>
      <w:r>
        <w:rPr>
          <w:rFonts w:ascii="Arial" w:cs="Arial" w:eastAsia="Arial" w:hAnsi="Arial"/>
          <w:sz w:val="14"/>
          <w:szCs w:val="14"/>
          <w:b w:val="1"/>
          <w:bCs w:val="1"/>
          <w:u w:val="single" w:color="auto"/>
          <w:color w:val="auto"/>
        </w:rPr>
        <w:t>ISCELLANEOUS</w:t>
      </w:r>
      <w:r>
        <w:rPr>
          <w:rFonts w:ascii="Arial" w:cs="Arial" w:eastAsia="Arial" w:hAnsi="Arial"/>
          <w:sz w:val="18"/>
          <w:szCs w:val="18"/>
          <w:b w:val="1"/>
          <w:bCs w:val="1"/>
          <w:u w:val="single" w:color="auto"/>
          <w:color w:val="auto"/>
        </w:rPr>
        <w:t xml:space="preserve"> P</w:t>
      </w:r>
      <w:r>
        <w:rPr>
          <w:rFonts w:ascii="Arial" w:cs="Arial" w:eastAsia="Arial" w:hAnsi="Arial"/>
          <w:sz w:val="14"/>
          <w:szCs w:val="14"/>
          <w:b w:val="1"/>
          <w:bCs w:val="1"/>
          <w:u w:val="single" w:color="auto"/>
          <w:color w:val="auto"/>
        </w:rPr>
        <w:t>ROVISIONS</w:t>
      </w:r>
      <w:r>
        <w:rPr>
          <w:rFonts w:ascii="Arial" w:cs="Arial" w:eastAsia="Arial" w:hAnsi="Arial"/>
          <w:sz w:val="18"/>
          <w:szCs w:val="18"/>
          <w:b w:val="1"/>
          <w:bCs w:val="1"/>
          <w:u w:val="single" w:color="auto"/>
          <w:color w:val="auto"/>
        </w:rPr>
        <w:t>.</w:t>
      </w:r>
    </w:p>
    <w:p>
      <w:pPr>
        <w:spacing w:after="0" w:line="225" w:lineRule="exact"/>
        <w:rPr>
          <w:sz w:val="20"/>
          <w:szCs w:val="20"/>
          <w:color w:val="auto"/>
        </w:rPr>
      </w:pPr>
    </w:p>
    <w:p>
      <w:pPr>
        <w:ind w:right="40" w:firstLine="991"/>
        <w:spacing w:after="0" w:line="281"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b w:val="1"/>
          <w:bCs w:val="1"/>
          <w:color w:val="auto"/>
        </w:rPr>
        <w:t>Termination or Amendment.</w:t>
      </w:r>
      <w:r>
        <w:rPr>
          <w:rFonts w:ascii="Arial" w:cs="Arial" w:eastAsia="Arial" w:hAnsi="Arial"/>
          <w:sz w:val="17"/>
          <w:szCs w:val="17"/>
          <w:color w:val="auto"/>
        </w:rPr>
        <w:t xml:space="preserve"> The Committee may terminate or amend the Plan or this Agreement at any time; provided, however, that except as set forth in Section 10 or in connection with a Change in Control, no such termination or amendment may adversely affect the Participant’s rights under this Agreement without the consent of the Participant unless such termination or amendment is necessary to comply with applicable law or government regulation. No amendment or addition to this Agreement shall be effective unless in writing.</w:t>
      </w:r>
    </w:p>
    <w:p>
      <w:pPr>
        <w:spacing w:after="0" w:line="165"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b w:val="1"/>
          <w:bCs w:val="1"/>
          <w:color w:val="auto"/>
        </w:rPr>
        <w:t>Nontransferability of the Award.</w:t>
      </w:r>
      <w:r>
        <w:rPr>
          <w:rFonts w:ascii="Arial" w:cs="Arial" w:eastAsia="Arial" w:hAnsi="Arial"/>
          <w:sz w:val="18"/>
          <w:szCs w:val="18"/>
          <w:color w:val="auto"/>
        </w:rPr>
        <w:t xml:space="preserve"> 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spacing w:after="0" w:line="183" w:lineRule="exact"/>
        <w:rPr>
          <w:sz w:val="20"/>
          <w:szCs w:val="20"/>
          <w:color w:val="auto"/>
        </w:rPr>
      </w:pPr>
    </w:p>
    <w:p>
      <w:pPr>
        <w:ind w:right="740" w:firstLine="991"/>
        <w:spacing w:after="0" w:line="282" w:lineRule="auto"/>
        <w:rPr>
          <w:sz w:val="20"/>
          <w:szCs w:val="20"/>
          <w:color w:val="auto"/>
        </w:rPr>
      </w:pPr>
      <w:r>
        <w:rPr>
          <w:rFonts w:ascii="Arial" w:cs="Arial" w:eastAsia="Arial" w:hAnsi="Arial"/>
          <w:sz w:val="18"/>
          <w:szCs w:val="18"/>
          <w:color w:val="auto"/>
        </w:rPr>
        <w:t xml:space="preserve">13.3 </w:t>
      </w:r>
      <w:r>
        <w:rPr>
          <w:rFonts w:ascii="Arial" w:cs="Arial" w:eastAsia="Arial" w:hAnsi="Arial"/>
          <w:sz w:val="18"/>
          <w:szCs w:val="18"/>
          <w:b w:val="1"/>
          <w:bCs w:val="1"/>
          <w:color w:val="auto"/>
        </w:rPr>
        <w:t>Further Instruments.</w:t>
      </w:r>
      <w:r>
        <w:rPr>
          <w:rFonts w:ascii="Arial" w:cs="Arial" w:eastAsia="Arial" w:hAnsi="Arial"/>
          <w:sz w:val="18"/>
          <w:szCs w:val="18"/>
          <w:color w:val="auto"/>
        </w:rPr>
        <w:t xml:space="preserve"> The parties hereto agree to execute such further instruments and to take such further action as may reasonably be necessary to carry out the intent of this Agreement.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00"/>
          </w:cols>
          <w:pgMar w:left="440" w:top="270" w:right="459" w:bottom="1440" w:gutter="0" w:footer="0" w:header="0"/>
        </w:sectPr>
      </w:pPr>
    </w:p>
    <w:bookmarkStart w:id="78" w:name="page79"/>
    <w:bookmarkEnd w:id="78"/>
    <w:p>
      <w:pPr>
        <w:ind w:right="340" w:firstLine="991"/>
        <w:spacing w:after="0" w:line="34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13.4 </w:t>
      </w:r>
      <w:r>
        <w:rPr>
          <w:rFonts w:ascii="Arial" w:cs="Arial" w:eastAsia="Arial" w:hAnsi="Arial"/>
          <w:sz w:val="16"/>
          <w:szCs w:val="16"/>
          <w:b w:val="1"/>
          <w:bCs w:val="1"/>
          <w:color w:val="auto"/>
        </w:rPr>
        <w:t>Binding Effect.</w:t>
      </w:r>
      <w:r>
        <w:rPr>
          <w:rFonts w:ascii="Arial" w:cs="Arial" w:eastAsia="Arial" w:hAnsi="Arial"/>
          <w:sz w:val="16"/>
          <w:szCs w:val="16"/>
          <w:color w:val="auto"/>
        </w:rPr>
        <w:t xml:space="preserve"> This Agreement shall inure to the benefit of the successors and assigns of the Company and, subject to the restrictions on transfer set forth herein, be binding upon the Participant and the Participant’s heirs, executors, administrators, successors and assigns.</w:t>
      </w:r>
    </w:p>
    <w:p>
      <w:pPr>
        <w:spacing w:after="0" w:line="116" w:lineRule="exact"/>
        <w:rPr>
          <w:sz w:val="20"/>
          <w:szCs w:val="20"/>
          <w:color w:val="auto"/>
        </w:rPr>
      </w:pPr>
    </w:p>
    <w:p>
      <w:pPr>
        <w:ind w:right="80" w:firstLine="991"/>
        <w:spacing w:after="0" w:line="274"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b w:val="1"/>
          <w:bCs w:val="1"/>
          <w:color w:val="auto"/>
        </w:rPr>
        <w:t>Delivery of Documents and Notices.</w:t>
      </w:r>
      <w:r>
        <w:rPr>
          <w:rFonts w:ascii="Arial" w:cs="Arial" w:eastAsia="Arial" w:hAnsi="Arial"/>
          <w:sz w:val="17"/>
          <w:szCs w:val="17"/>
          <w:color w:val="auto"/>
        </w:rPr>
        <w:t xml:space="preserve"> 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non-U.S.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spacing w:after="0" w:line="177" w:lineRule="exact"/>
        <w:rPr>
          <w:sz w:val="20"/>
          <w:szCs w:val="20"/>
          <w:color w:val="auto"/>
        </w:rPr>
      </w:pPr>
    </w:p>
    <w:p>
      <w:pPr>
        <w:ind w:firstLine="1428"/>
        <w:spacing w:after="0" w:line="273" w:lineRule="auto"/>
        <w:tabs>
          <w:tab w:leader="none" w:pos="1812" w:val="left"/>
        </w:tabs>
        <w:numPr>
          <w:ilvl w:val="0"/>
          <w:numId w:val="11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Description of Electronic Delivery. </w:t>
      </w:r>
      <w:r>
        <w:rPr>
          <w:rFonts w:ascii="Arial" w:cs="Arial" w:eastAsia="Arial" w:hAnsi="Arial"/>
          <w:sz w:val="17"/>
          <w:szCs w:val="17"/>
          <w:color w:val="auto"/>
        </w:rPr>
        <w:t>The Plan documents, which may include but do not necessarily include: the Plan, the Grant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w:t>
      </w:r>
    </w:p>
    <w:p>
      <w:pPr>
        <w:spacing w:after="0" w:line="177" w:lineRule="exact"/>
        <w:rPr>
          <w:rFonts w:ascii="Arial" w:cs="Arial" w:eastAsia="Arial" w:hAnsi="Arial"/>
          <w:sz w:val="17"/>
          <w:szCs w:val="17"/>
          <w:color w:val="auto"/>
        </w:rPr>
      </w:pPr>
    </w:p>
    <w:p>
      <w:pPr>
        <w:ind w:right="20" w:firstLine="1428"/>
        <w:spacing w:after="0" w:line="288" w:lineRule="auto"/>
        <w:tabs>
          <w:tab w:leader="none" w:pos="1822"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Consent to Electronic Delivery. </w:t>
      </w:r>
      <w:r>
        <w:rPr>
          <w:rFonts w:ascii="Arial" w:cs="Arial" w:eastAsia="Arial" w:hAnsi="Arial"/>
          <w:sz w:val="16"/>
          <w:szCs w:val="16"/>
          <w:color w:val="auto"/>
        </w:rPr>
        <w:t>The Participant acknowledges that the Participant has read Section 13.5(a) of this Agreement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consents to the electronic delivery of the Plan documents and, if permitted by the Company, the delivery of the Grant Notice, as described in Section 13.5(a).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spacing w:after="0" w:line="164" w:lineRule="exact"/>
        <w:rPr>
          <w:sz w:val="20"/>
          <w:szCs w:val="20"/>
          <w:color w:val="auto"/>
        </w:rPr>
      </w:pPr>
    </w:p>
    <w:p>
      <w:pPr>
        <w:ind w:right="40" w:firstLine="991"/>
        <w:spacing w:after="0" w:line="258" w:lineRule="auto"/>
        <w:rPr>
          <w:sz w:val="20"/>
          <w:szCs w:val="20"/>
          <w:color w:val="auto"/>
        </w:rPr>
      </w:pPr>
      <w:r>
        <w:rPr>
          <w:rFonts w:ascii="Arial" w:cs="Arial" w:eastAsia="Arial" w:hAnsi="Arial"/>
          <w:sz w:val="18"/>
          <w:szCs w:val="18"/>
          <w:color w:val="auto"/>
        </w:rPr>
        <w:t xml:space="preserve">13.6 </w:t>
      </w:r>
      <w:r>
        <w:rPr>
          <w:rFonts w:ascii="Arial" w:cs="Arial" w:eastAsia="Arial" w:hAnsi="Arial"/>
          <w:sz w:val="18"/>
          <w:szCs w:val="18"/>
          <w:b w:val="1"/>
          <w:bCs w:val="1"/>
          <w:color w:val="auto"/>
        </w:rPr>
        <w:t>Integrated Agreement.</w:t>
      </w:r>
      <w:r>
        <w:rPr>
          <w:rFonts w:ascii="Arial" w:cs="Arial" w:eastAsia="Arial" w:hAnsi="Arial"/>
          <w:sz w:val="18"/>
          <w:szCs w:val="18"/>
          <w:color w:val="auto"/>
        </w:rPr>
        <w:t xml:space="preserve"> The Grant Notice (including its exhibits), this Agreement and the Plan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0" w:right="459" w:bottom="1440" w:gutter="0" w:footer="0" w:header="0"/>
        </w:sectPr>
      </w:pPr>
    </w:p>
    <w:bookmarkStart w:id="79" w:name="page80"/>
    <w:bookmarkEnd w:id="79"/>
    <w:p>
      <w:pPr>
        <w:ind w:right="20" w:firstLine="991"/>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13.7 </w:t>
      </w:r>
      <w:r>
        <w:rPr>
          <w:rFonts w:ascii="Arial" w:cs="Arial" w:eastAsia="Arial" w:hAnsi="Arial"/>
          <w:sz w:val="18"/>
          <w:szCs w:val="18"/>
          <w:b w:val="1"/>
          <w:bCs w:val="1"/>
          <w:color w:val="auto"/>
        </w:rPr>
        <w:t>Country-Specific Terms and Conditions.</w:t>
      </w:r>
      <w:r>
        <w:rPr>
          <w:rFonts w:ascii="Arial" w:cs="Arial" w:eastAsia="Arial" w:hAnsi="Arial"/>
          <w:sz w:val="18"/>
          <w:szCs w:val="18"/>
          <w:color w:val="auto"/>
        </w:rPr>
        <w:t xml:space="preserve"> Notwithstanding any other provision of this Agreement to the contrary, the Award shall be subject to the specific terms and conditions, if any, set forth in the Appendix to this Agreement which are applicable to the Participant’s country of residence, the provisions of which are incorporated in and constitute part of this Agreement. Moreover, if the Participant relocates to one of the countries included in the Appendix,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spacing w:after="0" w:line="187" w:lineRule="exact"/>
        <w:rPr>
          <w:sz w:val="20"/>
          <w:szCs w:val="20"/>
          <w:color w:val="auto"/>
        </w:rPr>
      </w:pPr>
    </w:p>
    <w:p>
      <w:pPr>
        <w:ind w:firstLine="991"/>
        <w:spacing w:after="0" w:line="281" w:lineRule="auto"/>
        <w:rPr>
          <w:sz w:val="20"/>
          <w:szCs w:val="20"/>
          <w:color w:val="auto"/>
        </w:rPr>
      </w:pPr>
      <w:r>
        <w:rPr>
          <w:rFonts w:ascii="Arial" w:cs="Arial" w:eastAsia="Arial" w:hAnsi="Arial"/>
          <w:sz w:val="17"/>
          <w:szCs w:val="17"/>
          <w:color w:val="auto"/>
        </w:rPr>
        <w:t xml:space="preserve">13.8 </w:t>
      </w:r>
      <w:r>
        <w:rPr>
          <w:rFonts w:ascii="Arial" w:cs="Arial" w:eastAsia="Arial" w:hAnsi="Arial"/>
          <w:sz w:val="17"/>
          <w:szCs w:val="17"/>
          <w:b w:val="1"/>
          <w:bCs w:val="1"/>
          <w:color w:val="auto"/>
        </w:rPr>
        <w:t>Applicable Law.</w:t>
      </w:r>
      <w:r>
        <w:rPr>
          <w:rFonts w:ascii="Arial" w:cs="Arial" w:eastAsia="Arial" w:hAnsi="Arial"/>
          <w:sz w:val="17"/>
          <w:szCs w:val="17"/>
          <w:color w:val="auto"/>
        </w:rPr>
        <w:t xml:space="preserve"> This Agreement shall be governed by the laws of the State of Delaware. For purposes of litigating any dispute that arises directly or indirectly from the relationship of the parties as evidenced by this Agreement, the parties hereby submit to and consent to the jurisdiction of the State of California and agree that such litigation shall be conducted only in the courts of the County of Santa Clara, California, or the federal courts of the United States for the Northern District of California, and no other courts, where this Agreement is made and/or performed.</w:t>
      </w:r>
    </w:p>
    <w:p>
      <w:pPr>
        <w:spacing w:after="0" w:line="165" w:lineRule="exact"/>
        <w:rPr>
          <w:sz w:val="20"/>
          <w:szCs w:val="20"/>
          <w:color w:val="auto"/>
        </w:rPr>
      </w:pPr>
    </w:p>
    <w:p>
      <w:pPr>
        <w:ind w:right="420" w:firstLine="991"/>
        <w:spacing w:after="0" w:line="282" w:lineRule="auto"/>
        <w:rPr>
          <w:sz w:val="20"/>
          <w:szCs w:val="20"/>
          <w:color w:val="auto"/>
        </w:rPr>
      </w:pPr>
      <w:r>
        <w:rPr>
          <w:rFonts w:ascii="Arial" w:cs="Arial" w:eastAsia="Arial" w:hAnsi="Arial"/>
          <w:sz w:val="18"/>
          <w:szCs w:val="18"/>
          <w:color w:val="auto"/>
        </w:rPr>
        <w:t xml:space="preserve">13.9 </w:t>
      </w:r>
      <w:r>
        <w:rPr>
          <w:rFonts w:ascii="Arial" w:cs="Arial" w:eastAsia="Arial" w:hAnsi="Arial"/>
          <w:sz w:val="18"/>
          <w:szCs w:val="18"/>
          <w:b w:val="1"/>
          <w:bCs w:val="1"/>
          <w:color w:val="auto"/>
        </w:rPr>
        <w:t>Counterparts.</w:t>
      </w:r>
      <w:r>
        <w:rPr>
          <w:rFonts w:ascii="Arial" w:cs="Arial" w:eastAsia="Arial" w:hAnsi="Arial"/>
          <w:sz w:val="18"/>
          <w:szCs w:val="18"/>
          <w:color w:val="auto"/>
        </w:rPr>
        <w:t xml:space="preserve"> The Grant Notice may be executed in counterparts, each of which shall be deemed an original, but all of which together shall constitute one and the same instrument.</w:t>
      </w:r>
    </w:p>
    <w:p>
      <w:pPr>
        <w:spacing w:after="0" w:line="162" w:lineRule="exact"/>
        <w:rPr>
          <w:sz w:val="20"/>
          <w:szCs w:val="20"/>
          <w:color w:val="auto"/>
        </w:rPr>
      </w:pPr>
    </w:p>
    <w:p>
      <w:pPr>
        <w:ind w:right="120" w:firstLine="991"/>
        <w:spacing w:after="0" w:line="261" w:lineRule="auto"/>
        <w:rPr>
          <w:sz w:val="20"/>
          <w:szCs w:val="20"/>
          <w:color w:val="auto"/>
        </w:rPr>
      </w:pPr>
      <w:r>
        <w:rPr>
          <w:rFonts w:ascii="Arial" w:cs="Arial" w:eastAsia="Arial" w:hAnsi="Arial"/>
          <w:sz w:val="18"/>
          <w:szCs w:val="18"/>
          <w:color w:val="auto"/>
        </w:rPr>
        <w:t xml:space="preserve">13.10 </w:t>
      </w:r>
      <w:r>
        <w:rPr>
          <w:rFonts w:ascii="Arial" w:cs="Arial" w:eastAsia="Arial" w:hAnsi="Arial"/>
          <w:sz w:val="18"/>
          <w:szCs w:val="18"/>
          <w:b w:val="1"/>
          <w:bCs w:val="1"/>
          <w:color w:val="auto"/>
        </w:rPr>
        <w:t>Clawback</w:t>
      </w:r>
      <w:r>
        <w:rPr>
          <w:rFonts w:ascii="Arial" w:cs="Arial" w:eastAsia="Arial" w:hAnsi="Arial"/>
          <w:sz w:val="18"/>
          <w:szCs w:val="18"/>
          <w:color w:val="auto"/>
        </w:rPr>
        <w:t>. The Award will be subject to recoupment in accordance with the clawback policy of the Company, including, without limitation, any clawback or recoupment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0" w:right="4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APPENDIX</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AND CONDITIONS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This Appendix, which is part of the Agreement, includes additional terms and conditions of the Agreement that will apply to the Participant if the Participant is resident in the countries listed below. Capitalized terms used but not defined herein shall have the same meanings assigned to them in the Plan and the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This Appendix also includes information regarding exchange control and certain other issues of which the Participant should be aware with respect to the Participant’s participation in the Plan. The information is based on the securities, exchange control and other laws in effect in the respective countries as of June 2020. Such laws are often complex and change frequently. As a result, the Company strongly recommends that the Participant not rely on the information in this Appendix as the only source of information relating to the consequences of the Participant’s participation in the Plan because such information may be out-of-date when the Participant’s Units vest and/or the Participant sells any shares acquired under the Plan.</w:t>
      </w:r>
    </w:p>
    <w:p>
      <w:pPr>
        <w:spacing w:after="0" w:line="161"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 addition, the information contained herein is general in nature and may not apply to the Participant’s particular situation. As a result, the Company is not in a position to assure the Participant of any particular result. The Participant is therefore advised to seek appropriate professional advice as to how the relevant laws in the Participant’s country may apply to the Participant’s situation.</w:t>
      </w:r>
    </w:p>
    <w:p>
      <w:pPr>
        <w:spacing w:after="0" w:line="18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Finally, if the Participant is a citizen or resident of a country other than that in which the Participant is currently working, the information contained herein may not apply to the Participant.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COUNTRY-SPECIFIC LANGUAGE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Below please find country specific language that applies to Germany, Hong Kong, Japan, Korea, and the United States.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GERMANY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Please consult the notice addressing the EU General Data Protection Regulation (GDPR), which is attached hereto and which replaces the Data Privacy provision set forth above.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0" w:right="4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Notifications</w:t>
      </w:r>
    </w:p>
    <w:p>
      <w:pPr>
        <w:spacing w:after="0" w:line="225"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color w:val="auto"/>
        </w:rPr>
        <w:t>Cross-border payments in excess of €12,500 must be reported monthly to the German Federal Bank. If Participant uses a German bank to transfer a cross-border payment in excess of €12,500 in connection with the sale of Company shares acquired under the Plan, the bank will make the report. In addition, Participant must report any receivables, payables, or debts in foreign currency exceeding an amount of €5,000,000 on a monthly basis.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HONG KONG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The Awards and the underlying shares do not constitute a public offering of securities under Hong Kong law and are available only to employees of the Company or its subsidiaries and affiliates. The Agreement, including this Appendix A,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and any related documentation are intended only for the personal use of each eligible employee of the Company or its subsidiaries and affiliates and may not be distributed to any other person. If Participant has any doubts about any of the contents of the Agreement, including this Appendix A, or the Plan, Participant understands that he/she should obtain independent professional advice.</w:t>
      </w:r>
    </w:p>
    <w:p>
      <w:pPr>
        <w:spacing w:after="0" w:line="17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Notwithstanding anything to the contrary in the Plan and/or the Agreement, you understand that any Units shall be paid in shares only and do not provide any right to receive a cash payment.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notifications.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JAPAN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terms and conditions.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If a Participant acquires shares valued at more than ¥100,000,000 in a single transaction, Participant must file a Securities Acquisition Report with the Ministry of Finance through the Bank of Japan within 20 days of the acquisition of the shares unless a Japanese securities broker or a Japanese branch of a non-Japanese securities broker is involved in the acquisition of the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KOREA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Terms and Conditions</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Exchange Control Information. If the Participant receives in excess of US$500,000 from the sale of shares, Korean exchange control laws require the Participant to repatriate the proceeds to South Korea within 36 months of sale.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82" w:name="page83"/>
    <w:bookmarkEnd w:id="82"/>
    <w:p>
      <w:pPr>
        <w:ind w:left="4"/>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Notifications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 are no country-specific notifications.</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UNITED STATES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Terms and Conditions for Participants subject to Tax in the United States</w:t>
      </w:r>
    </w:p>
    <w:p>
      <w:pPr>
        <w:spacing w:after="0" w:line="225" w:lineRule="exact"/>
        <w:rPr>
          <w:sz w:val="20"/>
          <w:szCs w:val="20"/>
          <w:color w:val="auto"/>
        </w:rPr>
      </w:pPr>
    </w:p>
    <w:p>
      <w:pPr>
        <w:ind w:left="404" w:hanging="404"/>
        <w:spacing w:after="0"/>
        <w:tabs>
          <w:tab w:leader="none" w:pos="40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following paragraph is inserted as a new Section 13.11:</w:t>
      </w:r>
    </w:p>
    <w:p>
      <w:pPr>
        <w:spacing w:after="0" w:line="221" w:lineRule="exact"/>
        <w:rPr>
          <w:sz w:val="20"/>
          <w:szCs w:val="20"/>
          <w:color w:val="auto"/>
        </w:rPr>
      </w:pPr>
    </w:p>
    <w:p>
      <w:pPr>
        <w:ind w:left="44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409A of the U.S. Internal Revenue Code</w:t>
      </w:r>
      <w:r>
        <w:rPr>
          <w:rFonts w:ascii="Arial" w:cs="Arial" w:eastAsia="Arial" w:hAnsi="Arial"/>
          <w:sz w:val="17"/>
          <w:szCs w:val="17"/>
          <w:color w:val="auto"/>
        </w:rPr>
        <w:t>. To the extent applicable, it is intended that this Agreement comply with the provisions of Section 409A, so that the income inclusion provisions of Section 409A(a)(1) do not apply. This Agreement shall be administered in a manner consistent with this intent. Notwithstanding the foregoing, the Company makes no representations that the payments and benefits provided under this Agreement comply with Section 409A, and in no event shall any Participating Company or any of their respective Subsidiary Corporations or Affiliates be liable for all or any portion of any taxes, penalties, interest or other expenses that may be incurred by the Participant on account of non-compliance with Section 409A or otherwise. For purposes of this Agreement, “</w:t>
      </w:r>
      <w:r>
        <w:rPr>
          <w:rFonts w:ascii="Arial" w:cs="Arial" w:eastAsia="Arial" w:hAnsi="Arial"/>
          <w:sz w:val="17"/>
          <w:szCs w:val="17"/>
          <w:b w:val="1"/>
          <w:bCs w:val="1"/>
          <w:i w:val="1"/>
          <w:iCs w:val="1"/>
          <w:color w:val="auto"/>
        </w:rPr>
        <w:t>Section 409A</w:t>
      </w:r>
      <w:r>
        <w:rPr>
          <w:rFonts w:ascii="Arial" w:cs="Arial" w:eastAsia="Arial" w:hAnsi="Arial"/>
          <w:sz w:val="17"/>
          <w:szCs w:val="17"/>
          <w:color w:val="auto"/>
        </w:rPr>
        <w:t>” means Section 409A of the Internal Revenue Code of 1986, as amended, and will also include any regulations or any other formal guidance promulgated with respect to such Section by the U.S. Department of the Treasury or the Internal Revenue Service.”</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Notifications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There are no country-specific notifications.</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14</w:t>
      </w:r>
    </w:p>
    <w:sectPr>
      <w:pgSz w:w="11900" w:h="16838" w:orient="portrait"/>
      <w:cols w:equalWidth="0" w:num="1">
        <w:col w:w="10964"/>
      </w:cols>
      <w:pgMar w:left="436"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B5AF5C"/>
    <w:multiLevelType w:val="hybridMultilevel"/>
    <w:lvl w:ilvl="0">
      <w:lvlJc w:val="left"/>
      <w:lvlText w:val="(%1)"/>
      <w:numFmt w:val="decimal"/>
      <w:start w:val="1"/>
    </w:lvl>
  </w:abstractNum>
  <w:abstractNum w:abstractNumId="1">
    <w:nsid w:val="741226BB"/>
    <w:multiLevelType w:val="hybridMultilevel"/>
    <w:lvl w:ilvl="0">
      <w:lvlJc w:val="left"/>
      <w:lvlText w:val="(%1)"/>
      <w:numFmt w:val="decimal"/>
      <w:start w:val="2"/>
    </w:lvl>
  </w:abstractNum>
  <w:abstractNum w:abstractNumId="2">
    <w:nsid w:val="D34B6A8"/>
    <w:multiLevelType w:val="hybridMultilevel"/>
    <w:lvl w:ilvl="0">
      <w:lvlJc w:val="left"/>
      <w:lvlText w:val="%1."/>
      <w:numFmt w:val="decimal"/>
      <w:start w:val="1"/>
    </w:lvl>
  </w:abstractNum>
  <w:abstractNum w:abstractNumId="3">
    <w:nsid w:val="10233C99"/>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F6AB60F"/>
    <w:multiLevelType w:val="hybridMultilevel"/>
    <w:lvl w:ilvl="0">
      <w:lvlJc w:val="left"/>
      <w:lvlText w:val="%1"/>
      <w:numFmt w:val="lowerLetter"/>
      <w:start w:val="1"/>
    </w:lvl>
    <w:lvl w:ilvl="1">
      <w:lvlJc w:val="left"/>
      <w:lvlText w:val="(%2)"/>
      <w:numFmt w:val="decimal"/>
      <w:start w:val="2"/>
    </w:lvl>
  </w:abstractNum>
  <w:abstractNum w:abstractNumId="5">
    <w:nsid w:val="61574095"/>
    <w:multiLevelType w:val="hybridMultilevel"/>
    <w:lvl w:ilvl="0">
      <w:lvlJc w:val="left"/>
      <w:lvlText w:val="(%1)"/>
      <w:numFmt w:val="lowerLetter"/>
      <w:start w:val="2"/>
    </w:lvl>
    <w:lvl w:ilvl="1">
      <w:lvlJc w:val="left"/>
      <w:lvlText w:val="%2"/>
      <w:numFmt w:val="decimal"/>
      <w:start w:val="1"/>
    </w:lvl>
  </w:abstractNum>
  <w:abstractNum w:abstractNumId="6">
    <w:nsid w:val="7E0C57B1"/>
    <w:multiLevelType w:val="hybridMultilevel"/>
    <w:lvl w:ilvl="0">
      <w:lvlJc w:val="left"/>
      <w:lvlText w:val="%1."/>
      <w:numFmt w:val="decimal"/>
      <w:start w:val="1"/>
    </w:lvl>
  </w:abstractNum>
  <w:abstractNum w:abstractNumId="7">
    <w:nsid w:val="77AE35EB"/>
    <w:multiLevelType w:val="hybridMultilevel"/>
    <w:lvl w:ilvl="0">
      <w:lvlJc w:val="left"/>
      <w:lvlText w:val="(%1)"/>
      <w:numFmt w:val="lowerLetter"/>
      <w:start w:val="1"/>
    </w:lvl>
  </w:abstractNum>
  <w:abstractNum w:abstractNumId="8">
    <w:nsid w:val="579BE4F1"/>
    <w:multiLevelType w:val="hybridMultilevel"/>
    <w:lvl w:ilvl="0">
      <w:lvlJc w:val="left"/>
      <w:lvlText w:val="%1."/>
      <w:numFmt w:val="decimal"/>
      <w:start w:val="2"/>
    </w:lvl>
  </w:abstractNum>
  <w:abstractNum w:abstractNumId="9">
    <w:nsid w:val="310C50B3"/>
    <w:multiLevelType w:val="hybridMultilevel"/>
    <w:lvl w:ilvl="0">
      <w:lvlJc w:val="left"/>
      <w:lvlText w:val="%1."/>
      <w:numFmt w:val="decimal"/>
      <w:start w:val="3"/>
    </w:lvl>
  </w:abstractNum>
  <w:abstractNum w:abstractNumId="10">
    <w:nsid w:val="5FF87E05"/>
    <w:multiLevelType w:val="hybridMultilevel"/>
    <w:lvl w:ilvl="0">
      <w:lvlJc w:val="left"/>
      <w:lvlText w:val="%1."/>
      <w:numFmt w:val="decimal"/>
      <w:start w:val="4"/>
    </w:lvl>
  </w:abstractNum>
  <w:abstractNum w:abstractNumId="11">
    <w:nsid w:val="2F305DEF"/>
    <w:multiLevelType w:val="hybridMultilevel"/>
    <w:lvl w:ilvl="0">
      <w:lvlJc w:val="left"/>
      <w:lvlText w:val="%1."/>
      <w:numFmt w:val="decimal"/>
      <w:start w:val="5"/>
    </w:lvl>
  </w:abstractNum>
  <w:abstractNum w:abstractNumId="12">
    <w:nsid w:val="25A70BF7"/>
    <w:multiLevelType w:val="hybridMultilevel"/>
    <w:lvl w:ilvl="0">
      <w:lvlJc w:val="left"/>
      <w:lvlText w:val="%1."/>
      <w:numFmt w:val="decimal"/>
      <w:start w:val="6"/>
    </w:lvl>
  </w:abstractNum>
  <w:abstractNum w:abstractNumId="13">
    <w:nsid w:val="1DBABF00"/>
    <w:multiLevelType w:val="hybridMultilevel"/>
    <w:lvl w:ilvl="0">
      <w:lvlJc w:val="left"/>
      <w:lvlText w:val="%1."/>
      <w:numFmt w:val="decimal"/>
      <w:start w:val="7"/>
    </w:lvl>
  </w:abstractNum>
  <w:abstractNum w:abstractNumId="14">
    <w:nsid w:val="4AD084E9"/>
    <w:multiLevelType w:val="hybridMultilevel"/>
    <w:lvl w:ilvl="0">
      <w:lvlJc w:val="left"/>
      <w:lvlText w:val="%1."/>
      <w:numFmt w:val="decimal"/>
      <w:start w:val="8"/>
    </w:lvl>
  </w:abstractNum>
  <w:abstractNum w:abstractNumId="15">
    <w:nsid w:val="1F48EAA1"/>
    <w:multiLevelType w:val="hybridMultilevel"/>
    <w:lvl w:ilvl="0">
      <w:lvlJc w:val="left"/>
      <w:lvlText w:val="%1."/>
      <w:numFmt w:val="decimal"/>
      <w:start w:val="9"/>
    </w:lvl>
  </w:abstractNum>
  <w:abstractNum w:abstractNumId="16">
    <w:nsid w:val="1381823A"/>
    <w:multiLevelType w:val="hybridMultilevel"/>
    <w:lvl w:ilvl="0">
      <w:lvlJc w:val="left"/>
      <w:lvlText w:val="%1."/>
      <w:numFmt w:val="decimal"/>
      <w:start w:val="10"/>
    </w:lvl>
  </w:abstractNum>
  <w:abstractNum w:abstractNumId="17">
    <w:nsid w:val="5DB70AE5"/>
    <w:multiLevelType w:val="hybridMultilevel"/>
    <w:lvl w:ilvl="0">
      <w:lvlJc w:val="left"/>
      <w:lvlText w:val="%1."/>
      <w:numFmt w:val="decimal"/>
      <w:start w:val="11"/>
    </w:lvl>
  </w:abstractNum>
  <w:abstractNum w:abstractNumId="18">
    <w:nsid w:val="100F8FCA"/>
    <w:multiLevelType w:val="hybridMultilevel"/>
    <w:lvl w:ilvl="0">
      <w:lvlJc w:val="left"/>
      <w:lvlText w:val="%1."/>
      <w:numFmt w:val="decimal"/>
      <w:start w:val="12"/>
    </w:lvl>
  </w:abstractNum>
  <w:abstractNum w:abstractNumId="19">
    <w:nsid w:val="6590700B"/>
    <w:multiLevelType w:val="hybridMultilevel"/>
    <w:lvl w:ilvl="0">
      <w:lvlJc w:val="left"/>
      <w:lvlText w:val="%1."/>
      <w:numFmt w:val="decimal"/>
      <w:start w:val="13"/>
    </w:lvl>
  </w:abstractNum>
  <w:abstractNum w:abstractNumId="20">
    <w:nsid w:val="15014ACB"/>
    <w:multiLevelType w:val="hybridMultilevel"/>
    <w:lvl w:ilvl="0">
      <w:lvlJc w:val="left"/>
      <w:lvlText w:val="(%1)"/>
      <w:numFmt w:val="lowerLetter"/>
      <w:start w:val="1"/>
    </w:lvl>
  </w:abstractNum>
  <w:abstractNum w:abstractNumId="21">
    <w:nsid w:val="5F5E7FD0"/>
    <w:multiLevelType w:val="hybridMultilevel"/>
    <w:lvl w:ilvl="0">
      <w:lvlJc w:val="left"/>
      <w:lvlText w:val="%1."/>
      <w:numFmt w:val="decimal"/>
      <w:start w:val="1"/>
    </w:lvl>
  </w:abstractNum>
  <w:abstractNum w:abstractNumId="22">
    <w:nsid w:val="98A3148"/>
    <w:multiLevelType w:val="hybridMultilevel"/>
    <w:lvl w:ilvl="0">
      <w:lvlJc w:val="left"/>
      <w:lvlText w:val="(%1)"/>
      <w:numFmt w:val="lowerLetter"/>
      <w:start w:val="1"/>
    </w:lvl>
  </w:abstractNum>
  <w:abstractNum w:abstractNumId="23">
    <w:nsid w:val="799D0247"/>
    <w:multiLevelType w:val="hybridMultilevel"/>
    <w:lvl w:ilvl="0">
      <w:lvlJc w:val="left"/>
      <w:lvlText w:val="%1."/>
      <w:numFmt w:val="decimal"/>
      <w:start w:val="2"/>
    </w:lvl>
  </w:abstractNum>
  <w:abstractNum w:abstractNumId="24">
    <w:nsid w:val="6B94764"/>
    <w:multiLevelType w:val="hybridMultilevel"/>
    <w:lvl w:ilvl="0">
      <w:lvlJc w:val="left"/>
      <w:lvlText w:val="(%1)"/>
      <w:numFmt w:val="lowerLetter"/>
      <w:start w:val="1"/>
    </w:lvl>
  </w:abstractNum>
  <w:abstractNum w:abstractNumId="25">
    <w:nsid w:val="42C296BD"/>
    <w:multiLevelType w:val="hybridMultilevel"/>
    <w:lvl w:ilvl="0">
      <w:lvlJc w:val="left"/>
      <w:lvlText w:val="(%1)"/>
      <w:numFmt w:val="lowerLetter"/>
      <w:start w:val="11"/>
    </w:lvl>
  </w:abstractNum>
  <w:abstractNum w:abstractNumId="26">
    <w:nsid w:val="168E121F"/>
    <w:multiLevelType w:val="hybridMultilevel"/>
    <w:lvl w:ilvl="0">
      <w:lvlJc w:val="left"/>
      <w:lvlText w:val="(%1)"/>
      <w:numFmt w:val="lowerLetter"/>
      <w:start w:val="1"/>
    </w:lvl>
  </w:abstractNum>
  <w:abstractNum w:abstractNumId="27">
    <w:nsid w:val="1EBA5D23"/>
    <w:multiLevelType w:val="hybridMultilevel"/>
    <w:lvl w:ilvl="0">
      <w:lvlJc w:val="left"/>
      <w:lvlText w:val="%1."/>
      <w:numFmt w:val="decimal"/>
      <w:start w:val="3"/>
    </w:lvl>
  </w:abstractNum>
  <w:abstractNum w:abstractNumId="28">
    <w:nsid w:val="661E3F1E"/>
    <w:multiLevelType w:val="hybridMultilevel"/>
    <w:lvl w:ilvl="0">
      <w:lvlJc w:val="left"/>
      <w:lvlText w:val="%1."/>
      <w:numFmt w:val="decimal"/>
      <w:start w:val="4"/>
    </w:lvl>
  </w:abstractNum>
  <w:abstractNum w:abstractNumId="29">
    <w:nsid w:val="5DC79EA8"/>
    <w:multiLevelType w:val="hybridMultilevel"/>
    <w:lvl w:ilvl="0">
      <w:lvlJc w:val="left"/>
      <w:lvlText w:val="%1."/>
      <w:numFmt w:val="decimal"/>
      <w:start w:val="5"/>
    </w:lvl>
  </w:abstractNum>
  <w:abstractNum w:abstractNumId="30">
    <w:nsid w:val="540A471C"/>
    <w:multiLevelType w:val="hybridMultilevel"/>
    <w:lvl w:ilvl="0">
      <w:lvlJc w:val="left"/>
      <w:lvlText w:val="%1."/>
      <w:numFmt w:val="decimal"/>
      <w:start w:val="6"/>
    </w:lvl>
  </w:abstractNum>
  <w:abstractNum w:abstractNumId="31">
    <w:nsid w:val="7BD3EE7B"/>
    <w:multiLevelType w:val="hybridMultilevel"/>
    <w:lvl w:ilvl="0">
      <w:lvlJc w:val="left"/>
      <w:lvlText w:val="%1."/>
      <w:numFmt w:val="decimal"/>
      <w:start w:val="7"/>
    </w:lvl>
  </w:abstractNum>
  <w:abstractNum w:abstractNumId="32">
    <w:nsid w:val="51D9C564"/>
    <w:multiLevelType w:val="hybridMultilevel"/>
    <w:lvl w:ilvl="0">
      <w:lvlJc w:val="left"/>
      <w:lvlText w:val="%1."/>
      <w:numFmt w:val="decimal"/>
      <w:start w:val="8"/>
    </w:lvl>
  </w:abstractNum>
  <w:abstractNum w:abstractNumId="33">
    <w:nsid w:val="613EFDC5"/>
    <w:multiLevelType w:val="hybridMultilevel"/>
    <w:lvl w:ilvl="0">
      <w:lvlJc w:val="left"/>
      <w:lvlText w:val="%1."/>
      <w:numFmt w:val="decimal"/>
      <w:start w:val="9"/>
    </w:lvl>
  </w:abstractNum>
  <w:abstractNum w:abstractNumId="34">
    <w:nsid w:val="BF72B14"/>
    <w:multiLevelType w:val="hybridMultilevel"/>
    <w:lvl w:ilvl="0">
      <w:lvlJc w:val="left"/>
      <w:lvlText w:val="%1."/>
      <w:numFmt w:val="decimal"/>
      <w:start w:val="10"/>
    </w:lvl>
  </w:abstractNum>
  <w:abstractNum w:abstractNumId="35">
    <w:nsid w:val="11447B73"/>
    <w:multiLevelType w:val="hybridMultilevel"/>
    <w:lvl w:ilvl="0">
      <w:lvlJc w:val="left"/>
      <w:lvlText w:val="%1."/>
      <w:numFmt w:val="decimal"/>
      <w:start w:val="11"/>
    </w:lvl>
  </w:abstractNum>
  <w:abstractNum w:abstractNumId="36">
    <w:nsid w:val="42963E5A"/>
    <w:multiLevelType w:val="hybridMultilevel"/>
    <w:lvl w:ilvl="0">
      <w:lvlJc w:val="left"/>
      <w:lvlText w:val="%1."/>
      <w:numFmt w:val="decimal"/>
      <w:start w:val="12"/>
    </w:lvl>
  </w:abstractNum>
  <w:abstractNum w:abstractNumId="37">
    <w:nsid w:val="A0382C5"/>
    <w:multiLevelType w:val="hybridMultilevel"/>
    <w:lvl w:ilvl="0">
      <w:lvlJc w:val="left"/>
      <w:lvlText w:val="(%1)"/>
      <w:numFmt w:val="lowerLetter"/>
      <w:start w:val="1"/>
    </w:lvl>
  </w:abstractNum>
  <w:abstractNum w:abstractNumId="38">
    <w:nsid w:val="8F2B15E"/>
    <w:multiLevelType w:val="hybridMultilevel"/>
    <w:lvl w:ilvl="0">
      <w:lvlJc w:val="left"/>
      <w:lvlText w:val="(%1)"/>
      <w:numFmt w:val="lowerLetter"/>
      <w:start w:val="2"/>
    </w:lvl>
  </w:abstractNum>
  <w:abstractNum w:abstractNumId="39">
    <w:nsid w:val="1A32234B"/>
    <w:multiLevelType w:val="hybridMultilevel"/>
    <w:lvl w:ilvl="0">
      <w:lvlJc w:val="left"/>
      <w:lvlText w:val="%1."/>
      <w:numFmt w:val="decimal"/>
      <w:start w:val="1"/>
    </w:lvl>
  </w:abstractNum>
  <w:abstractNum w:abstractNumId="40">
    <w:nsid w:val="3B0FD379"/>
    <w:multiLevelType w:val="hybridMultilevel"/>
    <w:lvl w:ilvl="0">
      <w:lvlJc w:val="left"/>
      <w:lvlText w:val="%1."/>
      <w:numFmt w:val="decimal"/>
      <w:start w:val="1"/>
    </w:lvl>
  </w:abstractNum>
  <w:abstractNum w:abstractNumId="41">
    <w:nsid w:val="68EB2F63"/>
    <w:multiLevelType w:val="hybridMultilevel"/>
    <w:lvl w:ilvl="0">
      <w:lvlJc w:val="left"/>
      <w:lvlText w:val="(%1)"/>
      <w:numFmt w:val="lowerLetter"/>
      <w:start w:val="1"/>
    </w:lvl>
  </w:abstractNum>
  <w:abstractNum w:abstractNumId="42">
    <w:nsid w:val="4962813B"/>
    <w:multiLevelType w:val="hybridMultilevel"/>
    <w:lvl w:ilvl="0">
      <w:lvlJc w:val="left"/>
      <w:lvlText w:val="%1."/>
      <w:numFmt w:val="decimal"/>
      <w:start w:val="2"/>
    </w:lvl>
  </w:abstractNum>
  <w:abstractNum w:abstractNumId="43">
    <w:nsid w:val="60B6DF70"/>
    <w:multiLevelType w:val="hybridMultilevel"/>
    <w:lvl w:ilvl="0">
      <w:lvlJc w:val="left"/>
      <w:lvlText w:val="(%1)"/>
      <w:numFmt w:val="lowerLetter"/>
      <w:start w:val="1"/>
    </w:lvl>
  </w:abstractNum>
  <w:abstractNum w:abstractNumId="44">
    <w:nsid w:val="6A5EE64"/>
    <w:multiLevelType w:val="hybridMultilevel"/>
    <w:lvl w:ilvl="0">
      <w:lvlJc w:val="left"/>
      <w:lvlText w:val="(%1)"/>
      <w:numFmt w:val="lowerLetter"/>
      <w:start w:val="7"/>
    </w:lvl>
  </w:abstractNum>
  <w:abstractNum w:abstractNumId="45">
    <w:nsid w:val="14330624"/>
    <w:multiLevelType w:val="hybridMultilevel"/>
    <w:lvl w:ilvl="0">
      <w:lvlJc w:val="left"/>
      <w:lvlText w:val="%1."/>
      <w:numFmt w:val="decimal"/>
      <w:start w:val="3"/>
    </w:lvl>
  </w:abstractNum>
  <w:abstractNum w:abstractNumId="46">
    <w:nsid w:val="7FFFCA11"/>
    <w:multiLevelType w:val="hybridMultilevel"/>
    <w:lvl w:ilvl="0">
      <w:lvlJc w:val="left"/>
      <w:lvlText w:val="%1."/>
      <w:numFmt w:val="decimal"/>
      <w:start w:val="4"/>
    </w:lvl>
  </w:abstractNum>
  <w:abstractNum w:abstractNumId="47">
    <w:nsid w:val="1A27709E"/>
    <w:multiLevelType w:val="hybridMultilevel"/>
    <w:lvl w:ilvl="0">
      <w:lvlJc w:val="left"/>
      <w:lvlText w:val="%1."/>
      <w:numFmt w:val="decimal"/>
      <w:start w:val="5"/>
    </w:lvl>
  </w:abstractNum>
  <w:abstractNum w:abstractNumId="48">
    <w:nsid w:val="71EA1109"/>
    <w:multiLevelType w:val="hybridMultilevel"/>
    <w:lvl w:ilvl="0">
      <w:lvlJc w:val="left"/>
      <w:lvlText w:val="%1."/>
      <w:numFmt w:val="decimal"/>
      <w:start w:val="6"/>
    </w:lvl>
  </w:abstractNum>
  <w:abstractNum w:abstractNumId="49">
    <w:nsid w:val="100F59DC"/>
    <w:multiLevelType w:val="hybridMultilevel"/>
    <w:lvl w:ilvl="0">
      <w:lvlJc w:val="left"/>
      <w:lvlText w:val="%1."/>
      <w:numFmt w:val="decimal"/>
      <w:start w:val="7"/>
    </w:lvl>
  </w:abstractNum>
  <w:abstractNum w:abstractNumId="50">
    <w:nsid w:val="7FB7E0AA"/>
    <w:multiLevelType w:val="hybridMultilevel"/>
    <w:lvl w:ilvl="0">
      <w:lvlJc w:val="left"/>
      <w:lvlText w:val="%1."/>
      <w:numFmt w:val="decimal"/>
      <w:start w:val="8"/>
    </w:lvl>
  </w:abstractNum>
  <w:abstractNum w:abstractNumId="51">
    <w:nsid w:val="6EB5BD4"/>
    <w:multiLevelType w:val="hybridMultilevel"/>
    <w:lvl w:ilvl="0">
      <w:lvlJc w:val="left"/>
      <w:lvlText w:val="%1."/>
      <w:numFmt w:val="decimal"/>
      <w:start w:val="9"/>
    </w:lvl>
  </w:abstractNum>
  <w:abstractNum w:abstractNumId="52">
    <w:nsid w:val="6F6DD9AC"/>
    <w:multiLevelType w:val="hybridMultilevel"/>
    <w:lvl w:ilvl="0">
      <w:lvlJc w:val="left"/>
      <w:lvlText w:val="%1."/>
      <w:numFmt w:val="decimal"/>
      <w:start w:val="10"/>
    </w:lvl>
  </w:abstractNum>
  <w:abstractNum w:abstractNumId="53">
    <w:nsid w:val="94211F2"/>
    <w:multiLevelType w:val="hybridMultilevel"/>
    <w:lvl w:ilvl="0">
      <w:lvlJc w:val="left"/>
      <w:lvlText w:val="%1."/>
      <w:numFmt w:val="decimal"/>
      <w:start w:val="11"/>
    </w:lvl>
  </w:abstractNum>
  <w:abstractNum w:abstractNumId="54">
    <w:nsid w:val="885E1B"/>
    <w:multiLevelType w:val="hybridMultilevel"/>
    <w:lvl w:ilvl="0">
      <w:lvlJc w:val="left"/>
      <w:lvlText w:val="%1."/>
      <w:numFmt w:val="decimal"/>
      <w:start w:val="12"/>
    </w:lvl>
  </w:abstractNum>
  <w:abstractNum w:abstractNumId="55">
    <w:nsid w:val="76272110"/>
    <w:multiLevelType w:val="hybridMultilevel"/>
    <w:lvl w:ilvl="0">
      <w:lvlJc w:val="left"/>
      <w:lvlText w:val="%1."/>
      <w:numFmt w:val="decimal"/>
      <w:start w:val="13"/>
    </w:lvl>
  </w:abstractNum>
  <w:abstractNum w:abstractNumId="56">
    <w:nsid w:val="4C04A8AF"/>
    <w:multiLevelType w:val="hybridMultilevel"/>
    <w:lvl w:ilvl="0">
      <w:lvlJc w:val="left"/>
      <w:lvlText w:val="(%1)"/>
      <w:numFmt w:val="lowerLetter"/>
      <w:start w:val="1"/>
    </w:lvl>
  </w:abstractNum>
  <w:abstractNum w:abstractNumId="57">
    <w:nsid w:val="1716703B"/>
    <w:multiLevelType w:val="hybridMultilevel"/>
    <w:lvl w:ilvl="0">
      <w:lvlJc w:val="left"/>
      <w:lvlText w:val="%1."/>
      <w:numFmt w:val="decimal"/>
      <w:start w:val="1"/>
    </w:lvl>
  </w:abstractNum>
  <w:abstractNum w:abstractNumId="58">
    <w:nsid w:val="14E17E33"/>
    <w:multiLevelType w:val="hybridMultilevel"/>
    <w:lvl w:ilvl="0">
      <w:lvlJc w:val="left"/>
      <w:lvlText w:val="%1."/>
      <w:numFmt w:val="decimal"/>
      <w:start w:val="1"/>
    </w:lvl>
  </w:abstractNum>
  <w:abstractNum w:abstractNumId="59">
    <w:nsid w:val="3222E7CD"/>
    <w:multiLevelType w:val="hybridMultilevel"/>
    <w:lvl w:ilvl="0">
      <w:lvlJc w:val="left"/>
      <w:lvlText w:val="(%1)"/>
      <w:numFmt w:val="lowerLetter"/>
      <w:start w:val="1"/>
    </w:lvl>
  </w:abstractNum>
  <w:abstractNum w:abstractNumId="60">
    <w:nsid w:val="74DE0EE3"/>
    <w:multiLevelType w:val="hybridMultilevel"/>
    <w:lvl w:ilvl="0">
      <w:lvlJc w:val="left"/>
      <w:lvlText w:val="%1."/>
      <w:numFmt w:val="decimal"/>
      <w:start w:val="2"/>
    </w:lvl>
  </w:abstractNum>
  <w:abstractNum w:abstractNumId="61">
    <w:nsid w:val="68EBC550"/>
    <w:multiLevelType w:val="hybridMultilevel"/>
    <w:lvl w:ilvl="0">
      <w:lvlJc w:val="left"/>
      <w:lvlText w:val="(%1)"/>
      <w:numFmt w:val="lowerLetter"/>
      <w:start w:val="1"/>
    </w:lvl>
  </w:abstractNum>
  <w:abstractNum w:abstractNumId="62">
    <w:nsid w:val="2DF6D648"/>
    <w:multiLevelType w:val="hybridMultilevel"/>
    <w:lvl w:ilvl="0">
      <w:lvlJc w:val="left"/>
      <w:lvlText w:val="(%1)"/>
      <w:numFmt w:val="lowerLetter"/>
      <w:start w:val="6"/>
    </w:lvl>
  </w:abstractNum>
  <w:abstractNum w:abstractNumId="63">
    <w:nsid w:val="46B7D447"/>
    <w:multiLevelType w:val="hybridMultilevel"/>
    <w:lvl w:ilvl="0">
      <w:lvlJc w:val="left"/>
      <w:lvlText w:val="(%1)"/>
      <w:numFmt w:val="lowerLetter"/>
      <w:start w:val="1"/>
    </w:lvl>
  </w:abstractNum>
  <w:abstractNum w:abstractNumId="64">
    <w:nsid w:val="4A2AC315"/>
    <w:multiLevelType w:val="hybridMultilevel"/>
    <w:lvl w:ilvl="0">
      <w:lvlJc w:val="left"/>
      <w:lvlText w:val="%1"/>
      <w:numFmt w:val="decimal"/>
      <w:start w:val="1"/>
    </w:lvl>
    <w:lvl w:ilvl="1">
      <w:lvlJc w:val="left"/>
      <w:lvlText w:val="(%2)"/>
      <w:numFmt w:val="lowerLetter"/>
      <w:start w:val="2"/>
    </w:lvl>
  </w:abstractNum>
  <w:abstractNum w:abstractNumId="65">
    <w:nsid w:val="39EE015C"/>
    <w:multiLevelType w:val="hybridMultilevel"/>
    <w:lvl w:ilvl="0">
      <w:lvlJc w:val="left"/>
      <w:lvlText w:val="%1."/>
      <w:numFmt w:val="decimal"/>
      <w:start w:val="3"/>
    </w:lvl>
    <w:lvl w:ilvl="1">
      <w:lvlJc w:val="left"/>
      <w:lvlText w:val="%2"/>
      <w:numFmt w:val="lowerLetter"/>
      <w:start w:val="1"/>
    </w:lvl>
  </w:abstractNum>
  <w:abstractNum w:abstractNumId="66">
    <w:nsid w:val="57FC4FBB"/>
    <w:multiLevelType w:val="hybridMultilevel"/>
    <w:lvl w:ilvl="0">
      <w:lvlJc w:val="left"/>
      <w:lvlText w:val="%1."/>
      <w:numFmt w:val="decimal"/>
      <w:start w:val="4"/>
    </w:lvl>
  </w:abstractNum>
  <w:abstractNum w:abstractNumId="67">
    <w:nsid w:val="CC1016F"/>
    <w:multiLevelType w:val="hybridMultilevel"/>
    <w:lvl w:ilvl="0">
      <w:lvlJc w:val="left"/>
      <w:lvlText w:val="%1."/>
      <w:numFmt w:val="decimal"/>
      <w:start w:val="5"/>
    </w:lvl>
  </w:abstractNum>
  <w:abstractNum w:abstractNumId="68">
    <w:nsid w:val="43F18422"/>
    <w:multiLevelType w:val="hybridMultilevel"/>
    <w:lvl w:ilvl="0">
      <w:lvlJc w:val="left"/>
      <w:lvlText w:val="%1."/>
      <w:numFmt w:val="decimal"/>
      <w:start w:val="6"/>
    </w:lvl>
  </w:abstractNum>
  <w:abstractNum w:abstractNumId="69">
    <w:nsid w:val="60EF0119"/>
    <w:multiLevelType w:val="hybridMultilevel"/>
    <w:lvl w:ilvl="0">
      <w:lvlJc w:val="left"/>
      <w:lvlText w:val="%1."/>
      <w:numFmt w:val="decimal"/>
      <w:start w:val="7"/>
    </w:lvl>
  </w:abstractNum>
  <w:abstractNum w:abstractNumId="70">
    <w:nsid w:val="26F324BA"/>
    <w:multiLevelType w:val="hybridMultilevel"/>
    <w:lvl w:ilvl="0">
      <w:lvlJc w:val="left"/>
      <w:lvlText w:val="%1."/>
      <w:numFmt w:val="decimal"/>
      <w:start w:val="8"/>
    </w:lvl>
  </w:abstractNum>
  <w:abstractNum w:abstractNumId="71">
    <w:nsid w:val="7F01579B"/>
    <w:multiLevelType w:val="hybridMultilevel"/>
    <w:lvl w:ilvl="0">
      <w:lvlJc w:val="left"/>
      <w:lvlText w:val="%1."/>
      <w:numFmt w:val="decimal"/>
      <w:start w:val="9"/>
    </w:lvl>
  </w:abstractNum>
  <w:abstractNum w:abstractNumId="72">
    <w:nsid w:val="49DA307D"/>
    <w:multiLevelType w:val="hybridMultilevel"/>
    <w:lvl w:ilvl="0">
      <w:lvlJc w:val="left"/>
      <w:lvlText w:val="%1."/>
      <w:numFmt w:val="decimal"/>
      <w:start w:val="10"/>
    </w:lvl>
  </w:abstractNum>
  <w:abstractNum w:abstractNumId="73">
    <w:nsid w:val="7055A5F5"/>
    <w:multiLevelType w:val="hybridMultilevel"/>
    <w:lvl w:ilvl="0">
      <w:lvlJc w:val="left"/>
      <w:lvlText w:val="%1."/>
      <w:numFmt w:val="decimal"/>
      <w:start w:val="11"/>
    </w:lvl>
  </w:abstractNum>
  <w:abstractNum w:abstractNumId="74">
    <w:nsid w:val="5FB8370B"/>
    <w:multiLevelType w:val="hybridMultilevel"/>
    <w:lvl w:ilvl="0">
      <w:lvlJc w:val="left"/>
      <w:lvlText w:val="%1."/>
      <w:numFmt w:val="decimal"/>
      <w:start w:val="12"/>
    </w:lvl>
  </w:abstractNum>
  <w:abstractNum w:abstractNumId="75">
    <w:nsid w:val="50801EE1"/>
    <w:multiLevelType w:val="hybridMultilevel"/>
    <w:lvl w:ilvl="0">
      <w:lvlJc w:val="left"/>
      <w:lvlText w:val="%1."/>
      <w:numFmt w:val="decimal"/>
      <w:start w:val="13"/>
    </w:lvl>
  </w:abstractNum>
  <w:abstractNum w:abstractNumId="76">
    <w:nsid w:val="488AC1A"/>
    <w:multiLevelType w:val="hybridMultilevel"/>
    <w:lvl w:ilvl="0">
      <w:lvlJc w:val="left"/>
      <w:lvlText w:val="(%1)"/>
      <w:numFmt w:val="lowerLetter"/>
      <w:start w:val="1"/>
    </w:lvl>
  </w:abstractNum>
  <w:abstractNum w:abstractNumId="77">
    <w:nsid w:val="5FB8011C"/>
    <w:multiLevelType w:val="hybridMultilevel"/>
    <w:lvl w:ilvl="0">
      <w:lvlJc w:val="left"/>
      <w:lvlText w:val="%1."/>
      <w:numFmt w:val="decimal"/>
      <w:start w:val="1"/>
    </w:lvl>
  </w:abstractNum>
  <w:abstractNum w:abstractNumId="78">
    <w:nsid w:val="6AA78F7F"/>
    <w:multiLevelType w:val="hybridMultilevel"/>
    <w:lvl w:ilvl="0">
      <w:lvlJc w:val="left"/>
      <w:lvlText w:val="%1."/>
      <w:numFmt w:val="decimal"/>
      <w:start w:val="1"/>
    </w:lvl>
  </w:abstractNum>
  <w:abstractNum w:abstractNumId="79">
    <w:nsid w:val="7672BD23"/>
    <w:multiLevelType w:val="hybridMultilevel"/>
    <w:lvl w:ilvl="0">
      <w:lvlJc w:val="left"/>
      <w:lvlText w:val="(%1)"/>
      <w:numFmt w:val="lowerLetter"/>
      <w:start w:val="1"/>
    </w:lvl>
  </w:abstractNum>
  <w:abstractNum w:abstractNumId="80">
    <w:nsid w:val="6FC75AF8"/>
    <w:multiLevelType w:val="hybridMultilevel"/>
    <w:lvl w:ilvl="0">
      <w:lvlJc w:val="left"/>
      <w:lvlText w:val="%1."/>
      <w:numFmt w:val="decimal"/>
      <w:start w:val="2"/>
    </w:lvl>
  </w:abstractNum>
  <w:abstractNum w:abstractNumId="81">
    <w:nsid w:val="6A5F7029"/>
    <w:multiLevelType w:val="hybridMultilevel"/>
    <w:lvl w:ilvl="0">
      <w:lvlJc w:val="left"/>
      <w:lvlText w:val="(%1)"/>
      <w:numFmt w:val="lowerLetter"/>
      <w:start w:val="1"/>
    </w:lvl>
  </w:abstractNum>
  <w:abstractNum w:abstractNumId="82">
    <w:nsid w:val="7D5E18F8"/>
    <w:multiLevelType w:val="hybridMultilevel"/>
    <w:lvl w:ilvl="0">
      <w:lvlJc w:val="left"/>
      <w:lvlText w:val="(%1)"/>
      <w:numFmt w:val="lowerLetter"/>
      <w:start w:val="6"/>
    </w:lvl>
  </w:abstractNum>
  <w:abstractNum w:abstractNumId="83">
    <w:nsid w:val="5F3534A4"/>
    <w:multiLevelType w:val="hybridMultilevel"/>
    <w:lvl w:ilvl="0">
      <w:lvlJc w:val="left"/>
      <w:lvlText w:val="(%1)"/>
      <w:numFmt w:val="lowerLetter"/>
      <w:start w:val="1"/>
    </w:lvl>
  </w:abstractNum>
  <w:abstractNum w:abstractNumId="84">
    <w:nsid w:val="73A1821B"/>
    <w:multiLevelType w:val="hybridMultilevel"/>
    <w:lvl w:ilvl="0">
      <w:lvlJc w:val="left"/>
      <w:lvlText w:val="%1"/>
      <w:numFmt w:val="decimal"/>
      <w:start w:val="1"/>
    </w:lvl>
    <w:lvl w:ilvl="1">
      <w:lvlJc w:val="left"/>
      <w:lvlText w:val="(%2)"/>
      <w:numFmt w:val="lowerLetter"/>
      <w:start w:val="2"/>
    </w:lvl>
  </w:abstractNum>
  <w:abstractNum w:abstractNumId="85">
    <w:nsid w:val="7DE67713"/>
    <w:multiLevelType w:val="hybridMultilevel"/>
    <w:lvl w:ilvl="0">
      <w:lvlJc w:val="left"/>
      <w:lvlText w:val="%1."/>
      <w:numFmt w:val="decimal"/>
      <w:start w:val="3"/>
    </w:lvl>
    <w:lvl w:ilvl="1">
      <w:lvlJc w:val="left"/>
      <w:lvlText w:val="%2"/>
      <w:numFmt w:val="lowerLetter"/>
      <w:start w:val="1"/>
    </w:lvl>
  </w:abstractNum>
  <w:abstractNum w:abstractNumId="86">
    <w:nsid w:val="555C55B5"/>
    <w:multiLevelType w:val="hybridMultilevel"/>
    <w:lvl w:ilvl="0">
      <w:lvlJc w:val="left"/>
      <w:lvlText w:val="%1."/>
      <w:numFmt w:val="decimal"/>
      <w:start w:val="4"/>
    </w:lvl>
  </w:abstractNum>
  <w:abstractNum w:abstractNumId="87">
    <w:nsid w:val="3FA62ACA"/>
    <w:multiLevelType w:val="hybridMultilevel"/>
    <w:lvl w:ilvl="0">
      <w:lvlJc w:val="left"/>
      <w:lvlText w:val="%1."/>
      <w:numFmt w:val="decimal"/>
      <w:start w:val="5"/>
    </w:lvl>
  </w:abstractNum>
  <w:abstractNum w:abstractNumId="88">
    <w:nsid w:val="14FCE74E"/>
    <w:multiLevelType w:val="hybridMultilevel"/>
    <w:lvl w:ilvl="0">
      <w:lvlJc w:val="left"/>
      <w:lvlText w:val="%1."/>
      <w:numFmt w:val="decimal"/>
      <w:start w:val="6"/>
    </w:lvl>
  </w:abstractNum>
  <w:abstractNum w:abstractNumId="89">
    <w:nsid w:val="6A3DD3E8"/>
    <w:multiLevelType w:val="hybridMultilevel"/>
    <w:lvl w:ilvl="0">
      <w:lvlJc w:val="left"/>
      <w:lvlText w:val="%1."/>
      <w:numFmt w:val="decimal"/>
      <w:start w:val="7"/>
    </w:lvl>
  </w:abstractNum>
  <w:abstractNum w:abstractNumId="90">
    <w:nsid w:val="71C91298"/>
    <w:multiLevelType w:val="hybridMultilevel"/>
    <w:lvl w:ilvl="0">
      <w:lvlJc w:val="left"/>
      <w:lvlText w:val="%1."/>
      <w:numFmt w:val="decimal"/>
      <w:start w:val="8"/>
    </w:lvl>
  </w:abstractNum>
  <w:abstractNum w:abstractNumId="91">
    <w:nsid w:val="9DAF632"/>
    <w:multiLevelType w:val="hybridMultilevel"/>
    <w:lvl w:ilvl="0">
      <w:lvlJc w:val="left"/>
      <w:lvlText w:val="%1."/>
      <w:numFmt w:val="decimal"/>
      <w:start w:val="9"/>
    </w:lvl>
  </w:abstractNum>
  <w:abstractNum w:abstractNumId="92">
    <w:nsid w:val="53299938"/>
    <w:multiLevelType w:val="hybridMultilevel"/>
    <w:lvl w:ilvl="0">
      <w:lvlJc w:val="left"/>
      <w:lvlText w:val="%1."/>
      <w:numFmt w:val="decimal"/>
      <w:start w:val="10"/>
    </w:lvl>
  </w:abstractNum>
  <w:abstractNum w:abstractNumId="93">
    <w:nsid w:val="1FBFE8E0"/>
    <w:multiLevelType w:val="hybridMultilevel"/>
    <w:lvl w:ilvl="0">
      <w:lvlJc w:val="left"/>
      <w:lvlText w:val="%1."/>
      <w:numFmt w:val="decimal"/>
      <w:start w:val="11"/>
    </w:lvl>
  </w:abstractNum>
  <w:abstractNum w:abstractNumId="94">
    <w:nsid w:val="5092CA79"/>
    <w:multiLevelType w:val="hybridMultilevel"/>
    <w:lvl w:ilvl="0">
      <w:lvlJc w:val="left"/>
      <w:lvlText w:val="%1."/>
      <w:numFmt w:val="decimal"/>
      <w:start w:val="12"/>
    </w:lvl>
  </w:abstractNum>
  <w:abstractNum w:abstractNumId="95">
    <w:nsid w:val="1D545C4D"/>
    <w:multiLevelType w:val="hybridMultilevel"/>
    <w:lvl w:ilvl="0">
      <w:lvlJc w:val="left"/>
      <w:lvlText w:val="%1."/>
      <w:numFmt w:val="decimal"/>
      <w:start w:val="13"/>
    </w:lvl>
  </w:abstractNum>
  <w:abstractNum w:abstractNumId="96">
    <w:nsid w:val="59ADEA3D"/>
    <w:multiLevelType w:val="hybridMultilevel"/>
    <w:lvl w:ilvl="0">
      <w:lvlJc w:val="left"/>
      <w:lvlText w:val="(%1)"/>
      <w:numFmt w:val="lowerLetter"/>
      <w:start w:val="1"/>
    </w:lvl>
  </w:abstractNum>
  <w:abstractNum w:abstractNumId="97">
    <w:nsid w:val="288F1A34"/>
    <w:multiLevelType w:val="hybridMultilevel"/>
    <w:lvl w:ilvl="0">
      <w:lvlJc w:val="left"/>
      <w:lvlText w:val="(%1)"/>
      <w:numFmt w:val="lowerLetter"/>
      <w:start w:val="2"/>
    </w:lvl>
  </w:abstractNum>
  <w:abstractNum w:abstractNumId="98">
    <w:nsid w:val="2A155DBC"/>
    <w:multiLevelType w:val="hybridMultilevel"/>
    <w:lvl w:ilvl="0">
      <w:lvlJc w:val="left"/>
      <w:lvlText w:val="%1."/>
      <w:numFmt w:val="decimal"/>
      <w:start w:val="1"/>
    </w:lvl>
  </w:abstractNum>
  <w:abstractNum w:abstractNumId="99">
    <w:nsid w:val="1D9F6E5F"/>
    <w:multiLevelType w:val="hybridMultilevel"/>
    <w:lvl w:ilvl="0">
      <w:lvlJc w:val="left"/>
      <w:lvlText w:val="%1."/>
      <w:numFmt w:val="decimal"/>
      <w:start w:val="1"/>
    </w:lvl>
  </w:abstractNum>
  <w:abstractNum w:abstractNumId="100">
    <w:nsid w:val="97E1B4E"/>
    <w:multiLevelType w:val="hybridMultilevel"/>
    <w:lvl w:ilvl="0">
      <w:lvlJc w:val="left"/>
      <w:lvlText w:val="(%1)"/>
      <w:numFmt w:val="lowerLetter"/>
      <w:start w:val="1"/>
    </w:lvl>
  </w:abstractNum>
  <w:abstractNum w:abstractNumId="101">
    <w:nsid w:val="51088277"/>
    <w:multiLevelType w:val="hybridMultilevel"/>
    <w:lvl w:ilvl="0">
      <w:lvlJc w:val="left"/>
      <w:lvlText w:val="%1."/>
      <w:numFmt w:val="decimal"/>
      <w:start w:val="2"/>
    </w:lvl>
  </w:abstractNum>
  <w:abstractNum w:abstractNumId="102">
    <w:nsid w:val="1CA0C5FA"/>
    <w:multiLevelType w:val="hybridMultilevel"/>
    <w:lvl w:ilvl="0">
      <w:lvlJc w:val="left"/>
      <w:lvlText w:val="(%1)"/>
      <w:numFmt w:val="lowerLetter"/>
      <w:start w:val="1"/>
    </w:lvl>
  </w:abstractNum>
  <w:abstractNum w:abstractNumId="103">
    <w:nsid w:val="53584BCB"/>
    <w:multiLevelType w:val="hybridMultilevel"/>
    <w:lvl w:ilvl="0">
      <w:lvlJc w:val="left"/>
      <w:lvlText w:val="(%1)"/>
      <w:numFmt w:val="lowerLetter"/>
      <w:start w:val="5"/>
    </w:lvl>
  </w:abstractNum>
  <w:abstractNum w:abstractNumId="104">
    <w:nsid w:val="415E286C"/>
    <w:multiLevelType w:val="hybridMultilevel"/>
    <w:lvl w:ilvl="0">
      <w:lvlJc w:val="left"/>
      <w:lvlText w:val="(%1)"/>
      <w:numFmt w:val="lowerLetter"/>
      <w:start w:val="1"/>
    </w:lvl>
  </w:abstractNum>
  <w:abstractNum w:abstractNumId="105">
    <w:nsid w:val="7C58FD05"/>
    <w:multiLevelType w:val="hybridMultilevel"/>
    <w:lvl w:ilvl="0">
      <w:lvlJc w:val="left"/>
      <w:lvlText w:val="%1."/>
      <w:numFmt w:val="decimal"/>
      <w:start w:val="3"/>
    </w:lvl>
  </w:abstractNum>
  <w:abstractNum w:abstractNumId="106">
    <w:nsid w:val="23D86AAC"/>
    <w:multiLevelType w:val="hybridMultilevel"/>
    <w:lvl w:ilvl="0">
      <w:lvlJc w:val="left"/>
      <w:lvlText w:val="%1."/>
      <w:numFmt w:val="decimal"/>
      <w:start w:val="4"/>
    </w:lvl>
  </w:abstractNum>
  <w:abstractNum w:abstractNumId="107">
    <w:nsid w:val="45E6D486"/>
    <w:multiLevelType w:val="hybridMultilevel"/>
    <w:lvl w:ilvl="0">
      <w:lvlJc w:val="left"/>
      <w:lvlText w:val="%1."/>
      <w:numFmt w:val="decimal"/>
      <w:start w:val="5"/>
    </w:lvl>
  </w:abstractNum>
  <w:abstractNum w:abstractNumId="108">
    <w:nsid w:val="5C10FE21"/>
    <w:multiLevelType w:val="hybridMultilevel"/>
    <w:lvl w:ilvl="0">
      <w:lvlJc w:val="left"/>
      <w:lvlText w:val="%1."/>
      <w:numFmt w:val="decimal"/>
      <w:start w:val="6"/>
    </w:lvl>
  </w:abstractNum>
  <w:abstractNum w:abstractNumId="109">
    <w:nsid w:val="E7FFA2B"/>
    <w:multiLevelType w:val="hybridMultilevel"/>
    <w:lvl w:ilvl="0">
      <w:lvlJc w:val="left"/>
      <w:lvlText w:val="%1."/>
      <w:numFmt w:val="decimal"/>
      <w:start w:val="7"/>
    </w:lvl>
  </w:abstractNum>
  <w:abstractNum w:abstractNumId="110">
    <w:nsid w:val="3C5991AA"/>
    <w:multiLevelType w:val="hybridMultilevel"/>
    <w:lvl w:ilvl="0">
      <w:lvlJc w:val="left"/>
      <w:lvlText w:val="%1."/>
      <w:numFmt w:val="decimal"/>
      <w:start w:val="8"/>
    </w:lvl>
  </w:abstractNum>
  <w:abstractNum w:abstractNumId="111">
    <w:nsid w:val="4BD8591A"/>
    <w:multiLevelType w:val="hybridMultilevel"/>
    <w:lvl w:ilvl="0">
      <w:lvlJc w:val="left"/>
      <w:lvlText w:val="%1."/>
      <w:numFmt w:val="decimal"/>
      <w:start w:val="9"/>
    </w:lvl>
  </w:abstractNum>
  <w:abstractNum w:abstractNumId="112">
    <w:nsid w:val="78DF6A55"/>
    <w:multiLevelType w:val="hybridMultilevel"/>
    <w:lvl w:ilvl="0">
      <w:lvlJc w:val="left"/>
      <w:lvlText w:val="(%1)"/>
      <w:numFmt w:val="lowerRoman"/>
      <w:start w:val="3"/>
    </w:lvl>
    <w:lvl w:ilvl="1">
      <w:lvlJc w:val="left"/>
      <w:lvlText w:val="%2."/>
      <w:numFmt w:val="decimal"/>
      <w:start w:val="10"/>
    </w:lvl>
  </w:abstractNum>
  <w:abstractNum w:abstractNumId="113">
    <w:nsid w:val="39B7AAA2"/>
    <w:multiLevelType w:val="hybridMultilevel"/>
    <w:lvl w:ilvl="0">
      <w:lvlJc w:val="left"/>
      <w:lvlText w:val="%1."/>
      <w:numFmt w:val="decimal"/>
      <w:start w:val="11"/>
    </w:lvl>
  </w:abstractNum>
  <w:abstractNum w:abstractNumId="114">
    <w:nsid w:val="2B0D8DBE"/>
    <w:multiLevelType w:val="hybridMultilevel"/>
    <w:lvl w:ilvl="0">
      <w:lvlJc w:val="left"/>
      <w:lvlText w:val="%1."/>
      <w:numFmt w:val="decimal"/>
      <w:start w:val="12"/>
    </w:lvl>
  </w:abstractNum>
  <w:abstractNum w:abstractNumId="115">
    <w:nsid w:val="6C80EC70"/>
    <w:multiLevelType w:val="hybridMultilevel"/>
    <w:lvl w:ilvl="0">
      <w:lvlJc w:val="left"/>
      <w:lvlText w:val="%1."/>
      <w:numFmt w:val="decimal"/>
      <w:start w:val="13"/>
    </w:lvl>
  </w:abstractNum>
  <w:abstractNum w:abstractNumId="116">
    <w:nsid w:val="379E21B5"/>
    <w:multiLevelType w:val="hybridMultilevel"/>
    <w:lvl w:ilvl="0">
      <w:lvlJc w:val="left"/>
      <w:lvlText w:val="(%1)"/>
      <w:numFmt w:val="lowerLetter"/>
      <w:start w:val="1"/>
    </w:lvl>
  </w:abstractNum>
  <w:abstractNum w:abstractNumId="117">
    <w:nsid w:val="69E37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30" Type="http://schemas.openxmlformats.org/officeDocument/2006/relationships/image" Target="media/image14.png"/><Relationship Id="rId35" Type="http://schemas.openxmlformats.org/officeDocument/2006/relationships/image" Target="media/image15.png"/><Relationship Id="rId36" Type="http://schemas.openxmlformats.org/officeDocument/2006/relationships/image" Target="media/image16.png"/><Relationship Id="rId37" Type="http://schemas.openxmlformats.org/officeDocument/2006/relationships/image" Target="media/image17.png"/><Relationship Id="rId38" Type="http://schemas.openxmlformats.org/officeDocument/2006/relationships/image" Target="media/image18.jpeg"/><Relationship Id="rId39" Type="http://schemas.openxmlformats.org/officeDocument/2006/relationships/image" Target="media/image19.png"/><Relationship Id="rId40" Type="http://schemas.openxmlformats.org/officeDocument/2006/relationships/image" Target="media/image20.png"/><Relationship Id="rId41" Type="http://schemas.openxmlformats.org/officeDocument/2006/relationships/image" Target="media/image21.png"/><Relationship Id="rId42" Type="http://schemas.openxmlformats.org/officeDocument/2006/relationships/image" Target="media/image22.png"/><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94" Type="http://schemas.openxmlformats.org/officeDocument/2006/relationships/image" Target="media/image74.png"/><Relationship Id="rId95" Type="http://schemas.openxmlformats.org/officeDocument/2006/relationships/image" Target="media/image75.png"/><Relationship Id="rId96" Type="http://schemas.openxmlformats.org/officeDocument/2006/relationships/image" Target="media/image76.png"/><Relationship Id="rId97" Type="http://schemas.openxmlformats.org/officeDocument/2006/relationships/image" Target="media/image77.png"/><Relationship Id="rId98" Type="http://schemas.openxmlformats.org/officeDocument/2006/relationships/image" Target="media/image78.png"/><Relationship Id="rId99" Type="http://schemas.openxmlformats.org/officeDocument/2006/relationships/image" Target="media/image79.png"/><Relationship Id="rId100" Type="http://schemas.openxmlformats.org/officeDocument/2006/relationships/image" Target="media/image80.png"/><Relationship Id="rId101" Type="http://schemas.openxmlformats.org/officeDocument/2006/relationships/image" Target="media/image81.png"/><Relationship Id="rId102" Type="http://schemas.openxmlformats.org/officeDocument/2006/relationships/image" Target="media/image82.png"/><Relationship Id="rId103" Type="http://schemas.openxmlformats.org/officeDocument/2006/relationships/image" Target="media/image83.png"/><Relationship Id="rId104" Type="http://schemas.openxmlformats.org/officeDocument/2006/relationships/image" Target="media/image84.png"/><Relationship Id="rId105" Type="http://schemas.openxmlformats.org/officeDocument/2006/relationships/image" Target="media/image85.png"/><Relationship Id="rId106" Type="http://schemas.openxmlformats.org/officeDocument/2006/relationships/image" Target="media/image86.png"/><Relationship Id="rId107" Type="http://schemas.openxmlformats.org/officeDocument/2006/relationships/image" Target="media/image87.png"/><Relationship Id="rId21" Type="http://schemas.openxmlformats.org/officeDocument/2006/relationships/hyperlink" Target="http://www.sec.gov/Archives/edgar/data/1325702/000119312520044746/d878295d10k.htm" TargetMode="External"/><Relationship Id="rId22" Type="http://schemas.openxmlformats.org/officeDocument/2006/relationships/hyperlink" Target="http://www.sec.gov/Archives/edgar/data/1325702/000119312520139052/d924767d10q.htm" TargetMode="External"/><Relationship Id="rId23" Type="http://schemas.openxmlformats.org/officeDocument/2006/relationships/hyperlink" Target="http://www.sec.gov/Archives/edgar/data/1325702/000119312520057744/d871915d8k.htm" TargetMode="External"/><Relationship Id="rId24" Type="http://schemas.openxmlformats.org/officeDocument/2006/relationships/hyperlink" Target="http://www.sec.gov/Archives/edgar/data/1325702/000119312520088874/d875391d8k.htm" TargetMode="External"/><Relationship Id="rId25" Type="http://schemas.openxmlformats.org/officeDocument/2006/relationships/hyperlink" Target="http://www.sec.gov/Archives/edgar/data/1325702/000119312520091932/d908763d8k.htm" TargetMode="External"/><Relationship Id="rId26" Type="http://schemas.openxmlformats.org/officeDocument/2006/relationships/hyperlink" Target="http://www.sec.gov/Archives/edgar/data/1325702/000119312520148688/d918036d8k.htm" TargetMode="External"/><Relationship Id="rId27" Type="http://schemas.openxmlformats.org/officeDocument/2006/relationships/hyperlink" Target="http://www.sec.gov/Archives/edgar/data/1325702/000119312520171326/d922566d8k.htm" TargetMode="External"/><Relationship Id="rId28" Type="http://schemas.openxmlformats.org/officeDocument/2006/relationships/hyperlink" Target="http://www.sec.gov/Archives/edgar/data/1325702/000119312511052090/d8a12b.htm" TargetMode="External"/><Relationship Id="rId29" Type="http://schemas.openxmlformats.org/officeDocument/2006/relationships/hyperlink" Target="http://www.sec.gov/Archives/edgar/data/1325702/000119312511062025/d8a12ba.htm" TargetMode="External"/><Relationship Id="rId31" Type="http://schemas.openxmlformats.org/officeDocument/2006/relationships/hyperlink" Target="http://www.sec.gov/Archives/edgar/data/1325702/000119312511062703/dex32.htm" TargetMode="External"/><Relationship Id="rId32" Type="http://schemas.openxmlformats.org/officeDocument/2006/relationships/hyperlink" Target="http://www.sec.gov/Archives/edgar/data/1325702/000119312516582070/d161114dex31.htm" TargetMode="External"/><Relationship Id="rId33" Type="http://schemas.openxmlformats.org/officeDocument/2006/relationships/hyperlink" Target="http://www.sec.gov/Archives/edgar/data/1325702/000095014215000541/eh1500371_ex0301.htm" TargetMode="External"/><Relationship Id="rId34" Type="http://schemas.openxmlformats.org/officeDocument/2006/relationships/hyperlink" Target="http://www.sec.gov/Archives/edgar/data/1325702/000119312520171326/d922566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2020-07-15T15:46:01Z</dcterms:created>
  <dcterms:modified xsi:type="dcterms:W3CDTF">2020-07-15T15:46:01Z</dcterms:modified>
</cp:coreProperties>
</file>