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120" w:type="dxa"/>
            <w:vAlign w:val="bottom"/>
          </w:tcPr>
          <w:p>
            <w:pPr>
              <w:jc w:val="center"/>
              <w:ind w:right="2358"/>
              <w:spacing w:after="0"/>
              <w:rPr>
                <w:sz w:val="20"/>
                <w:szCs w:val="20"/>
                <w:color w:val="auto"/>
              </w:rPr>
            </w:pPr>
            <w:r>
              <w:rPr>
                <w:rFonts w:ascii="Arial" w:cs="Arial" w:eastAsia="Arial" w:hAnsi="Arial"/>
                <w:sz w:val="18"/>
                <w:szCs w:val="18"/>
                <w:b w:val="1"/>
                <w:bCs w:val="1"/>
                <w:color w:val="auto"/>
                <w:w w:val="91"/>
              </w:rPr>
              <w:t>Delaware</w:t>
            </w:r>
          </w:p>
        </w:tc>
        <w:tc>
          <w:tcPr>
            <w:tcW w:w="2220" w:type="dxa"/>
            <w:vAlign w:val="bottom"/>
          </w:tcPr>
          <w:p>
            <w:pPr>
              <w:ind w:left="80"/>
              <w:spacing w:after="0"/>
              <w:rPr>
                <w:sz w:val="20"/>
                <w:szCs w:val="20"/>
                <w:color w:val="auto"/>
              </w:rPr>
            </w:pPr>
            <w:r>
              <w:rPr>
                <w:rFonts w:ascii="Arial" w:cs="Arial" w:eastAsia="Arial" w:hAnsi="Arial"/>
                <w:sz w:val="18"/>
                <w:szCs w:val="18"/>
                <w:b w:val="1"/>
                <w:bCs w:val="1"/>
                <w:color w:val="auto"/>
              </w:rPr>
              <w:t>001-34791</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89"/>
              </w:rPr>
              <w:t>83-0406195</w:t>
            </w:r>
          </w:p>
        </w:tc>
      </w:tr>
      <w:tr>
        <w:trPr>
          <w:trHeight w:val="148"/>
        </w:trPr>
        <w:tc>
          <w:tcPr>
            <w:tcW w:w="4120" w:type="dxa"/>
            <w:vAlign w:val="bottom"/>
          </w:tcPr>
          <w:p>
            <w:pPr>
              <w:jc w:val="center"/>
              <w:ind w:right="23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120" w:type="dxa"/>
            <w:vAlign w:val="bottom"/>
          </w:tcPr>
          <w:p>
            <w:pPr>
              <w:jc w:val="center"/>
              <w:ind w:right="2338"/>
              <w:spacing w:after="0"/>
              <w:rPr>
                <w:sz w:val="20"/>
                <w:szCs w:val="20"/>
                <w:color w:val="auto"/>
              </w:rPr>
            </w:pPr>
            <w:r>
              <w:rPr>
                <w:rFonts w:ascii="Arial" w:cs="Arial" w:eastAsia="Arial" w:hAnsi="Arial"/>
                <w:sz w:val="14"/>
                <w:szCs w:val="14"/>
                <w:b w:val="1"/>
                <w:bCs w:val="1"/>
                <w:color w:val="auto"/>
                <w:w w:val="94"/>
              </w:rPr>
              <w:t>of Incorporation)</w:t>
            </w:r>
          </w:p>
        </w:tc>
        <w:tc>
          <w:tcPr>
            <w:tcW w:w="2220" w:type="dxa"/>
            <w:vAlign w:val="bottom"/>
          </w:tcPr>
          <w:p>
            <w:pPr>
              <w:ind w:left="6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120" w:type="dxa"/>
            <w:vAlign w:val="bottom"/>
          </w:tcPr>
          <w:p>
            <w:pPr>
              <w:jc w:val="center"/>
              <w:ind w:left="1138"/>
              <w:spacing w:after="0"/>
              <w:rPr>
                <w:sz w:val="20"/>
                <w:szCs w:val="20"/>
                <w:color w:val="auto"/>
              </w:rPr>
            </w:pPr>
            <w:r>
              <w:rPr>
                <w:rFonts w:ascii="Arial" w:cs="Arial" w:eastAsia="Arial" w:hAnsi="Arial"/>
                <w:sz w:val="18"/>
                <w:szCs w:val="18"/>
                <w:b w:val="1"/>
                <w:bCs w:val="1"/>
                <w:color w:val="auto"/>
                <w:w w:val="90"/>
              </w:rPr>
              <w:t>c/o MagnaChip Semiconductor S.A.</w:t>
            </w:r>
          </w:p>
        </w:tc>
        <w:tc>
          <w:tcPr>
            <w:tcW w:w="22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4120" w:type="dxa"/>
            <w:vAlign w:val="bottom"/>
          </w:tcPr>
          <w:p>
            <w:pPr>
              <w:jc w:val="center"/>
              <w:ind w:left="1138"/>
              <w:spacing w:after="0"/>
              <w:rPr>
                <w:sz w:val="20"/>
                <w:szCs w:val="20"/>
                <w:color w:val="auto"/>
              </w:rPr>
            </w:pPr>
            <w:r>
              <w:rPr>
                <w:rFonts w:ascii="Arial" w:cs="Arial" w:eastAsia="Arial" w:hAnsi="Arial"/>
                <w:sz w:val="18"/>
                <w:szCs w:val="18"/>
                <w:b w:val="1"/>
                <w:bCs w:val="1"/>
                <w:color w:val="auto"/>
                <w:w w:val="89"/>
              </w:rPr>
              <w:t>1, Allée Scheffer, L-2520</w:t>
            </w:r>
          </w:p>
        </w:tc>
        <w:tc>
          <w:tcPr>
            <w:tcW w:w="22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5"/>
        </w:trPr>
        <w:tc>
          <w:tcPr>
            <w:tcW w:w="6340" w:type="dxa"/>
            <w:vAlign w:val="bottom"/>
            <w:gridSpan w:val="2"/>
          </w:tcPr>
          <w:p>
            <w:pPr>
              <w:jc w:val="center"/>
              <w:ind w:right="922"/>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90"/>
              </w:rPr>
              <w:t>Not Applicable</w:t>
            </w:r>
          </w:p>
        </w:tc>
      </w:tr>
      <w:tr>
        <w:trPr>
          <w:trHeight w:val="186"/>
        </w:trPr>
        <w:tc>
          <w:tcPr>
            <w:tcW w:w="4120" w:type="dxa"/>
            <w:vAlign w:val="bottom"/>
          </w:tcPr>
          <w:p>
            <w:pPr>
              <w:jc w:val="center"/>
              <w:ind w:left="11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1204" w:right="1020" w:hanging="1200"/>
        <w:spacing w:after="0" w:line="282" w:lineRule="auto"/>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w:t>
      </w:r>
    </w:p>
    <w:p>
      <w:pPr>
        <w:spacing w:after="0" w:line="121" w:lineRule="exact"/>
        <w:rPr>
          <w:sz w:val="20"/>
          <w:szCs w:val="20"/>
          <w:color w:val="auto"/>
        </w:rPr>
      </w:pPr>
    </w:p>
    <w:p>
      <w:pPr>
        <w:ind w:left="4" w:right="60"/>
        <w:spacing w:after="0" w:line="269" w:lineRule="auto"/>
        <w:rPr>
          <w:sz w:val="20"/>
          <w:szCs w:val="20"/>
          <w:color w:val="auto"/>
        </w:rPr>
      </w:pPr>
      <w:r>
        <w:rPr>
          <w:rFonts w:ascii="Arial" w:cs="Arial" w:eastAsia="Arial" w:hAnsi="Arial"/>
          <w:sz w:val="17"/>
          <w:szCs w:val="17"/>
          <w:color w:val="auto"/>
        </w:rPr>
        <w:t>On July 16, 2020, the Board of Directors (the “Board”) of MagnaChip Semiconductor Corporation (the “Company”) increased the size of the Board in accordance with the Company’s Amended and Restated Bylaws from six to seven directors, creating one vacancy on the Board. Effective July 16, 2020, the Board appointed Kyo-Hwa (Liz) Chung as a director of the Company to fill the newly-created vacancy on the Board with a term expiring at the next annual meeting of stockholders to be held in 2021. Ms. Chung currently serves as the Head of Corporate, External and Legal Affairs, for Microsoft Korea, a position she has held since November 2018. Prior to Microsoft Korea, Ms. Chung was with the Korean law firm Kim &amp; Chang, from April 2003 until November 2018, most recently as a partner focusing on the areas of international disputes, government investigations and crisis management. During September 2008 to March 2009, Ms. Chung was engaged with the international law firm Skadden, Arps, Slate, Meagher &amp; Flom LLP, as a visiting attorney at its New York office. Ms. Chung served as a judge on the Seoul Administrative Court from 2001 to 2003 and the Seoul Central District Court from 1999 to 2001. Ms. Chung received an LLM degree from Harvard Law School in 2008, and a Bachelor of Law degree from Korea University in 1996. Ms. Chung is licensed to practice law in Korea and New York.</w:t>
      </w:r>
    </w:p>
    <w:p>
      <w:pPr>
        <w:spacing w:after="0" w:line="185" w:lineRule="exact"/>
        <w:rPr>
          <w:sz w:val="20"/>
          <w:szCs w:val="20"/>
          <w:color w:val="auto"/>
        </w:rPr>
      </w:pPr>
    </w:p>
    <w:p>
      <w:pPr>
        <w:jc w:val="both"/>
        <w:ind w:left="4" w:right="240"/>
        <w:spacing w:after="0" w:line="263" w:lineRule="auto"/>
        <w:rPr>
          <w:sz w:val="20"/>
          <w:szCs w:val="20"/>
          <w:color w:val="auto"/>
        </w:rPr>
      </w:pPr>
      <w:r>
        <w:rPr>
          <w:rFonts w:ascii="Arial" w:cs="Arial" w:eastAsia="Arial" w:hAnsi="Arial"/>
          <w:sz w:val="18"/>
          <w:szCs w:val="18"/>
          <w:color w:val="auto"/>
        </w:rPr>
        <w:t>Ms. Chung will participate in the Company’s independent director compensation program. She will receive the following compensation in connection with her service on the Board, provided that such compensation will be prorated for her time of service from the date of her appointment through the Company’s next Annual Meeting of Stockholders:</w:t>
      </w:r>
    </w:p>
    <w:p>
      <w:pPr>
        <w:spacing w:after="0" w:line="184"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a. an annual RSU grant valued at $165,000 for service on the Board with such grant to vest in full on the date of the Company’s next Annual Meeting of Stockholders (or if earlier, August 31 of such year); and</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 a quarterly cash retainer of $18,750 for service on the Board.</w:t>
      </w:r>
    </w:p>
    <w:p>
      <w:pPr>
        <w:spacing w:after="0" w:line="225" w:lineRule="exact"/>
        <w:rPr>
          <w:sz w:val="20"/>
          <w:szCs w:val="20"/>
          <w:color w:val="auto"/>
        </w:rPr>
      </w:pPr>
    </w:p>
    <w:p>
      <w:pPr>
        <w:ind w:left="4" w:right="100"/>
        <w:spacing w:after="0" w:line="301" w:lineRule="auto"/>
        <w:rPr>
          <w:sz w:val="20"/>
          <w:szCs w:val="20"/>
          <w:color w:val="auto"/>
        </w:rPr>
      </w:pPr>
      <w:r>
        <w:rPr>
          <w:rFonts w:ascii="Arial" w:cs="Arial" w:eastAsia="Arial" w:hAnsi="Arial"/>
          <w:sz w:val="16"/>
          <w:szCs w:val="16"/>
          <w:color w:val="auto"/>
        </w:rPr>
        <w:t>Since the beginning of the Company’s last fiscal year through the present, there have been no transactions with the Company, and there are currently no proposed transactions with the Company, in which the amount involved exceeds $120,000 and in which Ms. Chung had or will have a direct or indirect material interest within the meaning of Item 404(a) of Regulation S-K of the Securities Act of 1933, as amended. No arrangement or understanding exists between Ms. Chung and any other person pursuant to which Ms. Chung was selected as a director of the Company.</w:t>
      </w:r>
    </w:p>
    <w:p>
      <w:pPr>
        <w:spacing w:after="0" w:line="302"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 w:right="180"/>
        <w:spacing w:after="0" w:line="279" w:lineRule="auto"/>
        <w:rPr>
          <w:sz w:val="20"/>
          <w:szCs w:val="20"/>
          <w:color w:val="auto"/>
        </w:rPr>
      </w:pPr>
      <w:r>
        <w:rPr>
          <w:rFonts w:ascii="Arial" w:cs="Arial" w:eastAsia="Arial" w:hAnsi="Arial"/>
          <w:sz w:val="17"/>
          <w:szCs w:val="17"/>
          <w:color w:val="auto"/>
        </w:rPr>
        <w:t>On July 20, 2020, the Company issued a press release announcing the election of Ms. Chung to the Board as described in Item 5.02 (d) of this Form 8-K. A copy of the Company’s press release is furnished with this Form 8-K and attached hereto as Exhibit 99.1. The information in Exhibit 99.1 shall not be deemed “filed” for purposes of Section 18 of the Securities Exchange Act of 1934, as amended, or otherwise subject to the liabilities of that section, nor shall it be incorporated by reference into any registration document or other document filed by the Company.</w:t>
      </w:r>
    </w:p>
    <w:p>
      <w:pPr>
        <w:spacing w:after="0" w:line="316"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10140" w:type="dxa"/>
            <w:vAlign w:val="bottom"/>
            <w:vMerge w:val="restart"/>
          </w:tcPr>
          <w:p>
            <w:pPr>
              <w:ind w:left="4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10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10560" w:type="dxa"/>
            <w:vAlign w:val="bottom"/>
            <w:gridSpan w:val="2"/>
          </w:tcPr>
          <w:p>
            <w:pPr>
              <w:ind w:left="4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of MagnaChip Semiconductor Corporation dated July 20, 2020.</w:t>
              </w:r>
            </w:hyperlink>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July 20,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Theodore Kim</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Chief Compliance Officer, Executive Vice President, General</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Counsel and Secretary</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637030" cy="368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3703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Appoints Ms. Kyo-Hwa (Liz) Chung to its Board of Directors</w:t>
      </w:r>
    </w:p>
    <w:p>
      <w:pPr>
        <w:spacing w:after="0" w:line="135" w:lineRule="exact"/>
        <w:rPr>
          <w:sz w:val="20"/>
          <w:szCs w:val="20"/>
          <w:color w:val="auto"/>
        </w:rPr>
      </w:pPr>
    </w:p>
    <w:p>
      <w:pPr>
        <w:ind w:left="420" w:right="660" w:hanging="316"/>
        <w:spacing w:after="0" w:line="27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MagnaChip expands Board to seven members with addition of Ms. Chung, a former judge who currently serves as the Head of Corporate, External and Legal Affairs, for Microsoft Korea</w:t>
      </w:r>
    </w:p>
    <w:p>
      <w:pPr>
        <w:spacing w:after="0" w:line="166" w:lineRule="exact"/>
        <w:rPr>
          <w:sz w:val="20"/>
          <w:szCs w:val="20"/>
          <w:color w:val="auto"/>
        </w:rPr>
      </w:pPr>
    </w:p>
    <w:p>
      <w:pPr>
        <w:jc w:val="both"/>
        <w:ind w:right="100"/>
        <w:spacing w:after="0" w:line="303" w:lineRule="auto"/>
        <w:rPr>
          <w:sz w:val="20"/>
          <w:szCs w:val="20"/>
          <w:color w:val="auto"/>
        </w:rPr>
      </w:pPr>
      <w:r>
        <w:rPr>
          <w:rFonts w:ascii="Arial" w:cs="Arial" w:eastAsia="Arial" w:hAnsi="Arial"/>
          <w:sz w:val="16"/>
          <w:szCs w:val="16"/>
          <w:b w:val="1"/>
          <w:bCs w:val="1"/>
          <w:color w:val="auto"/>
        </w:rPr>
        <w:t xml:space="preserve">SEOUL, South Korea and SAN JOSE, Calif., Jul. 20, 2020 </w:t>
      </w:r>
      <w:r>
        <w:rPr>
          <w:rFonts w:ascii="Arial" w:cs="Arial" w:eastAsia="Arial" w:hAnsi="Arial"/>
          <w:sz w:val="16"/>
          <w:szCs w:val="16"/>
          <w:color w:val="auto"/>
        </w:rPr>
        <w:t>— MagnaChip Semiconductor Corporation (“MagnaChip”) (NYSE: MX) announced the</w:t>
      </w:r>
      <w:r>
        <w:rPr>
          <w:rFonts w:ascii="Arial" w:cs="Arial" w:eastAsia="Arial" w:hAnsi="Arial"/>
          <w:sz w:val="16"/>
          <w:szCs w:val="16"/>
          <w:b w:val="1"/>
          <w:bCs w:val="1"/>
          <w:color w:val="auto"/>
        </w:rPr>
        <w:t xml:space="preserve"> </w:t>
      </w:r>
      <w:r>
        <w:rPr>
          <w:rFonts w:ascii="Arial" w:cs="Arial" w:eastAsia="Arial" w:hAnsi="Arial"/>
          <w:sz w:val="16"/>
          <w:szCs w:val="16"/>
          <w:color w:val="auto"/>
        </w:rPr>
        <w:t>appointment of Kyo-Hwa (Liz) Chung to its board of directors, effective July 16, 2020. Ms. Chung currently serves as the Head of Corporate, External and Legal Affairs, for Microsoft Korea, a position she has held since November 2018. Ms. Chung’s appointment fills a vacancy on MagnaChip’s Board of Directors (“Board”) created as a result of the Board increasing the number of directors on the Board to seven directors from six directors.</w:t>
      </w:r>
    </w:p>
    <w:p>
      <w:pPr>
        <w:spacing w:after="0" w:line="15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Prior to Microsoft Korea, Ms. Chung was with the Korean law firm Kim &amp; Chang, from April 2003 until November 2018, most recently as a partner focusing on the areas of international disputes, government investigations and crisis management. During September 2008 to March 2009, Ms. Chung was engaged with the international law firm Skadden, Arps, Slate, Meagher &amp; Flom LLP, as a visiting attorney at its New York office. Ms. Chung served as a judge on the Seoul Administrative Court from 2001 to 2003 and the Seoul Central District Court from 1999 to 2001. Ms. Chung received an LLM degree from Harvard Law School in 2008, and a Bachelor of Law degree from Korea University in 1996. Ms. Chung is licensed to practice law in Korea and New York.</w:t>
      </w:r>
    </w:p>
    <w:p>
      <w:pPr>
        <w:spacing w:after="0" w:line="19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 am delighted to welcome Liz to MagnaChip’s Board. She will bring extensive experience in the technology industry and her legal expertise to our Board and will complement the diverse skills of our strong Board of Directors team. We look forward to leveraging her expertise and perspective as we oversee the Company’s exciting journey to its next phase,” said Camillo Martino, Chairman of the Board of MagnaChip.</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 am honored to join the Board of MagnaChip and look forward to contributing to its future success, as we all continue to drive significant long-term shareholder value,” said Ms. Chung.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 xml:space="preserve">MagnaChip is a designer and manufacturer of analog and mixed-signal semiconductor platform solutions for communications, IoT, consumer, industrial and automotive applications. The Company provides a broad range of standard products and manufacturing services to customers worldwide. MagnaChip, with more than 40 years of operating history, owns a portfolio of approximately 2,950 registered patents and pending applications, and has extensive engineering, design and manufacturing process expertise. For more information, please visit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Information on or accessible through MagnaChip’s website is not a part of, and is not incorporated into, this release.</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CONTACTS</w:t>
      </w:r>
      <w:r>
        <w:rPr>
          <w:rFonts w:ascii="Arial" w:cs="Arial" w:eastAsia="Arial" w:hAnsi="Arial"/>
          <w:sz w:val="18"/>
          <w:szCs w:val="18"/>
          <w:b w:val="1"/>
          <w:bCs w:val="1"/>
          <w:color w:val="auto"/>
        </w:rPr>
        <w:t>:</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United States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8890" cy="6940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694055"/>
                    </a:xfrm>
                    <a:prstGeom prst="rect">
                      <a:avLst/>
                    </a:prstGeom>
                    <a:noFill/>
                  </pic:spPr>
                </pic:pic>
              </a:graphicData>
            </a:graphic>
          </wp:anchor>
        </w:drawing>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So-Yeon Jeong</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Tel. +1-408-712-6151</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investor.relations@magnachip.com</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Korea / Asia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-430530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-121920</wp:posOffset>
            </wp:positionV>
            <wp:extent cx="8255" cy="6940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6940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Chankeun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of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+82-2-6903-5223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chankeun.park@magnachip.com</w:t>
      </w:r>
    </w:p>
    <w:sectPr>
      <w:pgSz w:w="11900" w:h="16838" w:orient="portrait"/>
      <w:cols w:equalWidth="0" w:num="2">
        <w:col w:w="5020" w:space="720"/>
        <w:col w:w="427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2020-07-20T15:07:27Z</dcterms:created>
  <dcterms:modified xsi:type="dcterms:W3CDTF">2020-07-20T15:07:27Z</dcterms:modified>
</cp:coreProperties>
</file>