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14, 2007</w:t>
      </w:r>
    </w:p>
    <w:p>
      <w:pPr>
        <w:spacing w:after="0" w:line="18" w:lineRule="exact"/>
        <w:rPr>
          <w:sz w:val="24"/>
          <w:szCs w:val="24"/>
          <w:color w:val="auto"/>
        </w:rPr>
      </w:pPr>
    </w:p>
    <w:p>
      <w:pPr>
        <w:ind w:left="90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83820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109220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LLC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5"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2940" w:type="dxa"/>
            <w:vAlign w:val="bottom"/>
          </w:tcPr>
          <w:p>
            <w:pPr>
              <w:jc w:val="center"/>
              <w:ind w:right="926"/>
              <w:spacing w:after="0"/>
              <w:rPr>
                <w:sz w:val="20"/>
                <w:szCs w:val="20"/>
                <w:color w:val="auto"/>
              </w:rPr>
            </w:pPr>
            <w:r>
              <w:rPr>
                <w:rFonts w:ascii="Arial" w:cs="Arial" w:eastAsia="Arial" w:hAnsi="Arial"/>
                <w:sz w:val="18"/>
                <w:szCs w:val="18"/>
                <w:b w:val="1"/>
                <w:bCs w:val="1"/>
                <w:color w:val="auto"/>
                <w:w w:val="98"/>
              </w:rPr>
              <w:t>Delaware</w:t>
            </w:r>
          </w:p>
        </w:tc>
        <w:tc>
          <w:tcPr>
            <w:tcW w:w="3980" w:type="dxa"/>
            <w:vAlign w:val="bottom"/>
          </w:tcPr>
          <w:p>
            <w:pPr>
              <w:jc w:val="center"/>
              <w:ind w:right="66"/>
              <w:spacing w:after="0"/>
              <w:rPr>
                <w:sz w:val="20"/>
                <w:szCs w:val="20"/>
                <w:color w:val="auto"/>
              </w:rPr>
            </w:pPr>
            <w:r>
              <w:rPr>
                <w:rFonts w:ascii="Arial" w:cs="Arial" w:eastAsia="Arial" w:hAnsi="Arial"/>
                <w:sz w:val="18"/>
                <w:szCs w:val="18"/>
                <w:b w:val="1"/>
                <w:bCs w:val="1"/>
                <w:color w:val="auto"/>
                <w:w w:val="99"/>
              </w:rPr>
              <w:t>3674</w:t>
            </w:r>
          </w:p>
        </w:tc>
        <w:tc>
          <w:tcPr>
            <w:tcW w:w="2260" w:type="dxa"/>
            <w:vAlign w:val="bottom"/>
          </w:tcPr>
          <w:p>
            <w:pPr>
              <w:jc w:val="center"/>
              <w:ind w:left="1046"/>
              <w:spacing w:after="0"/>
              <w:rPr>
                <w:sz w:val="20"/>
                <w:szCs w:val="20"/>
                <w:color w:val="auto"/>
              </w:rPr>
            </w:pPr>
            <w:r>
              <w:rPr>
                <w:rFonts w:ascii="Arial" w:cs="Arial" w:eastAsia="Arial" w:hAnsi="Arial"/>
                <w:sz w:val="18"/>
                <w:szCs w:val="18"/>
                <w:b w:val="1"/>
                <w:bCs w:val="1"/>
                <w:color w:val="auto"/>
                <w:w w:val="97"/>
              </w:rPr>
              <w:t>83-0406195</w:t>
            </w:r>
          </w:p>
        </w:tc>
      </w:tr>
      <w:tr>
        <w:trPr>
          <w:trHeight w:val="149"/>
        </w:trPr>
        <w:tc>
          <w:tcPr>
            <w:tcW w:w="2940" w:type="dxa"/>
            <w:vAlign w:val="bottom"/>
          </w:tcPr>
          <w:p>
            <w:pPr>
              <w:jc w:val="center"/>
              <w:ind w:right="926"/>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9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60" w:type="dxa"/>
            <w:vAlign w:val="bottom"/>
          </w:tcPr>
          <w:p>
            <w:pPr>
              <w:jc w:val="center"/>
              <w:ind w:left="106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2940" w:type="dxa"/>
            <w:vAlign w:val="bottom"/>
          </w:tcPr>
          <w:p>
            <w:pPr>
              <w:jc w:val="center"/>
              <w:ind w:right="926"/>
              <w:spacing w:after="0"/>
              <w:rPr>
                <w:sz w:val="20"/>
                <w:szCs w:val="20"/>
                <w:color w:val="auto"/>
              </w:rPr>
            </w:pPr>
            <w:r>
              <w:rPr>
                <w:rFonts w:ascii="Arial" w:cs="Arial" w:eastAsia="Arial" w:hAnsi="Arial"/>
                <w:sz w:val="14"/>
                <w:szCs w:val="14"/>
                <w:b w:val="1"/>
                <w:bCs w:val="1"/>
                <w:color w:val="auto"/>
                <w:w w:val="97"/>
              </w:rPr>
              <w:t>incorporation or organization)</w:t>
            </w:r>
          </w:p>
        </w:tc>
        <w:tc>
          <w:tcPr>
            <w:tcW w:w="3980" w:type="dxa"/>
            <w:vAlign w:val="bottom"/>
          </w:tcPr>
          <w:p>
            <w:pPr>
              <w:jc w:val="center"/>
              <w:ind w:right="66"/>
              <w:spacing w:after="0"/>
              <w:rPr>
                <w:sz w:val="20"/>
                <w:szCs w:val="20"/>
                <w:color w:val="auto"/>
              </w:rPr>
            </w:pPr>
            <w:r>
              <w:rPr>
                <w:rFonts w:ascii="Arial" w:cs="Arial" w:eastAsia="Arial" w:hAnsi="Arial"/>
                <w:sz w:val="14"/>
                <w:szCs w:val="14"/>
                <w:b w:val="1"/>
                <w:bCs w:val="1"/>
                <w:color w:val="auto"/>
                <w:w w:val="96"/>
              </w:rPr>
              <w:t>Classification Code Number)</w:t>
            </w:r>
          </w:p>
        </w:tc>
        <w:tc>
          <w:tcPr>
            <w:tcW w:w="2260" w:type="dxa"/>
            <w:vAlign w:val="bottom"/>
          </w:tcPr>
          <w:p>
            <w:pPr>
              <w:jc w:val="center"/>
              <w:ind w:left="1046"/>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MagnaChip Semiconductor S.A.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74, rue de Merl, B.P. 709, L-2017</w:t>
      </w:r>
    </w:p>
    <w:p>
      <w:pPr>
        <w:jc w:val="center"/>
        <w:spacing w:after="0" w:line="234" w:lineRule="auto"/>
        <w:rPr>
          <w:sz w:val="20"/>
          <w:szCs w:val="20"/>
          <w:color w:val="auto"/>
        </w:rPr>
      </w:pPr>
      <w:r>
        <w:rPr>
          <w:rFonts w:ascii="Arial" w:cs="Arial" w:eastAsia="Arial" w:hAnsi="Arial"/>
          <w:sz w:val="18"/>
          <w:szCs w:val="18"/>
          <w:b w:val="1"/>
          <w:bCs w:val="1"/>
          <w:color w:val="auto"/>
        </w:rPr>
        <w:t>Luxembourg, Grand Duchy of Luxembourg</w:t>
      </w:r>
    </w:p>
    <w:p>
      <w:pPr>
        <w:jc w:val="center"/>
        <w:spacing w:after="0" w:line="231" w:lineRule="auto"/>
        <w:rPr>
          <w:sz w:val="20"/>
          <w:szCs w:val="20"/>
          <w:color w:val="auto"/>
        </w:rPr>
      </w:pPr>
      <w:r>
        <w:rPr>
          <w:rFonts w:ascii="Arial" w:cs="Arial" w:eastAsia="Arial" w:hAnsi="Arial"/>
          <w:sz w:val="18"/>
          <w:szCs w:val="18"/>
          <w:b w:val="1"/>
          <w:bCs w:val="1"/>
          <w:color w:val="auto"/>
        </w:rPr>
        <w:t>(352) 45-62-62</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104140</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McFarland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jc w:val="center"/>
        <w:spacing w:after="0" w:line="234" w:lineRule="auto"/>
        <w:rPr>
          <w:sz w:val="20"/>
          <w:szCs w:val="20"/>
          <w:color w:val="auto"/>
        </w:rPr>
      </w:pPr>
      <w:r>
        <w:rPr>
          <w:rFonts w:ascii="Arial" w:cs="Arial" w:eastAsia="Arial" w:hAnsi="Arial"/>
          <w:sz w:val="18"/>
          <w:szCs w:val="18"/>
          <w:b w:val="1"/>
          <w:bCs w:val="1"/>
          <w:color w:val="auto"/>
        </w:rPr>
        <w:t>c/o MagnaChip Semiconductor, Ltd.</w:t>
      </w:r>
    </w:p>
    <w:p>
      <w:pPr>
        <w:jc w:val="center"/>
        <w:spacing w:after="0" w:line="235" w:lineRule="auto"/>
        <w:rPr>
          <w:sz w:val="20"/>
          <w:szCs w:val="20"/>
          <w:color w:val="auto"/>
        </w:rPr>
      </w:pPr>
      <w:r>
        <w:rPr>
          <w:rFonts w:ascii="Arial" w:cs="Arial" w:eastAsia="Arial" w:hAnsi="Arial"/>
          <w:sz w:val="18"/>
          <w:szCs w:val="18"/>
          <w:b w:val="1"/>
          <w:bCs w:val="1"/>
          <w:color w:val="auto"/>
        </w:rPr>
        <w:t>891 Daechi-dong, Gangnam-gu</w:t>
      </w:r>
    </w:p>
    <w:p>
      <w:pPr>
        <w:jc w:val="center"/>
        <w:spacing w:after="0" w:line="235" w:lineRule="auto"/>
        <w:rPr>
          <w:sz w:val="20"/>
          <w:szCs w:val="20"/>
          <w:color w:val="auto"/>
        </w:rPr>
      </w:pPr>
      <w:r>
        <w:rPr>
          <w:rFonts w:ascii="Arial" w:cs="Arial" w:eastAsia="Arial" w:hAnsi="Arial"/>
          <w:sz w:val="18"/>
          <w:szCs w:val="18"/>
          <w:b w:val="1"/>
          <w:bCs w:val="1"/>
          <w:color w:val="auto"/>
        </w:rPr>
        <w:t>Seoul 135-738</w:t>
      </w:r>
    </w:p>
    <w:p>
      <w:pPr>
        <w:jc w:val="center"/>
        <w:spacing w:after="0" w:line="235" w:lineRule="auto"/>
        <w:rPr>
          <w:sz w:val="20"/>
          <w:szCs w:val="20"/>
          <w:color w:val="auto"/>
        </w:rPr>
      </w:pPr>
      <w:r>
        <w:rPr>
          <w:rFonts w:ascii="Arial" w:cs="Arial" w:eastAsia="Arial" w:hAnsi="Arial"/>
          <w:sz w:val="18"/>
          <w:szCs w:val="18"/>
          <w:b w:val="1"/>
          <w:bCs w:val="1"/>
          <w:color w:val="auto"/>
        </w:rPr>
        <w:t>Korea</w:t>
      </w:r>
    </w:p>
    <w:p>
      <w:pPr>
        <w:jc w:val="center"/>
        <w:spacing w:after="0" w:line="230" w:lineRule="auto"/>
        <w:rPr>
          <w:sz w:val="20"/>
          <w:szCs w:val="20"/>
          <w:color w:val="auto"/>
        </w:rPr>
      </w:pPr>
      <w:r>
        <w:rPr>
          <w:rFonts w:ascii="Arial" w:cs="Arial" w:eastAsia="Arial" w:hAnsi="Arial"/>
          <w:sz w:val="18"/>
          <w:szCs w:val="18"/>
          <w:b w:val="1"/>
          <w:bCs w:val="1"/>
          <w:color w:val="auto"/>
        </w:rPr>
        <w:t>82-2-3459-3376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78105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8" w:lineRule="exact"/>
        <w:rPr>
          <w:sz w:val="24"/>
          <w:szCs w:val="24"/>
          <w:color w:val="auto"/>
        </w:rPr>
      </w:pPr>
    </w:p>
    <w:tbl>
      <w:tblPr>
        <w:tblLayout w:type="fixed"/>
        <w:tblInd w:w="174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54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Copies to:</w:t>
            </w:r>
          </w:p>
        </w:tc>
      </w:tr>
      <w:tr>
        <w:trPr>
          <w:trHeight w:val="203"/>
        </w:trPr>
        <w:tc>
          <w:tcPr>
            <w:tcW w:w="2880" w:type="dxa"/>
            <w:vAlign w:val="bottom"/>
          </w:tcPr>
          <w:p>
            <w:pPr>
              <w:jc w:val="center"/>
              <w:ind w:right="552"/>
              <w:spacing w:after="0" w:line="202" w:lineRule="exact"/>
              <w:rPr>
                <w:sz w:val="20"/>
                <w:szCs w:val="20"/>
                <w:color w:val="auto"/>
              </w:rPr>
            </w:pPr>
            <w:r>
              <w:rPr>
                <w:rFonts w:ascii="Arial" w:cs="Arial" w:eastAsia="Arial" w:hAnsi="Arial"/>
                <w:sz w:val="18"/>
                <w:szCs w:val="18"/>
                <w:b w:val="1"/>
                <w:bCs w:val="1"/>
                <w:color w:val="auto"/>
                <w:w w:val="97"/>
              </w:rPr>
              <w:t>Sang H. Park</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8"/>
              </w:rPr>
              <w:t>Eva H. Davis</w:t>
            </w:r>
          </w:p>
        </w:tc>
      </w:tr>
      <w:tr>
        <w:trPr>
          <w:trHeight w:val="203"/>
        </w:trPr>
        <w:tc>
          <w:tcPr>
            <w:tcW w:w="2880" w:type="dxa"/>
            <w:vAlign w:val="bottom"/>
          </w:tcPr>
          <w:p>
            <w:pPr>
              <w:jc w:val="center"/>
              <w:ind w:right="532"/>
              <w:spacing w:after="0" w:line="202" w:lineRule="exact"/>
              <w:rPr>
                <w:sz w:val="20"/>
                <w:szCs w:val="20"/>
                <w:color w:val="auto"/>
              </w:rPr>
            </w:pPr>
            <w:r>
              <w:rPr>
                <w:rFonts w:ascii="Arial" w:cs="Arial" w:eastAsia="Arial" w:hAnsi="Arial"/>
                <w:sz w:val="18"/>
                <w:szCs w:val="18"/>
                <w:b w:val="1"/>
                <w:bCs w:val="1"/>
                <w:color w:val="auto"/>
                <w:w w:val="97"/>
              </w:rPr>
              <w:t>Thomas J. Friedmann</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7"/>
              </w:rPr>
              <w:t>Kirkland &amp; Ellis LLP</w:t>
            </w:r>
          </w:p>
        </w:tc>
      </w:tr>
      <w:tr>
        <w:trPr>
          <w:trHeight w:val="203"/>
        </w:trPr>
        <w:tc>
          <w:tcPr>
            <w:tcW w:w="2880" w:type="dxa"/>
            <w:vAlign w:val="bottom"/>
          </w:tcPr>
          <w:p>
            <w:pPr>
              <w:jc w:val="center"/>
              <w:ind w:right="552"/>
              <w:spacing w:after="0" w:line="202" w:lineRule="exact"/>
              <w:rPr>
                <w:sz w:val="20"/>
                <w:szCs w:val="20"/>
                <w:color w:val="auto"/>
              </w:rPr>
            </w:pPr>
            <w:r>
              <w:rPr>
                <w:rFonts w:ascii="Arial" w:cs="Arial" w:eastAsia="Arial" w:hAnsi="Arial"/>
                <w:sz w:val="18"/>
                <w:szCs w:val="18"/>
                <w:b w:val="1"/>
                <w:bCs w:val="1"/>
                <w:color w:val="auto"/>
                <w:w w:val="98"/>
              </w:rPr>
              <w:t>Dechert LLP</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7"/>
              </w:rPr>
              <w:t>777 S. Figueroa Street, Suite 3700</w:t>
            </w:r>
          </w:p>
        </w:tc>
      </w:tr>
      <w:tr>
        <w:trPr>
          <w:trHeight w:val="203"/>
        </w:trPr>
        <w:tc>
          <w:tcPr>
            <w:tcW w:w="2880" w:type="dxa"/>
            <w:vAlign w:val="bottom"/>
          </w:tcPr>
          <w:p>
            <w:pPr>
              <w:jc w:val="center"/>
              <w:ind w:right="552"/>
              <w:spacing w:after="0" w:line="202" w:lineRule="exact"/>
              <w:rPr>
                <w:sz w:val="20"/>
                <w:szCs w:val="20"/>
                <w:color w:val="auto"/>
              </w:rPr>
            </w:pPr>
            <w:r>
              <w:rPr>
                <w:rFonts w:ascii="Arial" w:cs="Arial" w:eastAsia="Arial" w:hAnsi="Arial"/>
                <w:sz w:val="18"/>
                <w:szCs w:val="18"/>
                <w:b w:val="1"/>
                <w:bCs w:val="1"/>
                <w:color w:val="auto"/>
                <w:w w:val="97"/>
              </w:rPr>
              <w:t>30 Rockefeller Plaza</w:t>
            </w:r>
          </w:p>
        </w:tc>
        <w:tc>
          <w:tcPr>
            <w:tcW w:w="5480" w:type="dxa"/>
            <w:vAlign w:val="bottom"/>
          </w:tcPr>
          <w:p>
            <w:pPr>
              <w:jc w:val="center"/>
              <w:ind w:left="2552"/>
              <w:spacing w:after="0" w:line="202" w:lineRule="exact"/>
              <w:rPr>
                <w:sz w:val="20"/>
                <w:szCs w:val="20"/>
                <w:color w:val="auto"/>
              </w:rPr>
            </w:pPr>
            <w:r>
              <w:rPr>
                <w:rFonts w:ascii="Arial" w:cs="Arial" w:eastAsia="Arial" w:hAnsi="Arial"/>
                <w:sz w:val="18"/>
                <w:szCs w:val="18"/>
                <w:b w:val="1"/>
                <w:bCs w:val="1"/>
                <w:color w:val="auto"/>
                <w:w w:val="97"/>
              </w:rPr>
              <w:t>Los Angeles, California 90017</w:t>
            </w:r>
          </w:p>
        </w:tc>
      </w:tr>
      <w:tr>
        <w:trPr>
          <w:trHeight w:val="203"/>
        </w:trPr>
        <w:tc>
          <w:tcPr>
            <w:tcW w:w="2880" w:type="dxa"/>
            <w:vAlign w:val="bottom"/>
          </w:tcPr>
          <w:p>
            <w:pPr>
              <w:jc w:val="center"/>
              <w:ind w:right="592"/>
              <w:spacing w:after="0" w:line="202" w:lineRule="exact"/>
              <w:rPr>
                <w:sz w:val="20"/>
                <w:szCs w:val="20"/>
                <w:color w:val="auto"/>
              </w:rPr>
            </w:pPr>
            <w:r>
              <w:rPr>
                <w:rFonts w:ascii="Arial" w:cs="Arial" w:eastAsia="Arial" w:hAnsi="Arial"/>
                <w:sz w:val="18"/>
                <w:szCs w:val="18"/>
                <w:b w:val="1"/>
                <w:bCs w:val="1"/>
                <w:color w:val="auto"/>
                <w:w w:val="96"/>
              </w:rPr>
              <w:t>New York, New York 10122</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7"/>
              </w:rPr>
              <w:t>Telephone: (213) 680-8400</w:t>
            </w:r>
          </w:p>
        </w:tc>
      </w:tr>
      <w:tr>
        <w:trPr>
          <w:trHeight w:val="203"/>
        </w:trPr>
        <w:tc>
          <w:tcPr>
            <w:tcW w:w="2880" w:type="dxa"/>
            <w:vAlign w:val="bottom"/>
          </w:tcPr>
          <w:p>
            <w:pPr>
              <w:jc w:val="center"/>
              <w:ind w:right="532"/>
              <w:spacing w:after="0" w:line="202" w:lineRule="exact"/>
              <w:rPr>
                <w:sz w:val="20"/>
                <w:szCs w:val="20"/>
                <w:color w:val="auto"/>
              </w:rPr>
            </w:pPr>
            <w:r>
              <w:rPr>
                <w:rFonts w:ascii="Arial" w:cs="Arial" w:eastAsia="Arial" w:hAnsi="Arial"/>
                <w:sz w:val="18"/>
                <w:szCs w:val="18"/>
                <w:b w:val="1"/>
                <w:bCs w:val="1"/>
                <w:color w:val="auto"/>
                <w:w w:val="97"/>
              </w:rPr>
              <w:t>Telephone: (212) 698-3500</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8"/>
              </w:rPr>
              <w:t>Fax: (213) 680-8500</w:t>
            </w:r>
          </w:p>
        </w:tc>
      </w:tr>
      <w:tr>
        <w:trPr>
          <w:trHeight w:val="233"/>
        </w:trPr>
        <w:tc>
          <w:tcPr>
            <w:tcW w:w="2880" w:type="dxa"/>
            <w:vAlign w:val="bottom"/>
          </w:tcPr>
          <w:p>
            <w:pPr>
              <w:jc w:val="center"/>
              <w:ind w:right="552"/>
              <w:spacing w:after="0"/>
              <w:rPr>
                <w:sz w:val="20"/>
                <w:szCs w:val="20"/>
                <w:color w:val="auto"/>
              </w:rPr>
            </w:pPr>
            <w:r>
              <w:rPr>
                <w:rFonts w:ascii="Arial" w:cs="Arial" w:eastAsia="Arial" w:hAnsi="Arial"/>
                <w:sz w:val="18"/>
                <w:szCs w:val="18"/>
                <w:b w:val="1"/>
                <w:bCs w:val="1"/>
                <w:color w:val="auto"/>
                <w:w w:val="96"/>
              </w:rPr>
              <w:t>Fax: (202) 698-3599</w:t>
            </w:r>
          </w:p>
        </w:tc>
        <w:tc>
          <w:tcPr>
            <w:tcW w:w="5480" w:type="dxa"/>
            <w:vAlign w:val="bottom"/>
          </w:tcPr>
          <w:p>
            <w:pPr>
              <w:spacing w:after="0"/>
              <w:rPr>
                <w:sz w:val="20"/>
                <w:szCs w:val="20"/>
                <w:color w:val="auto"/>
              </w:rPr>
            </w:pPr>
          </w:p>
        </w:tc>
      </w:tr>
    </w:tbl>
    <w:p>
      <w:pPr>
        <w:spacing w:after="0" w:line="39"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58" w:lineRule="exact"/>
        <w:rPr>
          <w:sz w:val="24"/>
          <w:szCs w:val="24"/>
          <w:color w:val="auto"/>
        </w:rPr>
      </w:pPr>
    </w:p>
    <w:p>
      <w:pPr>
        <w:ind w:right="460" w:firstLine="342"/>
        <w:spacing w:after="0" w:line="163"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6" w:lineRule="exact"/>
        <w:rPr>
          <w:sz w:val="24"/>
          <w:szCs w:val="24"/>
          <w:color w:val="auto"/>
        </w:rPr>
      </w:pPr>
    </w:p>
    <w:p>
      <w:pPr>
        <w:ind w:right="160" w:firstLine="342"/>
        <w:spacing w:after="0" w:line="163"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6" w:lineRule="exact"/>
        <w:rPr>
          <w:sz w:val="24"/>
          <w:szCs w:val="24"/>
          <w:color w:val="auto"/>
        </w:rPr>
      </w:pPr>
    </w:p>
    <w:p>
      <w:pPr>
        <w:ind w:right="120" w:firstLine="342"/>
        <w:spacing w:after="0" w:line="163"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6" w:lineRule="exact"/>
        <w:rPr>
          <w:sz w:val="24"/>
          <w:szCs w:val="24"/>
          <w:color w:val="auto"/>
        </w:rPr>
      </w:pPr>
    </w:p>
    <w:p>
      <w:pPr>
        <w:ind w:right="120" w:firstLine="342"/>
        <w:spacing w:after="0" w:line="163"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Proposed maximum</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aggregate</w:t>
            </w:r>
          </w:p>
        </w:tc>
        <w:tc>
          <w:tcPr>
            <w:tcW w:w="5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Amount of</w:t>
            </w:r>
          </w:p>
        </w:tc>
        <w:tc>
          <w:tcPr>
            <w:tcW w:w="0" w:type="dxa"/>
            <w:vAlign w:val="bottom"/>
          </w:tcPr>
          <w:p>
            <w:pPr>
              <w:spacing w:after="0"/>
              <w:rPr>
                <w:sz w:val="1"/>
                <w:szCs w:val="1"/>
                <w:color w:val="auto"/>
              </w:rPr>
            </w:pPr>
          </w:p>
        </w:tc>
      </w:tr>
      <w:tr>
        <w:trPr>
          <w:trHeight w:val="172"/>
        </w:trPr>
        <w:tc>
          <w:tcPr>
            <w:tcW w:w="80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7"/>
              </w:rPr>
              <w:t>offering price(1)</w:t>
            </w:r>
          </w:p>
        </w:tc>
        <w:tc>
          <w:tcPr>
            <w:tcW w:w="580" w:type="dxa"/>
            <w:vAlign w:val="bottom"/>
          </w:tcPr>
          <w:p>
            <w:pPr>
              <w:spacing w:after="0"/>
              <w:rPr>
                <w:sz w:val="14"/>
                <w:szCs w:val="14"/>
                <w:color w:val="auto"/>
              </w:rPr>
            </w:pPr>
          </w:p>
        </w:tc>
        <w:tc>
          <w:tcPr>
            <w:tcW w:w="9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registration fee</w:t>
            </w:r>
          </w:p>
        </w:tc>
        <w:tc>
          <w:tcPr>
            <w:tcW w:w="0" w:type="dxa"/>
            <w:vAlign w:val="bottom"/>
          </w:tcPr>
          <w:p>
            <w:pPr>
              <w:spacing w:after="0"/>
              <w:rPr>
                <w:sz w:val="1"/>
                <w:szCs w:val="1"/>
                <w:color w:val="auto"/>
              </w:rPr>
            </w:pPr>
          </w:p>
        </w:tc>
      </w:tr>
      <w:tr>
        <w:trPr>
          <w:trHeight w:val="201"/>
        </w:trPr>
        <w:tc>
          <w:tcPr>
            <w:tcW w:w="8000" w:type="dxa"/>
            <w:vAlign w:val="bottom"/>
          </w:tcPr>
          <w:p>
            <w:pPr>
              <w:spacing w:after="0" w:line="201" w:lineRule="exact"/>
              <w:rPr>
                <w:sz w:val="20"/>
                <w:szCs w:val="20"/>
                <w:color w:val="auto"/>
              </w:rPr>
            </w:pPr>
            <w:r>
              <w:rPr>
                <w:rFonts w:ascii="Arial" w:cs="Arial" w:eastAsia="Arial" w:hAnsi="Arial"/>
                <w:sz w:val="18"/>
                <w:szCs w:val="18"/>
                <w:color w:val="auto"/>
              </w:rPr>
              <w:t>Common Stock, par value $0.01 per share</w:t>
            </w:r>
          </w:p>
        </w:tc>
        <w:tc>
          <w:tcPr>
            <w:tcW w:w="1860" w:type="dxa"/>
            <w:vAlign w:val="bottom"/>
            <w:gridSpan w:val="2"/>
          </w:tcPr>
          <w:p>
            <w:pPr>
              <w:jc w:val="center"/>
              <w:ind w:left="492"/>
              <w:spacing w:after="0" w:line="201" w:lineRule="exact"/>
              <w:rPr>
                <w:sz w:val="20"/>
                <w:szCs w:val="20"/>
                <w:color w:val="auto"/>
              </w:rPr>
            </w:pPr>
            <w:r>
              <w:rPr>
                <w:rFonts w:ascii="Arial" w:cs="Arial" w:eastAsia="Arial" w:hAnsi="Arial"/>
                <w:sz w:val="18"/>
                <w:szCs w:val="18"/>
                <w:color w:val="auto"/>
                <w:w w:val="98"/>
              </w:rPr>
              <w:t>$575,000,000</w:t>
            </w:r>
          </w:p>
        </w:tc>
        <w:tc>
          <w:tcPr>
            <w:tcW w:w="1560" w:type="dxa"/>
            <w:vAlign w:val="bottom"/>
            <w:gridSpan w:val="2"/>
          </w:tcPr>
          <w:p>
            <w:pPr>
              <w:jc w:val="center"/>
              <w:ind w:left="472"/>
              <w:spacing w:after="0" w:line="201" w:lineRule="exact"/>
              <w:rPr>
                <w:sz w:val="20"/>
                <w:szCs w:val="20"/>
                <w:color w:val="auto"/>
              </w:rPr>
            </w:pPr>
            <w:r>
              <w:rPr>
                <w:rFonts w:ascii="Arial" w:cs="Arial" w:eastAsia="Arial" w:hAnsi="Arial"/>
                <w:sz w:val="18"/>
                <w:szCs w:val="18"/>
                <w:color w:val="auto"/>
                <w:w w:val="97"/>
              </w:rPr>
              <w:t>$17,652.50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(1)Estimated solely for the purpose of calculating the registration fee pursuant to Rule 457(o).</w:t>
      </w:r>
    </w:p>
    <w:p>
      <w:pPr>
        <w:spacing w:after="0" w:line="53" w:lineRule="exact"/>
        <w:rPr>
          <w:sz w:val="24"/>
          <w:szCs w:val="24"/>
          <w:color w:val="auto"/>
        </w:rPr>
      </w:pPr>
    </w:p>
    <w:p>
      <w:pPr>
        <w:ind w:right="120" w:firstLine="342"/>
        <w:spacing w:after="0" w:line="23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Subject to Completion. Dated November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149860</wp:posOffset>
            </wp:positionV>
            <wp:extent cx="188658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60"/>
        <w:spacing w:after="0"/>
        <w:rPr>
          <w:sz w:val="20"/>
          <w:szCs w:val="20"/>
          <w:color w:val="auto"/>
        </w:rPr>
      </w:pPr>
      <w:r>
        <w:rPr>
          <w:rFonts w:ascii="Arial" w:cs="Arial" w:eastAsia="Arial" w:hAnsi="Arial"/>
          <w:sz w:val="24"/>
          <w:szCs w:val="24"/>
          <w:color w:val="auto"/>
        </w:rPr>
        <w:t>Shares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Corporation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0" w:type="dxa"/>
            <w:vAlign w:val="bottom"/>
            <w:gridSpan w:val="2"/>
          </w:tcPr>
          <w:p>
            <w:pPr>
              <w:ind w:left="380"/>
              <w:spacing w:after="0"/>
              <w:rPr>
                <w:sz w:val="20"/>
                <w:szCs w:val="20"/>
                <w:color w:val="auto"/>
              </w:rPr>
            </w:pPr>
            <w:r>
              <w:rPr>
                <w:rFonts w:ascii="Arial" w:cs="Arial" w:eastAsia="Arial" w:hAnsi="Arial"/>
                <w:sz w:val="24"/>
                <w:szCs w:val="24"/>
                <w:color w:val="auto"/>
              </w:rPr>
              <w:t>Common Stock</w:t>
            </w:r>
          </w:p>
        </w:tc>
      </w:tr>
      <w:tr>
        <w:trPr>
          <w:trHeight w:val="252"/>
        </w:trPr>
        <w:tc>
          <w:tcPr>
            <w:tcW w:w="540" w:type="dxa"/>
            <w:vAlign w:val="bottom"/>
          </w:tcPr>
          <w:p>
            <w:pPr>
              <w:spacing w:after="0"/>
              <w:rPr>
                <w:sz w:val="21"/>
                <w:szCs w:val="21"/>
                <w:color w:val="auto"/>
              </w:rPr>
            </w:pPr>
          </w:p>
        </w:tc>
        <w:tc>
          <w:tcPr>
            <w:tcW w:w="3960" w:type="dxa"/>
            <w:vAlign w:val="bottom"/>
            <w:gridSpan w:val="3"/>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4380" w:type="dxa"/>
            <w:vAlign w:val="bottom"/>
          </w:tcPr>
          <w:p>
            <w:pPr>
              <w:spacing w:after="0"/>
              <w:rPr>
                <w:sz w:val="21"/>
                <w:szCs w:val="21"/>
                <w:color w:val="auto"/>
              </w:rPr>
            </w:pPr>
          </w:p>
        </w:tc>
      </w:tr>
      <w:tr>
        <w:trPr>
          <w:trHeight w:val="334"/>
        </w:trPr>
        <w:tc>
          <w:tcPr>
            <w:tcW w:w="540" w:type="dxa"/>
            <w:vAlign w:val="bottom"/>
          </w:tcPr>
          <w:p>
            <w:pPr>
              <w:spacing w:after="0"/>
              <w:rPr>
                <w:sz w:val="24"/>
                <w:szCs w:val="24"/>
                <w:color w:val="auto"/>
              </w:rPr>
            </w:pPr>
          </w:p>
        </w:tc>
        <w:tc>
          <w:tcPr>
            <w:tcW w:w="10760" w:type="dxa"/>
            <w:vAlign w:val="bottom"/>
            <w:gridSpan w:val="5"/>
          </w:tcPr>
          <w:p>
            <w:pPr>
              <w:ind w:left="40"/>
              <w:spacing w:after="0"/>
              <w:rPr>
                <w:sz w:val="20"/>
                <w:szCs w:val="20"/>
                <w:color w:val="auto"/>
              </w:rPr>
            </w:pPr>
            <w:r>
              <w:rPr>
                <w:rFonts w:ascii="Arial" w:cs="Arial" w:eastAsia="Arial" w:hAnsi="Arial"/>
                <w:sz w:val="18"/>
                <w:szCs w:val="18"/>
                <w:color w:val="auto"/>
                <w:w w:val="99"/>
              </w:rPr>
              <w:t>This is the initial public offering of common stock of MagnaChip Semiconductor Corporation. MagnaChip Semiconductor Corporation is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rPr>
              <w:t>selling</w:t>
            </w:r>
          </w:p>
        </w:tc>
        <w:tc>
          <w:tcPr>
            <w:tcW w:w="10760" w:type="dxa"/>
            <w:vAlign w:val="bottom"/>
            <w:gridSpan w:val="5"/>
          </w:tcPr>
          <w:p>
            <w:pPr>
              <w:ind w:left="640"/>
              <w:spacing w:after="0" w:line="202" w:lineRule="exact"/>
              <w:rPr>
                <w:sz w:val="20"/>
                <w:szCs w:val="20"/>
                <w:color w:val="auto"/>
              </w:rPr>
            </w:pPr>
            <w:r>
              <w:rPr>
                <w:rFonts w:ascii="Arial" w:cs="Arial" w:eastAsia="Arial" w:hAnsi="Arial"/>
                <w:sz w:val="18"/>
                <w:szCs w:val="18"/>
                <w:color w:val="auto"/>
                <w:w w:val="99"/>
              </w:rPr>
              <w:t>shares of common stock, and the selling stockholders identified in this prospectus, including some of our executive officers, are</w:t>
            </w:r>
          </w:p>
        </w:tc>
      </w:tr>
      <w:tr>
        <w:trPr>
          <w:trHeight w:val="203"/>
        </w:trPr>
        <w:tc>
          <w:tcPr>
            <w:tcW w:w="2040" w:type="dxa"/>
            <w:vAlign w:val="bottom"/>
            <w:gridSpan w:val="2"/>
          </w:tcPr>
          <w:p>
            <w:pPr>
              <w:spacing w:after="0" w:line="202" w:lineRule="exact"/>
              <w:rPr>
                <w:sz w:val="20"/>
                <w:szCs w:val="20"/>
                <w:color w:val="auto"/>
              </w:rPr>
            </w:pPr>
            <w:r>
              <w:rPr>
                <w:rFonts w:ascii="Arial" w:cs="Arial" w:eastAsia="Arial" w:hAnsi="Arial"/>
                <w:sz w:val="18"/>
                <w:szCs w:val="18"/>
                <w:color w:val="auto"/>
              </w:rPr>
              <w:t>selling an additional</w:t>
            </w:r>
          </w:p>
        </w:tc>
        <w:tc>
          <w:tcPr>
            <w:tcW w:w="9260" w:type="dxa"/>
            <w:vAlign w:val="bottom"/>
            <w:gridSpan w:val="4"/>
          </w:tcPr>
          <w:p>
            <w:pPr>
              <w:ind w:left="200"/>
              <w:spacing w:after="0" w:line="202" w:lineRule="exact"/>
              <w:rPr>
                <w:sz w:val="20"/>
                <w:szCs w:val="20"/>
                <w:color w:val="auto"/>
              </w:rPr>
            </w:pPr>
            <w:r>
              <w:rPr>
                <w:rFonts w:ascii="Arial" w:cs="Arial" w:eastAsia="Arial" w:hAnsi="Arial"/>
                <w:sz w:val="18"/>
                <w:szCs w:val="18"/>
                <w:color w:val="auto"/>
                <w:w w:val="97"/>
              </w:rPr>
              <w:t>shares pursuant to the underwriters’ exercise of their option to purchase additional shares. We will not receive any of</w:t>
            </w:r>
          </w:p>
        </w:tc>
      </w:tr>
      <w:tr>
        <w:trPr>
          <w:trHeight w:val="211"/>
        </w:trPr>
        <w:tc>
          <w:tcPr>
            <w:tcW w:w="11300" w:type="dxa"/>
            <w:vAlign w:val="bottom"/>
            <w:gridSpan w:val="6"/>
          </w:tcPr>
          <w:p>
            <w:pPr>
              <w:spacing w:after="0"/>
              <w:rPr>
                <w:sz w:val="20"/>
                <w:szCs w:val="20"/>
                <w:color w:val="auto"/>
              </w:rPr>
            </w:pPr>
            <w:r>
              <w:rPr>
                <w:rFonts w:ascii="Arial" w:cs="Arial" w:eastAsia="Arial" w:hAnsi="Arial"/>
                <w:sz w:val="18"/>
                <w:szCs w:val="18"/>
                <w:color w:val="auto"/>
              </w:rPr>
              <w:t>the proceeds from the sale of the shares by the selling stockholders.</w:t>
            </w:r>
          </w:p>
        </w:tc>
      </w:tr>
      <w:tr>
        <w:trPr>
          <w:trHeight w:val="329"/>
        </w:trPr>
        <w:tc>
          <w:tcPr>
            <w:tcW w:w="540" w:type="dxa"/>
            <w:vAlign w:val="bottom"/>
          </w:tcPr>
          <w:p>
            <w:pPr>
              <w:spacing w:after="0"/>
              <w:rPr>
                <w:sz w:val="24"/>
                <w:szCs w:val="24"/>
                <w:color w:val="auto"/>
              </w:rPr>
            </w:pPr>
          </w:p>
        </w:tc>
        <w:tc>
          <w:tcPr>
            <w:tcW w:w="10760" w:type="dxa"/>
            <w:vAlign w:val="bottom"/>
            <w:gridSpan w:val="5"/>
          </w:tcPr>
          <w:p>
            <w:pPr>
              <w:ind w:left="40"/>
              <w:spacing w:after="0"/>
              <w:rPr>
                <w:sz w:val="20"/>
                <w:szCs w:val="20"/>
                <w:color w:val="auto"/>
              </w:rPr>
            </w:pPr>
            <w:r>
              <w:rPr>
                <w:rFonts w:ascii="Arial" w:cs="Arial" w:eastAsia="Arial" w:hAnsi="Arial"/>
                <w:sz w:val="18"/>
                <w:szCs w:val="18"/>
                <w:color w:val="auto"/>
                <w:w w:val="97"/>
              </w:rPr>
              <w:t>Prior to this offering, there has been no public market for our common stock. It is currently estimated that the initial public offering price per</w:t>
            </w:r>
          </w:p>
        </w:tc>
      </w:tr>
      <w:tr>
        <w:trPr>
          <w:trHeight w:val="211"/>
        </w:trPr>
        <w:tc>
          <w:tcPr>
            <w:tcW w:w="2040" w:type="dxa"/>
            <w:vAlign w:val="bottom"/>
            <w:gridSpan w:val="2"/>
          </w:tcPr>
          <w:p>
            <w:pPr>
              <w:spacing w:after="0"/>
              <w:rPr>
                <w:sz w:val="20"/>
                <w:szCs w:val="20"/>
                <w:color w:val="auto"/>
              </w:rPr>
            </w:pPr>
            <w:r>
              <w:rPr>
                <w:rFonts w:ascii="Arial" w:cs="Arial" w:eastAsia="Arial" w:hAnsi="Arial"/>
                <w:sz w:val="18"/>
                <w:szCs w:val="18"/>
                <w:color w:val="auto"/>
              </w:rPr>
              <w:t>share will be between $</w:t>
            </w:r>
          </w:p>
        </w:tc>
        <w:tc>
          <w:tcPr>
            <w:tcW w:w="1160" w:type="dxa"/>
            <w:vAlign w:val="bottom"/>
          </w:tcPr>
          <w:p>
            <w:pPr>
              <w:ind w:left="440"/>
              <w:spacing w:after="0"/>
              <w:rPr>
                <w:sz w:val="20"/>
                <w:szCs w:val="20"/>
                <w:color w:val="auto"/>
              </w:rPr>
            </w:pPr>
            <w:r>
              <w:rPr>
                <w:rFonts w:ascii="Arial" w:cs="Arial" w:eastAsia="Arial" w:hAnsi="Arial"/>
                <w:sz w:val="18"/>
                <w:szCs w:val="18"/>
                <w:color w:val="auto"/>
              </w:rPr>
              <w:t>and $</w:t>
            </w:r>
          </w:p>
        </w:tc>
        <w:tc>
          <w:tcPr>
            <w:tcW w:w="8100" w:type="dxa"/>
            <w:vAlign w:val="bottom"/>
            <w:gridSpan w:val="3"/>
          </w:tcPr>
          <w:p>
            <w:pPr>
              <w:ind w:left="300"/>
              <w:spacing w:after="0"/>
              <w:rPr>
                <w:sz w:val="20"/>
                <w:szCs w:val="20"/>
                <w:color w:val="auto"/>
              </w:rPr>
            </w:pPr>
            <w:r>
              <w:rPr>
                <w:rFonts w:ascii="Arial" w:cs="Arial" w:eastAsia="Arial" w:hAnsi="Arial"/>
                <w:sz w:val="18"/>
                <w:szCs w:val="18"/>
                <w:color w:val="auto"/>
              </w:rPr>
              <w:t>. We intend to list the common stock on the New York Stock Exchange under the symbol “MX”.</w:t>
            </w:r>
          </w:p>
        </w:tc>
      </w:tr>
    </w:tbl>
    <w:p>
      <w:pPr>
        <w:spacing w:after="0" w:line="109" w:lineRule="exact"/>
        <w:rPr>
          <w:sz w:val="20"/>
          <w:szCs w:val="20"/>
          <w:color w:val="auto"/>
        </w:rPr>
      </w:pPr>
    </w:p>
    <w:p>
      <w:pPr>
        <w:ind w:left="5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See “ </w:t>
      </w:r>
      <w:hyperlink w:anchor="page12">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8 to read about factors you should consider before buying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169545</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77" w:lineRule="exact"/>
        <w:rPr>
          <w:sz w:val="20"/>
          <w:szCs w:val="20"/>
          <w:color w:val="auto"/>
        </w:rPr>
      </w:pPr>
    </w:p>
    <w:p>
      <w:pPr>
        <w:ind w:right="60" w:firstLine="571"/>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142875</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Per share</w:t>
            </w:r>
          </w:p>
        </w:tc>
        <w:tc>
          <w:tcPr>
            <w:tcW w:w="440" w:type="dxa"/>
            <w:vAlign w:val="bottom"/>
          </w:tcPr>
          <w:p>
            <w:pPr>
              <w:spacing w:after="0"/>
              <w:rPr>
                <w:sz w:val="18"/>
                <w:szCs w:val="18"/>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Total</w:t>
            </w:r>
          </w:p>
        </w:tc>
      </w:tr>
      <w:tr>
        <w:trPr>
          <w:trHeight w:val="199"/>
        </w:trPr>
        <w:tc>
          <w:tcPr>
            <w:tcW w:w="7480" w:type="dxa"/>
            <w:vAlign w:val="bottom"/>
          </w:tcPr>
          <w:p>
            <w:pPr>
              <w:spacing w:after="0" w:line="200" w:lineRule="exact"/>
              <w:rPr>
                <w:sz w:val="20"/>
                <w:szCs w:val="20"/>
                <w:color w:val="auto"/>
              </w:rPr>
            </w:pPr>
            <w:r>
              <w:rPr>
                <w:rFonts w:ascii="Arial" w:cs="Arial" w:eastAsia="Arial" w:hAnsi="Arial"/>
                <w:sz w:val="18"/>
                <w:szCs w:val="18"/>
                <w:color w:val="auto"/>
              </w:rPr>
              <w:t>Initial public offering price</w:t>
            </w:r>
          </w:p>
        </w:tc>
        <w:tc>
          <w:tcPr>
            <w:tcW w:w="2800" w:type="dxa"/>
            <w:vAlign w:val="bottom"/>
            <w:gridSpan w:val="2"/>
          </w:tcPr>
          <w:p>
            <w:pPr>
              <w:ind w:left="202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line="200"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28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line="202" w:lineRule="exact"/>
              <w:rPr>
                <w:sz w:val="20"/>
                <w:szCs w:val="20"/>
                <w:color w:val="auto"/>
              </w:rPr>
            </w:pPr>
            <w:r>
              <w:rPr>
                <w:rFonts w:ascii="Arial" w:cs="Arial" w:eastAsia="Arial" w:hAnsi="Arial"/>
                <w:sz w:val="18"/>
                <w:szCs w:val="18"/>
                <w:color w:val="auto"/>
              </w:rPr>
              <w:t>$</w:t>
            </w:r>
          </w:p>
        </w:tc>
      </w:tr>
      <w:tr>
        <w:trPr>
          <w:trHeight w:val="211"/>
        </w:trPr>
        <w:tc>
          <w:tcPr>
            <w:tcW w:w="7480" w:type="dxa"/>
            <w:vAlign w:val="bottom"/>
          </w:tcPr>
          <w:p>
            <w:pPr>
              <w:spacing w:after="0"/>
              <w:rPr>
                <w:sz w:val="20"/>
                <w:szCs w:val="20"/>
                <w:color w:val="auto"/>
              </w:rPr>
            </w:pPr>
            <w:r>
              <w:rPr>
                <w:rFonts w:ascii="Arial" w:cs="Arial" w:eastAsia="Arial" w:hAnsi="Arial"/>
                <w:sz w:val="18"/>
                <w:szCs w:val="18"/>
                <w:color w:val="auto"/>
              </w:rPr>
              <w:t>Proceeds, before expenses to MagnaChip Semiconductor Corporation</w:t>
            </w:r>
          </w:p>
        </w:tc>
        <w:tc>
          <w:tcPr>
            <w:tcW w:w="28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ind w:left="580"/>
              <w:spacing w:after="0"/>
              <w:rPr>
                <w:sz w:val="20"/>
                <w:szCs w:val="20"/>
                <w:color w:val="auto"/>
              </w:rPr>
            </w:pPr>
            <w:r>
              <w:rPr>
                <w:rFonts w:ascii="Arial" w:cs="Arial" w:eastAsia="Arial" w:hAnsi="Arial"/>
                <w:sz w:val="18"/>
                <w:szCs w:val="18"/>
                <w:color w:val="auto"/>
                <w:w w:val="97"/>
              </w:rPr>
              <w:t>To the extent that the underwriters sell more than</w:t>
            </w:r>
          </w:p>
        </w:tc>
        <w:tc>
          <w:tcPr>
            <w:tcW w:w="80" w:type="dxa"/>
            <w:vAlign w:val="bottom"/>
          </w:tcPr>
          <w:p>
            <w:pPr>
              <w:spacing w:after="0"/>
              <w:rPr>
                <w:sz w:val="18"/>
                <w:szCs w:val="18"/>
                <w:color w:val="auto"/>
              </w:rPr>
            </w:pPr>
          </w:p>
        </w:tc>
        <w:tc>
          <w:tcPr>
            <w:tcW w:w="6720" w:type="dxa"/>
            <w:vAlign w:val="bottom"/>
            <w:gridSpan w:val="4"/>
          </w:tcPr>
          <w:p>
            <w:pPr>
              <w:jc w:val="right"/>
              <w:spacing w:after="0"/>
              <w:rPr>
                <w:sz w:val="20"/>
                <w:szCs w:val="20"/>
                <w:color w:val="auto"/>
              </w:rPr>
            </w:pPr>
            <w:r>
              <w:rPr>
                <w:rFonts w:ascii="Arial" w:cs="Arial" w:eastAsia="Arial" w:hAnsi="Arial"/>
                <w:sz w:val="18"/>
                <w:szCs w:val="18"/>
                <w:color w:val="auto"/>
              </w:rPr>
              <w:t>shares of common stock, the underwriters have the option to purchase up to an</w:t>
            </w:r>
          </w:p>
        </w:tc>
      </w:tr>
      <w:tr>
        <w:trPr>
          <w:trHeight w:val="211"/>
        </w:trPr>
        <w:tc>
          <w:tcPr>
            <w:tcW w:w="800" w:type="dxa"/>
            <w:vAlign w:val="bottom"/>
          </w:tcPr>
          <w:p>
            <w:pPr>
              <w:spacing w:after="0"/>
              <w:rPr>
                <w:sz w:val="20"/>
                <w:szCs w:val="20"/>
                <w:color w:val="auto"/>
              </w:rPr>
            </w:pPr>
            <w:r>
              <w:rPr>
                <w:rFonts w:ascii="Arial" w:cs="Arial" w:eastAsia="Arial" w:hAnsi="Arial"/>
                <w:sz w:val="18"/>
                <w:szCs w:val="18"/>
                <w:color w:val="auto"/>
              </w:rPr>
              <w:t>additional</w:t>
            </w:r>
          </w:p>
        </w:tc>
        <w:tc>
          <w:tcPr>
            <w:tcW w:w="10420" w:type="dxa"/>
            <w:vAlign w:val="bottom"/>
            <w:gridSpan w:val="6"/>
          </w:tcPr>
          <w:p>
            <w:pPr>
              <w:jc w:val="right"/>
              <w:ind w:right="1957"/>
              <w:spacing w:after="0"/>
              <w:rPr>
                <w:sz w:val="20"/>
                <w:szCs w:val="20"/>
                <w:color w:val="auto"/>
              </w:rPr>
            </w:pPr>
            <w:r>
              <w:rPr>
                <w:rFonts w:ascii="Arial" w:cs="Arial" w:eastAsia="Arial" w:hAnsi="Arial"/>
                <w:sz w:val="18"/>
                <w:szCs w:val="18"/>
                <w:color w:val="auto"/>
              </w:rPr>
              <w:t>shares from the selling stockholders at the initial public offering price less the underwriting discount.</w:t>
            </w:r>
          </w:p>
        </w:tc>
      </w:tr>
      <w:tr>
        <w:trPr>
          <w:trHeight w:val="338"/>
        </w:trPr>
        <w:tc>
          <w:tcPr>
            <w:tcW w:w="7660" w:type="dxa"/>
            <w:vAlign w:val="bottom"/>
            <w:gridSpan w:val="6"/>
          </w:tcPr>
          <w:p>
            <w:pPr>
              <w:ind w:left="580"/>
              <w:spacing w:after="0"/>
              <w:rPr>
                <w:sz w:val="20"/>
                <w:szCs w:val="20"/>
                <w:color w:val="auto"/>
              </w:rPr>
            </w:pPr>
            <w:r>
              <w:rPr>
                <w:rFonts w:ascii="Arial" w:cs="Arial" w:eastAsia="Arial" w:hAnsi="Arial"/>
                <w:sz w:val="18"/>
                <w:szCs w:val="18"/>
                <w:color w:val="auto"/>
                <w:w w:val="99"/>
              </w:rPr>
              <w:t>The underwriters expect to deliver the shares against payment in New York, New York on</w:t>
            </w:r>
          </w:p>
        </w:tc>
        <w:tc>
          <w:tcPr>
            <w:tcW w:w="3560" w:type="dxa"/>
            <w:vAlign w:val="bottom"/>
          </w:tcPr>
          <w:p>
            <w:pPr>
              <w:jc w:val="right"/>
              <w:ind w:right="2457"/>
              <w:spacing w:after="0"/>
              <w:rPr>
                <w:sz w:val="20"/>
                <w:szCs w:val="20"/>
                <w:color w:val="auto"/>
              </w:rPr>
            </w:pPr>
            <w:r>
              <w:rPr>
                <w:rFonts w:ascii="Arial" w:cs="Arial" w:eastAsia="Arial" w:hAnsi="Arial"/>
                <w:sz w:val="18"/>
                <w:szCs w:val="18"/>
                <w:color w:val="auto"/>
              </w:rPr>
              <w:t>, 2008.</w:t>
            </w:r>
          </w:p>
        </w:tc>
      </w:tr>
      <w:tr>
        <w:trPr>
          <w:trHeight w:val="390"/>
        </w:trPr>
        <w:tc>
          <w:tcPr>
            <w:tcW w:w="80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Arial" w:cs="Arial" w:eastAsia="Arial" w:hAnsi="Arial"/>
                <w:sz w:val="22"/>
                <w:szCs w:val="22"/>
                <w:b w:val="1"/>
                <w:bCs w:val="1"/>
                <w:color w:val="auto"/>
              </w:rPr>
              <w:t>Goldman, Sachs &amp; Co.</w:t>
            </w:r>
          </w:p>
        </w:tc>
        <w:tc>
          <w:tcPr>
            <w:tcW w:w="80" w:type="dxa"/>
            <w:vAlign w:val="bottom"/>
          </w:tcPr>
          <w:p>
            <w:pPr>
              <w:spacing w:after="0"/>
              <w:rPr>
                <w:sz w:val="24"/>
                <w:szCs w:val="24"/>
                <w:color w:val="auto"/>
              </w:rPr>
            </w:pPr>
          </w:p>
        </w:tc>
        <w:tc>
          <w:tcPr>
            <w:tcW w:w="3160" w:type="dxa"/>
            <w:vAlign w:val="bottom"/>
            <w:gridSpan w:val="3"/>
          </w:tcPr>
          <w:p>
            <w:pPr>
              <w:jc w:val="right"/>
              <w:ind w:right="580"/>
              <w:spacing w:after="0"/>
              <w:rPr>
                <w:sz w:val="20"/>
                <w:szCs w:val="20"/>
                <w:color w:val="auto"/>
              </w:rPr>
            </w:pPr>
            <w:r>
              <w:rPr>
                <w:rFonts w:ascii="Arial" w:cs="Arial" w:eastAsia="Arial" w:hAnsi="Arial"/>
                <w:sz w:val="22"/>
                <w:szCs w:val="22"/>
                <w:b w:val="1"/>
                <w:bCs w:val="1"/>
                <w:color w:val="auto"/>
              </w:rPr>
              <w:t>UBS Investment Bank</w:t>
            </w:r>
          </w:p>
        </w:tc>
        <w:tc>
          <w:tcPr>
            <w:tcW w:w="3560" w:type="dxa"/>
            <w:vAlign w:val="bottom"/>
          </w:tcPr>
          <w:p>
            <w:pPr>
              <w:jc w:val="right"/>
              <w:ind w:right="777"/>
              <w:spacing w:after="0"/>
              <w:rPr>
                <w:sz w:val="20"/>
                <w:szCs w:val="20"/>
                <w:color w:val="auto"/>
              </w:rPr>
            </w:pPr>
            <w:r>
              <w:rPr>
                <w:rFonts w:ascii="Arial" w:cs="Arial" w:eastAsia="Arial" w:hAnsi="Arial"/>
                <w:sz w:val="22"/>
                <w:szCs w:val="22"/>
                <w:b w:val="1"/>
                <w:bCs w:val="1"/>
                <w:color w:val="auto"/>
              </w:rPr>
              <w:t>Credit Suisse</w:t>
            </w:r>
          </w:p>
        </w:tc>
      </w:tr>
      <w:tr>
        <w:trPr>
          <w:trHeight w:val="392"/>
        </w:trPr>
        <w:tc>
          <w:tcPr>
            <w:tcW w:w="800" w:type="dxa"/>
            <w:vAlign w:val="bottom"/>
          </w:tcPr>
          <w:p>
            <w:pPr>
              <w:spacing w:after="0"/>
              <w:rPr>
                <w:sz w:val="24"/>
                <w:szCs w:val="24"/>
                <w:color w:val="auto"/>
              </w:rPr>
            </w:pPr>
          </w:p>
        </w:tc>
        <w:tc>
          <w:tcPr>
            <w:tcW w:w="3620" w:type="dxa"/>
            <w:vAlign w:val="bottom"/>
          </w:tcPr>
          <w:p>
            <w:pPr>
              <w:jc w:val="center"/>
              <w:ind w:left="517"/>
              <w:spacing w:after="0"/>
              <w:rPr>
                <w:sz w:val="20"/>
                <w:szCs w:val="20"/>
                <w:color w:val="auto"/>
              </w:rPr>
            </w:pPr>
            <w:r>
              <w:rPr>
                <w:rFonts w:ascii="Arial" w:cs="Arial" w:eastAsia="Arial" w:hAnsi="Arial"/>
                <w:sz w:val="22"/>
                <w:szCs w:val="22"/>
                <w:b w:val="1"/>
                <w:bCs w:val="1"/>
                <w:color w:val="auto"/>
              </w:rPr>
              <w:t>Citi</w:t>
            </w: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jc w:val="center"/>
              <w:ind w:right="1297"/>
              <w:spacing w:after="0"/>
              <w:rPr>
                <w:sz w:val="20"/>
                <w:szCs w:val="20"/>
                <w:color w:val="auto"/>
              </w:rPr>
            </w:pPr>
            <w:r>
              <w:rPr>
                <w:rFonts w:ascii="Arial" w:cs="Arial" w:eastAsia="Arial" w:hAnsi="Arial"/>
                <w:sz w:val="22"/>
                <w:szCs w:val="22"/>
                <w:b w:val="1"/>
                <w:bCs w:val="1"/>
                <w:color w:val="auto"/>
                <w:w w:val="98"/>
              </w:rPr>
              <w:t>Lehman Brothers</w:t>
            </w:r>
          </w:p>
        </w:tc>
      </w:tr>
      <w:tr>
        <w:trPr>
          <w:trHeight w:val="459"/>
        </w:trPr>
        <w:tc>
          <w:tcPr>
            <w:tcW w:w="800" w:type="dxa"/>
            <w:vAlign w:val="bottom"/>
          </w:tcPr>
          <w:p>
            <w:pPr>
              <w:spacing w:after="0"/>
              <w:rPr>
                <w:sz w:val="24"/>
                <w:szCs w:val="24"/>
                <w:color w:val="auto"/>
              </w:rPr>
            </w:pPr>
          </w:p>
        </w:tc>
        <w:tc>
          <w:tcPr>
            <w:tcW w:w="3620" w:type="dxa"/>
            <w:vAlign w:val="bottom"/>
          </w:tcPr>
          <w:p>
            <w:pPr>
              <w:jc w:val="center"/>
              <w:ind w:left="517"/>
              <w:spacing w:after="0"/>
              <w:rPr>
                <w:sz w:val="20"/>
                <w:szCs w:val="20"/>
                <w:color w:val="auto"/>
              </w:rPr>
            </w:pPr>
            <w:r>
              <w:rPr>
                <w:rFonts w:ascii="Arial" w:cs="Arial" w:eastAsia="Arial" w:hAnsi="Arial"/>
                <w:sz w:val="22"/>
                <w:szCs w:val="22"/>
                <w:b w:val="1"/>
                <w:bCs w:val="1"/>
                <w:color w:val="auto"/>
                <w:w w:val="98"/>
              </w:rPr>
              <w:t>Jefferies &amp; Company</w:t>
            </w: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jc w:val="center"/>
              <w:ind w:right="1297"/>
              <w:spacing w:after="0"/>
              <w:rPr>
                <w:sz w:val="20"/>
                <w:szCs w:val="20"/>
                <w:color w:val="auto"/>
              </w:rPr>
            </w:pPr>
            <w:r>
              <w:rPr>
                <w:rFonts w:ascii="Arial" w:cs="Arial" w:eastAsia="Arial" w:hAnsi="Arial"/>
                <w:sz w:val="22"/>
                <w:szCs w:val="22"/>
                <w:b w:val="1"/>
                <w:bCs w:val="1"/>
                <w:color w:val="auto"/>
                <w:w w:val="97"/>
              </w:rPr>
              <w:t>JMP Securities</w:t>
            </w:r>
          </w:p>
        </w:tc>
      </w:tr>
      <w:tr>
        <w:trPr>
          <w:trHeight w:val="247"/>
        </w:trPr>
        <w:tc>
          <w:tcPr>
            <w:tcW w:w="8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343"/>
        </w:trPr>
        <w:tc>
          <w:tcPr>
            <w:tcW w:w="8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Prospectus dated</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 2008</w:t>
            </w:r>
          </w:p>
        </w:tc>
        <w:tc>
          <w:tcPr>
            <w:tcW w:w="3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[ARTWORK TO BE FILED]</w:t>
      </w:r>
    </w:p>
    <w:p>
      <w:pPr>
        <w:sectPr>
          <w:pgSz w:w="11900" w:h="16838" w:orient="portrait"/>
          <w:cols w:equalWidth="0" w:num="1">
            <w:col w:w="10219"/>
          </w:cols>
          <w:pgMar w:left="240" w:top="459" w:right="1440"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60" w:type="dxa"/>
            <w:vAlign w:val="bottom"/>
            <w:gridSpan w:val="4"/>
          </w:tcPr>
          <w:p>
            <w:pPr>
              <w:ind w:left="540"/>
              <w:spacing w:after="0"/>
              <w:rPr>
                <w:sz w:val="20"/>
                <w:szCs w:val="20"/>
                <w:color w:val="auto"/>
              </w:rPr>
            </w:pPr>
            <w:r>
              <w:rPr>
                <w:rFonts w:ascii="Arial" w:cs="Arial" w:eastAsia="Arial" w:hAnsi="Arial"/>
                <w:sz w:val="18"/>
                <w:szCs w:val="18"/>
                <w:b w:val="1"/>
                <w:bCs w:val="1"/>
                <w:color w:val="auto"/>
              </w:rPr>
              <w:t>Table of Contents</w:t>
            </w:r>
          </w:p>
        </w:tc>
        <w:tc>
          <w:tcPr>
            <w:tcW w:w="3820" w:type="dxa"/>
            <w:vAlign w:val="bottom"/>
          </w:tcPr>
          <w:p>
            <w:pPr>
              <w:spacing w:after="0"/>
              <w:rPr>
                <w:sz w:val="20"/>
                <w:szCs w:val="20"/>
                <w:color w:val="auto"/>
              </w:rPr>
            </w:pPr>
          </w:p>
        </w:tc>
      </w:tr>
      <w:tr>
        <w:trPr>
          <w:trHeight w:val="367"/>
        </w:trPr>
        <w:tc>
          <w:tcPr>
            <w:tcW w:w="76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6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5920" w:type="dxa"/>
            <w:vAlign w:val="bottom"/>
            <w:gridSpan w:val="13"/>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198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Industry and Market Data</w:t>
              </w:r>
            </w:hyperlink>
          </w:p>
        </w:tc>
        <w:tc>
          <w:tcPr>
            <w:tcW w:w="5620" w:type="dxa"/>
            <w:vAlign w:val="bottom"/>
            <w:gridSpan w:val="12"/>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558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Special Cautionary Statement Concerning Forward-Looking Statements</w:t>
              </w:r>
            </w:hyperlink>
          </w:p>
        </w:tc>
        <w:tc>
          <w:tcPr>
            <w:tcW w:w="2020" w:type="dxa"/>
            <w:vAlign w:val="bottom"/>
            <w:gridSpan w:val="2"/>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13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Dividend Policy</w:t>
              </w:r>
            </w:hyperlink>
          </w:p>
        </w:tc>
        <w:tc>
          <w:tcPr>
            <w:tcW w:w="6300" w:type="dxa"/>
            <w:vAlign w:val="bottom"/>
            <w:gridSpan w:val="14"/>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1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Capitalization</w:t>
              </w:r>
            </w:hyperlink>
          </w:p>
        </w:tc>
        <w:tc>
          <w:tcPr>
            <w:tcW w:w="6400" w:type="dxa"/>
            <w:vAlign w:val="bottom"/>
            <w:gridSpan w:val="15"/>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Dilution</w:t>
              </w:r>
            </w:hyperlink>
          </w:p>
        </w:tc>
        <w:tc>
          <w:tcPr>
            <w:tcW w:w="460" w:type="dxa"/>
            <w:vAlign w:val="bottom"/>
            <w:tcBorders>
              <w:top w:val="single" w:sz="8" w:color="0000EE"/>
            </w:tcBorders>
            <w:gridSpan w:val="5"/>
          </w:tcPr>
          <w:p>
            <w:pPr>
              <w:spacing w:after="0"/>
              <w:rPr>
                <w:sz w:val="15"/>
                <w:szCs w:val="15"/>
                <w:color w:val="auto"/>
              </w:rPr>
            </w:pPr>
          </w:p>
        </w:tc>
        <w:tc>
          <w:tcPr>
            <w:tcW w:w="6540" w:type="dxa"/>
            <w:vAlign w:val="bottom"/>
            <w:gridSpan w:val="17"/>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760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Selected Historical Consolidated Financial and Operating Data of MagnaChip Semiconductor LLC</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444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Unaudited Pro Forma Consolidated Financial Information</w:t>
              </w:r>
            </w:hyperlink>
          </w:p>
        </w:tc>
        <w:tc>
          <w:tcPr>
            <w:tcW w:w="3160" w:type="dxa"/>
            <w:vAlign w:val="bottom"/>
            <w:gridSpan w:val="4"/>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692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Management’s Discussion and Analysis of Financial Condition and Results of Operations</w:t>
              </w:r>
            </w:hyperlink>
          </w:p>
        </w:tc>
        <w:tc>
          <w:tcPr>
            <w:tcW w:w="680" w:type="dxa"/>
            <w:vAlign w:val="bottom"/>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Business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10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Management</w:t>
              </w:r>
            </w:hyperlink>
          </w:p>
        </w:tc>
        <w:tc>
          <w:tcPr>
            <w:tcW w:w="6560" w:type="dxa"/>
            <w:vAlign w:val="bottom"/>
            <w:gridSpan w:val="18"/>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Principal and Selling Stockholders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372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106">
              <w:r>
                <w:rPr>
                  <w:rFonts w:ascii="Arial" w:cs="Arial" w:eastAsia="Arial" w:hAnsi="Arial"/>
                  <w:sz w:val="18"/>
                  <w:szCs w:val="18"/>
                  <w:color w:val="0000EE"/>
                  <w:w w:val="97"/>
                </w:rPr>
                <w:t>Certain Relationships and Related Transactions</w:t>
              </w:r>
            </w:hyperlink>
          </w:p>
        </w:tc>
        <w:tc>
          <w:tcPr>
            <w:tcW w:w="3880" w:type="dxa"/>
            <w:vAlign w:val="bottom"/>
            <w:gridSpan w:val="5"/>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08">
              <w:r>
                <w:rPr>
                  <w:rFonts w:ascii="Arial" w:cs="Arial" w:eastAsia="Arial" w:hAnsi="Arial"/>
                  <w:sz w:val="18"/>
                  <w:szCs w:val="18"/>
                  <w:color w:val="0000EE"/>
                </w:rPr>
                <w:t>Description of Capital Stock</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280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112">
              <w:r>
                <w:rPr>
                  <w:rFonts w:ascii="Arial" w:cs="Arial" w:eastAsia="Arial" w:hAnsi="Arial"/>
                  <w:sz w:val="18"/>
                  <w:szCs w:val="18"/>
                  <w:color w:val="0000EE"/>
                  <w:w w:val="97"/>
                </w:rPr>
                <w:t>Description of Certain Indebtedness</w:t>
              </w:r>
            </w:hyperlink>
          </w:p>
        </w:tc>
        <w:tc>
          <w:tcPr>
            <w:tcW w:w="4800" w:type="dxa"/>
            <w:vAlign w:val="bottom"/>
            <w:gridSpan w:val="7"/>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19">
              <w:r>
                <w:rPr>
                  <w:rFonts w:ascii="Arial" w:cs="Arial" w:eastAsia="Arial" w:hAnsi="Arial"/>
                  <w:sz w:val="18"/>
                  <w:szCs w:val="18"/>
                  <w:color w:val="0000EE"/>
                </w:rPr>
                <w:t>Shares Eligible For Future Sale</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115</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546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121">
              <w:r>
                <w:rPr>
                  <w:rFonts w:ascii="Arial" w:cs="Arial" w:eastAsia="Arial" w:hAnsi="Arial"/>
                  <w:sz w:val="18"/>
                  <w:szCs w:val="18"/>
                  <w:color w:val="0000EE"/>
                  <w:w w:val="97"/>
                </w:rPr>
                <w:t>Material U.S. Federal Income Tax Consequences to Non-U.S. Holders</w:t>
              </w:r>
            </w:hyperlink>
          </w:p>
        </w:tc>
        <w:tc>
          <w:tcPr>
            <w:tcW w:w="2140" w:type="dxa"/>
            <w:vAlign w:val="bottom"/>
            <w:gridSpan w:val="3"/>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117</w:t>
            </w:r>
          </w:p>
        </w:tc>
      </w:tr>
      <w:tr>
        <w:trPr>
          <w:trHeight w:val="183"/>
        </w:trPr>
        <w:tc>
          <w:tcPr>
            <w:tcW w:w="10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Underwriting</w:t>
              </w:r>
            </w:hyperlink>
          </w:p>
        </w:tc>
        <w:tc>
          <w:tcPr>
            <w:tcW w:w="6600" w:type="dxa"/>
            <w:vAlign w:val="bottom"/>
            <w:gridSpan w:val="19"/>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120</w:t>
            </w:r>
          </w:p>
        </w:tc>
      </w:tr>
      <w:tr>
        <w:trPr>
          <w:trHeight w:val="183"/>
        </w:trPr>
        <w:tc>
          <w:tcPr>
            <w:tcW w:w="10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29">
              <w:r>
                <w:rPr>
                  <w:rFonts w:ascii="Arial" w:cs="Arial" w:eastAsia="Arial" w:hAnsi="Arial"/>
                  <w:sz w:val="18"/>
                  <w:szCs w:val="18"/>
                  <w:color w:val="0000EE"/>
                  <w:w w:val="97"/>
                </w:rPr>
                <w:t>Legal Matters</w:t>
              </w:r>
            </w:hyperlink>
          </w:p>
        </w:tc>
        <w:tc>
          <w:tcPr>
            <w:tcW w:w="6520" w:type="dxa"/>
            <w:vAlign w:val="bottom"/>
            <w:gridSpan w:val="16"/>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Experts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20"/>
        </w:trPr>
        <w:tc>
          <w:tcPr>
            <w:tcW w:w="600" w:type="dxa"/>
            <w:vAlign w:val="bottom"/>
            <w:shd w:val="clear" w:color="auto" w:fill="0000EE"/>
          </w:tcPr>
          <w:p>
            <w:pPr>
              <w:spacing w:after="0" w:line="20" w:lineRule="exact"/>
              <w:rPr>
                <w:sz w:val="1"/>
                <w:szCs w:val="1"/>
                <w:color w:val="auto"/>
              </w:rPr>
            </w:pPr>
          </w:p>
        </w:tc>
        <w:tc>
          <w:tcPr>
            <w:tcW w:w="1720" w:type="dxa"/>
            <w:vAlign w:val="bottom"/>
            <w:gridSpan w:val="1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Where You Can Find More Information</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183"/>
        </w:trPr>
        <w:tc>
          <w:tcPr>
            <w:tcW w:w="30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30">
              <w:r>
                <w:rPr>
                  <w:rFonts w:ascii="Arial" w:cs="Arial" w:eastAsia="Arial" w:hAnsi="Arial"/>
                  <w:sz w:val="18"/>
                  <w:szCs w:val="18"/>
                  <w:color w:val="0000EE"/>
                </w:rPr>
                <w:t>Index to Financial Statements</w:t>
              </w:r>
            </w:hyperlink>
          </w:p>
        </w:tc>
        <w:tc>
          <w:tcPr>
            <w:tcW w:w="4600" w:type="dxa"/>
            <w:vAlign w:val="bottom"/>
            <w:gridSpan w:val="6"/>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128905</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7"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4" w:lineRule="exact"/>
        <w:rPr>
          <w:sz w:val="20"/>
          <w:szCs w:val="20"/>
          <w:color w:val="auto"/>
        </w:rPr>
      </w:pPr>
    </w:p>
    <w:p>
      <w:pPr>
        <w:jc w:val="both"/>
        <w:ind w:right="80" w:firstLine="571"/>
        <w:spacing w:after="0" w:line="281" w:lineRule="auto"/>
        <w:rPr>
          <w:sz w:val="20"/>
          <w:szCs w:val="20"/>
          <w:color w:val="auto"/>
        </w:rPr>
      </w:pPr>
      <w:r>
        <w:rPr>
          <w:rFonts w:ascii="Arial" w:cs="Arial" w:eastAsia="Arial" w:hAnsi="Arial"/>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w:t>
      </w:r>
    </w:p>
    <w:p>
      <w:pPr>
        <w:spacing w:after="0" w:line="124"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“MagnaChip” and “IC Media” are registered trademarks of us and our subsidiaries. All other product, service and company names mentioned in this prospectus are the service marks or trademarks of their respective owners.</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200" w:firstLine="553"/>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that you should consider before deciding to invest in our common stock. You should read this entire prospectus carefully, including the “Risk Factors” section contained in this prospectus and our consolidated financial statements before making an investment decision. In this prospectus, unless the context otherwise requires, the terms “we,” “us,” “our” and “MagnaChip” refer to MagnaChip Semiconductor LLC and its consolidated subsidiaries for the periods prior to the consummation of the corporate reorganization (as described below), and such terms refer to MagnaChip Semiconductor Corporation and its consolidated subsidiaries for the periods after the consummation of the corporate reorganization. The term “Korea” refers to the Republic of Korea or South Korea.</w:t>
      </w:r>
    </w:p>
    <w:p>
      <w:pPr>
        <w:spacing w:after="0" w:line="137" w:lineRule="exact"/>
        <w:rPr>
          <w:sz w:val="20"/>
          <w:szCs w:val="20"/>
          <w:color w:val="auto"/>
        </w:rPr>
      </w:pPr>
    </w:p>
    <w:p>
      <w:pPr>
        <w:ind w:left="200" w:right="40" w:firstLine="553"/>
        <w:spacing w:after="0" w:line="241" w:lineRule="auto"/>
        <w:rPr>
          <w:sz w:val="20"/>
          <w:szCs w:val="20"/>
          <w:color w:val="auto"/>
        </w:rPr>
      </w:pPr>
      <w:r>
        <w:rPr>
          <w:rFonts w:ascii="Arial" w:cs="Arial" w:eastAsia="Arial" w:hAnsi="Arial"/>
          <w:sz w:val="18"/>
          <w:szCs w:val="18"/>
          <w:i w:val="1"/>
          <w:iCs w:val="1"/>
          <w:color w:val="auto"/>
        </w:rPr>
        <w:t>Immediately prior to the effectiveness of the registration statement of which this prospectus is a part, we will complete a number of transactions pursuant to which MagnaChip Semiconductor Corporation will succeed to the business of MagnaChip Semiconductor LLC and its consolidated subsidiaries and the members of MagnaChip Semiconductor LLC will become stockholders of MagnaChip Semiconductor Corporation. In this prospectus, we refer to such transactions as the “corporate reorganization.” Unless otherwise indicated, the disclosure in this prospectus gives effect to the corporate reorganization.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240" w:firstLine="553"/>
        <w:spacing w:after="0" w:line="235" w:lineRule="auto"/>
        <w:rPr>
          <w:sz w:val="20"/>
          <w:szCs w:val="20"/>
          <w:color w:val="auto"/>
        </w:rPr>
      </w:pPr>
      <w:r>
        <w:rPr>
          <w:rFonts w:ascii="Arial" w:cs="Arial" w:eastAsia="Arial" w:hAnsi="Arial"/>
          <w:sz w:val="18"/>
          <w:szCs w:val="18"/>
          <w:color w:val="auto"/>
        </w:rPr>
        <w:t>MagnaChip is a leading, Asia-based designer and manufacturer of analog and mixed-signal semiconductor products for high volume consumer applications, such as mobile phones, digital televisions, flat panel displays, notebook computers, mobile multimedia devices and digital cameras. We believe we have one of the broadest and deepest analog and mixed-signal semiconductor technology platforms in the industry, supported by our 28-year operating history, large portfolio of approximately 7,700 registered and pending patents and extensive engineering and manufacturing process expertise. Our wide variety of analog and mixed-signal semiconductor products and services combined with our deep technology platform allows us to address multiple high growth end markets and to develop and introduce new products quickly. Our substantial manufacturing operations in Korea and design centers in Korea and Japan provide us with proximity to the global consumer electronics supply chain. We believe this enables us to quickly respond to our customers’ needs and allows us to better service and capture additional demand from existing and new customers.</w:t>
      </w:r>
    </w:p>
    <w:p>
      <w:pPr>
        <w:spacing w:after="0" w:line="161" w:lineRule="exact"/>
        <w:rPr>
          <w:sz w:val="20"/>
          <w:szCs w:val="20"/>
          <w:color w:val="auto"/>
        </w:rPr>
      </w:pPr>
    </w:p>
    <w:p>
      <w:pPr>
        <w:ind w:left="200" w:right="40" w:firstLine="553"/>
        <w:spacing w:after="0" w:line="236" w:lineRule="auto"/>
        <w:rPr>
          <w:sz w:val="20"/>
          <w:szCs w:val="20"/>
          <w:color w:val="auto"/>
        </w:rPr>
      </w:pPr>
      <w:r>
        <w:rPr>
          <w:rFonts w:ascii="Arial" w:cs="Arial" w:eastAsia="Arial" w:hAnsi="Arial"/>
          <w:sz w:val="18"/>
          <w:szCs w:val="18"/>
          <w:color w:val="auto"/>
        </w:rPr>
        <w:t>We have a long history of supplying and collaborating on product and technology development with leading innovators in the consumer electronics market, such as LG.Philips LCD Co., Ltd., Sharp Corporation and members of the Samsung group. As a result, we have been able to further strengthen our technology platform and focus on products and services that are in high demand by our customers and end consumers. We believe our end customers include a majority of the ten largest global consumer electronics companies by revenue. We have sold over 1,850 distinct products to over 190 customers in the nine months ended September 30, 2007. Our largest semiconductor manufacturing services customers include some of the fastest growing and leading semiconductor companies that design products for the consumer, computing, wireless and industrial end markets.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Background</w:t>
      </w:r>
    </w:p>
    <w:p>
      <w:pPr>
        <w:spacing w:after="0" w:line="99" w:lineRule="exact"/>
        <w:rPr>
          <w:sz w:val="20"/>
          <w:szCs w:val="20"/>
          <w:color w:val="auto"/>
        </w:rPr>
      </w:pPr>
    </w:p>
    <w:p>
      <w:pPr>
        <w:ind w:left="200" w:right="20" w:firstLine="553"/>
        <w:spacing w:after="0" w:line="238" w:lineRule="auto"/>
        <w:rPr>
          <w:sz w:val="20"/>
          <w:szCs w:val="20"/>
          <w:color w:val="auto"/>
        </w:rPr>
      </w:pPr>
      <w:r>
        <w:rPr>
          <w:rFonts w:ascii="Arial" w:cs="Arial" w:eastAsia="Arial" w:hAnsi="Arial"/>
          <w:sz w:val="18"/>
          <w:szCs w:val="18"/>
          <w:color w:val="auto"/>
        </w:rPr>
        <w:t>The consumer electronics market is large and growing rapidly. This growth is being driven by consumers seeking to enjoy greater availability of rich media content, such as digital and high definition audio and video, mobile television, games and digital photography. In order to deliver the desired user</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04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3041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40"/>
        <w:spacing w:after="0" w:line="237" w:lineRule="auto"/>
        <w:rPr>
          <w:sz w:val="20"/>
          <w:szCs w:val="20"/>
          <w:color w:val="auto"/>
        </w:rPr>
      </w:pPr>
      <w:r>
        <w:rPr>
          <w:rFonts w:ascii="Arial" w:cs="Arial" w:eastAsia="Arial" w:hAnsi="Arial"/>
          <w:sz w:val="18"/>
          <w:szCs w:val="18"/>
          <w:color w:val="auto"/>
        </w:rPr>
        <w:t>experience, many electronic devices now display high-resolution content, capture images, play digital audio and video and consume less power. According to iSuppli Corporation, the market opportunity for semiconductors used in consumer electronics, wireless communications and data processing applications is expected to rise to $260 billion in 2010, of which we believe that we will have an addressable market opportunity of $63 billion.</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 and Services</w:t>
      </w:r>
    </w:p>
    <w:p>
      <w:pPr>
        <w:spacing w:after="0" w:line="99" w:lineRule="exact"/>
        <w:rPr>
          <w:sz w:val="20"/>
          <w:szCs w:val="20"/>
          <w:color w:val="auto"/>
        </w:rPr>
      </w:pPr>
    </w:p>
    <w:p>
      <w:pPr>
        <w:ind w:left="200" w:right="100" w:firstLine="553"/>
        <w:spacing w:after="0" w:line="269" w:lineRule="auto"/>
        <w:rPr>
          <w:sz w:val="20"/>
          <w:szCs w:val="20"/>
          <w:color w:val="auto"/>
        </w:rPr>
      </w:pPr>
      <w:r>
        <w:rPr>
          <w:rFonts w:ascii="Arial" w:cs="Arial" w:eastAsia="Arial" w:hAnsi="Arial"/>
          <w:sz w:val="16"/>
          <w:szCs w:val="16"/>
          <w:color w:val="auto"/>
        </w:rPr>
        <w:t>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display driver solutions incorporate the industry’s most advanced display technologies, such as low temperature polysilicon, or LTPS, and active matrix organic light emitting diode, or AMOLED, as well as high volume display technologies such as thin film transistor, or TFT.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w:t>
      </w:r>
    </w:p>
    <w:p>
      <w:pPr>
        <w:spacing w:after="0" w:line="336" w:lineRule="exact"/>
        <w:rPr>
          <w:sz w:val="20"/>
          <w:szCs w:val="20"/>
          <w:color w:val="auto"/>
        </w:rPr>
      </w:pPr>
    </w:p>
    <w:p>
      <w:pPr>
        <w:ind w:left="200" w:firstLine="553"/>
        <w:spacing w:after="0" w:line="236" w:lineRule="auto"/>
        <w:rPr>
          <w:sz w:val="20"/>
          <w:szCs w:val="20"/>
          <w:color w:val="auto"/>
        </w:rPr>
      </w:pPr>
      <w:r>
        <w:rPr>
          <w:rFonts w:ascii="Arial" w:cs="Arial" w:eastAsia="Arial" w:hAnsi="Arial"/>
          <w:sz w:val="18"/>
          <w:szCs w:val="18"/>
          <w:color w:val="auto"/>
        </w:rPr>
        <w:t>We also offer manufacturing services to providers of analog and mixed-signal semiconductors that require differentiated, specialty analog and mixed-signal process technologies such as high voltage complementary metal oxide semiconductor, or CMOS, embedded memory and power. Our manufacturing facilities and processes do not require substantial investment in leading edge process equipment and can be utilized over an extended period of time. Our manufacturing base serves both our solutions products and manufacturing services customers, allowing us to optimize our asset utilization and leverage our investments across our product and service offerings.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believe our strengths include:</w:t>
      </w:r>
    </w:p>
    <w:p>
      <w:pPr>
        <w:spacing w:after="0" w:line="77" w:lineRule="exact"/>
        <w:rPr>
          <w:sz w:val="20"/>
          <w:szCs w:val="20"/>
          <w:color w:val="auto"/>
        </w:rPr>
      </w:pPr>
    </w:p>
    <w:p>
      <w:pPr>
        <w:ind w:left="980" w:right="500" w:hanging="243"/>
        <w:spacing w:after="0" w:line="23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Leading analog and mixed-signal semiconductor technology platform that allows us to develop new products and meet market demands quickly;</w:t>
      </w:r>
    </w:p>
    <w:p>
      <w:pPr>
        <w:spacing w:after="0" w:line="73" w:lineRule="exact"/>
        <w:rPr>
          <w:rFonts w:ascii="Arial" w:cs="Arial" w:eastAsia="Arial" w:hAnsi="Arial"/>
          <w:sz w:val="18"/>
          <w:szCs w:val="18"/>
          <w:color w:val="auto"/>
        </w:rPr>
      </w:pPr>
    </w:p>
    <w:p>
      <w:pPr>
        <w:ind w:left="980" w:right="660" w:hanging="243"/>
        <w:spacing w:after="0" w:line="23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Long history of established relationships and close collaboration with leading global consumer electronics companies, which enhances our visibility into new product opportunities, markets and technology trends;</w:t>
      </w:r>
    </w:p>
    <w:p>
      <w:pPr>
        <w:spacing w:after="0" w:line="73" w:lineRule="exact"/>
        <w:rPr>
          <w:rFonts w:ascii="Arial" w:cs="Arial" w:eastAsia="Arial" w:hAnsi="Arial"/>
          <w:sz w:val="18"/>
          <w:szCs w:val="18"/>
          <w:color w:val="auto"/>
        </w:rPr>
      </w:pPr>
    </w:p>
    <w:p>
      <w:pPr>
        <w:ind w:left="980" w:right="120" w:hanging="243"/>
        <w:spacing w:after="0" w:line="23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Comprehensive product and service offerings that support our business through fluctuations in end-market demand and allow us to cross-sell our products and services to our customers;</w:t>
      </w:r>
    </w:p>
    <w:p>
      <w:pPr>
        <w:spacing w:after="0" w:line="73" w:lineRule="exact"/>
        <w:rPr>
          <w:rFonts w:ascii="Arial" w:cs="Arial" w:eastAsia="Arial" w:hAnsi="Arial"/>
          <w:sz w:val="18"/>
          <w:szCs w:val="18"/>
          <w:color w:val="auto"/>
        </w:rPr>
      </w:pPr>
    </w:p>
    <w:p>
      <w:pPr>
        <w:ind w:left="980" w:right="400" w:hanging="243"/>
        <w:spacing w:after="0" w:line="299"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Distinctive process technology and manufacturing expertise, supported by our belief that the majority of our top twenty manufacturing services customers use us as their primary manufacturing source for the products that we manufacture for them;</w:t>
      </w:r>
    </w:p>
    <w:p>
      <w:pPr>
        <w:spacing w:after="0" w:line="27" w:lineRule="exact"/>
        <w:rPr>
          <w:rFonts w:ascii="Arial" w:cs="Arial" w:eastAsia="Arial" w:hAnsi="Arial"/>
          <w:sz w:val="16"/>
          <w:szCs w:val="16"/>
          <w:color w:val="auto"/>
        </w:rPr>
      </w:pPr>
    </w:p>
    <w:p>
      <w:pPr>
        <w:ind w:left="980" w:right="140" w:hanging="243"/>
        <w:spacing w:after="0" w:line="23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Longstanding presence of our management and manufacturing base in Asia and proximity to our largest customers and to the core of the global consumer electronics supply chain, which allows us to respond rapidly to our customers’ needs; and</w:t>
      </w:r>
    </w:p>
    <w:p>
      <w:pPr>
        <w:spacing w:after="0" w:line="73" w:lineRule="exact"/>
        <w:rPr>
          <w:rFonts w:ascii="Arial" w:cs="Arial" w:eastAsia="Arial" w:hAnsi="Arial"/>
          <w:sz w:val="18"/>
          <w:szCs w:val="18"/>
          <w:color w:val="auto"/>
        </w:rPr>
      </w:pPr>
    </w:p>
    <w:p>
      <w:pPr>
        <w:ind w:left="980" w:right="1220" w:hanging="243"/>
        <w:spacing w:after="0" w:line="23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Manufacturing facilities with specialty processes and a low cost operating structure, which allows us to maintain price competitiveness across our product and service offerings.</w:t>
      </w: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58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4584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left="200" w:right="600" w:firstLine="553"/>
        <w:spacing w:after="0" w:line="299" w:lineRule="auto"/>
        <w:rPr>
          <w:sz w:val="20"/>
          <w:szCs w:val="20"/>
          <w:color w:val="auto"/>
        </w:rPr>
      </w:pPr>
      <w:r>
        <w:rPr>
          <w:rFonts w:ascii="Arial" w:cs="Arial" w:eastAsia="Arial" w:hAnsi="Arial"/>
          <w:sz w:val="16"/>
          <w:szCs w:val="16"/>
          <w:color w:val="auto"/>
        </w:rPr>
        <w:t>Our objective is to grow our business and enhance our position as a leading provider of analog and mixed-signal semiconductor products and services for high volume consumer applications. Our business strategy emphasizes the following key elements:</w:t>
      </w:r>
    </w:p>
    <w:p>
      <w:pPr>
        <w:spacing w:after="0" w:line="28" w:lineRule="exact"/>
        <w:rPr>
          <w:sz w:val="20"/>
          <w:szCs w:val="20"/>
          <w:color w:val="auto"/>
        </w:rPr>
      </w:pPr>
    </w:p>
    <w:p>
      <w:pPr>
        <w:ind w:left="980" w:right="100" w:hanging="243"/>
        <w:spacing w:after="0" w:line="23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our leading analog and mixed-signal technology platform to deliver products with high levels of performance and integration, as well as to expand our technology offerings within our target markets, as we intend to do with our power management products;</w:t>
      </w:r>
    </w:p>
    <w:p>
      <w:pPr>
        <w:spacing w:after="0" w:line="72" w:lineRule="exact"/>
        <w:rPr>
          <w:rFonts w:ascii="Arial" w:cs="Arial" w:eastAsia="Arial" w:hAnsi="Arial"/>
          <w:sz w:val="18"/>
          <w:szCs w:val="18"/>
          <w:color w:val="auto"/>
        </w:rPr>
      </w:pPr>
    </w:p>
    <w:p>
      <w:pPr>
        <w:ind w:left="980" w:right="74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innovate and deliver new products, such as AMOLED display drivers, and specialized analog and mixed-signal semiconductor manufacturing services;</w:t>
      </w:r>
    </w:p>
    <w:p>
      <w:pPr>
        <w:spacing w:after="0" w:line="73" w:lineRule="exact"/>
        <w:rPr>
          <w:rFonts w:ascii="Arial" w:cs="Arial" w:eastAsia="Arial" w:hAnsi="Arial"/>
          <w:sz w:val="18"/>
          <w:szCs w:val="18"/>
          <w:color w:val="auto"/>
        </w:rPr>
      </w:pPr>
    </w:p>
    <w:p>
      <w:pPr>
        <w:ind w:left="980" w:right="24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business with our global customer base of leading consumer electronics original equipment manufacturers, or OEMs, by collaborating on critical design and product development;</w:t>
      </w:r>
    </w:p>
    <w:p>
      <w:pPr>
        <w:spacing w:after="0" w:line="73" w:lineRule="exact"/>
        <w:rPr>
          <w:rFonts w:ascii="Arial" w:cs="Arial" w:eastAsia="Arial" w:hAnsi="Arial"/>
          <w:sz w:val="18"/>
          <w:szCs w:val="18"/>
          <w:color w:val="auto"/>
        </w:rPr>
      </w:pPr>
    </w:p>
    <w:p>
      <w:pPr>
        <w:ind w:left="980" w:right="14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Broaden our customer base by expanding our global design centers and local application engineering support and sales presence, particularly in China and other high growth regions;</w:t>
      </w:r>
    </w:p>
    <w:p>
      <w:pPr>
        <w:spacing w:after="0" w:line="73" w:lineRule="exact"/>
        <w:rPr>
          <w:rFonts w:ascii="Arial" w:cs="Arial" w:eastAsia="Arial" w:hAnsi="Arial"/>
          <w:sz w:val="18"/>
          <w:szCs w:val="18"/>
          <w:color w:val="auto"/>
        </w:rPr>
      </w:pPr>
    </w:p>
    <w:p>
      <w:pPr>
        <w:ind w:left="980" w:right="48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Drive execution excellence in new product development, manufacturing efficiency and quality, customer service and personnel development; and</w:t>
      </w:r>
    </w:p>
    <w:p>
      <w:pPr>
        <w:spacing w:after="0" w:line="73" w:lineRule="exact"/>
        <w:rPr>
          <w:rFonts w:ascii="Arial" w:cs="Arial" w:eastAsia="Arial" w:hAnsi="Arial"/>
          <w:sz w:val="18"/>
          <w:szCs w:val="18"/>
          <w:color w:val="auto"/>
        </w:rPr>
      </w:pPr>
    </w:p>
    <w:p>
      <w:pPr>
        <w:ind w:left="980" w:right="200" w:hanging="243"/>
        <w:spacing w:after="0" w:line="23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Optimize asset utilization and return on capital investments by maintaining our focus on specialty process technologies that do not require substantial investment in leading edge manufacturing equipment and by utilizing our manufacturing facilities for both our solutions products and manufacturing services customers.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Company</w:t>
      </w:r>
    </w:p>
    <w:p>
      <w:pPr>
        <w:spacing w:after="0" w:line="99" w:lineRule="exact"/>
        <w:rPr>
          <w:sz w:val="20"/>
          <w:szCs w:val="20"/>
          <w:color w:val="auto"/>
        </w:rPr>
      </w:pPr>
    </w:p>
    <w:p>
      <w:pPr>
        <w:ind w:left="200" w:right="40" w:firstLine="553"/>
        <w:spacing w:after="0" w:line="239" w:lineRule="auto"/>
        <w:rPr>
          <w:sz w:val="20"/>
          <w:szCs w:val="20"/>
          <w:color w:val="auto"/>
        </w:rPr>
      </w:pPr>
      <w:r>
        <w:rPr>
          <w:rFonts w:ascii="Arial" w:cs="Arial" w:eastAsia="Arial" w:hAnsi="Arial"/>
          <w:sz w:val="18"/>
          <w:szCs w:val="18"/>
          <w:color w:val="auto"/>
        </w:rPr>
        <w:t>Investing in our company entails a high degree of risk. Please see the “Risk Factors” section beginning on page 8 of this prospectus for a discussion of the factors you should consider carefully before deciding to invest in shares of our common stock.</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9" w:lineRule="exact"/>
        <w:rPr>
          <w:sz w:val="20"/>
          <w:szCs w:val="20"/>
          <w:color w:val="auto"/>
        </w:rPr>
      </w:pPr>
    </w:p>
    <w:p>
      <w:pPr>
        <w:ind w:left="200" w:firstLine="553"/>
        <w:spacing w:after="0" w:line="237" w:lineRule="auto"/>
        <w:rPr>
          <w:sz w:val="20"/>
          <w:szCs w:val="20"/>
          <w:color w:val="auto"/>
        </w:rPr>
      </w:pPr>
      <w:r>
        <w:rPr>
          <w:rFonts w:ascii="Arial" w:cs="Arial" w:eastAsia="Arial" w:hAnsi="Arial"/>
          <w:sz w:val="18"/>
          <w:szCs w:val="18"/>
          <w:color w:val="auto"/>
        </w:rPr>
        <w:t>Prior to the closing of this offering, we will complete the corporate reorganization pursuant to which MagnaChip Semiconductor Corporation will succeed to the business of MagnaChip Semiconductor LLC and its consolidated subsidiaries, and the members of MagnaChip Semiconductor LLC will become stockholders of MagnaChip Semiconductor Corporation. Unless otherwise indicated, the disclosure in this prospectus gives effect to the corporate reorganization.</w:t>
      </w:r>
    </w:p>
    <w:p>
      <w:pPr>
        <w:spacing w:after="0" w:line="155" w:lineRule="exact"/>
        <w:rPr>
          <w:sz w:val="20"/>
          <w:szCs w:val="20"/>
          <w:color w:val="auto"/>
        </w:rPr>
      </w:pPr>
    </w:p>
    <w:p>
      <w:pPr>
        <w:jc w:val="both"/>
        <w:ind w:left="200" w:right="380" w:firstLine="553"/>
        <w:spacing w:after="0" w:line="237" w:lineRule="auto"/>
        <w:rPr>
          <w:sz w:val="20"/>
          <w:szCs w:val="20"/>
          <w:color w:val="auto"/>
        </w:rPr>
      </w:pPr>
      <w:r>
        <w:rPr>
          <w:rFonts w:ascii="Arial" w:cs="Arial" w:eastAsia="Arial" w:hAnsi="Arial"/>
          <w:sz w:val="18"/>
          <w:szCs w:val="18"/>
          <w:color w:val="auto"/>
        </w:rPr>
        <w:t xml:space="preserve">Our principal executive offices are located at: c/o MagnaChip Semiconductor S.A., 74, rue de Merl, B.P. 709, L-2017, Luxembourg, Grand Duchy of Luxembourg, and our telephone number is (352) 45-62-62. Our website address is </w:t>
      </w:r>
      <w:r>
        <w:rPr>
          <w:rFonts w:ascii="Arial" w:cs="Arial" w:eastAsia="Arial" w:hAnsi="Arial"/>
          <w:sz w:val="18"/>
          <w:szCs w:val="18"/>
          <w:i w:val="1"/>
          <w:iCs w:val="1"/>
          <w:color w:val="auto"/>
        </w:rPr>
        <w:t>www.magnachip.com</w:t>
      </w:r>
      <w:r>
        <w:rPr>
          <w:rFonts w:ascii="Arial" w:cs="Arial" w:eastAsia="Arial" w:hAnsi="Arial"/>
          <w:sz w:val="18"/>
          <w:szCs w:val="18"/>
          <w:color w:val="auto"/>
        </w:rPr>
        <w:t>. You should not consider the information contained on our website to be part of this prospectus or in deciding whether to purchase shares of our common stock.</w:t>
      </w:r>
    </w:p>
    <w:p>
      <w:pPr>
        <w:spacing w:after="0" w:line="155" w:lineRule="exact"/>
        <w:rPr>
          <w:sz w:val="20"/>
          <w:szCs w:val="20"/>
          <w:color w:val="auto"/>
        </w:rPr>
      </w:pPr>
    </w:p>
    <w:p>
      <w:pPr>
        <w:ind w:left="200" w:right="20" w:firstLine="553"/>
        <w:spacing w:after="0" w:line="237" w:lineRule="auto"/>
        <w:rPr>
          <w:sz w:val="20"/>
          <w:szCs w:val="20"/>
          <w:color w:val="auto"/>
        </w:rPr>
      </w:pPr>
      <w:r>
        <w:rPr>
          <w:rFonts w:ascii="Arial" w:cs="Arial" w:eastAsia="Arial" w:hAnsi="Arial"/>
          <w:sz w:val="18"/>
          <w:szCs w:val="18"/>
          <w:color w:val="auto"/>
        </w:rPr>
        <w:t>Our business was named MagnaChip Semiconductor when it was acquired from Hynix Semiconductor, Inc., or Hynix, in October 2004 by Citigroup Venture Capital Equity Partners, L.P., Francisco Partners L.P., certain investment funds advised by CVC Asia Pacific Limited or its affiliates, certain members of management and other investors. In this prospectus, we refer to these entities as Court Square, Francisco Partners and CVC Asia Pacific and, collectively, as the “sponsors” and to this acquisition as the “Original Acquisition.”</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of common stock offered by us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122" w:lineRule="exact"/>
        <w:rPr>
          <w:sz w:val="20"/>
          <w:szCs w:val="20"/>
          <w:color w:val="auto"/>
        </w:rPr>
      </w:pPr>
    </w:p>
    <w:p>
      <w:pPr>
        <w:sectPr>
          <w:pgSz w:w="11900" w:h="16838" w:orient="portrait"/>
          <w:cols w:equalWidth="0" w:num="2">
            <w:col w:w="6000" w:space="720"/>
            <w:col w:w="454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Shares of common stock offered by the selling stockholders pursuant to</w:t>
      </w:r>
    </w:p>
    <w:p>
      <w:pPr>
        <w:ind w:left="420"/>
        <w:spacing w:after="0"/>
        <w:rPr>
          <w:sz w:val="20"/>
          <w:szCs w:val="20"/>
          <w:color w:val="auto"/>
        </w:rPr>
      </w:pPr>
      <w:r>
        <w:rPr>
          <w:rFonts w:ascii="Arial" w:cs="Arial" w:eastAsia="Arial" w:hAnsi="Arial"/>
          <w:sz w:val="18"/>
          <w:szCs w:val="18"/>
          <w:color w:val="auto"/>
        </w:rPr>
        <w:t>the underwriters’ option to purchase additional shares</w:t>
      </w:r>
    </w:p>
    <w:p>
      <w:pPr>
        <w:spacing w:after="0" w:line="347"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shares</w:t>
      </w:r>
      <w:r>
        <w:rPr>
          <w:rFonts w:ascii="Arial" w:cs="Arial" w:eastAsia="Arial" w:hAnsi="Arial"/>
          <w:sz w:val="10"/>
          <w:szCs w:val="10"/>
          <w:color w:val="auto"/>
        </w:rPr>
        <w:t>(1)</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to be outstanding after this offering</w:t>
      </w:r>
    </w:p>
    <w:p>
      <w:pPr>
        <w:spacing w:after="0" w:line="15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shares</w:t>
      </w:r>
    </w:p>
    <w:p>
      <w:pPr>
        <w:sectPr>
          <w:pgSz w:w="11900" w:h="16838" w:orient="portrait"/>
          <w:cols w:equalWidth="0" w:num="1">
            <w:col w:w="11260"/>
          </w:cols>
          <w:pgMar w:left="240" w:top="459" w:right="399" w:bottom="1440" w:gutter="0" w:footer="0" w:header="0"/>
          <w:type w:val="continuous"/>
        </w:sectPr>
      </w:pP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intend to use the net proceeds received by us in connection with this offering to reduce our indebtedness, to repurchase all of our Series B preferred stock, to pay certain employee incentive payments, to pay certain amounts related to the termination of our sponsors’ advisory agreements and for general corporate purposes.</w:t>
      </w:r>
    </w:p>
    <w:p>
      <w:pPr>
        <w:spacing w:after="0" w:line="102"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281" w:lineRule="auto"/>
        <w:rPr>
          <w:sz w:val="20"/>
          <w:szCs w:val="20"/>
          <w:color w:val="auto"/>
        </w:rPr>
      </w:pPr>
      <w:r>
        <w:rPr>
          <w:rFonts w:ascii="Arial" w:cs="Arial" w:eastAsia="Arial" w:hAnsi="Arial"/>
          <w:sz w:val="16"/>
          <w:szCs w:val="16"/>
          <w:color w:val="auto"/>
        </w:rPr>
        <w:t>See “Risk Factors” and the other information included in this prospectus for a discussion of the factors you should consider carefully before deciding to invest in shares of our common stock.</w:t>
      </w:r>
    </w:p>
    <w:p>
      <w:pPr>
        <w:spacing w:after="0" w:line="7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ind w:right="220"/>
        <w:spacing w:after="0" w:line="239" w:lineRule="auto"/>
        <w:rPr>
          <w:sz w:val="20"/>
          <w:szCs w:val="20"/>
          <w:color w:val="auto"/>
        </w:rPr>
      </w:pPr>
      <w:r>
        <w:rPr>
          <w:rFonts w:ascii="Arial" w:cs="Arial" w:eastAsia="Arial" w:hAnsi="Arial"/>
          <w:sz w:val="18"/>
          <w:szCs w:val="18"/>
          <w:color w:val="auto"/>
        </w:rPr>
        <w:t>We do not anticipate paying any cash dividends on our common stock.</w:t>
      </w:r>
    </w:p>
    <w:p>
      <w:pPr>
        <w:spacing w:after="0" w:line="101"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MX</w:t>
      </w:r>
    </w:p>
    <w:p>
      <w:pPr>
        <w:spacing w:after="0" w:line="20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spacing w:after="0" w:line="21" w:lineRule="exact"/>
        <w:rPr>
          <w:sz w:val="20"/>
          <w:szCs w:val="20"/>
          <w:color w:val="auto"/>
        </w:rPr>
      </w:pPr>
    </w:p>
    <w:p>
      <w:pPr>
        <w:ind w:left="740" w:hanging="543"/>
        <w:spacing w:after="0" w:line="238" w:lineRule="auto"/>
        <w:tabs>
          <w:tab w:leader="none" w:pos="740" w:val="left"/>
        </w:tabs>
        <w:numPr>
          <w:ilvl w:val="0"/>
          <w:numId w:val="3"/>
        </w:numPr>
        <w:rPr>
          <w:rFonts w:ascii="Arial" w:cs="Arial" w:eastAsia="Arial" w:hAnsi="Arial"/>
          <w:sz w:val="11"/>
          <w:szCs w:val="11"/>
          <w:color w:val="auto"/>
        </w:rPr>
      </w:pPr>
      <w:r>
        <w:rPr>
          <w:rFonts w:ascii="Arial" w:cs="Arial" w:eastAsia="Arial" w:hAnsi="Arial"/>
          <w:sz w:val="18"/>
          <w:szCs w:val="18"/>
          <w:color w:val="auto"/>
        </w:rPr>
        <w:t>The selling stockholders, including some of our executive officers, have provided the underwriters an option to purchase up to additional shares of our common stock. If the underwriters exercise their option to purchase additional shares, we will not receive any of the proceeds from the sale of our common stock by the selling stockholders.</w:t>
      </w:r>
    </w:p>
    <w:p>
      <w:pPr>
        <w:sectPr>
          <w:pgSz w:w="11900" w:h="16838" w:orient="portrait"/>
          <w:cols w:equalWidth="0" w:num="1">
            <w:col w:w="11260"/>
          </w:cols>
          <w:pgMar w:left="240" w:top="459" w:right="399" w:bottom="1440" w:gutter="0" w:footer="0" w:header="0"/>
          <w:type w:val="continuous"/>
        </w:sectPr>
      </w:pP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number of shares of our common stock outstanding after this offering is based on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Semiconductor LLC outstanding as of the date of this prospectus and: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common units of MagnaChip</w:t>
      </w:r>
    </w:p>
    <w:p>
      <w:pPr>
        <w:spacing w:after="0" w:line="297" w:lineRule="exact"/>
        <w:rPr>
          <w:sz w:val="20"/>
          <w:szCs w:val="20"/>
          <w:color w:val="auto"/>
        </w:rPr>
      </w:pPr>
    </w:p>
    <w:p>
      <w:pPr>
        <w:sectPr>
          <w:pgSz w:w="11900" w:h="16838" w:orient="portrait"/>
          <w:cols w:equalWidth="0" w:num="2">
            <w:col w:w="7400" w:space="680"/>
            <w:col w:w="3180"/>
          </w:cols>
          <w:pgMar w:left="240" w:top="459" w:right="399" w:bottom="1440" w:gutter="0" w:footer="0" w:header="0"/>
          <w:type w:val="continuous"/>
        </w:sectPr>
      </w:pPr>
    </w:p>
    <w:p>
      <w:pPr>
        <w:ind w:left="980" w:hanging="24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consummation of the corporate reorganization, pursuant to which all of the outstanding common units of MagnaChip</w:t>
      </w:r>
    </w:p>
    <w:p>
      <w:pPr>
        <w:jc w:val="both"/>
        <w:ind w:left="980" w:right="80"/>
        <w:spacing w:after="0" w:line="238" w:lineRule="auto"/>
        <w:rPr>
          <w:sz w:val="20"/>
          <w:szCs w:val="20"/>
          <w:color w:val="auto"/>
        </w:rPr>
      </w:pPr>
      <w:r>
        <w:rPr>
          <w:rFonts w:ascii="Arial" w:cs="Arial" w:eastAsia="Arial" w:hAnsi="Arial"/>
          <w:sz w:val="18"/>
          <w:szCs w:val="18"/>
          <w:color w:val="auto"/>
        </w:rPr>
        <w:t>Semiconductor LLC will be exchanged for shares of our common stock at a ratio of , and is based on the assumption that all of the Series B preferred units of MagnaChip Semiconductor LLC will be exchanged for shares of our Series B preferred stock at a ratio of 1:1;</w:t>
      </w:r>
    </w:p>
    <w:p>
      <w:pPr>
        <w:sectPr>
          <w:pgSz w:w="11900" w:h="16838" w:orient="portrait"/>
          <w:cols w:equalWidth="0" w:num="1">
            <w:col w:w="11260"/>
          </w:cols>
          <w:pgMar w:left="240" w:top="459" w:right="399" w:bottom="1440" w:gutter="0" w:footer="0" w:header="0"/>
          <w:type w:val="continuous"/>
        </w:sectPr>
      </w:pPr>
    </w:p>
    <w:p>
      <w:pPr>
        <w:spacing w:after="0" w:line="61" w:lineRule="exact"/>
        <w:rPr>
          <w:sz w:val="20"/>
          <w:szCs w:val="20"/>
          <w:color w:val="auto"/>
        </w:rPr>
      </w:pPr>
    </w:p>
    <w:p>
      <w:pPr>
        <w:ind w:left="740"/>
        <w:spacing w:after="0"/>
        <w:tabs>
          <w:tab w:leader="none" w:pos="2340" w:val="left"/>
        </w:tabs>
        <w:rPr>
          <w:sz w:val="20"/>
          <w:szCs w:val="20"/>
          <w:color w:val="auto"/>
        </w:rPr>
      </w:pPr>
      <w:r>
        <w:rPr>
          <w:rFonts w:ascii="Arial" w:cs="Arial" w:eastAsia="Arial" w:hAnsi="Arial"/>
          <w:sz w:val="18"/>
          <w:szCs w:val="18"/>
          <w:color w:val="auto"/>
        </w:rPr>
        <w:t>Ÿ  excludes</w:t>
      </w:r>
      <w:r>
        <w:rPr>
          <w:sz w:val="20"/>
          <w:szCs w:val="20"/>
          <w:color w:val="auto"/>
        </w:rPr>
        <w:tab/>
      </w:r>
      <w:r>
        <w:rPr>
          <w:rFonts w:ascii="Arial" w:cs="Arial" w:eastAsia="Arial" w:hAnsi="Arial"/>
          <w:sz w:val="16"/>
          <w:szCs w:val="16"/>
          <w:color w:val="auto"/>
        </w:rPr>
        <w:t>shares of our common stock reserved for issuance upon exercise of stock options outstanding as of</w:t>
      </w:r>
    </w:p>
    <w:p>
      <w:pPr>
        <w:spacing w:after="0" w:line="7" w:lineRule="exact"/>
        <w:rPr>
          <w:sz w:val="20"/>
          <w:szCs w:val="20"/>
          <w:color w:val="auto"/>
        </w:rPr>
      </w:pPr>
    </w:p>
    <w:p>
      <w:pPr>
        <w:ind w:left="980"/>
        <w:spacing w:after="0"/>
        <w:tabs>
          <w:tab w:leader="none" w:pos="4360" w:val="left"/>
        </w:tabs>
        <w:rPr>
          <w:sz w:val="20"/>
          <w:szCs w:val="20"/>
          <w:color w:val="auto"/>
        </w:rPr>
      </w:pPr>
      <w:r>
        <w:rPr>
          <w:rFonts w:ascii="Arial" w:cs="Arial" w:eastAsia="Arial" w:hAnsi="Arial"/>
          <w:sz w:val="18"/>
          <w:szCs w:val="18"/>
          <w:color w:val="auto"/>
        </w:rPr>
        <w:t>weighted average exercise price of</w:t>
      </w:r>
      <w:r>
        <w:rPr>
          <w:sz w:val="20"/>
          <w:szCs w:val="20"/>
          <w:color w:val="auto"/>
        </w:rPr>
        <w:tab/>
      </w:r>
      <w:r>
        <w:rPr>
          <w:rFonts w:ascii="Arial" w:cs="Arial" w:eastAsia="Arial" w:hAnsi="Arial"/>
          <w:sz w:val="16"/>
          <w:szCs w:val="16"/>
          <w:color w:val="auto"/>
        </w:rPr>
        <w:t>per share;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at a</w:t>
      </w:r>
    </w:p>
    <w:p>
      <w:pPr>
        <w:spacing w:after="0" w:line="290" w:lineRule="exact"/>
        <w:rPr>
          <w:sz w:val="20"/>
          <w:szCs w:val="20"/>
          <w:color w:val="auto"/>
        </w:rPr>
      </w:pPr>
    </w:p>
    <w:p>
      <w:pPr>
        <w:sectPr>
          <w:pgSz w:w="11900" w:h="16838" w:orient="portrait"/>
          <w:cols w:equalWidth="0" w:num="2">
            <w:col w:w="10080" w:space="680"/>
            <w:col w:w="500"/>
          </w:cols>
          <w:pgMar w:left="240" w:top="459" w:right="399" w:bottom="1440" w:gutter="0" w:footer="0" w:header="0"/>
          <w:type w:val="continuous"/>
        </w:sectPr>
      </w:pPr>
    </w:p>
    <w:p>
      <w:pPr>
        <w:jc w:val="both"/>
        <w:ind w:left="980" w:hanging="239"/>
        <w:spacing w:after="0" w:line="299" w:lineRule="auto"/>
        <w:tabs>
          <w:tab w:leader="none" w:pos="960" w:val="left"/>
        </w:tabs>
        <w:rPr>
          <w:sz w:val="20"/>
          <w:szCs w:val="20"/>
          <w:color w:val="auto"/>
        </w:rPr>
      </w:pPr>
      <w:r>
        <w:rPr>
          <w:rFonts w:ascii="Arial" w:cs="Arial" w:eastAsia="Arial" w:hAnsi="Arial"/>
          <w:sz w:val="16"/>
          <w:szCs w:val="16"/>
          <w:color w:val="auto"/>
        </w:rPr>
        <w:t>Ÿ</w:t>
      </w:r>
      <w:r>
        <w:rPr>
          <w:sz w:val="20"/>
          <w:szCs w:val="20"/>
          <w:color w:val="auto"/>
        </w:rPr>
        <w:tab/>
      </w:r>
      <w:r>
        <w:rPr>
          <w:rFonts w:ascii="Arial" w:cs="Arial" w:eastAsia="Arial" w:hAnsi="Arial"/>
          <w:sz w:val="16"/>
          <w:szCs w:val="16"/>
          <w:color w:val="auto"/>
        </w:rPr>
        <w:t>excludes        shares of our common stock reserved as of Incentive Plan and 2008 Employee Stock Purchase Plan;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issuance pursuant to future grants under our 2008 Equity</w:t>
      </w:r>
    </w:p>
    <w:p>
      <w:pPr>
        <w:spacing w:after="0" w:line="301" w:lineRule="exact"/>
        <w:rPr>
          <w:sz w:val="20"/>
          <w:szCs w:val="20"/>
          <w:color w:val="auto"/>
        </w:rPr>
      </w:pPr>
    </w:p>
    <w:p>
      <w:pPr>
        <w:sectPr>
          <w:pgSz w:w="11900" w:h="16838" w:orient="portrait"/>
          <w:cols w:equalWidth="0" w:num="2">
            <w:col w:w="5760" w:space="640"/>
            <w:col w:w="4860"/>
          </w:cols>
          <w:pgMar w:left="240" w:top="459" w:right="399" w:bottom="1440" w:gutter="0" w:footer="0" w:header="0"/>
          <w:type w:val="continuous"/>
        </w:sectPr>
      </w:pPr>
    </w:p>
    <w:p>
      <w:pPr>
        <w:jc w:val="center"/>
        <w:ind w:left="5660" w:right="1140" w:hanging="4923"/>
        <w:spacing w:after="0" w:line="63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that all holders of Series B preferred units elect to have their units repurchased at the closing of this offering. 4</w:t>
      </w:r>
    </w:p>
    <w:p>
      <w:pPr>
        <w:sectPr>
          <w:pgSz w:w="11900" w:h="16838" w:orient="portrait"/>
          <w:cols w:equalWidth="0" w:num="1">
            <w:col w:w="11260"/>
          </w:cols>
          <w:pgMar w:left="240" w:top="459" w:right="3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70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11703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Unless specifically stated otherwise, the information in this prospectus:</w:t>
      </w:r>
    </w:p>
    <w:p>
      <w:pPr>
        <w:spacing w:after="0" w:line="77" w:lineRule="exact"/>
        <w:rPr>
          <w:sz w:val="20"/>
          <w:szCs w:val="20"/>
          <w:color w:val="auto"/>
        </w:rPr>
      </w:pPr>
    </w:p>
    <w:p>
      <w:pPr>
        <w:ind w:left="980" w:right="620" w:hanging="243"/>
        <w:spacing w:after="0" w:line="23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consummation of the corporate reorganization and the effectiveness of our amended and restated certificate of incorporation prior to the closing of this offering;</w:t>
      </w:r>
    </w:p>
    <w:p>
      <w:pPr>
        <w:spacing w:after="0" w:line="62" w:lineRule="exact"/>
        <w:rPr>
          <w:sz w:val="20"/>
          <w:szCs w:val="20"/>
          <w:color w:val="auto"/>
        </w:rPr>
      </w:pPr>
    </w:p>
    <w:p>
      <w:pPr>
        <w:ind w:left="740"/>
        <w:spacing w:after="0"/>
        <w:tabs>
          <w:tab w:leader="none" w:pos="8000" w:val="left"/>
        </w:tabs>
        <w:rPr>
          <w:sz w:val="20"/>
          <w:szCs w:val="20"/>
          <w:color w:val="auto"/>
        </w:rPr>
      </w:pPr>
      <w:r>
        <w:rPr>
          <w:rFonts w:ascii="Arial" w:cs="Arial" w:eastAsia="Arial" w:hAnsi="Arial"/>
          <w:sz w:val="18"/>
          <w:szCs w:val="18"/>
          <w:color w:val="auto"/>
        </w:rPr>
        <w:t>Ÿ  assumes no exercise of the underwriters’ option to purchase up to an additional</w:t>
      </w:r>
      <w:r>
        <w:rPr>
          <w:sz w:val="20"/>
          <w:szCs w:val="20"/>
          <w:color w:val="auto"/>
        </w:rPr>
        <w:tab/>
      </w:r>
      <w:r>
        <w:rPr>
          <w:rFonts w:ascii="Arial" w:cs="Arial" w:eastAsia="Arial" w:hAnsi="Arial"/>
          <w:sz w:val="16"/>
          <w:szCs w:val="16"/>
          <w:color w:val="auto"/>
        </w:rPr>
        <w:t>shares from our selling stockholders; and</w:t>
      </w:r>
    </w:p>
    <w:p>
      <w:pPr>
        <w:spacing w:after="0" w:line="90" w:lineRule="exact"/>
        <w:rPr>
          <w:sz w:val="20"/>
          <w:szCs w:val="20"/>
          <w:color w:val="auto"/>
        </w:rPr>
      </w:pPr>
    </w:p>
    <w:p>
      <w:pPr>
        <w:ind w:left="980" w:right="240" w:hanging="239"/>
        <w:spacing w:after="0" w:line="239" w:lineRule="auto"/>
        <w:tabs>
          <w:tab w:leader="none" w:pos="96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assumes an initial public offering price of $ per share, which is the midpoint of the range set forth on the front cover of this prospectus.</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1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321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Pro Forma Financial Data</w:t>
      </w:r>
    </w:p>
    <w:p>
      <w:pPr>
        <w:spacing w:after="0" w:line="180" w:lineRule="exact"/>
        <w:rPr>
          <w:sz w:val="20"/>
          <w:szCs w:val="20"/>
          <w:color w:val="auto"/>
        </w:rPr>
      </w:pPr>
    </w:p>
    <w:p>
      <w:pPr>
        <w:ind w:left="200" w:right="160" w:firstLine="553"/>
        <w:spacing w:after="0" w:line="236" w:lineRule="auto"/>
        <w:rPr>
          <w:sz w:val="20"/>
          <w:szCs w:val="20"/>
          <w:color w:val="auto"/>
        </w:rPr>
      </w:pPr>
      <w:r>
        <w:rPr>
          <w:rFonts w:ascii="Arial" w:cs="Arial" w:eastAsia="Arial" w:hAnsi="Arial"/>
          <w:sz w:val="18"/>
          <w:szCs w:val="18"/>
          <w:color w:val="auto"/>
        </w:rPr>
        <w:t>The following tables set forth summary historical and pro forma financial data of MagnaChip Semiconductor LLC on or as of the dates and for the periods indicated. The summary historical and pro forma financial data presented below should be read together with “Selected Historical Consolidated Financial and Operating Data of MagnaChip Semiconductor LLC,” “Unaudited Pro Forma Consolidated Financial Information,” “Management’s Discussion and Analysis of Financial Condition and Results of Operations” and our financial statements, including the notes to those financial statements appearing elsewhere in this prospectus.</w:t>
      </w:r>
    </w:p>
    <w:p>
      <w:pPr>
        <w:spacing w:after="0" w:line="157" w:lineRule="exact"/>
        <w:rPr>
          <w:sz w:val="20"/>
          <w:szCs w:val="20"/>
          <w:color w:val="auto"/>
        </w:rPr>
      </w:pPr>
    </w:p>
    <w:p>
      <w:pPr>
        <w:ind w:left="200" w:right="180" w:firstLine="553"/>
        <w:spacing w:after="0" w:line="236" w:lineRule="auto"/>
        <w:rPr>
          <w:sz w:val="20"/>
          <w:szCs w:val="20"/>
          <w:color w:val="auto"/>
        </w:rPr>
      </w:pPr>
      <w:r>
        <w:rPr>
          <w:rFonts w:ascii="Arial" w:cs="Arial" w:eastAsia="Arial" w:hAnsi="Arial"/>
          <w:sz w:val="18"/>
          <w:szCs w:val="18"/>
          <w:color w:val="auto"/>
        </w:rPr>
        <w:t>We have derived the summary consolidated financial data as of and for the years ended December 31, 2006 and 2005 from the historical audited consolidated financial statements of MagnaChip Semiconductor LLC. We derived the summary consolidated historical and pro forma financial data for the nine-month periods ended September 30, 2007 and October 1, 2006 and as of September 30, 2007 from the unaudited consolidated interim financial statements of MagnaChip Semiconductor LLC. The unaudited summary consolidated historical and pro forma financial data include, in the opinion of our management, all adjustments, consisting only of normal recurring adjustments, that are necessary for a fair presentation of our financial position and results of operations for these periods. The historical results of MagnaChip Semiconductor LLC for any prior period are not necessarily indicative of the results to be expected in any future period, and financial results for any interim period are not necessarily indicative of results for a full fiscal year.</w:t>
      </w:r>
    </w:p>
    <w:p>
      <w:pPr>
        <w:spacing w:after="0" w:line="154" w:lineRule="exact"/>
        <w:rPr>
          <w:sz w:val="20"/>
          <w:szCs w:val="20"/>
          <w:color w:val="auto"/>
        </w:rPr>
      </w:pPr>
    </w:p>
    <w:p>
      <w:pPr>
        <w:ind w:left="200" w:right="40" w:firstLine="553"/>
        <w:spacing w:after="0" w:line="236" w:lineRule="auto"/>
        <w:rPr>
          <w:sz w:val="20"/>
          <w:szCs w:val="20"/>
          <w:color w:val="auto"/>
        </w:rPr>
      </w:pPr>
      <w:r>
        <w:rPr>
          <w:rFonts w:ascii="Arial" w:cs="Arial" w:eastAsia="Arial" w:hAnsi="Arial"/>
          <w:sz w:val="18"/>
          <w:szCs w:val="18"/>
          <w:color w:val="auto"/>
        </w:rPr>
        <w:t>We have prepared the summarized unaudited pro forma financial data for the year ended December 31, 2006 and the nine months ended September 30, 2007 and as of September 30, 2007 to give pro forma effect to (1) the corporate reorganization and (2) the sale of shares in this offering and application of the net proceeds from this offering, in each case as if they had occurred at the beginning of the period presented with respect to statement of operations data and as of the end of the period presented with respect to balance sheet data. The summary unaudited pro forma financial data set forth below and under “Selected Unaudited Pro Forma Consolidated Financial Information” are presented for informational purposes only, should not be considered indicative of actual results of operations that would have been achieved had the corporate reorganization and this offering been consummated on the dates indicated, and do not purport to be indicative of balance sheet data or results of operations as of any future date or for any future period.</w:t>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45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3"/>
              </w:rPr>
              <w:t>Pro Forma</w:t>
            </w:r>
            <w:r>
              <w:rPr>
                <w:rFonts w:ascii="Arial" w:cs="Arial" w:eastAsia="Arial" w:hAnsi="Arial"/>
                <w:sz w:val="22"/>
                <w:szCs w:val="22"/>
                <w:b w:val="1"/>
                <w:bCs w:val="1"/>
                <w:color w:val="auto"/>
                <w:w w:val="93"/>
                <w:vertAlign w:val="superscript"/>
              </w:rPr>
              <w:t>(1)</w:t>
            </w:r>
          </w:p>
        </w:tc>
        <w:tc>
          <w:tcPr>
            <w:tcW w:w="6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Historical</w:t>
            </w:r>
          </w:p>
        </w:tc>
        <w:tc>
          <w:tcPr>
            <w:tcW w:w="4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34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Nine months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3"/>
          </w:tcPr>
          <w:p>
            <w:pPr>
              <w:jc w:val="right"/>
              <w:ind w:right="192"/>
              <w:spacing w:after="0" w:line="129" w:lineRule="exact"/>
              <w:rPr>
                <w:sz w:val="20"/>
                <w:szCs w:val="20"/>
                <w:color w:val="auto"/>
              </w:rPr>
            </w:pPr>
            <w:r>
              <w:rPr>
                <w:rFonts w:ascii="Arial" w:cs="Arial" w:eastAsia="Arial" w:hAnsi="Arial"/>
                <w:sz w:val="14"/>
                <w:szCs w:val="14"/>
                <w:b w:val="1"/>
                <w:bCs w:val="1"/>
                <w:color w:val="auto"/>
              </w:rPr>
              <w:t>Years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ended</w:t>
            </w: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Year ended</w:t>
            </w:r>
          </w:p>
        </w:tc>
        <w:tc>
          <w:tcPr>
            <w:tcW w:w="200" w:type="dxa"/>
            <w:vAlign w:val="bottom"/>
          </w:tcPr>
          <w:p>
            <w:pPr>
              <w:spacing w:after="0"/>
              <w:rPr>
                <w:sz w:val="14"/>
                <w:szCs w:val="14"/>
                <w:color w:val="auto"/>
              </w:rPr>
            </w:pPr>
          </w:p>
        </w:tc>
        <w:tc>
          <w:tcPr>
            <w:tcW w:w="22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6"/>
              </w:rPr>
              <w:t>Nine months ended</w:t>
            </w:r>
          </w:p>
        </w:tc>
        <w:tc>
          <w:tcPr>
            <w:tcW w:w="13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5"/>
        </w:trPr>
        <w:tc>
          <w:tcPr>
            <w:tcW w:w="4580" w:type="dxa"/>
            <w:vAlign w:val="bottom"/>
          </w:tcPr>
          <w:p>
            <w:pPr>
              <w:spacing w:after="0"/>
              <w:rPr>
                <w:sz w:val="10"/>
                <w:szCs w:val="10"/>
                <w:color w:val="auto"/>
              </w:rPr>
            </w:pPr>
          </w:p>
        </w:tc>
        <w:tc>
          <w:tcPr>
            <w:tcW w:w="1340" w:type="dxa"/>
            <w:vAlign w:val="bottom"/>
            <w:gridSpan w:val="3"/>
          </w:tcPr>
          <w:p>
            <w:pPr>
              <w:jc w:val="center"/>
              <w:ind w:right="380"/>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1320" w:type="dxa"/>
            <w:vAlign w:val="bottom"/>
            <w:gridSpan w:val="3"/>
          </w:tcPr>
          <w:p>
            <w:pPr>
              <w:jc w:val="center"/>
              <w:ind w:right="400"/>
              <w:spacing w:after="0" w:line="125" w:lineRule="exact"/>
              <w:rPr>
                <w:sz w:val="20"/>
                <w:szCs w:val="20"/>
                <w:color w:val="auto"/>
              </w:rPr>
            </w:pPr>
            <w:r>
              <w:rPr>
                <w:rFonts w:ascii="Arial" w:cs="Arial" w:eastAsia="Arial" w:hAnsi="Arial"/>
                <w:sz w:val="14"/>
                <w:szCs w:val="14"/>
                <w:b w:val="1"/>
                <w:bCs w:val="1"/>
                <w:color w:val="auto"/>
                <w:w w:val="96"/>
              </w:rPr>
              <w:t>December 31,</w:t>
            </w:r>
          </w:p>
        </w:tc>
        <w:tc>
          <w:tcPr>
            <w:tcW w:w="134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680" w:type="dxa"/>
            <w:vAlign w:val="bottom"/>
            <w:tcBorders>
              <w:top w:val="single" w:sz="8" w:color="auto"/>
            </w:tcBorders>
            <w:gridSpan w:val="2"/>
          </w:tcPr>
          <w:p>
            <w:pPr>
              <w:ind w:left="20"/>
              <w:spacing w:after="0" w:line="125" w:lineRule="exact"/>
              <w:rPr>
                <w:sz w:val="20"/>
                <w:szCs w:val="20"/>
                <w:color w:val="auto"/>
              </w:rPr>
            </w:pPr>
            <w:r>
              <w:rPr>
                <w:rFonts w:ascii="Arial" w:cs="Arial" w:eastAsia="Arial" w:hAnsi="Arial"/>
                <w:sz w:val="14"/>
                <w:szCs w:val="14"/>
                <w:b w:val="1"/>
                <w:bCs w:val="1"/>
                <w:color w:val="auto"/>
                <w:w w:val="92"/>
              </w:rPr>
              <w:t>October 1,</w:t>
            </w:r>
          </w:p>
        </w:tc>
        <w:tc>
          <w:tcPr>
            <w:tcW w:w="4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2007</w:t>
            </w: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75"/>
              </w:rPr>
              <w:t>(Audited)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3"/>
          </w:tcPr>
          <w:p>
            <w:pPr>
              <w:jc w:val="center"/>
              <w:ind w:left="432"/>
              <w:spacing w:after="0" w:line="125" w:lineRule="exact"/>
              <w:rPr>
                <w:sz w:val="20"/>
                <w:szCs w:val="20"/>
                <w:color w:val="auto"/>
              </w:rPr>
            </w:pPr>
            <w:r>
              <w:rPr>
                <w:rFonts w:ascii="Arial" w:cs="Arial" w:eastAsia="Arial" w:hAnsi="Arial"/>
                <w:sz w:val="14"/>
                <w:szCs w:val="14"/>
                <w:b w:val="1"/>
                <w:bCs w:val="1"/>
                <w:color w:val="auto"/>
                <w:w w:val="95"/>
              </w:rPr>
              <w:t>(Unaudited)</w:t>
            </w: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tcPr>
          <w:p>
            <w:pPr>
              <w:jc w:val="center"/>
              <w:ind w:left="272"/>
              <w:spacing w:after="0" w:line="125"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8"/>
              </w:rPr>
              <w:t>(in millions, except per common unit/share data)</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545.9</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744.4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545.9</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582.0</w:t>
            </w:r>
          </w:p>
        </w:tc>
        <w:tc>
          <w:tcPr>
            <w:tcW w:w="9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w w:val="98"/>
              </w:rPr>
              <w:t>$ 744.4</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$ 937.7</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471.9</w:t>
            </w: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644.9</w:t>
            </w:r>
          </w:p>
        </w:tc>
        <w:tc>
          <w:tcPr>
            <w:tcW w:w="2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471.9</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500.6</w:t>
            </w:r>
          </w:p>
        </w:tc>
        <w:tc>
          <w:tcPr>
            <w:tcW w:w="90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644.9</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74.0</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99.4</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81.5</w:t>
            </w:r>
          </w:p>
        </w:tc>
        <w:tc>
          <w:tcPr>
            <w:tcW w:w="9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99.4</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71.9</w:t>
            </w: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87.7</w:t>
            </w:r>
          </w:p>
        </w:tc>
        <w:tc>
          <w:tcPr>
            <w:tcW w:w="2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71.9</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66.4</w:t>
            </w:r>
          </w:p>
        </w:tc>
        <w:tc>
          <w:tcPr>
            <w:tcW w:w="90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87.7</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101.1</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131.3</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101.1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95.9</w:t>
            </w:r>
          </w:p>
        </w:tc>
        <w:tc>
          <w:tcPr>
            <w:tcW w:w="9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131.3</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Restructuring and impairment charges</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12.1</w:t>
            </w: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94.3</w:t>
            </w:r>
          </w:p>
        </w:tc>
        <w:tc>
          <w:tcPr>
            <w:tcW w:w="2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12.1</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93.9</w:t>
            </w:r>
          </w:p>
        </w:tc>
        <w:tc>
          <w:tcPr>
            <w:tcW w:w="90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94.3</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(111.1)</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(213.8)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(174.7)</w:t>
            </w:r>
          </w:p>
        </w:tc>
        <w:tc>
          <w:tcPr>
            <w:tcW w:w="9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rPr>
              <w:t>(213.8)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32.5</w:t>
            </w: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41.0</w:t>
            </w:r>
          </w:p>
        </w:tc>
        <w:tc>
          <w:tcPr>
            <w:tcW w:w="2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44.7</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43.0</w:t>
            </w:r>
          </w:p>
        </w:tc>
        <w:tc>
          <w:tcPr>
            <w:tcW w:w="90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57.2</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gain, net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11.3</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50.9</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40.9</w:t>
            </w:r>
          </w:p>
        </w:tc>
        <w:tc>
          <w:tcPr>
            <w:tcW w:w="9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50.9</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tcPr>
          <w:p>
            <w:pPr>
              <w:spacing w:after="0" w:line="155" w:lineRule="exact"/>
              <w:rPr>
                <w:sz w:val="20"/>
                <w:szCs w:val="20"/>
                <w:color w:val="auto"/>
              </w:rPr>
            </w:pPr>
            <w:r>
              <w:rPr>
                <w:rFonts w:ascii="Arial" w:cs="Arial" w:eastAsia="Arial" w:hAnsi="Arial"/>
                <w:sz w:val="14"/>
                <w:szCs w:val="14"/>
                <w:color w:val="auto"/>
              </w:rPr>
              <w:t>Other income (expenses)</w:t>
            </w:r>
          </w:p>
        </w:tc>
        <w:tc>
          <w:tcPr>
            <w:tcW w:w="180" w:type="dxa"/>
            <w:vAlign w:val="bottom"/>
          </w:tcPr>
          <w:p>
            <w:pPr>
              <w:spacing w:after="0"/>
              <w:rPr>
                <w:sz w:val="13"/>
                <w:szCs w:val="13"/>
                <w:color w:val="auto"/>
              </w:rPr>
            </w:pPr>
          </w:p>
        </w:tc>
        <w:tc>
          <w:tcPr>
            <w:tcW w:w="11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(21.2)</w:t>
            </w:r>
          </w:p>
        </w:tc>
        <w:tc>
          <w:tcPr>
            <w:tcW w:w="240" w:type="dxa"/>
            <w:vAlign w:val="bottom"/>
          </w:tcPr>
          <w:p>
            <w:pPr>
              <w:spacing w:after="0"/>
              <w:rPr>
                <w:sz w:val="13"/>
                <w:szCs w:val="13"/>
                <w:color w:val="auto"/>
              </w:rPr>
            </w:pPr>
          </w:p>
        </w:tc>
        <w:tc>
          <w:tcPr>
            <w:tcW w:w="10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9.9</w:t>
            </w:r>
          </w:p>
        </w:tc>
        <w:tc>
          <w:tcPr>
            <w:tcW w:w="200" w:type="dxa"/>
            <w:vAlign w:val="bottom"/>
          </w:tcPr>
          <w:p>
            <w:pPr>
              <w:spacing w:after="0"/>
              <w:rPr>
                <w:sz w:val="13"/>
                <w:szCs w:val="13"/>
                <w:color w:val="auto"/>
              </w:rPr>
            </w:pPr>
          </w:p>
        </w:tc>
        <w:tc>
          <w:tcPr>
            <w:tcW w:w="11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(33.4)</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(2.1)</w:t>
            </w:r>
          </w:p>
        </w:tc>
        <w:tc>
          <w:tcPr>
            <w:tcW w:w="900" w:type="dxa"/>
            <w:vAlign w:val="bottom"/>
            <w:gridSpan w:val="2"/>
          </w:tcPr>
          <w:p>
            <w:pPr>
              <w:jc w:val="right"/>
              <w:ind w:right="318"/>
              <w:spacing w:after="0" w:line="155" w:lineRule="exact"/>
              <w:rPr>
                <w:sz w:val="20"/>
                <w:szCs w:val="20"/>
                <w:color w:val="auto"/>
              </w:rPr>
            </w:pPr>
            <w:r>
              <w:rPr>
                <w:rFonts w:ascii="Arial" w:cs="Arial" w:eastAsia="Arial" w:hAnsi="Arial"/>
                <w:sz w:val="14"/>
                <w:szCs w:val="14"/>
                <w:color w:val="auto"/>
              </w:rPr>
              <w:t>(6.3)</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93"/>
              </w:rPr>
              <w:t>Pro Forma</w:t>
            </w:r>
            <w:r>
              <w:rPr>
                <w:rFonts w:ascii="Arial" w:cs="Arial" w:eastAsia="Arial" w:hAnsi="Arial"/>
                <w:sz w:val="22"/>
                <w:szCs w:val="22"/>
                <w:b w:val="1"/>
                <w:bCs w:val="1"/>
                <w:color w:val="auto"/>
                <w:w w:val="93"/>
                <w:vertAlign w:val="superscript"/>
              </w:rPr>
              <w:t>(1)</w:t>
            </w:r>
          </w:p>
        </w:tc>
        <w:tc>
          <w:tcPr>
            <w:tcW w:w="6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32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6"/>
              </w:rPr>
              <w:t>Nine months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tcPr>
          <w:p>
            <w:pPr>
              <w:jc w:val="center"/>
              <w:ind w:right="52"/>
              <w:spacing w:after="0" w:line="129" w:lineRule="exact"/>
              <w:rPr>
                <w:sz w:val="20"/>
                <w:szCs w:val="20"/>
                <w:color w:val="auto"/>
              </w:rPr>
            </w:pPr>
            <w:r>
              <w:rPr>
                <w:rFonts w:ascii="Arial" w:cs="Arial" w:eastAsia="Arial" w:hAnsi="Arial"/>
                <w:sz w:val="14"/>
                <w:szCs w:val="14"/>
                <w:b w:val="1"/>
                <w:bCs w:val="1"/>
                <w:color w:val="auto"/>
                <w:w w:val="96"/>
              </w:rPr>
              <w:t>Years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ended</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22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25"/>
        </w:trPr>
        <w:tc>
          <w:tcPr>
            <w:tcW w:w="4400" w:type="dxa"/>
            <w:vAlign w:val="bottom"/>
          </w:tcPr>
          <w:p>
            <w:pPr>
              <w:spacing w:after="0"/>
              <w:rPr>
                <w:sz w:val="10"/>
                <w:szCs w:val="10"/>
                <w:color w:val="auto"/>
              </w:rPr>
            </w:pPr>
          </w:p>
        </w:tc>
        <w:tc>
          <w:tcPr>
            <w:tcW w:w="13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December 31,</w:t>
            </w:r>
          </w:p>
        </w:tc>
        <w:tc>
          <w:tcPr>
            <w:tcW w:w="1320" w:type="dxa"/>
            <w:vAlign w:val="bottom"/>
            <w:tcBorders>
              <w:top w:val="single" w:sz="8" w:color="auto"/>
            </w:tcBorders>
            <w:gridSpan w:val="3"/>
          </w:tcPr>
          <w:p>
            <w:pPr>
              <w:ind w:left="20"/>
              <w:spacing w:after="0" w:line="125" w:lineRule="exact"/>
              <w:rPr>
                <w:sz w:val="20"/>
                <w:szCs w:val="20"/>
                <w:color w:val="auto"/>
              </w:rPr>
            </w:pPr>
            <w:r>
              <w:rPr>
                <w:rFonts w:ascii="Arial" w:cs="Arial" w:eastAsia="Arial" w:hAnsi="Arial"/>
                <w:sz w:val="14"/>
                <w:szCs w:val="14"/>
                <w:b w:val="1"/>
                <w:bCs w:val="1"/>
                <w:color w:val="auto"/>
              </w:rPr>
              <w:t>September 30,</w:t>
            </w:r>
          </w:p>
        </w:tc>
        <w:tc>
          <w:tcPr>
            <w:tcW w:w="680" w:type="dxa"/>
            <w:vAlign w:val="bottom"/>
            <w:tcBorders>
              <w:top w:val="single" w:sz="8" w:color="auto"/>
            </w:tcBorders>
            <w:gridSpan w:val="2"/>
          </w:tcPr>
          <w:p>
            <w:pPr>
              <w:ind w:left="20"/>
              <w:spacing w:after="0" w:line="125" w:lineRule="exact"/>
              <w:rPr>
                <w:sz w:val="20"/>
                <w:szCs w:val="20"/>
                <w:color w:val="auto"/>
              </w:rPr>
            </w:pPr>
            <w:r>
              <w:rPr>
                <w:rFonts w:ascii="Arial" w:cs="Arial" w:eastAsia="Arial" w:hAnsi="Arial"/>
                <w:sz w:val="14"/>
                <w:szCs w:val="14"/>
                <w:b w:val="1"/>
                <w:bCs w:val="1"/>
                <w:color w:val="auto"/>
                <w:w w:val="92"/>
              </w:rPr>
              <w:t>October 1,</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2007</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5"/>
              </w:rPr>
              <w:t>(Audited)</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3"/>
          </w:tcPr>
          <w:p>
            <w:pPr>
              <w:jc w:val="center"/>
              <w:ind w:left="392"/>
              <w:spacing w:after="0" w:line="125" w:lineRule="exact"/>
              <w:rPr>
                <w:sz w:val="20"/>
                <w:szCs w:val="20"/>
                <w:color w:val="auto"/>
              </w:rPr>
            </w:pPr>
            <w:r>
              <w:rPr>
                <w:rFonts w:ascii="Arial" w:cs="Arial" w:eastAsia="Arial" w:hAnsi="Arial"/>
                <w:sz w:val="14"/>
                <w:szCs w:val="14"/>
                <w:b w:val="1"/>
                <w:bCs w:val="1"/>
                <w:color w:val="auto"/>
                <w:w w:val="95"/>
              </w:rPr>
              <w:t>(Unaudited)</w:t>
            </w: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jc w:val="center"/>
              <w:ind w:left="292"/>
              <w:spacing w:after="0" w:line="125"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rPr>
              <w:t>(in millions, except per common unit / share data)</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(132.2)</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(203.9)</w:t>
            </w:r>
          </w:p>
        </w:tc>
        <w:tc>
          <w:tcPr>
            <w:tcW w:w="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(144.4)</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(176.8)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78"/>
              <w:spacing w:after="0" w:line="149" w:lineRule="exact"/>
              <w:rPr>
                <w:sz w:val="20"/>
                <w:szCs w:val="20"/>
                <w:color w:val="auto"/>
              </w:rPr>
            </w:pPr>
            <w:r>
              <w:rPr>
                <w:rFonts w:ascii="Arial" w:cs="Arial" w:eastAsia="Arial" w:hAnsi="Arial"/>
                <w:sz w:val="14"/>
                <w:szCs w:val="14"/>
                <w:color w:val="auto"/>
              </w:rPr>
              <w:t>(220.1)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Income tax expenses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2"/>
                <w:szCs w:val="12"/>
                <w:color w:val="auto"/>
              </w:rPr>
            </w:pPr>
          </w:p>
        </w:tc>
        <w:tc>
          <w:tcPr>
            <w:tcW w:w="880" w:type="dxa"/>
            <w:vAlign w:val="bottom"/>
            <w:gridSpan w:val="2"/>
          </w:tcPr>
          <w:p>
            <w:pPr>
              <w:jc w:val="right"/>
              <w:ind w:right="338"/>
              <w:spacing w:after="0" w:line="149" w:lineRule="exact"/>
              <w:rPr>
                <w:sz w:val="20"/>
                <w:szCs w:val="20"/>
                <w:color w:val="auto"/>
              </w:rPr>
            </w:pPr>
            <w:r>
              <w:rPr>
                <w:rFonts w:ascii="Arial" w:cs="Arial" w:eastAsia="Arial" w:hAnsi="Arial"/>
                <w:sz w:val="14"/>
                <w:szCs w:val="14"/>
                <w:color w:val="auto"/>
              </w:rPr>
              <w:t>9.3</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(138.9)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(213.1)</w:t>
            </w:r>
          </w:p>
        </w:tc>
        <w:tc>
          <w:tcPr>
            <w:tcW w:w="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(151.1)</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(183.7)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78"/>
              <w:spacing w:after="0" w:line="149" w:lineRule="exact"/>
              <w:rPr>
                <w:sz w:val="20"/>
                <w:szCs w:val="20"/>
                <w:color w:val="auto"/>
              </w:rPr>
            </w:pPr>
            <w:r>
              <w:rPr>
                <w:rFonts w:ascii="Arial" w:cs="Arial" w:eastAsia="Arial" w:hAnsi="Arial"/>
                <w:sz w:val="14"/>
                <w:szCs w:val="14"/>
                <w:color w:val="auto"/>
              </w:rPr>
              <w:t>(229.3)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tcPr>
          <w:p>
            <w:pPr>
              <w:spacing w:after="0" w:line="155" w:lineRule="exact"/>
              <w:rPr>
                <w:sz w:val="20"/>
                <w:szCs w:val="20"/>
                <w:color w:val="auto"/>
              </w:rPr>
            </w:pPr>
            <w:r>
              <w:rPr>
                <w:rFonts w:ascii="Arial" w:cs="Arial" w:eastAsia="Arial" w:hAnsi="Arial"/>
                <w:sz w:val="14"/>
                <w:szCs w:val="14"/>
                <w:color w:val="auto"/>
              </w:rPr>
              <w:t>Dividends accrued on preferred shares</w:t>
            </w:r>
          </w:p>
        </w:tc>
        <w:tc>
          <w:tcPr>
            <w:tcW w:w="180" w:type="dxa"/>
            <w:vAlign w:val="bottom"/>
          </w:tcPr>
          <w:p>
            <w:pPr>
              <w:spacing w:after="0"/>
              <w:rPr>
                <w:sz w:val="13"/>
                <w:szCs w:val="13"/>
                <w:color w:val="auto"/>
              </w:rPr>
            </w:pPr>
          </w:p>
        </w:tc>
        <w:tc>
          <w:tcPr>
            <w:tcW w:w="76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8.9</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3"/>
                <w:szCs w:val="13"/>
                <w:color w:val="auto"/>
              </w:rPr>
            </w:pPr>
          </w:p>
        </w:tc>
        <w:tc>
          <w:tcPr>
            <w:tcW w:w="880" w:type="dxa"/>
            <w:vAlign w:val="bottom"/>
            <w:gridSpan w:val="2"/>
          </w:tcPr>
          <w:p>
            <w:pPr>
              <w:jc w:val="right"/>
              <w:ind w:right="338"/>
              <w:spacing w:after="0" w:line="155" w:lineRule="exact"/>
              <w:rPr>
                <w:sz w:val="20"/>
                <w:szCs w:val="20"/>
                <w:color w:val="auto"/>
              </w:rPr>
            </w:pPr>
            <w:r>
              <w:rPr>
                <w:rFonts w:ascii="Arial" w:cs="Arial" w:eastAsia="Arial" w:hAnsi="Arial"/>
                <w:sz w:val="14"/>
                <w:szCs w:val="14"/>
                <w:color w:val="auto"/>
              </w:rPr>
              <w:t>10.9</w:t>
            </w:r>
          </w:p>
        </w:tc>
        <w:tc>
          <w:tcPr>
            <w:tcW w:w="120" w:type="dxa"/>
            <w:vAlign w:val="bottom"/>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unit / shares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(138.9)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(213.1)</w:t>
            </w:r>
          </w:p>
        </w:tc>
        <w:tc>
          <w:tcPr>
            <w:tcW w:w="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(159.9)</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(191.7)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78"/>
              <w:spacing w:after="0" w:line="149" w:lineRule="exact"/>
              <w:rPr>
                <w:sz w:val="20"/>
                <w:szCs w:val="20"/>
                <w:color w:val="auto"/>
              </w:rPr>
            </w:pPr>
            <w:r>
              <w:rPr>
                <w:rFonts w:ascii="Arial" w:cs="Arial" w:eastAsia="Arial" w:hAnsi="Arial"/>
                <w:sz w:val="14"/>
                <w:szCs w:val="14"/>
                <w:color w:val="auto"/>
              </w:rPr>
              <w:t>(240.2)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4"/>
                <w:szCs w:val="14"/>
                <w:color w:val="auto"/>
              </w:rPr>
              <w:t>Per unit / share data:</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common unit / share:</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(3.03)</w:t>
            </w:r>
          </w:p>
        </w:tc>
        <w:tc>
          <w:tcPr>
            <w:tcW w:w="1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78"/>
              <w:spacing w:after="0" w:line="149" w:lineRule="exact"/>
              <w:rPr>
                <w:sz w:val="20"/>
                <w:szCs w:val="20"/>
                <w:color w:val="auto"/>
              </w:rPr>
            </w:pPr>
            <w:r>
              <w:rPr>
                <w:rFonts w:ascii="Arial" w:cs="Arial" w:eastAsia="Arial" w:hAnsi="Arial"/>
                <w:sz w:val="14"/>
                <w:szCs w:val="14"/>
                <w:color w:val="auto"/>
              </w:rPr>
              <w:t>(4.54)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Weighted-average units / shares used in computing net income</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per common unit / share:</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52.769</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52.975</w:t>
            </w:r>
          </w:p>
        </w:tc>
        <w:tc>
          <w:tcPr>
            <w:tcW w:w="120" w:type="dxa"/>
            <w:vAlign w:val="bottom"/>
          </w:tcPr>
          <w:p>
            <w:pPr>
              <w:spacing w:after="0"/>
              <w:rPr>
                <w:sz w:val="12"/>
                <w:szCs w:val="12"/>
                <w:color w:val="auto"/>
              </w:rPr>
            </w:pPr>
          </w:p>
        </w:tc>
        <w:tc>
          <w:tcPr>
            <w:tcW w:w="880" w:type="dxa"/>
            <w:vAlign w:val="bottom"/>
            <w:gridSpan w:val="2"/>
          </w:tcPr>
          <w:p>
            <w:pPr>
              <w:jc w:val="right"/>
              <w:ind w:right="338"/>
              <w:spacing w:after="0" w:line="149" w:lineRule="exact"/>
              <w:rPr>
                <w:sz w:val="20"/>
                <w:szCs w:val="20"/>
                <w:color w:val="auto"/>
              </w:rPr>
            </w:pPr>
            <w:r>
              <w:rPr>
                <w:rFonts w:ascii="Arial" w:cs="Arial" w:eastAsia="Arial" w:hAnsi="Arial"/>
                <w:sz w:val="14"/>
                <w:szCs w:val="14"/>
                <w:color w:val="auto"/>
              </w:rPr>
              <w:t>52.912</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52.898</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 (at period end):</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61.9</w:t>
            </w:r>
          </w:p>
        </w:tc>
        <w:tc>
          <w:tcPr>
            <w:tcW w:w="1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107.5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38"/>
              <w:spacing w:after="0" w:line="149" w:lineRule="exact"/>
              <w:rPr>
                <w:sz w:val="20"/>
                <w:szCs w:val="20"/>
                <w:color w:val="auto"/>
              </w:rPr>
            </w:pPr>
            <w:r>
              <w:rPr>
                <w:rFonts w:ascii="Arial" w:cs="Arial" w:eastAsia="Arial" w:hAnsi="Arial"/>
                <w:sz w:val="14"/>
                <w:szCs w:val="14"/>
                <w:color w:val="auto"/>
              </w:rPr>
              <w:t>89.2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742.3</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821.5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8"/>
              <w:spacing w:after="0" w:line="149" w:lineRule="exact"/>
              <w:rPr>
                <w:sz w:val="20"/>
                <w:szCs w:val="20"/>
                <w:color w:val="auto"/>
              </w:rPr>
            </w:pPr>
            <w:r>
              <w:rPr>
                <w:rFonts w:ascii="Arial" w:cs="Arial" w:eastAsia="Arial" w:hAnsi="Arial"/>
                <w:sz w:val="14"/>
                <w:szCs w:val="14"/>
                <w:color w:val="auto"/>
              </w:rPr>
              <w:t>770.1</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1,040.6</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3"/>
                <w:szCs w:val="13"/>
                <w:color w:val="auto"/>
              </w:rPr>
              <w:t>Total indebtedness</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600.6</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800.6</w:t>
            </w:r>
          </w:p>
        </w:tc>
        <w:tc>
          <w:tcPr>
            <w:tcW w:w="14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750.0</w:t>
            </w:r>
          </w:p>
        </w:tc>
        <w:tc>
          <w:tcPr>
            <w:tcW w:w="120" w:type="dxa"/>
            <w:vAlign w:val="bottom"/>
          </w:tcPr>
          <w:p>
            <w:pPr>
              <w:spacing w:after="0"/>
              <w:rPr>
                <w:sz w:val="16"/>
                <w:szCs w:val="16"/>
                <w:color w:val="auto"/>
              </w:rPr>
            </w:pPr>
          </w:p>
        </w:tc>
        <w:tc>
          <w:tcPr>
            <w:tcW w:w="880" w:type="dxa"/>
            <w:vAlign w:val="bottom"/>
            <w:gridSpan w:val="2"/>
          </w:tcPr>
          <w:p>
            <w:pPr>
              <w:jc w:val="right"/>
              <w:ind w:right="338"/>
              <w:spacing w:after="0"/>
              <w:rPr>
                <w:sz w:val="20"/>
                <w:szCs w:val="20"/>
                <w:color w:val="auto"/>
              </w:rPr>
            </w:pPr>
            <w:r>
              <w:rPr>
                <w:rFonts w:ascii="Arial" w:cs="Arial" w:eastAsia="Arial" w:hAnsi="Arial"/>
                <w:sz w:val="14"/>
                <w:szCs w:val="14"/>
                <w:color w:val="auto"/>
              </w:rPr>
              <w:t>750.0</w:t>
            </w:r>
          </w:p>
        </w:tc>
        <w:tc>
          <w:tcPr>
            <w:tcW w:w="12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units / stock</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126.2</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8"/>
              <w:spacing w:after="0" w:line="149" w:lineRule="exact"/>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Total unitholders’ / stockholders’ equity</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(452.2)</w:t>
            </w:r>
          </w:p>
        </w:tc>
        <w:tc>
          <w:tcPr>
            <w:tcW w:w="1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(235.1)</w:t>
            </w:r>
          </w:p>
        </w:tc>
        <w:tc>
          <w:tcPr>
            <w:tcW w:w="120" w:type="dxa"/>
            <w:vAlign w:val="bottom"/>
          </w:tcPr>
          <w:p>
            <w:pPr>
              <w:spacing w:after="0"/>
              <w:rPr>
                <w:sz w:val="12"/>
                <w:szCs w:val="12"/>
                <w:color w:val="auto"/>
              </w:rPr>
            </w:pPr>
          </w:p>
        </w:tc>
        <w:tc>
          <w:tcPr>
            <w:tcW w:w="880" w:type="dxa"/>
            <w:vAlign w:val="bottom"/>
            <w:gridSpan w:val="2"/>
          </w:tcPr>
          <w:p>
            <w:pPr>
              <w:jc w:val="right"/>
              <w:ind w:right="278"/>
              <w:spacing w:after="0" w:line="149" w:lineRule="exact"/>
              <w:rPr>
                <w:sz w:val="20"/>
                <w:szCs w:val="20"/>
                <w:color w:val="auto"/>
              </w:rPr>
            </w:pPr>
            <w:r>
              <w:rPr>
                <w:rFonts w:ascii="Arial" w:cs="Arial" w:eastAsia="Arial" w:hAnsi="Arial"/>
                <w:sz w:val="14"/>
                <w:szCs w:val="14"/>
                <w:color w:val="auto"/>
              </w:rPr>
              <w:t>(284.5)</w:t>
            </w: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Data:</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3"/>
                <w:szCs w:val="13"/>
                <w:color w:val="auto"/>
              </w:rPr>
              <w:t>EBITDA</w:t>
            </w:r>
            <w:r>
              <w:rPr>
                <w:rFonts w:ascii="Arial" w:cs="Arial" w:eastAsia="Arial" w:hAnsi="Arial"/>
                <w:sz w:val="21"/>
                <w:szCs w:val="21"/>
                <w:color w:val="auto"/>
                <w:vertAlign w:val="superscript"/>
              </w:rPr>
              <w:t>(3)</w:t>
            </w:r>
          </w:p>
        </w:tc>
        <w:tc>
          <w:tcPr>
            <w:tcW w:w="1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39.1</w:t>
            </w:r>
          </w:p>
        </w:tc>
        <w:tc>
          <w:tcPr>
            <w:tcW w:w="26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25.7</w:t>
            </w:r>
          </w:p>
        </w:tc>
        <w:tc>
          <w:tcPr>
            <w:tcW w:w="20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39.1</w:t>
            </w:r>
          </w:p>
        </w:tc>
        <w:tc>
          <w:tcPr>
            <w:tcW w:w="14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880" w:type="dxa"/>
            <w:vAlign w:val="bottom"/>
            <w:gridSpan w:val="2"/>
          </w:tcPr>
          <w:p>
            <w:pPr>
              <w:jc w:val="right"/>
              <w:ind w:right="33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138.8</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188.6</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138.8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145.5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8"/>
              <w:spacing w:after="0" w:line="149" w:lineRule="exact"/>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93"/>
        </w:trPr>
        <w:tc>
          <w:tcPr>
            <w:tcW w:w="4400" w:type="dxa"/>
            <w:vAlign w:val="bottom"/>
          </w:tcPr>
          <w:p>
            <w:pPr>
              <w:spacing w:after="0"/>
              <w:rPr>
                <w:sz w:val="20"/>
                <w:szCs w:val="20"/>
                <w:color w:val="auto"/>
              </w:rPr>
            </w:pPr>
            <w:r>
              <w:rPr>
                <w:rFonts w:ascii="Arial" w:cs="Arial" w:eastAsia="Arial" w:hAnsi="Arial"/>
                <w:sz w:val="14"/>
                <w:szCs w:val="14"/>
                <w:color w:val="auto"/>
              </w:rPr>
              <w:t>Capital expenditures</w:t>
            </w:r>
            <w:r>
              <w:rPr>
                <w:rFonts w:ascii="Arial" w:cs="Arial" w:eastAsia="Arial" w:hAnsi="Arial"/>
                <w:sz w:val="22"/>
                <w:szCs w:val="22"/>
                <w:color w:val="auto"/>
                <w:vertAlign w:val="superscript"/>
              </w:rPr>
              <w:t>(4)</w:t>
            </w:r>
          </w:p>
        </w:tc>
        <w:tc>
          <w:tcPr>
            <w:tcW w:w="18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64.9</w:t>
            </w:r>
          </w:p>
        </w:tc>
        <w:tc>
          <w:tcPr>
            <w:tcW w:w="2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41.4</w:t>
            </w:r>
          </w:p>
        </w:tc>
        <w:tc>
          <w:tcPr>
            <w:tcW w:w="20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64.9</w:t>
            </w:r>
          </w:p>
        </w:tc>
        <w:tc>
          <w:tcPr>
            <w:tcW w:w="14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4"/>
                <w:szCs w:val="24"/>
                <w:color w:val="auto"/>
              </w:rPr>
            </w:pPr>
          </w:p>
        </w:tc>
        <w:tc>
          <w:tcPr>
            <w:tcW w:w="880" w:type="dxa"/>
            <w:vAlign w:val="bottom"/>
            <w:gridSpan w:val="2"/>
          </w:tcPr>
          <w:p>
            <w:pPr>
              <w:jc w:val="right"/>
              <w:ind w:right="33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20" w:hanging="323"/>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Gives effect to the corporate reorganization, the closing of this offering and the sale of shares of our common stock in this offering at an assumed initial public offering price of</w:t>
      </w:r>
    </w:p>
    <w:p>
      <w:pPr>
        <w:ind w:left="520" w:right="240"/>
        <w:spacing w:after="0" w:line="221" w:lineRule="auto"/>
        <w:rPr>
          <w:rFonts w:ascii="Arial" w:cs="Arial" w:eastAsia="Arial" w:hAnsi="Arial"/>
          <w:sz w:val="14"/>
          <w:szCs w:val="14"/>
          <w:color w:val="auto"/>
        </w:rPr>
      </w:pPr>
      <w:r>
        <w:rPr>
          <w:rFonts w:ascii="Arial" w:cs="Arial" w:eastAsia="Arial" w:hAnsi="Arial"/>
          <w:sz w:val="14"/>
          <w:szCs w:val="14"/>
          <w:color w:val="auto"/>
        </w:rPr>
        <w:t>$ per share, which is the midpoint of the range set forth on the front cover of this prospectus, after deducting the underwriting discount and estimated offering expenses payable by us and after giving effect to the application of the net proceeds of the offering as described in this prospectus. For details regarding these pro forma adjustments, see the notes to the unaudited pro forma condensed consolidated financial information in “Unaudited Pro Forma Consolidated Financial Information.”</w:t>
      </w:r>
    </w:p>
    <w:p>
      <w:pPr>
        <w:ind w:left="520" w:hanging="323"/>
        <w:spacing w:after="0" w:line="221"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indebtedness is calculated as long and short-term borrowings, including the current portion of long-term borrowings.</w:t>
      </w:r>
    </w:p>
    <w:p>
      <w:pPr>
        <w:ind w:left="520" w:right="100" w:hanging="323"/>
        <w:spacing w:after="0" w:line="226"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(loss), as determined in accordance with accounting principles generally accepted in the United States of America, or GAAP. EBITDA is not a measure defined in accordance with GAAP. We believe that EBITDA is a standard performance measure commonly reported and widely used by analysts and investors in our industry.</w:t>
      </w:r>
    </w:p>
    <w:p>
      <w:pPr>
        <w:spacing w:after="0" w:line="68" w:lineRule="exact"/>
        <w:rPr>
          <w:rFonts w:ascii="Arial" w:cs="Arial" w:eastAsia="Arial" w:hAnsi="Arial"/>
          <w:sz w:val="14"/>
          <w:szCs w:val="14"/>
          <w:color w:val="auto"/>
        </w:rPr>
      </w:pPr>
    </w:p>
    <w:p>
      <w:pPr>
        <w:ind w:left="520" w:right="300"/>
        <w:spacing w:after="0" w:line="231" w:lineRule="auto"/>
        <w:rPr>
          <w:rFonts w:ascii="Arial" w:cs="Arial" w:eastAsia="Arial" w:hAnsi="Arial"/>
          <w:sz w:val="14"/>
          <w:szCs w:val="14"/>
          <w:color w:val="auto"/>
        </w:rPr>
      </w:pPr>
      <w:r>
        <w:rPr>
          <w:rFonts w:ascii="Arial" w:cs="Arial" w:eastAsia="Arial" w:hAnsi="Arial"/>
          <w:sz w:val="14"/>
          <w:szCs w:val="14"/>
          <w:color w:val="auto"/>
        </w:rPr>
        <w:t>However, the method of computation may or may not be comparable to other similarly titled measures of other companies. A reconciliation of net income (loss) to EBITDA is as follows:</w:t>
      </w:r>
    </w:p>
    <w:p>
      <w:pPr>
        <w:spacing w:after="0" w:line="52" w:lineRule="exact"/>
        <w:rPr>
          <w:sz w:val="20"/>
          <w:szCs w:val="20"/>
          <w:color w:val="auto"/>
        </w:rPr>
      </w:pPr>
    </w:p>
    <w:tbl>
      <w:tblPr>
        <w:tblLayout w:type="fixed"/>
        <w:tblInd w:w="10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Borders>
              <w:top w:val="single" w:sz="8" w:color="auto"/>
            </w:tcBorders>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Nine months</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Years ended</w:t>
            </w: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920" w:type="dxa"/>
            <w:vAlign w:val="bottom"/>
            <w:gridSpan w:val="4"/>
          </w:tcPr>
          <w:p>
            <w:pPr>
              <w:jc w:val="center"/>
              <w:ind w:left="412"/>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0"/>
                <w:szCs w:val="10"/>
                <w:color w:val="auto"/>
              </w:rPr>
            </w:pPr>
          </w:p>
        </w:tc>
        <w:tc>
          <w:tcPr>
            <w:tcW w:w="11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3"/>
          </w:tcPr>
          <w:p>
            <w:pPr>
              <w:ind w:left="140"/>
              <w:spacing w:after="0" w:line="125" w:lineRule="exact"/>
              <w:rPr>
                <w:sz w:val="20"/>
                <w:szCs w:val="20"/>
                <w:color w:val="auto"/>
              </w:rPr>
            </w:pPr>
            <w:r>
              <w:rPr>
                <w:rFonts w:ascii="Arial" w:cs="Arial" w:eastAsia="Arial" w:hAnsi="Arial"/>
                <w:sz w:val="14"/>
                <w:szCs w:val="14"/>
                <w:b w:val="1"/>
                <w:bCs w:val="1"/>
                <w:color w:val="auto"/>
                <w:w w:val="95"/>
              </w:rPr>
              <w:t>October 1,</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(138.9)</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(213.1)</w:t>
            </w:r>
          </w:p>
        </w:tc>
        <w:tc>
          <w:tcPr>
            <w:tcW w:w="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(151.1)</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(183.7)</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(229.3)</w:t>
            </w:r>
          </w:p>
        </w:tc>
        <w:tc>
          <w:tcPr>
            <w:tcW w:w="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(100.9)</w:t>
            </w: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138.8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145.5</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202.9</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Provision for income tax</w:t>
            </w:r>
          </w:p>
        </w:tc>
        <w:tc>
          <w:tcPr>
            <w:tcW w:w="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3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3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323"/>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Capital expenditures represent tangible and intangible asset acquisitions.</w:t>
      </w: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140" w:firstLine="571"/>
        <w:spacing w:after="0" w:line="241" w:lineRule="auto"/>
        <w:rPr>
          <w:sz w:val="20"/>
          <w:szCs w:val="20"/>
          <w:color w:val="auto"/>
        </w:rPr>
      </w:pPr>
      <w:r>
        <w:rPr>
          <w:rFonts w:ascii="Arial" w:cs="Arial" w:eastAsia="Arial" w:hAnsi="Arial"/>
          <w:sz w:val="18"/>
          <w:szCs w:val="18"/>
          <w:i w:val="1"/>
          <w:iCs w:val="1"/>
          <w:color w:val="auto"/>
        </w:rPr>
        <w:t>You should carefully consider the risk factors set forth below as well as the other information contained in this prospectus before investing in our common stock. Any of the following risks could materially and adversely affect our business, financial condition or results of operations. In such a case, the price of our common stock could decline and you could lose all or part of your investment. The risks described below are not the only risks facing us. Additional risks and uncertainties not currently known to us or those currently viewed by us to be immaterial may also materially and adversely affect our business, financial condition or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The cyclical nature of the semiconductor industry may limit our ability to maintain or increase net sales and operating results during industry downturns.</w:t>
      </w:r>
    </w:p>
    <w:p>
      <w:pPr>
        <w:spacing w:after="0" w:line="53" w:lineRule="exact"/>
        <w:rPr>
          <w:sz w:val="20"/>
          <w:szCs w:val="20"/>
          <w:color w:val="auto"/>
        </w:rPr>
      </w:pPr>
    </w:p>
    <w:p>
      <w:pPr>
        <w:ind w:right="180" w:firstLine="571"/>
        <w:spacing w:after="0" w:line="271" w:lineRule="auto"/>
        <w:rPr>
          <w:sz w:val="20"/>
          <w:szCs w:val="20"/>
          <w:color w:val="auto"/>
        </w:rPr>
      </w:pPr>
      <w:r>
        <w:rPr>
          <w:rFonts w:ascii="Arial" w:cs="Arial" w:eastAsia="Arial" w:hAnsi="Arial"/>
          <w:sz w:val="16"/>
          <w:szCs w:val="16"/>
          <w:color w:val="auto"/>
        </w:rPr>
        <w:t>The semiconductor industry is highly cyclical and periodically experiences significant economic downturns characterized by diminished product demand, resulting in production overcapacity and excess inventory in the markets we serve. A downturn can result in lower unit volumes and rapid erosion of average selling prices. The semiconductor industry has experienced significant downturns, often in connection with, or in anticipation of, maturing product cycles of both semiconductor companies’ and their customers’ products or a decline in general economic conditions. We have experienced these conditions in our business in the past and may experience renewed, and possibly more severe and prolonged, downturns in the future as a result of such cyclical changes. This may reduce our results of operations and the value of our business.</w:t>
      </w:r>
    </w:p>
    <w:p>
      <w:pPr>
        <w:spacing w:after="0" w:line="131" w:lineRule="exact"/>
        <w:rPr>
          <w:sz w:val="20"/>
          <w:szCs w:val="20"/>
          <w:color w:val="auto"/>
        </w:rPr>
      </w:pPr>
    </w:p>
    <w:p>
      <w:pPr>
        <w:ind w:right="260" w:firstLine="571"/>
        <w:spacing w:after="0" w:line="238"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We manufacture our products based on our estimates of customer demand, and if our estimates are incorrect our financial results could be negatively impacted.</w:t>
      </w:r>
    </w:p>
    <w:p>
      <w:pPr>
        <w:spacing w:after="0" w:line="53" w:lineRule="exact"/>
        <w:rPr>
          <w:sz w:val="20"/>
          <w:szCs w:val="20"/>
          <w:color w:val="auto"/>
        </w:rPr>
      </w:pPr>
    </w:p>
    <w:p>
      <w:pPr>
        <w:ind w:right="20" w:firstLine="571"/>
        <w:spacing w:after="0" w:line="26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reduce quantities or delay production.</w:t>
      </w:r>
    </w:p>
    <w:p>
      <w:pPr>
        <w:spacing w:after="0" w:line="99"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design wins, have affected and may continue to affect our results of operations adversely. These risks are exacerbated because many of our products are customized, which hampers our ability to sell excess inventory to the general market. In addition, while we do not obtain long-term purchase commitments, we generally agree to the pricing of a particular product for the entire lifecycle of the product, which can extend over a number of years. If we underestimate our costs when determining pricing, our margins and results of operations would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were to lose key customers or if customers cease to place orders for our high volume products or services, our financial results would be adversely affected. While we served more than 190 customers in the nine-month period ended September 30, 2007, net sales to our 10 largest customers represented approximately 61.6% of our net sales for the period. One customer represented greater than 10% of our net sales during the nine-month period ended September 30, 2007. Significant reductions in sales to any of these customers, the loss of major customers or a general curtailment in orders for our high volume products or services within a short period of time would adversely affect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5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4" w:lineRule="exact"/>
        <w:rPr>
          <w:sz w:val="20"/>
          <w:szCs w:val="20"/>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90" w:lineRule="exact"/>
        <w:rPr>
          <w:rFonts w:ascii="Arial" w:cs="Arial" w:eastAsia="Arial" w:hAnsi="Arial"/>
          <w:sz w:val="18"/>
          <w:szCs w:val="18"/>
          <w:color w:val="auto"/>
        </w:rPr>
      </w:pPr>
    </w:p>
    <w:p>
      <w:pPr>
        <w:ind w:left="820" w:right="580" w:hanging="245"/>
        <w:spacing w:after="0" w:line="23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accurately identify and respond to emerging technological trends and demand for product features and performance characteristics;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171" w:lineRule="exact"/>
        <w:rPr>
          <w:sz w:val="20"/>
          <w:szCs w:val="20"/>
          <w:color w:val="auto"/>
        </w:rPr>
      </w:pPr>
    </w:p>
    <w:p>
      <w:pPr>
        <w:jc w:val="both"/>
        <w:ind w:right="80"/>
        <w:spacing w:after="0" w:line="299"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6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The average selling prices of our semiconductor products have at times declined rapidly and will likely do so in the future, which could harm our revenue and gross profit.</w:t>
      </w:r>
    </w:p>
    <w:p>
      <w:pPr>
        <w:spacing w:after="0" w:line="53" w:lineRule="exact"/>
        <w:rPr>
          <w:sz w:val="20"/>
          <w:szCs w:val="20"/>
          <w:color w:val="auto"/>
        </w:rPr>
      </w:pPr>
    </w:p>
    <w:p>
      <w:pPr>
        <w:ind w:right="80" w:firstLine="571"/>
        <w:spacing w:after="0" w:line="275" w:lineRule="auto"/>
        <w:rPr>
          <w:sz w:val="20"/>
          <w:szCs w:val="20"/>
          <w:color w:val="auto"/>
        </w:rPr>
      </w:pPr>
      <w:r>
        <w:rPr>
          <w:rFonts w:ascii="Arial" w:cs="Arial" w:eastAsia="Arial" w:hAnsi="Arial"/>
          <w:sz w:val="16"/>
          <w:szCs w:val="16"/>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Changes in demand for consumer electronics, including digital televisions, notebook computers, flat panel displays and mobile phones, and products in our other end markets can impact our results of operations.</w:t>
      </w:r>
    </w:p>
    <w:p>
      <w:pPr>
        <w:spacing w:after="0" w:line="53"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Demand for our products will depend in part on the changes in demand for various consumer electronics products, including digital televisions, notebook computers, flat panel displays and mobile phones, and electronics products in our other end markets and on general economic growth.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2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If we fail to develop new products and process technologies or enhance our existing products and services in order to react to rapid technological change and market demands, our business will suffer.</w:t>
      </w:r>
    </w:p>
    <w:p>
      <w:pPr>
        <w:spacing w:after="0" w:line="53"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or to license or otherwise obtain essential intellectual property required by our customers.</w:t>
      </w:r>
    </w:p>
    <w:p>
      <w:pPr>
        <w:spacing w:after="0" w:line="155" w:lineRule="exact"/>
        <w:rPr>
          <w:sz w:val="20"/>
          <w:szCs w:val="20"/>
          <w:color w:val="auto"/>
        </w:rPr>
      </w:pPr>
    </w:p>
    <w:p>
      <w:pPr>
        <w:ind w:right="80" w:firstLine="571"/>
        <w:spacing w:after="0" w:line="271" w:lineRule="auto"/>
        <w:rPr>
          <w:sz w:val="20"/>
          <w:szCs w:val="20"/>
          <w:color w:val="auto"/>
        </w:rPr>
      </w:pPr>
      <w:r>
        <w:rPr>
          <w:rFonts w:ascii="Arial" w:cs="Arial" w:eastAsia="Arial" w:hAnsi="Arial"/>
          <w:sz w:val="16"/>
          <w:szCs w:val="16"/>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131" w:lineRule="exact"/>
        <w:rPr>
          <w:sz w:val="20"/>
          <w:szCs w:val="20"/>
          <w:color w:val="auto"/>
        </w:rPr>
      </w:pPr>
    </w:p>
    <w:p>
      <w:pPr>
        <w:ind w:right="1040" w:firstLine="571"/>
        <w:spacing w:after="0" w:line="239" w:lineRule="auto"/>
        <w:rPr>
          <w:sz w:val="20"/>
          <w:szCs w:val="20"/>
          <w:color w:val="auto"/>
        </w:rPr>
      </w:pPr>
      <w:r>
        <w:rPr>
          <w:rFonts w:ascii="Arial" w:cs="Arial" w:eastAsia="Arial" w:hAnsi="Arial"/>
          <w:sz w:val="18"/>
          <w:szCs w:val="18"/>
          <w:color w:val="auto"/>
        </w:rPr>
        <w:t>Customer and market requirements can change during the development process. There is a risk that these developments and enhancements will be late, fail to meet customer or market specifications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or not be competitive with products or services from our competitors that offer comparable or superior performance and functionality. For example, net sales generated in 2006 by our Imaging Solutions business decreased $102.8 million, or 63%, compared to net sales generated by that business in 2005. This decrease was primarily attributable to delays in transitioning to new megapixel products. We have begun marketing a new line of power management solutions that we intend to sell to our customers in 2008. Any new products, such as our new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2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If we fail to achieve design wins for our semiconductor products, we may lose the opportunity for sales to customers for a significant period of time and be unable to recoup our investments in our products.</w:t>
      </w:r>
    </w:p>
    <w:p>
      <w:pPr>
        <w:spacing w:after="0" w:line="53"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We expend considerable resources to achieve design wins for our semiconductor products, especially our new products and product enhancements.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lengthy and expensive design-to-mass production and manufacturing process development cycles.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55"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 their products, we may be unable to recoup our engineering resources commitment and our investment in process technology development, which would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numerous challenges relating to executing our growth strategy.</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As part of our growth strategy, we have begun marketing a new line of power management semiconductor products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loss of our key employees would materially adversely affect our business, and we may not be able to attract or retain the technical or management employees necessary to compete in our industry.</w:t>
      </w:r>
    </w:p>
    <w:p>
      <w:pPr>
        <w:spacing w:after="0" w:line="53" w:lineRule="exact"/>
        <w:rPr>
          <w:sz w:val="20"/>
          <w:szCs w:val="20"/>
          <w:color w:val="auto"/>
        </w:rPr>
      </w:pPr>
    </w:p>
    <w:p>
      <w:pPr>
        <w:ind w:right="180" w:firstLine="571"/>
        <w:spacing w:after="0" w:line="270" w:lineRule="auto"/>
        <w:rPr>
          <w:sz w:val="20"/>
          <w:szCs w:val="20"/>
          <w:color w:val="auto"/>
        </w:rPr>
      </w:pPr>
      <w:r>
        <w:rPr>
          <w:rFonts w:ascii="Arial" w:cs="Arial" w:eastAsia="Arial" w:hAnsi="Arial"/>
          <w:sz w:val="16"/>
          <w:szCs w:val="16"/>
          <w:color w:val="auto"/>
        </w:rPr>
        <w:t>Our key executives have substantial experience and have made significant contributions to our business, and our continued success is dependent upon the retention of our key management executives, including our Chief Executive Officer and Chairman, Sang Park, and our President and Chief Financial Officer, Robert Krakauer, as well as the services provided by our engineers and a number of other key managerial, marketing, planning, financial, technical and operations personnel. The loss of such key personnel would have a material adverse effect on our business. Growth in our business is dependent, to a large degree, on our ability to retain and attract such employees. In addition, we depend on our ability to attract and retain skilled technical and managerial personnel. We could lose the services of, or fail to recruit, skilled personnel. This could hinder our research and product development programs or otherwise have a material adverse effect on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may not become profitable in the future.</w:t>
      </w:r>
    </w:p>
    <w:p>
      <w:pPr>
        <w:spacing w:after="0" w:line="99" w:lineRule="exact"/>
        <w:rPr>
          <w:sz w:val="20"/>
          <w:szCs w:val="20"/>
          <w:color w:val="auto"/>
        </w:rPr>
      </w:pPr>
    </w:p>
    <w:p>
      <w:pPr>
        <w:ind w:right="60" w:firstLine="571"/>
        <w:spacing w:after="0" w:line="270" w:lineRule="auto"/>
        <w:rPr>
          <w:sz w:val="20"/>
          <w:szCs w:val="20"/>
          <w:color w:val="auto"/>
        </w:rPr>
      </w:pPr>
      <w:r>
        <w:rPr>
          <w:rFonts w:ascii="Arial" w:cs="Arial" w:eastAsia="Arial" w:hAnsi="Arial"/>
          <w:sz w:val="16"/>
          <w:szCs w:val="16"/>
          <w:color w:val="auto"/>
        </w:rPr>
        <w:t>Since we began operations as a separate entity in 2004, we have not generated a profit and have generated significant net losses. As of September 30, 2007, we had an accumulated deficit of approximately $531.8 million and negative stockholders’ equity. To become profitable, we will need to generate and sustain substantially higher revenue while maintaining or reducing expenses.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 If we become profitable, we may not be able to sustain or increase profitability on a quarterly or an annual basis.</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If we encounter future labor problems, we may fail to deliver our products and services in a timely manner, which could adversely affect our revenues and profitability.</w:t>
      </w:r>
    </w:p>
    <w:p>
      <w:pPr>
        <w:spacing w:after="0" w:line="53"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As of September 30, 2007, approximately 61%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we may not realize the anticipated benefits of those transactions.</w:t>
      </w:r>
    </w:p>
    <w:p>
      <w:pPr>
        <w:spacing w:after="0" w:line="5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senior secured credit facility and the indentures governing our senior secured notes and senior subordinated notes may restrict us from making acquisitions that we may otherwise wish to pursue.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manufacture of semiconductors requires precision, a highly regulated and sterile environment and specialized equipment. We may have difficulty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Yields below our target levels can negatively impact our gross profit and may cause us to eliminate underperforming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a number of independent subcontractors.</w:t>
      </w:r>
    </w:p>
    <w:p>
      <w:pPr>
        <w:spacing w:after="0" w:line="99" w:lineRule="exact"/>
        <w:rPr>
          <w:sz w:val="20"/>
          <w:szCs w:val="20"/>
          <w:color w:val="auto"/>
        </w:rPr>
      </w:pPr>
    </w:p>
    <w:p>
      <w:pPr>
        <w:ind w:firstLine="571"/>
        <w:spacing w:after="0" w:line="273" w:lineRule="auto"/>
        <w:rPr>
          <w:sz w:val="20"/>
          <w:szCs w:val="20"/>
          <w:color w:val="auto"/>
        </w:rPr>
      </w:pPr>
      <w:r>
        <w:rPr>
          <w:rFonts w:ascii="Arial" w:cs="Arial" w:eastAsia="Arial" w:hAnsi="Arial"/>
          <w:sz w:val="16"/>
          <w:szCs w:val="16"/>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and Southeast Asia. We rely on these subcontractors to package and test our devices with acceptable quality and yield levels.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9" w:lineRule="exact"/>
        <w:rPr>
          <w:sz w:val="20"/>
          <w:szCs w:val="20"/>
          <w:color w:val="auto"/>
        </w:rPr>
      </w:pPr>
    </w:p>
    <w:p>
      <w:pPr>
        <w:ind w:right="80" w:firstLine="571"/>
        <w:spacing w:after="0" w:line="273"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gasses, precious metals and electronic and mechanical components. We procure materials and electronic and mechanical components from international sources and original equipment manufacturers. From time to time in the past, the supply of polysilicon available for use in the manufacture of semiconductor products has been constrained, and we may confront similar constraints in the future. If we cannot obtain adequate materials in a timely manner or on favorable terms for the manufacture of our products, revenues and results of operations will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return and liability risks and the risk of negative publicity if our products fail.</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return and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216"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b w:val="1"/>
          <w:bCs w:val="1"/>
          <w:color w:val="auto"/>
        </w:rPr>
        <w:t>We could suffer adverse tax and other financial consequences as a result of changes in, or differences in the interpretation of, applicable tax laws.</w:t>
      </w:r>
    </w:p>
    <w:p>
      <w:pPr>
        <w:spacing w:after="0" w:line="53"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Our company organizational structure is based on assumptions about the various tax laws, including withholding tax, and other laws of applicable non-U.S. jurisdictions. In addition, our Korean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subsidiary, MagnaChip Semiconductor, Ltd., or MagnaChip Korea, was granted a limited tax holiday under Korean law in October 2004. This grant provides for certain tax exemptions for corporate taxes, withholding taxes, acquisition taxes, property and land use taxes and other taxes until December 31, 2008. In addition, we do not expect the income of our foreign subsidiaries to be subject to taxation in the United States by reason of the “Subpart F” regime. Our interpretations and conclusions regarding tax and other laws are not binding on any taxing authority and, if these assumptions and conclusions are incorrect, if our business were to be operated in a way that rendered us ineligible for tax exemptions or to become subject to incremental tax, or if the authorities were to change or modify the relevant laws, we could suffer adverse tax and other financial consequences or have the anticipated benefits of our organizational structure materially impaired.</w:t>
      </w: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5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United States.</w:t>
      </w:r>
    </w:p>
    <w:p>
      <w:pPr>
        <w:spacing w:after="0" w:line="155" w:lineRule="exact"/>
        <w:rPr>
          <w:sz w:val="20"/>
          <w:szCs w:val="20"/>
          <w:color w:val="auto"/>
        </w:rPr>
      </w:pPr>
    </w:p>
    <w:p>
      <w:pPr>
        <w:ind w:right="40" w:firstLine="571"/>
        <w:spacing w:after="0" w:line="271"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50" w:lineRule="exact"/>
        <w:rPr>
          <w:sz w:val="20"/>
          <w:szCs w:val="20"/>
          <w:color w:val="auto"/>
        </w:rPr>
      </w:pPr>
    </w:p>
    <w:p>
      <w:pPr>
        <w:ind w:left="820" w:right="240" w:hanging="245"/>
        <w:spacing w:after="0" w:line="23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indemnify customers or licensees for damages they may suffer if the products they purchase from us or the technology they license from us violate the intellectual property rights of others;</w:t>
      </w:r>
    </w:p>
    <w:p>
      <w:pPr>
        <w:spacing w:after="0" w:line="73" w:lineRule="exact"/>
        <w:rPr>
          <w:rFonts w:ascii="Arial" w:cs="Arial" w:eastAsia="Arial" w:hAnsi="Arial"/>
          <w:sz w:val="18"/>
          <w:szCs w:val="18"/>
          <w:color w:val="auto"/>
        </w:rPr>
      </w:pPr>
    </w:p>
    <w:p>
      <w:pPr>
        <w:ind w:left="820" w:right="200" w:hanging="245"/>
        <w:spacing w:after="0" w:line="23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stop our manufacture, use, sale or importation of infringing products; expend significant resources to develop or acquire non-infringing technologies;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licenses to the intellectual property we are found to have infringed.</w:t>
      </w:r>
    </w:p>
    <w:p>
      <w:pPr>
        <w:spacing w:after="0" w:line="171"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the Original Acquisition expired on October 1, 2007. Under that arrangement, Hynix retained a perpetual license to use the intellectual property that we acquired from Hynix in the Original Acquisition. Now that these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noncompetition restrictions have expired, Hynix and its subsidiaries are free to develop products that may incorporate or embody intellectual property developed by us prior to October 2004.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9" w:lineRule="exact"/>
        <w:rPr>
          <w:sz w:val="20"/>
          <w:szCs w:val="20"/>
          <w:color w:val="auto"/>
        </w:rPr>
      </w:pPr>
    </w:p>
    <w:p>
      <w:pPr>
        <w:jc w:val="both"/>
        <w:ind w:right="160" w:firstLine="571"/>
        <w:spacing w:after="0" w:line="264"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such capital may not be available on acceptable terms or at all.</w:t>
      </w:r>
    </w:p>
    <w:p>
      <w:pPr>
        <w:spacing w:after="0" w:line="99"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We may require more capital in the future from equity or debt financings to fund our operations,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including the shares of common stock sold in this offering. In addition, additional capital may not be available when needed or, if available, may not be available on favorable terms. In addition, our senior secured credit facility and the indentures governing our notes limit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 and service offerings and thus will not necessarily result in increases in revenues for us.</w:t>
      </w:r>
    </w:p>
    <w:p>
      <w:pPr>
        <w:spacing w:after="0" w:line="53" w:lineRule="exact"/>
        <w:rPr>
          <w:sz w:val="20"/>
          <w:szCs w:val="20"/>
          <w:color w:val="auto"/>
        </w:rPr>
      </w:pPr>
    </w:p>
    <w:p>
      <w:pPr>
        <w:ind w:right="100" w:firstLine="571"/>
        <w:spacing w:after="0" w:line="273" w:lineRule="auto"/>
        <w:rPr>
          <w:sz w:val="20"/>
          <w:szCs w:val="20"/>
          <w:color w:val="auto"/>
        </w:rPr>
      </w:pPr>
      <w:r>
        <w:rPr>
          <w:rFonts w:ascii="Arial" w:cs="Arial" w:eastAsia="Arial" w:hAnsi="Arial"/>
          <w:sz w:val="16"/>
          <w:szCs w:val="16"/>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offerings which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88"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3"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We rely on, and expect to continue to rely on, suppliers, subcontractors and operations located primarily in Asia. As a result, we face risks inherent in international operations, such as unexpected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which may occur, for example, an outbreak of military hostilities, would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net sales are primarily denominated in U.S. dollars, as well as various other currencies, including the Korean won, Japanese yen and euro. As a result, changes in the exchange rates of these currencies or any other applicable currencies to the U.S. dollar will affect the translated price of products and therefore operating margins and could result in exchange losses. Conversely, during the first nine months of 2007, more than 50% of our costs were denominated in Korean won and, to a lesser extent, in Japanese yen, U.S. dollars and euros. Therefore, changes in the exchange rates of these currencies or any other applicable currencies to the U.S. dollar will affect our cost of goods sold and operating margins and could result in exchange losses. As a result, a material decline in the U.S. dollar relative to the Korean won will result in an increase in our costs as a proportion of our net sales, thereby reducing our operating margins.</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We cannot fully predict the impact of future exchange rate fluctuations on our profitability. We have not engaged in exchange rate hedging since the Original Acquisition. From time to time, we may engage in exchange rate hedging activities in an effort to mitigate the impact of exchange rate fluctuations. However, there can be no assurance that any hedging technique we implement will be effective. If such hedging is not effective, we may experience reduced operating margins.</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Our level of indebtedness is substantial, and we may not be able to generate sufficient cash to service all of our indebtedness and may be forced to take other actions to satisfy our obligations under our indebtedness, which may not be successful.</w:t>
      </w:r>
    </w:p>
    <w:p>
      <w:pPr>
        <w:spacing w:after="0" w:line="53"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As of September 30, 2007 and after giving pro forma effect to this offering and the use of proceeds therefrom, our total indebtedness would have been approximately $600 million. See “Capitalization” for additional information. Our substantial debt could have important consequences, including:</w:t>
      </w:r>
    </w:p>
    <w:p>
      <w:pPr>
        <w:spacing w:after="0" w:line="73" w:lineRule="exact"/>
        <w:rPr>
          <w:sz w:val="20"/>
          <w:szCs w:val="20"/>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820" w:right="600" w:hanging="245"/>
        <w:spacing w:after="0" w:line="23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72" w:lineRule="exact"/>
        <w:rPr>
          <w:rFonts w:ascii="Arial" w:cs="Arial" w:eastAsia="Arial" w:hAnsi="Arial"/>
          <w:sz w:val="18"/>
          <w:szCs w:val="18"/>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some of our borrowings are at variable rates of interest;</w:t>
      </w:r>
    </w:p>
    <w:p>
      <w:pPr>
        <w:spacing w:after="0" w:line="90" w:lineRule="exact"/>
        <w:rPr>
          <w:rFonts w:ascii="Arial" w:cs="Arial" w:eastAsia="Arial" w:hAnsi="Arial"/>
          <w:sz w:val="18"/>
          <w:szCs w:val="18"/>
          <w:color w:val="auto"/>
        </w:rPr>
      </w:pPr>
    </w:p>
    <w:p>
      <w:pPr>
        <w:ind w:left="820" w:right="360" w:hanging="245"/>
        <w:spacing w:after="0" w:line="23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73" w:lineRule="exact"/>
        <w:rPr>
          <w:rFonts w:ascii="Arial" w:cs="Arial" w:eastAsia="Arial" w:hAnsi="Arial"/>
          <w:sz w:val="18"/>
          <w:szCs w:val="18"/>
          <w:color w:val="auto"/>
        </w:rPr>
      </w:pPr>
    </w:p>
    <w:p>
      <w:pPr>
        <w:ind w:left="820" w:right="300" w:hanging="245"/>
        <w:spacing w:after="0" w:line="23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55" w:lineRule="exact"/>
        <w:rPr>
          <w:sz w:val="20"/>
          <w:szCs w:val="20"/>
          <w:color w:val="auto"/>
        </w:rPr>
      </w:pPr>
    </w:p>
    <w:p>
      <w:pPr>
        <w:ind w:right="280" w:firstLine="571"/>
        <w:spacing w:after="0" w:line="238"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There can be no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assurance that we will maintain a level of cash flows from operating activities sufficient to permit us to pay the principal, premium, if any, and interest on our indebtedness.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credit agreement governing our senior secured credit facility and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 and if Hynix were to become insolvent, we could lose certain of our leases.</w:t>
      </w:r>
    </w:p>
    <w:p>
      <w:pPr>
        <w:spacing w:after="0" w:line="53" w:lineRule="exact"/>
        <w:rPr>
          <w:sz w:val="20"/>
          <w:szCs w:val="20"/>
          <w:color w:val="auto"/>
        </w:rPr>
      </w:pPr>
    </w:p>
    <w:p>
      <w:pPr>
        <w:ind w:right="180" w:firstLine="571"/>
        <w:spacing w:after="0" w:line="275" w:lineRule="auto"/>
        <w:rPr>
          <w:sz w:val="20"/>
          <w:szCs w:val="20"/>
          <w:color w:val="auto"/>
        </w:rPr>
      </w:pPr>
      <w:r>
        <w:rPr>
          <w:rFonts w:ascii="Arial" w:cs="Arial" w:eastAsia="Arial" w:hAnsi="Arial"/>
          <w:sz w:val="16"/>
          <w:szCs w:val="16"/>
          <w:color w:val="auto"/>
        </w:rPr>
        <w:t>Because we share certain facilities with Hynix, several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29" w:lineRule="exact"/>
        <w:rPr>
          <w:sz w:val="20"/>
          <w:szCs w:val="20"/>
          <w:color w:val="auto"/>
        </w:rPr>
      </w:pPr>
    </w:p>
    <w:p>
      <w:pPr>
        <w:ind w:right="520" w:firstLine="571"/>
        <w:spacing w:after="0" w:line="239"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9" w:lineRule="exact"/>
        <w:rPr>
          <w:sz w:val="20"/>
          <w:szCs w:val="20"/>
          <w:color w:val="auto"/>
        </w:rPr>
      </w:pPr>
    </w:p>
    <w:p>
      <w:pPr>
        <w:ind w:right="140" w:firstLine="571"/>
        <w:spacing w:after="0" w:line="235" w:lineRule="auto"/>
        <w:rPr>
          <w:sz w:val="20"/>
          <w:szCs w:val="20"/>
          <w:color w:val="auto"/>
        </w:rPr>
      </w:pPr>
      <w:r>
        <w:rPr>
          <w:rFonts w:ascii="Arial" w:cs="Arial" w:eastAsia="Arial" w:hAnsi="Arial"/>
          <w:sz w:val="18"/>
          <w:szCs w:val="18"/>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Beginning with our fiscal year ending December 31, 2008, our independent auditors will be required to attest to and report on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and could result in investigations or sanctions by the SEC, the New York Stock Exchange or other regulatory authorities or in stockholder litigation. Any of these factors ultimately could harm our business and could negatively impact the market price of our securities. Ineffective control over financial reporting could also cause investors to lose confidence in our reported financial information, which could adversely affect the trading price of our common stock.</w:t>
      </w:r>
    </w:p>
    <w:p>
      <w:pPr>
        <w:spacing w:after="0" w:line="161" w:lineRule="exact"/>
        <w:rPr>
          <w:sz w:val="20"/>
          <w:szCs w:val="20"/>
          <w:color w:val="auto"/>
        </w:rPr>
      </w:pPr>
    </w:p>
    <w:p>
      <w:pPr>
        <w:ind w:right="320" w:firstLine="571"/>
        <w:spacing w:after="0" w:line="238"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However, our management, including our Chief Executive Officer and Chief Financial Officer, does not expect that our disclosure controls and procedures will prevent all error and all fraud. A control system, no matter how well conceived and operated, can provide only reasonable,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1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We may need to incur impairment and other restructuring charges, which could materially affect our results of operations and financial conditions.</w:t>
      </w:r>
    </w:p>
    <w:p>
      <w:pPr>
        <w:spacing w:after="0" w:line="5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During industry downturns and for other reasons, we may need to record impairment or restructuring charges. From the Original Acquisition in October 2004 through September 30, 2007, we recognized aggregate restructuring and impairment charges of $142.6 million, which consisted of $136.5 million of impairment charges and $6.1 million of restructuring charges. In the future, we may need to record additional impairment charges or to further restructure our business and incur additional restructuring charges, any of which could have a material adverse effect on our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be volatile and you may lose all or a part of your investment.</w:t>
      </w:r>
    </w:p>
    <w:p>
      <w:pPr>
        <w:spacing w:after="0" w:line="99"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color w:val="auto"/>
        </w:rPr>
        <w:t>Prior to this offering, there has not been a public market for our common stock. Even though we anticipate that our shares will be quoted on the New York Stock Exchange, an active trading market for our common stock may not develop following this offering. You may not be able to sell your shares quickly or at the current market price if trading in our stock is not active. The initial public offering price for the shares will be determined by negotiations between the underwriters and us, and may not be indicative of prices that will prevail in the trading market.</w:t>
      </w:r>
    </w:p>
    <w:p>
      <w:pPr>
        <w:spacing w:after="0" w:line="12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In addition, the trading price of our common stock might be subject to wide fluctuations. Factors, some of which are beyond our control, that could affect the trading price of our common stock may include:</w:t>
      </w:r>
    </w:p>
    <w:p>
      <w:pPr>
        <w:spacing w:after="0" w:line="74" w:lineRule="exact"/>
        <w:rPr>
          <w:sz w:val="20"/>
          <w:szCs w:val="20"/>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subsequent sales of stock and other financings;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expiration of contractual lock-up agreements with our executive officers, directors and greater than 5%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by principal stockholders could adversely affect our other stockholders.</w:t>
      </w:r>
    </w:p>
    <w:p>
      <w:pPr>
        <w:spacing w:after="0" w:line="99" w:lineRule="exact"/>
        <w:rPr>
          <w:sz w:val="20"/>
          <w:szCs w:val="20"/>
          <w:color w:val="auto"/>
        </w:rPr>
      </w:pPr>
    </w:p>
    <w:p>
      <w:pPr>
        <w:ind w:right="60" w:firstLine="571"/>
        <w:spacing w:after="0" w:line="264" w:lineRule="auto"/>
        <w:rPr>
          <w:sz w:val="20"/>
          <w:szCs w:val="20"/>
          <w:color w:val="auto"/>
        </w:rPr>
      </w:pPr>
      <w:r>
        <w:rPr>
          <w:rFonts w:ascii="Arial" w:cs="Arial" w:eastAsia="Arial" w:hAnsi="Arial"/>
          <w:sz w:val="16"/>
          <w:szCs w:val="16"/>
          <w:color w:val="auto"/>
        </w:rPr>
        <w:t>Based upon the MagnaChip Semiconductor LLC units outstanding as of September 30, 2007, our executive officers, directors and greater than 5% unitholders collectively beneficially owned approximately 96% of the common units of MagnaChip Semiconductor LLC (excluding units issuable upon exercise of outstanding options) and 92% of the common units (including units issuable upon exercise of outstanding options). On a pro forma basis after giving effect to the corporate reorganization, this offering and the application of proceeds therefrom, our executive officers,</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directors and greater than 5% stockholders, collectively, would have owned approximately % of our common stock, assuming no exercise of the underwriters’ option to purchase additional shares. On the same pro forma basis, and assuming exercise of the underwriters’ option to purchase additional shares, our executive officers, directors and greater than 5% stockholders, collectively, would have owned approximately</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of our common stock.</w:t>
      </w:r>
    </w:p>
    <w:p>
      <w:pPr>
        <w:spacing w:after="0" w:line="158"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In addition, pursuant to the terms of an agreement among our sponsors and other stockholders, or the securityholders’ agreement, the sponsors, or their respective affiliates, have agreed to elect their respective designees to serve as members of our board of directors. Therefore such stockholders will have a continuing ability to control our board. Accordingly, these stockholders will continue to have significant influence over our affairs for the foreseeable future, including controlling the election of directors and significant corporate transactions, such as a merger or other sale of our company or our assets. In addition, under the “controlled company” exception to the independence requirements of the New York Stock Exchange, we will be exempt from the rules of the New York Stock Exchange that require that our board of directors be comprised of a majority of independent directors, that our compensation committee be comprised solely of independent directors and that our nominating and governance committee be comprised solely of independent directors. This concentrated control will limit the ability of other stockholders to influence corporate matters and, as a result, we may take actions that our non-sponsor stockholders do not view as beneficial. For example, this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sale of significant amounts of our common stock may negatively affect our stock price, even if our business is doing well.</w:t>
      </w:r>
    </w:p>
    <w:p>
      <w:pPr>
        <w:spacing w:after="0" w:line="99" w:lineRule="exact"/>
        <w:rPr>
          <w:sz w:val="20"/>
          <w:szCs w:val="20"/>
          <w:color w:val="auto"/>
        </w:rPr>
      </w:pPr>
    </w:p>
    <w:p>
      <w:pPr>
        <w:jc w:val="both"/>
        <w:ind w:right="120" w:firstLine="571"/>
        <w:spacing w:after="0" w:line="264" w:lineRule="auto"/>
        <w:rPr>
          <w:sz w:val="20"/>
          <w:szCs w:val="20"/>
          <w:color w:val="auto"/>
        </w:rPr>
      </w:pPr>
      <w:r>
        <w:rPr>
          <w:rFonts w:ascii="Arial" w:cs="Arial" w:eastAsia="Arial" w:hAnsi="Arial"/>
          <w:sz w:val="16"/>
          <w:szCs w:val="16"/>
          <w:color w:val="auto"/>
        </w:rPr>
        <w:t>Sales of substantial amounts of shares of our common stock in the public market, or the prospect of such sales, could adversely affect the market price of our common stock. Upon the closing of this offering, and based upon the MagnaChip Semiconductor LLC units outstanding as of September 30, 2007, and after giving pro forma effect to the corporate reorganization, we would have outstanding shares of common stock. More</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than % of the shares outstanding prior to this offering are subject to lock-up agreements under which the holders of such shares have agreed not to sell or otherwise dispose of any of their shares for a period of 180 days after the date of this prospectus without the prior written consent of Goldman, Sachs &amp; Co., UBS Securities LLC and Credit Suisse Securities (USA) LLC, other than any shares such holders may sell to the</w:t>
      </w:r>
    </w:p>
    <w:p>
      <w:pPr>
        <w:spacing w:after="0" w:line="2"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underwriters pursuant to the underwriters’ option to purchase up to additional shares of our common stock. After the 180-day period, based upon the MagnaChip Semiconductor LLC units outstanding as 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50"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September 30, 2007, 144(k) or Rule 701.</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shares held by current stockholders will be eligible for sale from time to time in the future under Rule 144, Rule</w:t>
      </w:r>
    </w:p>
    <w:p>
      <w:pPr>
        <w:spacing w:after="0" w:line="383" w:lineRule="exact"/>
        <w:rPr>
          <w:sz w:val="20"/>
          <w:szCs w:val="20"/>
          <w:color w:val="auto"/>
        </w:rPr>
      </w:pPr>
    </w:p>
    <w:p>
      <w:pPr>
        <w:sectPr>
          <w:pgSz w:w="11900" w:h="16838" w:orient="portrait"/>
          <w:cols w:equalWidth="0" w:num="2">
            <w:col w:w="1640" w:space="700"/>
            <w:col w:w="9080"/>
          </w:cols>
          <w:pgMar w:left="240" w:top="459" w:right="239" w:bottom="1440" w:gutter="0" w:footer="0" w:header="0"/>
          <w:type w:val="continuous"/>
        </w:sectPr>
      </w:pPr>
    </w:p>
    <w:p>
      <w:pPr>
        <w:ind w:right="140" w:firstLine="571"/>
        <w:spacing w:after="0" w:line="237" w:lineRule="auto"/>
        <w:rPr>
          <w:sz w:val="20"/>
          <w:szCs w:val="20"/>
          <w:color w:val="auto"/>
        </w:rPr>
      </w:pPr>
      <w:r>
        <w:rPr>
          <w:rFonts w:ascii="Arial" w:cs="Arial" w:eastAsia="Arial" w:hAnsi="Arial"/>
          <w:sz w:val="18"/>
          <w:szCs w:val="18"/>
          <w:color w:val="auto"/>
        </w:rPr>
        <w:t>Goldman, Sachs &amp; Co., UBS Securities LLC and Credit Suisse Securities (USA) LLC can together waive the restrictions of the lock-up agreements at an earlier time without prior notice or announcement and allow stockholders to sell their shares. As restrictions on resale end, the market price of our common stock could drop significantly if the holders of the restricted shares sell such restricted shares or are perceived by the market as intending to sell such restricted shares.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180-day lock-up period will be automatically extended if: (1) during the last 17 days of the 180-day restricted period we issue an earnings release or announce material news or a material event; or (2) prior to the expiration of the 180-day restricted period, we announce that we will release earnings results during the 15-day period following the last day of the 180-day period, in which case the lock-up restrictions will continue to apply until the expiration of the 18-day period beginning on the issuance of the earnings release or the announcement of the material news or material event.</w:t>
      </w:r>
    </w:p>
    <w:p>
      <w:pPr>
        <w:spacing w:after="0" w:line="2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Provisions in our charter documents, Delaware law and our securityholders’ agreement may make it difficult for a third party to acquire us and could depress the price of our common stock.</w:t>
      </w:r>
    </w:p>
    <w:p>
      <w:pPr>
        <w:spacing w:after="0" w:line="53"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Provisions in our amended and restated certificate of incorporation and bylaws may have the effect of delaying or preventing a change of control or changes in our management. These provisions include the following:</w:t>
      </w:r>
    </w:p>
    <w:p>
      <w:pPr>
        <w:spacing w:after="0" w:line="74" w:lineRule="exact"/>
        <w:rPr>
          <w:sz w:val="20"/>
          <w:szCs w:val="20"/>
          <w:color w:val="auto"/>
        </w:rPr>
      </w:pPr>
    </w:p>
    <w:p>
      <w:pPr>
        <w:ind w:left="820" w:right="260" w:hanging="245"/>
        <w:spacing w:after="0" w:line="23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preferred stock with such terms as the board of directors may determine;</w:t>
      </w:r>
    </w:p>
    <w:p>
      <w:pPr>
        <w:spacing w:after="0" w:line="60" w:lineRule="exact"/>
        <w:rPr>
          <w:rFonts w:ascii="Arial" w:cs="Arial" w:eastAsia="Arial" w:hAnsi="Arial"/>
          <w:sz w:val="18"/>
          <w:szCs w:val="18"/>
          <w:color w:val="auto"/>
        </w:rPr>
      </w:pPr>
    </w:p>
    <w:p>
      <w:pPr>
        <w:ind w:left="820" w:right="460" w:hanging="245"/>
        <w:spacing w:after="0" w:line="23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any person other than our board of directors or the chairman of our board of directors to call a special meeting of our stockholders;</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49" w:lineRule="exact"/>
        <w:rPr>
          <w:rFonts w:ascii="Arial" w:cs="Arial" w:eastAsia="Arial" w:hAnsi="Arial"/>
          <w:sz w:val="18"/>
          <w:szCs w:val="18"/>
          <w:color w:val="auto"/>
        </w:rPr>
      </w:pPr>
    </w:p>
    <w:p>
      <w:pPr>
        <w:ind w:left="820" w:right="580" w:hanging="245"/>
        <w:spacing w:after="0" w:line="27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amendments to the provisions of our bylaws relating to the advance notice requirements and the ability to call special stockholder meetings require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voting power of our stock; and</w:t>
      </w:r>
    </w:p>
    <w:p>
      <w:pPr>
        <w:spacing w:after="0" w:line="9" w:lineRule="exact"/>
        <w:rPr>
          <w:rFonts w:ascii="Arial" w:cs="Arial" w:eastAsia="Arial" w:hAnsi="Arial"/>
          <w:sz w:val="18"/>
          <w:szCs w:val="18"/>
          <w:color w:val="auto"/>
        </w:rPr>
      </w:pPr>
    </w:p>
    <w:p>
      <w:pPr>
        <w:ind w:left="820" w:right="320" w:hanging="245"/>
        <w:spacing w:after="0" w:line="23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sponsors or their respective affiliates to nominate, pursuant to the terms of our securityholders’ agreement, all of the members of our board, who must approve any change of control in our management.</w:t>
      </w:r>
    </w:p>
    <w:p>
      <w:pPr>
        <w:spacing w:after="0" w:line="155"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As a Delaware corporation, we are also subject to certain Delaware anti-takeover provisions. Under Delaware law, a corporation may not engage in a business combination with any holder of 15% or more of its capital stock unless the holder has held the stock for three years or the board of directors has approved the transaction. Our board of directors could rely on Delaware law to prevent or delay an acquisition of us, which could have the effect of reducing your ability to receive a premium on your common stock. However, we have elected not to be governed by Section 203 of the Delaware corporate law, which means that we have elected not to take advantage of this available anti-takeover protection related to transactions with interested stockholders.</w:t>
      </w:r>
    </w:p>
    <w:p>
      <w:pPr>
        <w:spacing w:after="0" w:line="215"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We may apply the proceeds of this offering to uses that do not improve our operating results or increase the value of your investment.</w:t>
      </w:r>
    </w:p>
    <w:p>
      <w:pPr>
        <w:spacing w:after="0" w:line="122" w:lineRule="exact"/>
        <w:rPr>
          <w:sz w:val="20"/>
          <w:szCs w:val="20"/>
          <w:color w:val="auto"/>
        </w:rPr>
      </w:pPr>
    </w:p>
    <w:p>
      <w:pPr>
        <w:ind w:right="580" w:firstLine="571"/>
        <w:spacing w:after="0" w:line="238" w:lineRule="auto"/>
        <w:rPr>
          <w:sz w:val="20"/>
          <w:szCs w:val="20"/>
          <w:color w:val="auto"/>
        </w:rPr>
      </w:pPr>
      <w:r>
        <w:rPr>
          <w:rFonts w:ascii="Arial" w:cs="Arial" w:eastAsia="Arial" w:hAnsi="Arial"/>
          <w:sz w:val="18"/>
          <w:szCs w:val="18"/>
          <w:color w:val="auto"/>
        </w:rPr>
        <w:t>We intend to use the net proceeds from this offering to repurchase our Series B preferred stock, to pay certain employee incentive payments payable upon the closing of this offering, to reduce our indebtedness, to pay certain expenses of this offering, including payments required in connection with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termination of our sponsors’ advisory agreements, and for general corporate purposes, including working capital and capital expenditures. We may also use a portion of the net proceeds to acquire or invest in companies and technologies that we believe will complement our business although we have no specific plans at this time to do so. However, we will have broad discretion in how we use the net proceeds of this offering. These proceeds could be applied in ways that do not improve our operating results or increase the value of your investment. Until the net proceeds are used, they may be placed in investments that do not produce income or that lose value.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incur immediate and substantial dilution and may experience further dilution.</w:t>
      </w:r>
    </w:p>
    <w:p>
      <w:pPr>
        <w:spacing w:after="0" w:line="99" w:lineRule="exact"/>
        <w:rPr>
          <w:sz w:val="20"/>
          <w:szCs w:val="20"/>
          <w:color w:val="auto"/>
        </w:rPr>
      </w:pPr>
    </w:p>
    <w:p>
      <w:pPr>
        <w:ind w:right="480" w:firstLine="571"/>
        <w:spacing w:after="0" w:line="264" w:lineRule="auto"/>
        <w:rPr>
          <w:sz w:val="20"/>
          <w:szCs w:val="20"/>
          <w:color w:val="auto"/>
        </w:rPr>
      </w:pPr>
      <w:r>
        <w:rPr>
          <w:rFonts w:ascii="Arial" w:cs="Arial" w:eastAsia="Arial" w:hAnsi="Arial"/>
          <w:sz w:val="16"/>
          <w:szCs w:val="16"/>
          <w:color w:val="auto"/>
        </w:rPr>
        <w:t>The initial public offering price of our common stock is substantially higher than $ , the net tangible book value per share of our common stock as of September 30, 2007, calculated on a pro forma basis for the corporate reorganization and this offering. Therefore, if you</w:t>
      </w:r>
    </w:p>
    <w:p>
      <w:pPr>
        <w:ind w:right="20"/>
        <w:spacing w:after="0" w:line="234" w:lineRule="auto"/>
        <w:rPr>
          <w:sz w:val="20"/>
          <w:szCs w:val="20"/>
          <w:color w:val="auto"/>
        </w:rPr>
      </w:pPr>
      <w:r>
        <w:rPr>
          <w:rFonts w:ascii="Arial" w:cs="Arial" w:eastAsia="Arial" w:hAnsi="Arial"/>
          <w:sz w:val="18"/>
          <w:szCs w:val="18"/>
          <w:color w:val="auto"/>
        </w:rPr>
        <w:t>purchase our common stock in this offering, you will incur an immediate dilution of $ in net tangible book value per share from the price you paid, based on the initial offering price of $ per share. The exercise of outstanding options to purchase shares of our common stock at a weighted average exercise price of $ per share (assuming a conversion ratio of between the common units of MagnaChip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Semiconductor LLC and our shares of common stock) will result in further dilution.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increased costs as a result of being a publicly listed company.</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Sarbanes-Oxley Act of 2002, as well as rules promulgated by the SEC and the New York Stock Exchange, require us to adopt corporate governance practices applicable to U.S. public companies. These rules and regulations will increase our legal and financial compliance costs and make certain compliance and reporting activities more time-consuming. We also expect it to be more difficult and more expensive for us to obtain and maintain director and officer liability insurance, which may cause us to accept reduced policy limits and reduced coverage or to incur substantially higher costs to obtain the same or similar coverage. As a result, it may be more difficult for us to attract and retain qualified persons to serve on our board of directors or as executive officers. We cannot predict or estimate the amount of additional costs we may incur, but these additional costs and demands on management time and attention may harm our business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w:t>
      </w:r>
    </w:p>
    <w:p>
      <w:pPr>
        <w:spacing w:after="0" w:line="99" w:lineRule="exact"/>
        <w:rPr>
          <w:sz w:val="20"/>
          <w:szCs w:val="20"/>
          <w:color w:val="auto"/>
        </w:rPr>
      </w:pPr>
    </w:p>
    <w:p>
      <w:pPr>
        <w:ind w:right="140" w:firstLine="571"/>
        <w:spacing w:after="0" w:line="273"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The payment of cash dividends on common stock is restricted under the terms of the agreements governing our indebtedness.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80"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In this prospectus, we rely on and refer to information regarding the semiconductor market from iSuppli Corporation, or iSuppli, Electronic Business, DisplaySearch and Gartner, Inc., or Gartner. Market data attributed to iSuppli is from “Application Market Forecast Tool—Worldwide—Q2 2007” and market data attributed to Electronic Business is from “2006 Electronics Business 300: Top Companies Ranked by Electronics Revenue.” Market data attributed to DisplaySearch is from “Quarterly Global TV Shipment and Forecast Report—June 30, 2006” and “Q2 ’07 Quarterly Small/Medium Shipment and Forecast Report—July 9, 2007.” Market data attributed to Gartner is from “Gartner Semiconductor Forecast Worldwide: Forecast Database—August 29, 2007.” Although we believe that this information is reliable, we cannot guarantee the accuracy and completeness of the information and have not independently verified it. As a result, the market and other similar data set forth herein, and estimates and beliefs based on such data, may not be reliable. We do not have any obligation to announce or otherwise make publicly available updates or revisions to these forecasts. In many cases, we have made statements in this prospectus regarding our industry and our position in the industry based on our experience in the industry and our own investigation of market conditions. There can be no assurance that any of these assumptions are accurate or that our assumptions correctly reflect our position in our industry.</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CAUTIONARY STATEMENT CONCERNING FORWARD-LOOKING STATEMENTS</w:t>
      </w:r>
    </w:p>
    <w:p>
      <w:pPr>
        <w:spacing w:after="0" w:line="180"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Information concerning us and this offering is subject to risks and uncertainties. Forward-looking statements give our current expectations and projections relating to our financial condition, results of operations, plans, objectives, future performance and business. These statements can be identified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that address activities, events or developments that we expect, believe or anticipate will or may occur in the future are forward-looking statements.</w:t>
      </w:r>
    </w:p>
    <w:p>
      <w:pPr>
        <w:spacing w:after="0" w:line="15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the “Risk Factors,” “Management’s Discussion and Analysis of Financial Condition and Results of Operations” and “Business” sections and elsewhere in this prospectus and listed below:</w:t>
      </w:r>
    </w:p>
    <w:p>
      <w:pPr>
        <w:spacing w:after="0" w:line="80" w:lineRule="exact"/>
        <w:rPr>
          <w:sz w:val="20"/>
          <w:szCs w:val="20"/>
          <w:color w:val="auto"/>
        </w:rPr>
      </w:pPr>
    </w:p>
    <w:p>
      <w:pPr>
        <w:ind w:left="820" w:right="260" w:hanging="245"/>
        <w:spacing w:after="0" w:line="23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cyclical nature of the semiconductor industry may limit our ability to maintain or increase net sales and profit levels during industry downturns;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demand is difficult to accurately forecast;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customers may cancel their orders, reduce quantities or delay production;</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portion of our sales comes from a relatively limited number of customers;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average selling prices of our products could decrease our profits;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in the consumer electronics and other end markets for our products is an important component in our success;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depend on successful technological advances for growth;</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attract or retain the technical or management employees necessary to remain competitive in our industry;</w:t>
      </w:r>
    </w:p>
    <w:p>
      <w:pPr>
        <w:spacing w:after="0" w:line="90"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encounter future labor problems, we may fail to deliver our products in a timely manner which could adversely affect our revenues and profitability;</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history of losses and may not become profitable in the future;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improvements and innovations we expect from our research and development efforts may not materialize;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our raw materials may increase materially.</w:t>
      </w:r>
    </w:p>
    <w:p>
      <w:pPr>
        <w:spacing w:after="0" w:line="17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All forward-looking statements speak only as of the date of this prospectus.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580"/>
        <w:spacing w:after="0"/>
        <w:tabs>
          <w:tab w:leader="none" w:pos="9980" w:val="left"/>
        </w:tabs>
        <w:rPr>
          <w:sz w:val="20"/>
          <w:szCs w:val="20"/>
          <w:color w:val="auto"/>
        </w:rPr>
      </w:pPr>
      <w:r>
        <w:rPr>
          <w:rFonts w:ascii="Arial" w:cs="Arial" w:eastAsia="Arial" w:hAnsi="Arial"/>
          <w:sz w:val="18"/>
          <w:szCs w:val="18"/>
          <w:color w:val="auto"/>
        </w:rPr>
        <w:t>We estimate that our net proceeds from the sale of the common stock that we are offering will be approximately $</w:t>
      </w:r>
      <w:r>
        <w:rPr>
          <w:sz w:val="20"/>
          <w:szCs w:val="20"/>
          <w:color w:val="auto"/>
        </w:rPr>
        <w:tab/>
      </w:r>
      <w:r>
        <w:rPr>
          <w:rFonts w:ascii="Arial" w:cs="Arial" w:eastAsia="Arial" w:hAnsi="Arial"/>
          <w:sz w:val="16"/>
          <w:szCs w:val="16"/>
          <w:color w:val="auto"/>
        </w:rPr>
        <w:t>million, after</w:t>
      </w:r>
    </w:p>
    <w:p>
      <w:pPr>
        <w:spacing w:after="0" w:line="234" w:lineRule="auto"/>
        <w:rPr>
          <w:sz w:val="20"/>
          <w:szCs w:val="20"/>
          <w:color w:val="auto"/>
        </w:rPr>
      </w:pPr>
      <w:r>
        <w:rPr>
          <w:rFonts w:ascii="Arial" w:cs="Arial" w:eastAsia="Arial" w:hAnsi="Arial"/>
          <w:sz w:val="18"/>
          <w:szCs w:val="18"/>
          <w:color w:val="auto"/>
        </w:rPr>
        <w:t>deducting the underwriting discount and the estimated expenses of this offering that we must pay (assuming an initial public offering price of</w:t>
      </w:r>
    </w:p>
    <w:p>
      <w:pPr>
        <w:spacing w:after="0" w:line="1" w:lineRule="exact"/>
        <w:rPr>
          <w:sz w:val="20"/>
          <w:szCs w:val="20"/>
          <w:color w:val="auto"/>
        </w:rPr>
      </w:pPr>
    </w:p>
    <w:p>
      <w:pPr>
        <w:ind w:firstLine="8"/>
        <w:spacing w:after="0" w:line="239" w:lineRule="auto"/>
        <w:tabs>
          <w:tab w:leader="none" w:pos="7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 share, the midpoint of the range set forth on the cover page of this prospectus). We will not receive any of the proceeds from the sale of our common stock by the selling stockholders, including some of our executive officers.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the net proceeds to us from this offering as follows:</w:t>
      </w:r>
    </w:p>
    <w:p>
      <w:pPr>
        <w:spacing w:after="0" w:line="77" w:lineRule="exact"/>
        <w:rPr>
          <w:sz w:val="20"/>
          <w:szCs w:val="20"/>
          <w:color w:val="auto"/>
        </w:rPr>
      </w:pPr>
    </w:p>
    <w:p>
      <w:pPr>
        <w:ind w:left="820" w:hanging="245"/>
        <w:spacing w:after="0" w:line="226"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approximately $200 million to repurchase a portion of our floating rate second priority senior secured notes due 2011, our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and/or our 8% senior subordinated notes due 2014 (collectively the “notes”) and/or to reduce amounts drawn under our senior secured credit facility;</w:t>
      </w:r>
    </w:p>
    <w:p>
      <w:pPr>
        <w:spacing w:after="0" w:line="63" w:lineRule="exact"/>
        <w:rPr>
          <w:sz w:val="20"/>
          <w:szCs w:val="20"/>
          <w:color w:val="auto"/>
        </w:rPr>
      </w:pPr>
    </w:p>
    <w:p>
      <w:pPr>
        <w:ind w:left="580"/>
        <w:spacing w:after="0"/>
        <w:tabs>
          <w:tab w:leader="none" w:pos="2680" w:val="left"/>
        </w:tabs>
        <w:rPr>
          <w:sz w:val="20"/>
          <w:szCs w:val="20"/>
          <w:color w:val="auto"/>
        </w:rPr>
      </w:pPr>
      <w:r>
        <w:rPr>
          <w:rFonts w:ascii="Arial" w:cs="Arial" w:eastAsia="Arial" w:hAnsi="Arial"/>
          <w:sz w:val="18"/>
          <w:szCs w:val="18"/>
          <w:color w:val="auto"/>
        </w:rPr>
        <w:t>Ÿ  approximately $</w:t>
      </w:r>
      <w:r>
        <w:rPr>
          <w:sz w:val="20"/>
          <w:szCs w:val="20"/>
          <w:color w:val="auto"/>
        </w:rPr>
        <w:tab/>
      </w:r>
      <w:r>
        <w:rPr>
          <w:rFonts w:ascii="Arial" w:cs="Arial" w:eastAsia="Arial" w:hAnsi="Arial"/>
          <w:sz w:val="16"/>
          <w:szCs w:val="16"/>
          <w:color w:val="auto"/>
        </w:rPr>
        <w:t>million to repurchase all of the outstanding shares of our Series B preferred stock;</w:t>
      </w:r>
    </w:p>
    <w:p>
      <w:pPr>
        <w:spacing w:after="0" w:line="102" w:lineRule="exact"/>
        <w:rPr>
          <w:sz w:val="20"/>
          <w:szCs w:val="20"/>
          <w:color w:val="auto"/>
        </w:rPr>
      </w:pPr>
    </w:p>
    <w:p>
      <w:pPr>
        <w:ind w:left="820" w:right="340" w:hanging="245"/>
        <w:spacing w:after="0" w:line="23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$30 million to pay incentive payments to all of our employees other than our senior vice presidents and those officers ranking above such senior vice presidents;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$9.75 million to pay certain amounts in connection with the termination of our sponsor advisory agreements;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   million to fund working capital and for general corporate purposes.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Pending such uses, we intend to invest the net proceeds of this offering in short-term, investment-grade, interest-bearing securities.</w:t>
      </w:r>
    </w:p>
    <w:p>
      <w:pPr>
        <w:spacing w:after="0" w:line="158"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If we raise more or fewer proceeds from this offering than anticipated, we expect to increase or reduce the amount that we use to reduce our indebtedness by a commensurate amount.</w:t>
      </w:r>
    </w:p>
    <w:p>
      <w:pPr>
        <w:spacing w:after="0" w:line="155" w:lineRule="exact"/>
        <w:rPr>
          <w:sz w:val="20"/>
          <w:szCs w:val="20"/>
          <w:color w:val="auto"/>
        </w:rPr>
      </w:pPr>
    </w:p>
    <w:p>
      <w:pPr>
        <w:ind w:right="40" w:firstLine="571"/>
        <w:spacing w:after="0" w:line="264" w:lineRule="auto"/>
        <w:rPr>
          <w:sz w:val="20"/>
          <w:szCs w:val="20"/>
          <w:color w:val="auto"/>
        </w:rPr>
      </w:pPr>
      <w:r>
        <w:rPr>
          <w:rFonts w:ascii="Arial" w:cs="Arial" w:eastAsia="Arial" w:hAnsi="Arial"/>
          <w:sz w:val="16"/>
          <w:szCs w:val="16"/>
          <w:color w:val="auto"/>
        </w:rPr>
        <w:t>At September 30, 2007, there were 93,997 of MagnaChip Semiconductor LLC’s Series B preferred units outstanding. Pursuant to the corporate reorganization, holders of these Series B preferred units who decide, prior to the time of the corporate reorganization, to sell us their Series B preferred stock (following the exchange of the Series B preferred units for Series B preferred stock pursuant to the corporate reorganization) will receive shares of our Series B preferred stock in exchange for such Series B preferred units at a ratio of 1:1. Holders of Series B preferred units who decide not to sell us their Series B preferred stock will receive shares of our common stock in exchange for such Series B</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preferred units at a ratio of . As of September 30, 2007, MagnaChip Semiconductor LLC’s Series B preferred units had a redemption value of approximately $126 million (which includes cumulative accrued and unpaid dividends thereon through September 30, 2007 at an annual rate of 10% percent per unit). Our sponsors and our executive officers hold over 90% of our Series B preferred units. See “Principal and Selling Stockholders.” We intend to repurchase all of our outstanding shares of Series B preferred stock using the proceeds from this offering. See “Description of Capital Stock—Series B Preferred Stock” for additional information.</w:t>
      </w:r>
    </w:p>
    <w:p>
      <w:pPr>
        <w:spacing w:after="0" w:line="157" w:lineRule="exact"/>
        <w:rPr>
          <w:sz w:val="20"/>
          <w:szCs w:val="20"/>
          <w:color w:val="auto"/>
        </w:rPr>
      </w:pPr>
    </w:p>
    <w:p>
      <w:pPr>
        <w:ind w:right="160" w:firstLine="571"/>
        <w:spacing w:after="0" w:line="235" w:lineRule="auto"/>
        <w:rPr>
          <w:sz w:val="20"/>
          <w:szCs w:val="20"/>
          <w:color w:val="auto"/>
        </w:rPr>
      </w:pPr>
      <w:r>
        <w:rPr>
          <w:rFonts w:ascii="Arial" w:cs="Arial" w:eastAsia="Arial" w:hAnsi="Arial"/>
          <w:sz w:val="18"/>
          <w:szCs w:val="18"/>
          <w:color w:val="auto"/>
        </w:rPr>
        <w:t xml:space="preserve">As of September 30, 2007, the outstanding indebtedness under our senior secured credit facility was $50.6 million, and the aggregate principal amounts outstanding under our floating rate second priority senior secured notes due 2011,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8% senior subordinated notes due 2014 were $300 million, $200 million and $250 million, respectively. As of September 30, 2007, the interest rate for all borrowings under the senior secured credit facility was either three-month LIBOR plus 4.75% per annum or a specified adjusted base rate, or ABR, plus 3.75% per annum, and the weighted average interest rate for all of our outstanding notes was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7.94% per annum. Our senior secured credit facility matures in December 2009, our senior secured notes mature in December 2011 and our senior subordinated notes mature in December 2014. Our senior secured credit facility contains certain customary covenants, including financial covenants such as the maintenance of an interest coverage ratio and a leverage ratio and certain levels of EBITDA and liquidity. In addition, the indentures governing the notes contain additional customary covenants, including those related to the incurrence of debt or liens, the payment of dividends, the issuance of certain types of preferred stock, asset sales and affiliate transactions. See “Description of Certain Indebtedness” for additional information. Affiliates of Goldman, Sachs &amp; Co., UBS Securities LLC and Citigroup Global Markets Inc., three of the representatives of the underwriters in this offering, are lenders under our existing senior secured credit facility and therefore will receive a portion of the net proceeds of this offering to the extent that we elect to use a portion of the proceeds thereof to reduce amounts drawn under such facility.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18"/>
          <w:szCs w:val="18"/>
          <w:color w:val="auto"/>
        </w:rPr>
        <w:t>We do not intend to pay any cash dividends on our common stock in the foreseeable future. We anticipate that we will retain all of our future earnings for use in the development of our business and for general corporate purposes. Any determination to pay dividends in the future will be at the discretion of our board of directors. The payment of cash dividends on common stock is restricted under the terms of our credit agreement and our indentures.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following information:</w:t>
      </w:r>
    </w:p>
    <w:p>
      <w:pPr>
        <w:spacing w:after="0" w:line="77" w:lineRule="exact"/>
        <w:rPr>
          <w:sz w:val="20"/>
          <w:szCs w:val="20"/>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actual cash and cash equivalents and capitalization of MagnaChip Semiconductor LLC as of September 30, 2007;</w:t>
      </w:r>
    </w:p>
    <w:p>
      <w:pPr>
        <w:spacing w:after="0" w:line="90" w:lineRule="exact"/>
        <w:rPr>
          <w:rFonts w:ascii="Arial" w:cs="Arial" w:eastAsia="Arial" w:hAnsi="Arial"/>
          <w:sz w:val="18"/>
          <w:szCs w:val="18"/>
          <w:color w:val="auto"/>
        </w:rPr>
      </w:pPr>
    </w:p>
    <w:p>
      <w:pPr>
        <w:ind w:left="820" w:right="80" w:hanging="245"/>
        <w:spacing w:after="0" w:line="239"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 forma cash and cash equivalents and capitalization as of September 30, 2007 after giving effect to the corporate reorganization; and</w:t>
      </w:r>
    </w:p>
    <w:p>
      <w:pPr>
        <w:spacing w:after="0" w:line="69"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 forma as adjusted cash and cash equivalents and capitalization as of September 30, 2007 after giving effect to the corporate</w:t>
      </w:r>
    </w:p>
    <w:p>
      <w:pPr>
        <w:ind w:left="820" w:right="20"/>
        <w:spacing w:after="0" w:line="238" w:lineRule="auto"/>
        <w:rPr>
          <w:sz w:val="20"/>
          <w:szCs w:val="20"/>
          <w:color w:val="auto"/>
        </w:rPr>
      </w:pPr>
      <w:r>
        <w:rPr>
          <w:rFonts w:ascii="Arial" w:cs="Arial" w:eastAsia="Arial" w:hAnsi="Arial"/>
          <w:sz w:val="18"/>
          <w:szCs w:val="18"/>
          <w:color w:val="auto"/>
        </w:rPr>
        <w:t>reorganization, the sale of shares of our common stock in this offering at an initial public offering price of $ per share (the midpoint of the range set forth on the front cover of this prospectus, after deducting the underwriting discount and estimated offering expenses payable by us) and the application of the related proceeds as described under “Use of Proceeds.”</w:t>
      </w:r>
    </w:p>
    <w:p>
      <w:pPr>
        <w:spacing w:after="0" w:line="154"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This table should be read together with “Use of Proceeds,” “Selected Historical Consolidated Financial and Operating Data of MagnaChip Semiconductor LLC,” “Unaudited Pro Forma Consolidated Financial Information,” “Management’s Discussion and Analysis of Financial Condition and Results of Operations” and our financial statements and related notes included elsewhere in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As of September 30, 2007</w:t>
            </w: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1"/>
                <w:szCs w:val="11"/>
                <w:color w:val="auto"/>
              </w:rPr>
            </w:pPr>
          </w:p>
        </w:tc>
      </w:tr>
      <w:tr>
        <w:trPr>
          <w:trHeight w:val="197"/>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Actual</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Pro Forma</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4"/>
                <w:szCs w:val="14"/>
                <w:b w:val="1"/>
                <w:bCs w:val="1"/>
                <w:color w:val="auto"/>
                <w:w w:val="90"/>
              </w:rPr>
              <w:t>As Adjusted</w:t>
            </w:r>
            <w:r>
              <w:rPr>
                <w:rFonts w:ascii="Arial" w:cs="Arial" w:eastAsia="Arial" w:hAnsi="Arial"/>
                <w:sz w:val="22"/>
                <w:szCs w:val="22"/>
                <w:b w:val="1"/>
                <w:bCs w:val="1"/>
                <w:color w:val="auto"/>
                <w:w w:val="90"/>
                <w:vertAlign w:val="superscript"/>
              </w:rPr>
              <w:t>(1)</w:t>
            </w:r>
          </w:p>
        </w:tc>
        <w:tc>
          <w:tcPr>
            <w:tcW w:w="20" w:type="dxa"/>
            <w:vAlign w:val="bottom"/>
          </w:tcPr>
          <w:p>
            <w:pPr>
              <w:spacing w:after="0"/>
              <w:rPr>
                <w:sz w:val="17"/>
                <w:szCs w:val="17"/>
                <w:color w:val="auto"/>
              </w:rPr>
            </w:pPr>
          </w:p>
        </w:tc>
      </w:tr>
      <w:tr>
        <w:trPr>
          <w:trHeight w:val="142"/>
        </w:trPr>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 except</w:t>
            </w:r>
          </w:p>
        </w:tc>
        <w:tc>
          <w:tcPr>
            <w:tcW w:w="1600" w:type="dxa"/>
            <w:vAlign w:val="bottom"/>
            <w:gridSpan w:val="3"/>
          </w:tcPr>
          <w:p>
            <w:pPr>
              <w:jc w:val="right"/>
              <w:ind w:right="718"/>
              <w:spacing w:after="0" w:line="142" w:lineRule="exact"/>
              <w:rPr>
                <w:sz w:val="20"/>
                <w:szCs w:val="20"/>
                <w:color w:val="auto"/>
              </w:rPr>
            </w:pPr>
            <w:r>
              <w:rPr>
                <w:rFonts w:ascii="Arial" w:cs="Arial" w:eastAsia="Arial" w:hAnsi="Arial"/>
                <w:sz w:val="14"/>
                <w:szCs w:val="14"/>
                <w:b w:val="1"/>
                <w:bCs w:val="1"/>
                <w:color w:val="auto"/>
              </w:rPr>
              <w:t>share data)</w:t>
            </w:r>
          </w:p>
        </w:tc>
        <w:tc>
          <w:tcPr>
            <w:tcW w:w="20" w:type="dxa"/>
            <w:vAlign w:val="bottom"/>
          </w:tcPr>
          <w:p>
            <w:pPr>
              <w:spacing w:after="0"/>
              <w:rPr>
                <w:sz w:val="12"/>
                <w:szCs w:val="12"/>
                <w:color w:val="auto"/>
              </w:rPr>
            </w:pP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44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3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6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7840" w:type="dxa"/>
            <w:vAlign w:val="bottom"/>
            <w:gridSpan w:val="4"/>
          </w:tcPr>
          <w:p>
            <w:pPr>
              <w:spacing w:after="0" w:line="196" w:lineRule="exact"/>
              <w:rPr>
                <w:sz w:val="20"/>
                <w:szCs w:val="20"/>
                <w:color w:val="auto"/>
              </w:rPr>
            </w:pPr>
            <w:r>
              <w:rPr>
                <w:rFonts w:ascii="Arial" w:cs="Arial" w:eastAsia="Arial" w:hAnsi="Arial"/>
                <w:sz w:val="18"/>
                <w:szCs w:val="18"/>
                <w:color w:val="auto"/>
              </w:rPr>
              <w:t>Total indebtedness (including current portion of senior secured credit facility)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800.6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800.6</w:t>
            </w:r>
          </w:p>
        </w:tc>
        <w:tc>
          <w:tcPr>
            <w:tcW w:w="640" w:type="dxa"/>
            <w:vAlign w:val="bottom"/>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600.6</w:t>
            </w:r>
          </w:p>
        </w:tc>
        <w:tc>
          <w:tcPr>
            <w:tcW w:w="20" w:type="dxa"/>
            <w:vAlign w:val="bottom"/>
          </w:tcPr>
          <w:p>
            <w:pPr>
              <w:spacing w:after="0"/>
              <w:rPr>
                <w:sz w:val="17"/>
                <w:szCs w:val="17"/>
                <w:color w:val="auto"/>
              </w:rPr>
            </w:pPr>
          </w:p>
        </w:tc>
      </w:tr>
      <w:tr>
        <w:trPr>
          <w:trHeight w:val="206"/>
        </w:trPr>
        <w:tc>
          <w:tcPr>
            <w:tcW w:w="7840" w:type="dxa"/>
            <w:vAlign w:val="bottom"/>
            <w:gridSpan w:val="4"/>
            <w:shd w:val="clear" w:color="auto" w:fill="CCEEFF"/>
          </w:tcPr>
          <w:p>
            <w:pPr>
              <w:spacing w:after="0" w:line="206" w:lineRule="exact"/>
              <w:rPr>
                <w:sz w:val="20"/>
                <w:szCs w:val="20"/>
                <w:color w:val="auto"/>
              </w:rPr>
            </w:pPr>
            <w:r>
              <w:rPr>
                <w:rFonts w:ascii="Arial" w:cs="Arial" w:eastAsia="Arial" w:hAnsi="Arial"/>
                <w:sz w:val="18"/>
                <w:szCs w:val="18"/>
                <w:color w:val="auto"/>
              </w:rPr>
              <w:t>Series B preferred units, stated value $1,000 per unit; 550,000 units authorized, 450,692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20" w:type="dxa"/>
            <w:vAlign w:val="bottom"/>
            <w:shd w:val="clear" w:color="auto" w:fill="CCEEFF"/>
          </w:tcPr>
          <w:p>
            <w:pPr>
              <w:spacing w:after="0"/>
              <w:rPr>
                <w:sz w:val="17"/>
                <w:szCs w:val="17"/>
                <w:color w:val="auto"/>
              </w:rPr>
            </w:pPr>
          </w:p>
        </w:tc>
        <w:tc>
          <w:tcPr>
            <w:tcW w:w="762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units issued and 93,997 units outstanding, actual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126.2</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72"/>
              <w:spacing w:after="0" w:line="200"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6"/>
        </w:trPr>
        <w:tc>
          <w:tcPr>
            <w:tcW w:w="7840" w:type="dxa"/>
            <w:vAlign w:val="bottom"/>
            <w:gridSpan w:val="4"/>
          </w:tcPr>
          <w:p>
            <w:pPr>
              <w:spacing w:after="0" w:line="206" w:lineRule="exact"/>
              <w:rPr>
                <w:sz w:val="20"/>
                <w:szCs w:val="20"/>
                <w:color w:val="auto"/>
              </w:rPr>
            </w:pPr>
            <w:r>
              <w:rPr>
                <w:rFonts w:ascii="Arial" w:cs="Arial" w:eastAsia="Arial" w:hAnsi="Arial"/>
                <w:sz w:val="18"/>
                <w:szCs w:val="18"/>
                <w:color w:val="auto"/>
              </w:rPr>
              <w:t>Series B preferred stock, par value $0.01 per share; 550,000 shares authorized, 450,692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7620" w:type="dxa"/>
            <w:vAlign w:val="bottom"/>
            <w:gridSpan w:val="3"/>
          </w:tcPr>
          <w:p>
            <w:pPr>
              <w:spacing w:after="0" w:line="202" w:lineRule="exact"/>
              <w:rPr>
                <w:sz w:val="20"/>
                <w:szCs w:val="20"/>
                <w:color w:val="auto"/>
              </w:rPr>
            </w:pPr>
            <w:r>
              <w:rPr>
                <w:rFonts w:ascii="Arial" w:cs="Arial" w:eastAsia="Arial" w:hAnsi="Arial"/>
                <w:sz w:val="18"/>
                <w:szCs w:val="18"/>
                <w:color w:val="auto"/>
              </w:rPr>
              <w:t>shares of Series B preferred stock issued and 93,997 shares outstanding, pro forma; 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20" w:type="dxa"/>
            <w:vAlign w:val="bottom"/>
          </w:tcPr>
          <w:p>
            <w:pPr>
              <w:spacing w:after="0"/>
              <w:rPr>
                <w:sz w:val="17"/>
                <w:szCs w:val="17"/>
                <w:color w:val="auto"/>
              </w:rPr>
            </w:pPr>
          </w:p>
        </w:tc>
        <w:tc>
          <w:tcPr>
            <w:tcW w:w="7620" w:type="dxa"/>
            <w:vAlign w:val="bottom"/>
            <w:gridSpan w:val="3"/>
          </w:tcPr>
          <w:p>
            <w:pPr>
              <w:spacing w:after="0" w:line="200" w:lineRule="exact"/>
              <w:rPr>
                <w:sz w:val="20"/>
                <w:szCs w:val="20"/>
                <w:color w:val="auto"/>
              </w:rPr>
            </w:pPr>
            <w:r>
              <w:rPr>
                <w:rFonts w:ascii="Arial" w:cs="Arial" w:eastAsia="Arial" w:hAnsi="Arial"/>
                <w:sz w:val="18"/>
                <w:szCs w:val="18"/>
                <w:color w:val="auto"/>
              </w:rPr>
              <w:t>shares issued and outstanding, pro forma as adjusted</w:t>
            </w:r>
            <w:r>
              <w:rPr>
                <w:rFonts w:ascii="Arial" w:cs="Arial" w:eastAsia="Arial" w:hAnsi="Arial"/>
                <w:sz w:val="22"/>
                <w:szCs w:val="22"/>
                <w:color w:val="auto"/>
                <w:vertAlign w:val="superscript"/>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126.2</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w:t>
            </w: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4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7620" w:type="dxa"/>
            <w:vAlign w:val="bottom"/>
            <w:gridSpan w:val="3"/>
          </w:tcPr>
          <w:p>
            <w:pPr>
              <w:spacing w:after="0" w:line="206" w:lineRule="exact"/>
              <w:rPr>
                <w:sz w:val="20"/>
                <w:szCs w:val="20"/>
                <w:color w:val="auto"/>
              </w:rPr>
            </w:pPr>
            <w:r>
              <w:rPr>
                <w:rFonts w:ascii="Arial" w:cs="Arial" w:eastAsia="Arial" w:hAnsi="Arial"/>
                <w:sz w:val="18"/>
                <w:szCs w:val="18"/>
                <w:color w:val="auto"/>
              </w:rPr>
              <w:t>Common unit, 65,000,000 units authorized, 52,831,722 issued and outstanding, actual; 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20" w:type="dxa"/>
            <w:vAlign w:val="bottom"/>
          </w:tcPr>
          <w:p>
            <w:pPr>
              <w:spacing w:after="0"/>
              <w:rPr>
                <w:sz w:val="17"/>
                <w:szCs w:val="17"/>
                <w:color w:val="auto"/>
              </w:rPr>
            </w:pPr>
          </w:p>
        </w:tc>
        <w:tc>
          <w:tcPr>
            <w:tcW w:w="7620" w:type="dxa"/>
            <w:vAlign w:val="bottom"/>
            <w:gridSpan w:val="3"/>
          </w:tcPr>
          <w:p>
            <w:pPr>
              <w:ind w:left="220"/>
              <w:spacing w:after="0" w:line="200" w:lineRule="exact"/>
              <w:rPr>
                <w:sz w:val="20"/>
                <w:szCs w:val="20"/>
                <w:color w:val="auto"/>
              </w:rPr>
            </w:pPr>
            <w:r>
              <w:rPr>
                <w:rFonts w:ascii="Arial" w:cs="Arial" w:eastAsia="Arial" w:hAnsi="Arial"/>
                <w:sz w:val="18"/>
                <w:szCs w:val="18"/>
                <w:color w:val="auto"/>
              </w:rPr>
              <w:t>common units issued and outstanding, pro forma and pro forma as adjusted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52.8</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572"/>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9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w:t>
            </w:r>
          </w:p>
        </w:tc>
      </w:tr>
      <w:tr>
        <w:trPr>
          <w:trHeight w:val="206"/>
        </w:trPr>
        <w:tc>
          <w:tcPr>
            <w:tcW w:w="220" w:type="dxa"/>
            <w:vAlign w:val="bottom"/>
            <w:shd w:val="clear" w:color="auto" w:fill="CCEEFF"/>
          </w:tcPr>
          <w:p>
            <w:pPr>
              <w:spacing w:after="0"/>
              <w:rPr>
                <w:sz w:val="17"/>
                <w:szCs w:val="17"/>
                <w:color w:val="auto"/>
              </w:rPr>
            </w:pPr>
          </w:p>
        </w:tc>
        <w:tc>
          <w:tcPr>
            <w:tcW w:w="762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Common stock, par value $0.01 per share; 100,000,000 shares authorized, 0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20" w:type="dxa"/>
            <w:vAlign w:val="bottom"/>
            <w:shd w:val="clear" w:color="auto" w:fill="CCEEFF"/>
          </w:tcPr>
          <w:p>
            <w:pPr>
              <w:spacing w:after="0"/>
              <w:rPr>
                <w:sz w:val="17"/>
                <w:szCs w:val="17"/>
                <w:color w:val="auto"/>
              </w:rPr>
            </w:pPr>
          </w:p>
        </w:tc>
        <w:tc>
          <w:tcPr>
            <w:tcW w:w="32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issued and outstanding, actual;</w:t>
            </w:r>
          </w:p>
        </w:tc>
        <w:tc>
          <w:tcPr>
            <w:tcW w:w="44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issued and outstanding, pro forma;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20" w:type="dxa"/>
            <w:vAlign w:val="bottom"/>
            <w:shd w:val="clear" w:color="auto" w:fill="CCEEFF"/>
          </w:tcPr>
          <w:p>
            <w:pPr>
              <w:spacing w:after="0"/>
              <w:rPr>
                <w:sz w:val="17"/>
                <w:szCs w:val="17"/>
                <w:color w:val="auto"/>
              </w:rPr>
            </w:pPr>
          </w:p>
        </w:tc>
        <w:tc>
          <w:tcPr>
            <w:tcW w:w="7620" w:type="dxa"/>
            <w:vAlign w:val="bottom"/>
            <w:gridSpan w:val="3"/>
            <w:shd w:val="clear" w:color="auto" w:fill="CCEEFF"/>
          </w:tcPr>
          <w:p>
            <w:pPr>
              <w:ind w:left="860"/>
              <w:spacing w:after="0" w:line="200" w:lineRule="exact"/>
              <w:rPr>
                <w:sz w:val="20"/>
                <w:szCs w:val="20"/>
                <w:color w:val="auto"/>
              </w:rPr>
            </w:pPr>
            <w:r>
              <w:rPr>
                <w:rFonts w:ascii="Arial" w:cs="Arial" w:eastAsia="Arial" w:hAnsi="Arial"/>
                <w:sz w:val="18"/>
                <w:szCs w:val="18"/>
                <w:color w:val="auto"/>
              </w:rPr>
              <w:t>shares issued and outstanding, pro forma as adjusted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Additional paid-in capital</w:t>
            </w: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72"/>
              <w:spacing w:after="0" w:line="202" w:lineRule="exact"/>
              <w:rPr>
                <w:sz w:val="20"/>
                <w:szCs w:val="20"/>
                <w:color w:val="auto"/>
              </w:rPr>
            </w:pPr>
            <w:r>
              <w:rPr>
                <w:rFonts w:ascii="Arial" w:cs="Arial" w:eastAsia="Arial" w:hAnsi="Arial"/>
                <w:sz w:val="18"/>
                <w:szCs w:val="18"/>
                <w:color w:val="auto"/>
              </w:rPr>
              <w:t>2.7</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4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94"/>
              </w:rPr>
              <w:t>(531.8)</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(531.8)</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unitholders’ / stockholders’ equity</w:t>
            </w:r>
          </w:p>
        </w:tc>
        <w:tc>
          <w:tcPr>
            <w:tcW w:w="4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94"/>
              </w:rPr>
              <w:t>(452.2)</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(452.2)</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44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440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00" w:type="dxa"/>
            <w:vAlign w:val="bottom"/>
            <w:gridSpan w:val="6"/>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tcPr>
          <w:p>
            <w:pPr>
              <w:spacing w:after="0"/>
              <w:rPr>
                <w:sz w:val="8"/>
                <w:szCs w:val="8"/>
                <w:color w:val="auto"/>
              </w:rPr>
            </w:pPr>
          </w:p>
        </w:tc>
      </w:tr>
      <w:tr>
        <w:trPr>
          <w:trHeight w:val="307"/>
        </w:trPr>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8560" w:type="dxa"/>
            <w:vAlign w:val="bottom"/>
            <w:gridSpan w:val="7"/>
          </w:tcPr>
          <w:p>
            <w:pPr>
              <w:ind w:left="360"/>
              <w:spacing w:after="0"/>
              <w:rPr>
                <w:sz w:val="20"/>
                <w:szCs w:val="20"/>
                <w:color w:val="auto"/>
              </w:rPr>
            </w:pPr>
            <w:r>
              <w:rPr>
                <w:rFonts w:ascii="Arial" w:cs="Arial" w:eastAsia="Arial" w:hAnsi="Arial"/>
                <w:sz w:val="18"/>
                <w:szCs w:val="18"/>
                <w:color w:val="auto"/>
                <w:w w:val="97"/>
              </w:rPr>
              <w:t>A $1.00 decrease or increase in the assumed initial public offering price would result in approximately a $</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million</w:t>
            </w:r>
          </w:p>
        </w:tc>
      </w:tr>
      <w:tr>
        <w:trPr>
          <w:trHeight w:val="203"/>
        </w:trPr>
        <w:tc>
          <w:tcPr>
            <w:tcW w:w="220" w:type="dxa"/>
            <w:vAlign w:val="bottom"/>
          </w:tcPr>
          <w:p>
            <w:pPr>
              <w:spacing w:after="0"/>
              <w:rPr>
                <w:sz w:val="17"/>
                <w:szCs w:val="17"/>
                <w:color w:val="auto"/>
              </w:rPr>
            </w:pPr>
          </w:p>
        </w:tc>
        <w:tc>
          <w:tcPr>
            <w:tcW w:w="11220" w:type="dxa"/>
            <w:vAlign w:val="bottom"/>
            <w:gridSpan w:val="14"/>
          </w:tcPr>
          <w:p>
            <w:pPr>
              <w:jc w:val="right"/>
              <w:ind w:right="200"/>
              <w:spacing w:after="0" w:line="202" w:lineRule="exact"/>
              <w:rPr>
                <w:sz w:val="20"/>
                <w:szCs w:val="20"/>
                <w:color w:val="auto"/>
              </w:rPr>
            </w:pPr>
            <w:r>
              <w:rPr>
                <w:rFonts w:ascii="Arial" w:cs="Arial" w:eastAsia="Arial" w:hAnsi="Arial"/>
                <w:sz w:val="18"/>
                <w:szCs w:val="18"/>
                <w:color w:val="auto"/>
              </w:rPr>
              <w:t>decrease or increase in each of pro forma as adjusted paid-in capital, total stockholders’ equity and total capitalization, assuming the total</w:t>
            </w:r>
          </w:p>
        </w:tc>
      </w:tr>
    </w:tbl>
    <w:p>
      <w:pPr>
        <w:ind w:left="580" w:right="20"/>
        <w:spacing w:after="0" w:line="234" w:lineRule="auto"/>
        <w:rPr>
          <w:sz w:val="20"/>
          <w:szCs w:val="20"/>
          <w:color w:val="auto"/>
        </w:rPr>
      </w:pPr>
      <w:r>
        <w:rPr>
          <w:rFonts w:ascii="Arial" w:cs="Arial" w:eastAsia="Arial" w:hAnsi="Arial"/>
          <w:sz w:val="18"/>
          <w:szCs w:val="18"/>
          <w:color w:val="auto"/>
        </w:rPr>
        <w:t>number of shares offered by us remains the same and after deducting the estimated underwriting discount and estimated offering expenses payable by us.</w:t>
      </w:r>
    </w:p>
    <w:p>
      <w:pPr>
        <w:spacing w:after="0" w:line="2" w:lineRule="exact"/>
        <w:rPr>
          <w:sz w:val="20"/>
          <w:szCs w:val="20"/>
          <w:color w:val="auto"/>
        </w:rPr>
      </w:pPr>
    </w:p>
    <w:p>
      <w:pPr>
        <w:ind w:left="580" w:right="640" w:hanging="572"/>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that all of our outstanding shares of Series B preferred stock were repurchased using the proceeds from this offering. See “Description of Capital Stock—Series B Preferred Stock” for additional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Our net tangible book value as of September 30, 2007, on a pro forma basis after giving effect to the corporate reorganization and the</w:t>
      </w:r>
    </w:p>
    <w:p>
      <w:pPr>
        <w:spacing w:after="0" w:line="237" w:lineRule="auto"/>
        <w:rPr>
          <w:sz w:val="20"/>
          <w:szCs w:val="20"/>
          <w:color w:val="auto"/>
        </w:rPr>
      </w:pPr>
      <w:r>
        <w:rPr>
          <w:rFonts w:ascii="Arial" w:cs="Arial" w:eastAsia="Arial" w:hAnsi="Arial"/>
          <w:sz w:val="18"/>
          <w:szCs w:val="18"/>
          <w:color w:val="auto"/>
        </w:rPr>
        <w:t>repurchase of all our Series B preferred stock, was approximately $ million, or $ per share of our common stock. Pro forma net tangible book value per share represents our total tangible assets reduced by our total liabilities and divided by the number of shares of common stock outstanding. Dilution in net tangible book value per share represents the difference between the amount per share that you pay in this offering and the net tangible book value per share immediately after this offering.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gridSpan w:val="3"/>
          </w:tcPr>
          <w:p>
            <w:pPr>
              <w:ind w:left="580"/>
              <w:spacing w:after="0"/>
              <w:rPr>
                <w:sz w:val="20"/>
                <w:szCs w:val="20"/>
                <w:color w:val="auto"/>
              </w:rPr>
            </w:pPr>
            <w:r>
              <w:rPr>
                <w:rFonts w:ascii="Arial" w:cs="Arial" w:eastAsia="Arial" w:hAnsi="Arial"/>
                <w:sz w:val="18"/>
                <w:szCs w:val="18"/>
                <w:color w:val="auto"/>
              </w:rPr>
              <w:t>After giving effect to the receipt of the estimated net proceeds from the sale by us of</w:t>
            </w:r>
          </w:p>
        </w:tc>
        <w:tc>
          <w:tcPr>
            <w:tcW w:w="3600" w:type="dxa"/>
            <w:vAlign w:val="bottom"/>
            <w:gridSpan w:val="6"/>
          </w:tcPr>
          <w:p>
            <w:pPr>
              <w:ind w:left="500"/>
              <w:spacing w:after="0"/>
              <w:rPr>
                <w:sz w:val="20"/>
                <w:szCs w:val="20"/>
                <w:color w:val="auto"/>
              </w:rPr>
            </w:pPr>
            <w:r>
              <w:rPr>
                <w:rFonts w:ascii="Arial" w:cs="Arial" w:eastAsia="Arial" w:hAnsi="Arial"/>
                <w:sz w:val="18"/>
                <w:szCs w:val="18"/>
                <w:color w:val="auto"/>
              </w:rPr>
              <w:t>shares, our net tangible book value at</w:t>
            </w:r>
          </w:p>
        </w:tc>
      </w:tr>
      <w:tr>
        <w:trPr>
          <w:trHeight w:val="203"/>
        </w:trPr>
        <w:tc>
          <w:tcPr>
            <w:tcW w:w="7460" w:type="dxa"/>
            <w:vAlign w:val="bottom"/>
            <w:gridSpan w:val="3"/>
          </w:tcPr>
          <w:p>
            <w:pPr>
              <w:spacing w:after="0" w:line="202" w:lineRule="exact"/>
              <w:rPr>
                <w:sz w:val="20"/>
                <w:szCs w:val="20"/>
                <w:color w:val="auto"/>
              </w:rPr>
            </w:pPr>
            <w:r>
              <w:rPr>
                <w:rFonts w:ascii="Arial" w:cs="Arial" w:eastAsia="Arial" w:hAnsi="Arial"/>
                <w:sz w:val="18"/>
                <w:szCs w:val="18"/>
                <w:color w:val="auto"/>
                <w:w w:val="98"/>
              </w:rPr>
              <w:t>September 30, 2007 on the pro forma basis described above would have been approximately $</w:t>
            </w:r>
          </w:p>
        </w:tc>
        <w:tc>
          <w:tcPr>
            <w:tcW w:w="1260" w:type="dxa"/>
            <w:vAlign w:val="bottom"/>
          </w:tcPr>
          <w:p>
            <w:pPr>
              <w:ind w:left="720"/>
              <w:spacing w:after="0" w:line="202" w:lineRule="exact"/>
              <w:rPr>
                <w:sz w:val="20"/>
                <w:szCs w:val="20"/>
                <w:color w:val="auto"/>
              </w:rPr>
            </w:pPr>
            <w:r>
              <w:rPr>
                <w:rFonts w:ascii="Arial" w:cs="Arial" w:eastAsia="Arial" w:hAnsi="Arial"/>
                <w:sz w:val="18"/>
                <w:szCs w:val="18"/>
                <w:color w:val="auto"/>
              </w:rPr>
              <w:t>, or $</w:t>
            </w:r>
          </w:p>
        </w:tc>
        <w:tc>
          <w:tcPr>
            <w:tcW w:w="160" w:type="dxa"/>
            <w:vAlign w:val="bottom"/>
          </w:tcPr>
          <w:p>
            <w:pPr>
              <w:spacing w:after="0"/>
              <w:rPr>
                <w:sz w:val="17"/>
                <w:szCs w:val="17"/>
                <w:color w:val="auto"/>
              </w:rPr>
            </w:pPr>
          </w:p>
        </w:tc>
        <w:tc>
          <w:tcPr>
            <w:tcW w:w="2180" w:type="dxa"/>
            <w:vAlign w:val="bottom"/>
            <w:gridSpan w:val="4"/>
          </w:tcPr>
          <w:p>
            <w:pPr>
              <w:ind w:left="520"/>
              <w:spacing w:after="0" w:line="202" w:lineRule="exact"/>
              <w:rPr>
                <w:sz w:val="20"/>
                <w:szCs w:val="20"/>
                <w:color w:val="auto"/>
              </w:rPr>
            </w:pPr>
            <w:r>
              <w:rPr>
                <w:rFonts w:ascii="Arial" w:cs="Arial" w:eastAsia="Arial" w:hAnsi="Arial"/>
                <w:sz w:val="18"/>
                <w:szCs w:val="18"/>
                <w:color w:val="auto"/>
                <w:w w:val="96"/>
              </w:rPr>
              <w:t>per share of common</w:t>
            </w:r>
          </w:p>
        </w:tc>
      </w:tr>
      <w:tr>
        <w:trPr>
          <w:trHeight w:val="203"/>
        </w:trPr>
        <w:tc>
          <w:tcPr>
            <w:tcW w:w="7460" w:type="dxa"/>
            <w:vAlign w:val="bottom"/>
            <w:gridSpan w:val="3"/>
          </w:tcPr>
          <w:p>
            <w:pPr>
              <w:spacing w:after="0" w:line="202" w:lineRule="exact"/>
              <w:rPr>
                <w:sz w:val="20"/>
                <w:szCs w:val="20"/>
                <w:color w:val="auto"/>
              </w:rPr>
            </w:pPr>
            <w:r>
              <w:rPr>
                <w:rFonts w:ascii="Arial" w:cs="Arial" w:eastAsia="Arial" w:hAnsi="Arial"/>
                <w:sz w:val="18"/>
                <w:szCs w:val="18"/>
                <w:color w:val="auto"/>
              </w:rPr>
              <w:t>stock. This represents an immediate increase in net tangible book value per share of $</w:t>
            </w:r>
          </w:p>
        </w:tc>
        <w:tc>
          <w:tcPr>
            <w:tcW w:w="3600" w:type="dxa"/>
            <w:vAlign w:val="bottom"/>
            <w:gridSpan w:val="6"/>
          </w:tcPr>
          <w:p>
            <w:pPr>
              <w:ind w:left="80"/>
              <w:spacing w:after="0" w:line="202" w:lineRule="exact"/>
              <w:rPr>
                <w:sz w:val="20"/>
                <w:szCs w:val="20"/>
                <w:color w:val="auto"/>
              </w:rPr>
            </w:pPr>
            <w:r>
              <w:rPr>
                <w:rFonts w:ascii="Arial" w:cs="Arial" w:eastAsia="Arial" w:hAnsi="Arial"/>
                <w:sz w:val="18"/>
                <w:szCs w:val="18"/>
                <w:color w:val="auto"/>
              </w:rPr>
              <w:t>to existing stockholders and an immediate</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color w:val="auto"/>
              </w:rPr>
              <w:t>decrease in net tangible book value per share of $</w:t>
            </w: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to you. The following table illustrates the dilution.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1"/>
        </w:trPr>
        <w:tc>
          <w:tcPr>
            <w:tcW w:w="4320" w:type="dxa"/>
            <w:vAlign w:val="bottom"/>
            <w:gridSpan w:val="2"/>
          </w:tcPr>
          <w:p>
            <w:pPr>
              <w:spacing w:after="0"/>
              <w:rPr>
                <w:sz w:val="16"/>
                <w:szCs w:val="16"/>
                <w:color w:val="auto"/>
              </w:rPr>
            </w:pPr>
          </w:p>
        </w:tc>
        <w:tc>
          <w:tcPr>
            <w:tcW w:w="3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3"/>
        </w:trPr>
        <w:tc>
          <w:tcPr>
            <w:tcW w:w="88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 per share</w:t>
            </w:r>
          </w:p>
        </w:tc>
        <w:tc>
          <w:tcPr>
            <w:tcW w:w="3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40" w:type="dxa"/>
            <w:vAlign w:val="bottom"/>
            <w:gridSpan w:val="4"/>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7840" w:type="dxa"/>
            <w:vAlign w:val="bottom"/>
            <w:gridSpan w:val="3"/>
          </w:tcPr>
          <w:p>
            <w:pPr>
              <w:ind w:left="420"/>
              <w:spacing w:after="0" w:line="206" w:lineRule="exact"/>
              <w:rPr>
                <w:sz w:val="20"/>
                <w:szCs w:val="20"/>
                <w:color w:val="auto"/>
              </w:rPr>
            </w:pPr>
            <w:r>
              <w:rPr>
                <w:rFonts w:ascii="Arial" w:cs="Arial" w:eastAsia="Arial" w:hAnsi="Arial"/>
                <w:sz w:val="18"/>
                <w:szCs w:val="18"/>
                <w:color w:val="auto"/>
              </w:rPr>
              <w:t>Pro forma net tangible book value per share as of September 30, 2007 Actual net tangible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9"/>
        </w:trPr>
        <w:tc>
          <w:tcPr>
            <w:tcW w:w="880" w:type="dxa"/>
            <w:vAlign w:val="bottom"/>
          </w:tcPr>
          <w:p>
            <w:pPr>
              <w:spacing w:after="0"/>
              <w:rPr>
                <w:sz w:val="17"/>
                <w:szCs w:val="17"/>
                <w:color w:val="auto"/>
              </w:rPr>
            </w:pPr>
          </w:p>
        </w:tc>
        <w:tc>
          <w:tcPr>
            <w:tcW w:w="6580" w:type="dxa"/>
            <w:vAlign w:val="bottom"/>
            <w:gridSpan w:val="2"/>
          </w:tcPr>
          <w:p>
            <w:pPr>
              <w:ind w:left="640"/>
              <w:spacing w:after="0" w:line="200" w:lineRule="exact"/>
              <w:rPr>
                <w:sz w:val="20"/>
                <w:szCs w:val="20"/>
                <w:color w:val="auto"/>
              </w:rPr>
            </w:pPr>
            <w:r>
              <w:rPr>
                <w:rFonts w:ascii="Arial" w:cs="Arial" w:eastAsia="Arial" w:hAnsi="Arial"/>
                <w:sz w:val="18"/>
                <w:szCs w:val="18"/>
                <w:color w:val="auto"/>
              </w:rPr>
              <w:t>book value (deficit) per share as of September 30, 2007</w:t>
            </w:r>
          </w:p>
        </w:tc>
        <w:tc>
          <w:tcPr>
            <w:tcW w:w="1260" w:type="dxa"/>
            <w:vAlign w:val="bottom"/>
          </w:tcPr>
          <w:p>
            <w:pPr>
              <w:spacing w:after="0"/>
              <w:rPr>
                <w:sz w:val="17"/>
                <w:szCs w:val="17"/>
                <w:color w:val="auto"/>
              </w:rPr>
            </w:pPr>
          </w:p>
        </w:tc>
        <w:tc>
          <w:tcPr>
            <w:tcW w:w="860" w:type="dxa"/>
            <w:vAlign w:val="bottom"/>
            <w:gridSpan w:val="2"/>
          </w:tcPr>
          <w:p>
            <w:pPr>
              <w:jc w:val="right"/>
              <w:ind w:right="51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784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r>
      <w:tr>
        <w:trPr>
          <w:trHeight w:val="217"/>
        </w:trPr>
        <w:tc>
          <w:tcPr>
            <w:tcW w:w="7460" w:type="dxa"/>
            <w:vAlign w:val="bottom"/>
            <w:gridSpan w:val="3"/>
          </w:tcPr>
          <w:p>
            <w:pPr>
              <w:ind w:left="860"/>
              <w:spacing w:after="0"/>
              <w:rPr>
                <w:sz w:val="20"/>
                <w:szCs w:val="20"/>
                <w:color w:val="auto"/>
              </w:rPr>
            </w:pPr>
            <w:r>
              <w:rPr>
                <w:rFonts w:ascii="Arial" w:cs="Arial" w:eastAsia="Arial" w:hAnsi="Arial"/>
                <w:sz w:val="18"/>
                <w:szCs w:val="18"/>
                <w:color w:val="auto"/>
              </w:rPr>
              <w:t>Pro forma net tangible book value per share after this offering</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w:t>
            </w:r>
          </w:p>
        </w:tc>
        <w:tc>
          <w:tcPr>
            <w:tcW w:w="3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40" w:type="dxa"/>
            <w:vAlign w:val="bottom"/>
            <w:gridSpan w:val="4"/>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The following table sets forth, as of September 30, 2007, on the pro forma basis described above, the differences between the amounts paid or to be paid by the groups set forth in the table with respect to the aggregate number of shares of our common stock acquired or to be acquired by each group.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8"/>
              </w:rPr>
              <w:t>Total Consideration</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12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Per Share</w:t>
            </w:r>
          </w:p>
        </w:tc>
      </w:tr>
      <w:tr>
        <w:trPr>
          <w:trHeight w:val="61"/>
        </w:trPr>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r>
      <w:tr>
        <w:trPr>
          <w:trHeight w:val="203"/>
        </w:trPr>
        <w:tc>
          <w:tcPr>
            <w:tcW w:w="880" w:type="dxa"/>
            <w:vAlign w:val="bottom"/>
          </w:tcPr>
          <w:p>
            <w:pPr>
              <w:spacing w:after="0"/>
              <w:rPr>
                <w:sz w:val="17"/>
                <w:szCs w:val="17"/>
                <w:color w:val="auto"/>
              </w:rPr>
            </w:pPr>
          </w:p>
        </w:tc>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1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12"/>
              <w:spacing w:after="0" w:line="202" w:lineRule="exact"/>
              <w:rPr>
                <w:sz w:val="20"/>
                <w:szCs w:val="20"/>
                <w:color w:val="auto"/>
              </w:rPr>
            </w:pPr>
            <w:r>
              <w:rPr>
                <w:rFonts w:ascii="Arial" w:cs="Arial" w:eastAsia="Arial" w:hAnsi="Arial"/>
                <w:sz w:val="18"/>
                <w:szCs w:val="18"/>
                <w:color w:val="auto"/>
              </w:rPr>
              <w:t>$</w:t>
            </w:r>
          </w:p>
        </w:tc>
      </w:tr>
      <w:tr>
        <w:trPr>
          <w:trHeight w:val="270"/>
        </w:trPr>
        <w:tc>
          <w:tcPr>
            <w:tcW w:w="4260" w:type="dxa"/>
            <w:vAlign w:val="bottom"/>
            <w:gridSpan w:val="4"/>
          </w:tcPr>
          <w:p>
            <w:pPr>
              <w:ind w:left="860"/>
              <w:spacing w:after="0"/>
              <w:rPr>
                <w:sz w:val="20"/>
                <w:szCs w:val="20"/>
                <w:color w:val="auto"/>
              </w:rPr>
            </w:pPr>
            <w:r>
              <w:rPr>
                <w:rFonts w:ascii="Arial" w:cs="Arial" w:eastAsia="Arial" w:hAnsi="Arial"/>
                <w:sz w:val="18"/>
                <w:szCs w:val="18"/>
                <w:color w:val="auto"/>
              </w:rPr>
              <w:t>New investors(1)</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03"/>
        </w:trPr>
        <w:tc>
          <w:tcPr>
            <w:tcW w:w="8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1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12"/>
              <w:spacing w:after="0" w:line="202" w:lineRule="exact"/>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107"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Before the underwriting discount and our expenses.</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underwriters’ option to purchase additional shares is exercised in full, the number of shares of common stock held by existing</w:t>
      </w:r>
    </w:p>
    <w:p>
      <w:pPr>
        <w:spacing w:after="0" w:line="238" w:lineRule="auto"/>
        <w:rPr>
          <w:sz w:val="20"/>
          <w:szCs w:val="20"/>
          <w:color w:val="auto"/>
        </w:rPr>
      </w:pPr>
      <w:r>
        <w:rPr>
          <w:rFonts w:ascii="Arial" w:cs="Arial" w:eastAsia="Arial" w:hAnsi="Arial"/>
          <w:sz w:val="18"/>
          <w:szCs w:val="18"/>
          <w:color w:val="auto"/>
        </w:rPr>
        <w:t xml:space="preserve">stockholders will be reduced to , % of the aggregate number of shares of common stock outstanding after this offering, and the number of shares of common stock held by new investors will be increased to </w:t>
      </w:r>
      <w:r>
        <w:rPr>
          <w:rFonts w:ascii="Arial" w:cs="Arial" w:eastAsia="Arial" w:hAnsi="Arial"/>
          <w:sz w:val="18"/>
          <w:szCs w:val="18"/>
          <w:b w:val="1"/>
          <w:bCs w:val="1"/>
          <w:color w:val="auto"/>
        </w:rPr>
        <w:t>,</w:t>
      </w:r>
      <w:r>
        <w:rPr>
          <w:rFonts w:ascii="Arial" w:cs="Arial" w:eastAsia="Arial" w:hAnsi="Arial"/>
          <w:sz w:val="18"/>
          <w:szCs w:val="18"/>
          <w:color w:val="auto"/>
        </w:rPr>
        <w:t xml:space="preserve"> or % of the aggregate number of shares of common stock outstanding after this offering.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OPERATING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MAGNACHIP SEMICONDUCTOR LLC</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derived the selected consolidated financial and operating data below from the following sources:</w:t>
      </w:r>
    </w:p>
    <w:p>
      <w:pPr>
        <w:spacing w:after="0" w:line="158"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consolidated financial data as of and for the years ended December 31, 2005 and 2006, and the three months ended December 31, 2004 have been derived from the historical audited consolidated financial statements of MagnaChip Semiconductor LLC. The consolidated financial data for the nine-month periods ended September 30, 2007 and October 1, 2006 and as of September 30, 2007 have been derived from the unaudited consolidated financial statements of MagnaChip Semiconductor LLC. The unaudited summary consolidated financial data include, in the opinion of our management, all adjustments, consisting only of normal recurring adjustments, that are necessary for a fair presentation of our financial position and results of operations for these periods. Prior to October 1, 2004, our consolidated financial statements were prepared on a carve-out basis from the consolidated financial statements and accounting records of Hynix using the actual results of operations and actual basis of assets and liabilities of our business.</w:t>
      </w:r>
    </w:p>
    <w:p>
      <w:pPr>
        <w:spacing w:after="0" w:line="154" w:lineRule="exact"/>
        <w:rPr>
          <w:sz w:val="20"/>
          <w:szCs w:val="20"/>
          <w:color w:val="auto"/>
        </w:rPr>
      </w:pPr>
    </w:p>
    <w:p>
      <w:pPr>
        <w:ind w:right="400" w:firstLine="571"/>
        <w:spacing w:after="0" w:line="237" w:lineRule="auto"/>
        <w:rPr>
          <w:sz w:val="20"/>
          <w:szCs w:val="20"/>
          <w:color w:val="auto"/>
        </w:rPr>
      </w:pPr>
      <w:r>
        <w:rPr>
          <w:rFonts w:ascii="Arial" w:cs="Arial" w:eastAsia="Arial" w:hAnsi="Arial"/>
          <w:sz w:val="18"/>
          <w:szCs w:val="18"/>
          <w:color w:val="auto"/>
        </w:rPr>
        <w:t>The selected consolidated financial and operating data below represent portions of our financial statements and are not complete. This information should be read together with “Management’s Discussion and Analysis of Financial Condition and Results of Operations” and our consolidated financial statements and the related notes to these statements included in this prospectus. Historical results are not necessarily indicative of future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Nine</w:t>
            </w:r>
          </w:p>
        </w:tc>
        <w:tc>
          <w:tcPr>
            <w:tcW w:w="16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months</w:t>
            </w:r>
          </w:p>
        </w:tc>
        <w:tc>
          <w:tcPr>
            <w:tcW w:w="160" w:type="dxa"/>
            <w:vAlign w:val="bottom"/>
          </w:tcPr>
          <w:p>
            <w:pPr>
              <w:spacing w:after="0"/>
              <w:rPr>
                <w:sz w:val="5"/>
                <w:szCs w:val="5"/>
                <w:color w:val="auto"/>
              </w:rPr>
            </w:pPr>
          </w:p>
        </w:tc>
        <w:tc>
          <w:tcPr>
            <w:tcW w:w="82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months</w:t>
            </w:r>
          </w:p>
        </w:tc>
        <w:tc>
          <w:tcPr>
            <w:tcW w:w="16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80" w:type="dxa"/>
            <w:vAlign w:val="bottom"/>
            <w:gridSpan w:val="5"/>
            <w:vMerge w:val="restart"/>
          </w:tcPr>
          <w:p>
            <w:pPr>
              <w:jc w:val="right"/>
              <w:ind w:right="237"/>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7"/>
                <w:szCs w:val="7"/>
                <w:color w:val="auto"/>
              </w:rPr>
            </w:pPr>
          </w:p>
        </w:tc>
        <w:tc>
          <w:tcPr>
            <w:tcW w:w="170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2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4"/>
        </w:trPr>
        <w:tc>
          <w:tcPr>
            <w:tcW w:w="3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ended</w:t>
            </w:r>
          </w:p>
        </w:tc>
        <w:tc>
          <w:tcPr>
            <w:tcW w:w="160" w:type="dxa"/>
            <w:vAlign w:val="bottom"/>
          </w:tcPr>
          <w:p>
            <w:pPr>
              <w:spacing w:after="0"/>
              <w:rPr>
                <w:sz w:val="7"/>
                <w:szCs w:val="7"/>
                <w:color w:val="auto"/>
              </w:rPr>
            </w:pPr>
          </w:p>
        </w:tc>
        <w:tc>
          <w:tcPr>
            <w:tcW w:w="82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ended</w:t>
            </w:r>
          </w:p>
        </w:tc>
        <w:tc>
          <w:tcPr>
            <w:tcW w:w="16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gridSpan w:val="2"/>
          </w:tcPr>
          <w:p>
            <w:pPr>
              <w:jc w:val="right"/>
              <w:ind w:right="260"/>
              <w:spacing w:after="0" w:line="152" w:lineRule="exact"/>
              <w:rPr>
                <w:sz w:val="20"/>
                <w:szCs w:val="20"/>
                <w:color w:val="auto"/>
              </w:rPr>
            </w:pPr>
            <w:r>
              <w:rPr>
                <w:rFonts w:ascii="Arial" w:cs="Arial" w:eastAsia="Arial" w:hAnsi="Arial"/>
                <w:sz w:val="14"/>
                <w:szCs w:val="14"/>
                <w:b w:val="1"/>
                <w:bCs w:val="1"/>
                <w:color w:val="auto"/>
                <w:w w:val="97"/>
              </w:rPr>
              <w:t>Sept. 30,</w:t>
            </w:r>
          </w:p>
        </w:tc>
        <w:tc>
          <w:tcPr>
            <w:tcW w:w="84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October 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80"/>
              <w:spacing w:after="0" w:line="152" w:lineRule="exact"/>
              <w:rPr>
                <w:sz w:val="20"/>
                <w:szCs w:val="20"/>
                <w:color w:val="auto"/>
              </w:rPr>
            </w:pPr>
            <w:r>
              <w:rPr>
                <w:rFonts w:ascii="Arial" w:cs="Arial" w:eastAsia="Arial" w:hAnsi="Arial"/>
                <w:sz w:val="14"/>
                <w:szCs w:val="14"/>
                <w:b w:val="1"/>
                <w:bCs w:val="1"/>
                <w:color w:val="auto"/>
                <w:w w:val="94"/>
              </w:rPr>
              <w:t>Dec. 31,</w:t>
            </w:r>
          </w:p>
        </w:tc>
        <w:tc>
          <w:tcPr>
            <w:tcW w:w="160" w:type="dxa"/>
            <w:vAlign w:val="bottom"/>
          </w:tcPr>
          <w:p>
            <w:pPr>
              <w:spacing w:after="0"/>
              <w:rPr>
                <w:sz w:val="13"/>
                <w:szCs w:val="13"/>
                <w:color w:val="auto"/>
              </w:rPr>
            </w:pPr>
          </w:p>
        </w:tc>
        <w:tc>
          <w:tcPr>
            <w:tcW w:w="820" w:type="dxa"/>
            <w:vAlign w:val="bottom"/>
            <w:gridSpan w:val="3"/>
          </w:tcPr>
          <w:p>
            <w:pPr>
              <w:jc w:val="center"/>
              <w:ind w:right="220"/>
              <w:spacing w:after="0" w:line="152" w:lineRule="exact"/>
              <w:rPr>
                <w:sz w:val="20"/>
                <w:szCs w:val="20"/>
                <w:color w:val="auto"/>
              </w:rPr>
            </w:pPr>
            <w:r>
              <w:rPr>
                <w:rFonts w:ascii="Arial" w:cs="Arial" w:eastAsia="Arial" w:hAnsi="Arial"/>
                <w:sz w:val="14"/>
                <w:szCs w:val="14"/>
                <w:b w:val="1"/>
                <w:bCs w:val="1"/>
                <w:color w:val="auto"/>
                <w:w w:val="97"/>
              </w:rPr>
              <w:t>Sept. 30,</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gridSpan w:val="7"/>
          </w:tcPr>
          <w:p>
            <w:pPr>
              <w:jc w:val="right"/>
              <w:ind w:right="600"/>
              <w:spacing w:after="0" w:line="180" w:lineRule="exact"/>
              <w:rPr>
                <w:sz w:val="20"/>
                <w:szCs w:val="20"/>
                <w:color w:val="auto"/>
              </w:rPr>
            </w:pPr>
            <w:r>
              <w:rPr>
                <w:rFonts w:ascii="Arial" w:cs="Arial" w:eastAsia="Arial" w:hAnsi="Arial"/>
                <w:sz w:val="13"/>
                <w:szCs w:val="13"/>
                <w:b w:val="1"/>
                <w:bCs w:val="1"/>
                <w:color w:val="auto"/>
                <w:w w:val="91"/>
              </w:rPr>
              <w:t>Successor Company</w:t>
            </w:r>
            <w:r>
              <w:rPr>
                <w:rFonts w:ascii="Arial" w:cs="Arial" w:eastAsia="Arial" w:hAnsi="Arial"/>
                <w:sz w:val="20"/>
                <w:szCs w:val="20"/>
                <w:b w:val="1"/>
                <w:bCs w:val="1"/>
                <w:color w:val="auto"/>
                <w:w w:val="91"/>
                <w:vertAlign w:val="superscript"/>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7"/>
          </w:tcPr>
          <w:p>
            <w:pPr>
              <w:jc w:val="right"/>
              <w:ind w:right="440"/>
              <w:spacing w:after="0" w:line="180" w:lineRule="exact"/>
              <w:rPr>
                <w:sz w:val="20"/>
                <w:szCs w:val="20"/>
                <w:color w:val="auto"/>
              </w:rPr>
            </w:pPr>
            <w:r>
              <w:rPr>
                <w:rFonts w:ascii="Arial" w:cs="Arial" w:eastAsia="Arial" w:hAnsi="Arial"/>
                <w:sz w:val="13"/>
                <w:szCs w:val="13"/>
                <w:b w:val="1"/>
                <w:bCs w:val="1"/>
                <w:color w:val="auto"/>
              </w:rPr>
              <w:t>Predecessor Company</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5"/>
          </w:tcPr>
          <w:p>
            <w:pPr>
              <w:jc w:val="right"/>
              <w:ind w:right="477"/>
              <w:spacing w:after="0" w:line="149"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13"/>
          </w:tcPr>
          <w:p>
            <w:pPr>
              <w:ind w:left="420"/>
              <w:spacing w:after="0"/>
              <w:rPr>
                <w:sz w:val="20"/>
                <w:szCs w:val="20"/>
                <w:color w:val="auto"/>
              </w:rPr>
            </w:pPr>
            <w:r>
              <w:rPr>
                <w:rFonts w:ascii="Arial" w:cs="Arial" w:eastAsia="Arial" w:hAnsi="Arial"/>
                <w:sz w:val="14"/>
                <w:szCs w:val="14"/>
                <w:b w:val="1"/>
                <w:bCs w:val="1"/>
                <w:color w:val="auto"/>
              </w:rPr>
              <w:t>(in millions, except per common unit data)</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$ 545.9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582.0</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$ 744.4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937.7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243.6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841.6</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$ 830.8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6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471.9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500.6</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644.9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204.5</w:t>
            </w:r>
          </w:p>
        </w:tc>
        <w:tc>
          <w:tcPr>
            <w:tcW w:w="2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654.6</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752.5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691.0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81.5</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187.0</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66.4</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29.8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68.7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95.9</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6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93.9</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7"/>
              <w:spacing w:after="0" w:line="202" w:lineRule="exact"/>
              <w:rPr>
                <w:sz w:val="20"/>
                <w:szCs w:val="20"/>
                <w:color w:val="auto"/>
              </w:rPr>
            </w:pPr>
            <w:r>
              <w:rPr>
                <w:rFonts w:ascii="Arial" w:cs="Arial" w:eastAsia="Arial" w:hAnsi="Arial"/>
                <w:sz w:val="18"/>
                <w:szCs w:val="18"/>
                <w:color w:val="auto"/>
              </w:rPr>
              <w:t>(174.7)</w:t>
            </w:r>
          </w:p>
        </w:tc>
        <w:tc>
          <w:tcPr>
            <w:tcW w:w="9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(213.8)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43.0</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40.9</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6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(expenses)</w:t>
            </w:r>
          </w:p>
        </w:tc>
        <w:tc>
          <w:tcPr>
            <w:tcW w:w="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7"/>
              <w:spacing w:after="0" w:line="202" w:lineRule="exact"/>
              <w:rPr>
                <w:sz w:val="20"/>
                <w:szCs w:val="20"/>
                <w:color w:val="auto"/>
              </w:rPr>
            </w:pPr>
            <w:r>
              <w:rPr>
                <w:rFonts w:ascii="Arial" w:cs="Arial" w:eastAsia="Arial" w:hAnsi="Arial"/>
                <w:sz w:val="18"/>
                <w:szCs w:val="18"/>
                <w:color w:val="auto"/>
              </w:rPr>
              <w:t>(2.1)</w:t>
            </w:r>
          </w:p>
        </w:tc>
        <w:tc>
          <w:tcPr>
            <w:tcW w:w="9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(11.3)</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(144.4)</w:t>
            </w:r>
          </w:p>
        </w:tc>
        <w:tc>
          <w:tcPr>
            <w:tcW w:w="140" w:type="dxa"/>
            <w:vAlign w:val="bottom"/>
          </w:tcPr>
          <w:p>
            <w:pPr>
              <w:spacing w:after="0"/>
              <w:rPr>
                <w:sz w:val="18"/>
                <w:szCs w:val="18"/>
                <w:color w:val="auto"/>
              </w:rPr>
            </w:pPr>
          </w:p>
        </w:tc>
        <w:tc>
          <w:tcPr>
            <w:tcW w:w="700" w:type="dxa"/>
            <w:vAlign w:val="bottom"/>
            <w:gridSpan w:val="2"/>
          </w:tcPr>
          <w:p>
            <w:pPr>
              <w:jc w:val="right"/>
              <w:ind w:right="37"/>
              <w:spacing w:after="0"/>
              <w:rPr>
                <w:sz w:val="20"/>
                <w:szCs w:val="20"/>
                <w:color w:val="auto"/>
              </w:rPr>
            </w:pPr>
            <w:r>
              <w:rPr>
                <w:rFonts w:ascii="Arial" w:cs="Arial" w:eastAsia="Arial" w:hAnsi="Arial"/>
                <w:sz w:val="18"/>
                <w:szCs w:val="18"/>
                <w:color w:val="auto"/>
              </w:rPr>
              <w:t>(176.8)</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(220.1)</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(112.3)</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6.8</w:t>
            </w:r>
          </w:p>
        </w:tc>
        <w:tc>
          <w:tcPr>
            <w:tcW w:w="9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Net income (loss)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$(151.1)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7"/>
              <w:spacing w:after="0"/>
              <w:rPr>
                <w:sz w:val="20"/>
                <w:szCs w:val="20"/>
                <w:color w:val="auto"/>
              </w:rPr>
            </w:pPr>
            <w:r>
              <w:rPr>
                <w:rFonts w:ascii="Arial" w:cs="Arial" w:eastAsia="Arial" w:hAnsi="Arial"/>
                <w:sz w:val="18"/>
                <w:szCs w:val="18"/>
                <w:color w:val="auto"/>
              </w:rPr>
              <w:t>(183.7)</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$(229.3)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8.1</w:t>
            </w: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Net loss attributable to common units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7"/>
              <w:spacing w:after="0"/>
              <w:rPr>
                <w:sz w:val="20"/>
                <w:szCs w:val="20"/>
                <w:color w:val="auto"/>
              </w:rPr>
            </w:pPr>
            <w:r>
              <w:rPr>
                <w:rFonts w:ascii="Arial" w:cs="Arial" w:eastAsia="Arial" w:hAnsi="Arial"/>
                <w:sz w:val="18"/>
                <w:szCs w:val="18"/>
                <w:color w:val="auto"/>
              </w:rPr>
              <w:t>(191.7)</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77"/>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Nine</w:t>
            </w:r>
          </w:p>
        </w:tc>
        <w:tc>
          <w:tcPr>
            <w:tcW w:w="100" w:type="dxa"/>
            <w:vAlign w:val="bottom"/>
          </w:tcPr>
          <w:p>
            <w:pPr>
              <w:spacing w:after="0"/>
              <w:rPr>
                <w:sz w:val="14"/>
                <w:szCs w:val="14"/>
                <w:color w:val="auto"/>
              </w:rPr>
            </w:pPr>
          </w:p>
        </w:tc>
        <w:tc>
          <w:tcPr>
            <w:tcW w:w="158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months</w:t>
            </w:r>
          </w:p>
        </w:tc>
        <w:tc>
          <w:tcPr>
            <w:tcW w:w="200" w:type="dxa"/>
            <w:vAlign w:val="bottom"/>
          </w:tcPr>
          <w:p>
            <w:pPr>
              <w:spacing w:after="0"/>
              <w:rPr>
                <w:sz w:val="5"/>
                <w:szCs w:val="5"/>
                <w:color w:val="auto"/>
              </w:rPr>
            </w:pPr>
          </w:p>
        </w:tc>
        <w:tc>
          <w:tcPr>
            <w:tcW w:w="90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months</w:t>
            </w:r>
          </w:p>
        </w:tc>
        <w:tc>
          <w:tcPr>
            <w:tcW w:w="1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6"/>
            <w:vMerge w:val="restart"/>
          </w:tcPr>
          <w:p>
            <w:pPr>
              <w:jc w:val="right"/>
              <w:ind w:right="297"/>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4"/>
        </w:trPr>
        <w:tc>
          <w:tcPr>
            <w:tcW w:w="11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ended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ended</w:t>
            </w:r>
          </w:p>
        </w:tc>
        <w:tc>
          <w:tcPr>
            <w:tcW w:w="100" w:type="dxa"/>
            <w:vAlign w:val="bottom"/>
          </w:tcPr>
          <w:p>
            <w:pPr>
              <w:spacing w:after="0"/>
              <w:rPr>
                <w:sz w:val="7"/>
                <w:szCs w:val="7"/>
                <w:color w:val="auto"/>
              </w:rPr>
            </w:pPr>
          </w:p>
        </w:tc>
        <w:tc>
          <w:tcPr>
            <w:tcW w:w="15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1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20" w:type="dxa"/>
            <w:vAlign w:val="bottom"/>
            <w:gridSpan w:val="3"/>
          </w:tcPr>
          <w:p>
            <w:pPr>
              <w:jc w:val="right"/>
              <w:ind w:right="220"/>
              <w:spacing w:after="0" w:line="152" w:lineRule="exact"/>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rPr>
                <w:sz w:val="13"/>
                <w:szCs w:val="13"/>
                <w:color w:val="auto"/>
              </w:rPr>
            </w:pPr>
          </w:p>
        </w:tc>
        <w:tc>
          <w:tcPr>
            <w:tcW w:w="86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October 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98"/>
              </w:rPr>
              <w:t>Dec. 31,</w:t>
            </w:r>
          </w:p>
        </w:tc>
        <w:tc>
          <w:tcPr>
            <w:tcW w:w="200" w:type="dxa"/>
            <w:vAlign w:val="bottom"/>
          </w:tcPr>
          <w:p>
            <w:pPr>
              <w:spacing w:after="0"/>
              <w:rPr>
                <w:sz w:val="13"/>
                <w:szCs w:val="13"/>
                <w:color w:val="auto"/>
              </w:rPr>
            </w:pPr>
          </w:p>
        </w:tc>
        <w:tc>
          <w:tcPr>
            <w:tcW w:w="900" w:type="dxa"/>
            <w:vAlign w:val="bottom"/>
            <w:gridSpan w:val="3"/>
          </w:tcPr>
          <w:p>
            <w:pPr>
              <w:jc w:val="center"/>
              <w:ind w:right="300"/>
              <w:spacing w:after="0" w:line="152" w:lineRule="exact"/>
              <w:rPr>
                <w:sz w:val="20"/>
                <w:szCs w:val="20"/>
                <w:color w:val="auto"/>
              </w:rPr>
            </w:pPr>
            <w:r>
              <w:rPr>
                <w:rFonts w:ascii="Arial" w:cs="Arial" w:eastAsia="Arial" w:hAnsi="Arial"/>
                <w:sz w:val="14"/>
                <w:szCs w:val="14"/>
                <w:b w:val="1"/>
                <w:bCs w:val="1"/>
                <w:color w:val="auto"/>
                <w:w w:val="97"/>
              </w:rPr>
              <w:t>Sept. 30,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20" w:type="dxa"/>
            <w:vAlign w:val="bottom"/>
            <w:gridSpan w:val="9"/>
          </w:tcPr>
          <w:p>
            <w:pPr>
              <w:jc w:val="center"/>
              <w:ind w:right="720"/>
              <w:spacing w:after="0" w:line="180" w:lineRule="exact"/>
              <w:rPr>
                <w:sz w:val="20"/>
                <w:szCs w:val="20"/>
                <w:color w:val="auto"/>
              </w:rPr>
            </w:pPr>
            <w:r>
              <w:rPr>
                <w:rFonts w:ascii="Arial" w:cs="Arial" w:eastAsia="Arial" w:hAnsi="Arial"/>
                <w:sz w:val="13"/>
                <w:szCs w:val="13"/>
                <w:b w:val="1"/>
                <w:bCs w:val="1"/>
                <w:color w:val="auto"/>
                <w:w w:val="96"/>
              </w:rPr>
              <w:t>Successor Company</w:t>
            </w:r>
            <w:r>
              <w:rPr>
                <w:rFonts w:ascii="Arial" w:cs="Arial" w:eastAsia="Arial" w:hAnsi="Arial"/>
                <w:sz w:val="20"/>
                <w:szCs w:val="20"/>
                <w:b w:val="1"/>
                <w:bCs w:val="1"/>
                <w:color w:val="auto"/>
                <w:w w:val="96"/>
                <w:vertAlign w:val="superscript"/>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8"/>
          </w:tcPr>
          <w:p>
            <w:pPr>
              <w:jc w:val="right"/>
              <w:ind w:right="520"/>
              <w:spacing w:after="0" w:line="180" w:lineRule="exact"/>
              <w:rPr>
                <w:sz w:val="20"/>
                <w:szCs w:val="20"/>
                <w:color w:val="auto"/>
              </w:rPr>
            </w:pPr>
            <w:r>
              <w:rPr>
                <w:rFonts w:ascii="Arial" w:cs="Arial" w:eastAsia="Arial" w:hAnsi="Arial"/>
                <w:sz w:val="13"/>
                <w:szCs w:val="13"/>
                <w:b w:val="1"/>
                <w:bCs w:val="1"/>
                <w:color w:val="auto"/>
              </w:rPr>
              <w:t>Predecessor Company</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right"/>
              <w:ind w:right="557"/>
              <w:spacing w:after="0" w:line="149"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(Audited)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gridSpan w:val="14"/>
          </w:tcPr>
          <w:p>
            <w:pPr>
              <w:jc w:val="right"/>
              <w:ind w:right="780"/>
              <w:spacing w:after="0"/>
              <w:rPr>
                <w:sz w:val="20"/>
                <w:szCs w:val="20"/>
                <w:color w:val="auto"/>
              </w:rPr>
            </w:pPr>
            <w:r>
              <w:rPr>
                <w:rFonts w:ascii="Arial" w:cs="Arial" w:eastAsia="Arial" w:hAnsi="Arial"/>
                <w:sz w:val="14"/>
                <w:szCs w:val="14"/>
                <w:b w:val="1"/>
                <w:bCs w:val="1"/>
                <w:color w:val="auto"/>
              </w:rPr>
              <w:t>(in millions, except per common unit data)</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unit data:</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loss per common unit: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(3.62)</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(4.54)</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(2.10)</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spacing w:after="0" w:line="206" w:lineRule="exact"/>
              <w:rPr>
                <w:sz w:val="20"/>
                <w:szCs w:val="20"/>
                <w:color w:val="auto"/>
              </w:rPr>
            </w:pPr>
            <w:r>
              <w:rPr>
                <w:rFonts w:ascii="Arial" w:cs="Arial" w:eastAsia="Arial" w:hAnsi="Arial"/>
                <w:sz w:val="18"/>
                <w:szCs w:val="18"/>
                <w:color w:val="auto"/>
              </w:rPr>
              <w:t>Weighted-average units used in computing</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net loss per common unit: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52.769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w w:val="98"/>
              </w:rPr>
              <w:t>52.975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4"/>
              </w:rPr>
              <w:t>52.912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52.898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50.062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61.9</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89.2</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86.6</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58.4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821.5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37"/>
              <w:spacing w:after="0" w:line="202" w:lineRule="exact"/>
              <w:rPr>
                <w:sz w:val="20"/>
                <w:szCs w:val="20"/>
                <w:color w:val="auto"/>
              </w:rPr>
            </w:pPr>
            <w:r>
              <w:rPr>
                <w:rFonts w:ascii="Arial" w:cs="Arial" w:eastAsia="Arial" w:hAnsi="Arial"/>
                <w:sz w:val="18"/>
                <w:szCs w:val="18"/>
                <w:color w:val="auto"/>
                <w:w w:val="93"/>
              </w:rPr>
              <w:t>770.1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3"/>
              </w:rPr>
              <w:t>1,040.6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w w:val="96"/>
              </w:rPr>
              <w:t>1,154.5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653.8</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790.0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6"/>
              </w:rPr>
              <w:t>1,077.8</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indebtedness</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800.6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left="37"/>
              <w:spacing w:after="0" w:line="202" w:lineRule="exact"/>
              <w:rPr>
                <w:sz w:val="20"/>
                <w:szCs w:val="20"/>
                <w:color w:val="auto"/>
              </w:rPr>
            </w:pPr>
            <w:r>
              <w:rPr>
                <w:rFonts w:ascii="Arial" w:cs="Arial" w:eastAsia="Arial" w:hAnsi="Arial"/>
                <w:sz w:val="18"/>
                <w:szCs w:val="18"/>
                <w:color w:val="auto"/>
                <w:w w:val="93"/>
              </w:rPr>
              <w:t>750.0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750.7</w:t>
            </w: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Preferred units</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37"/>
              <w:spacing w:after="0" w:line="202" w:lineRule="exact"/>
              <w:rPr>
                <w:sz w:val="20"/>
                <w:szCs w:val="20"/>
                <w:color w:val="auto"/>
              </w:rPr>
            </w:pPr>
            <w:r>
              <w:rPr>
                <w:rFonts w:ascii="Arial" w:cs="Arial" w:eastAsia="Arial" w:hAnsi="Arial"/>
                <w:sz w:val="18"/>
                <w:szCs w:val="18"/>
                <w:color w:val="auto"/>
                <w:w w:val="93"/>
              </w:rPr>
              <w:t>117.4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96.5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Owners’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40" w:type="dxa"/>
            <w:vAlign w:val="bottom"/>
            <w:gridSpan w:val="2"/>
          </w:tcPr>
          <w:p>
            <w:pPr>
              <w:spacing w:after="0" w:line="184" w:lineRule="exact"/>
              <w:rPr>
                <w:sz w:val="20"/>
                <w:szCs w:val="20"/>
                <w:color w:val="auto"/>
              </w:rPr>
            </w:pPr>
            <w:r>
              <w:rPr>
                <w:rFonts w:ascii="Arial" w:cs="Arial" w:eastAsia="Arial" w:hAnsi="Arial"/>
                <w:sz w:val="18"/>
                <w:szCs w:val="18"/>
                <w:color w:val="auto"/>
              </w:rPr>
              <w:t>Unitholders’ equity</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line="184" w:lineRule="exact"/>
              <w:rPr>
                <w:sz w:val="20"/>
                <w:szCs w:val="20"/>
                <w:color w:val="auto"/>
              </w:rPr>
            </w:pPr>
            <w:r>
              <w:rPr>
                <w:rFonts w:ascii="Arial" w:cs="Arial" w:eastAsia="Arial" w:hAnsi="Arial"/>
                <w:sz w:val="18"/>
                <w:szCs w:val="18"/>
                <w:color w:val="auto"/>
              </w:rPr>
              <w:t>(452.2)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57"/>
              <w:spacing w:after="0" w:line="184" w:lineRule="exact"/>
              <w:rPr>
                <w:sz w:val="20"/>
                <w:szCs w:val="20"/>
                <w:color w:val="auto"/>
              </w:rPr>
            </w:pPr>
            <w:r>
              <w:rPr>
                <w:rFonts w:ascii="Arial" w:cs="Arial" w:eastAsia="Arial" w:hAnsi="Arial"/>
                <w:sz w:val="18"/>
                <w:szCs w:val="18"/>
                <w:color w:val="auto"/>
              </w:rPr>
              <w:t>(235.1)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84" w:lineRule="exact"/>
              <w:rPr>
                <w:sz w:val="20"/>
                <w:szCs w:val="20"/>
                <w:color w:val="auto"/>
              </w:rPr>
            </w:pPr>
            <w:r>
              <w:rPr>
                <w:rFonts w:ascii="Arial" w:cs="Arial" w:eastAsia="Arial" w:hAnsi="Arial"/>
                <w:sz w:val="18"/>
                <w:szCs w:val="18"/>
                <w:color w:val="auto"/>
              </w:rPr>
              <w:t>(284.5)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20"/>
              <w:spacing w:after="0" w:line="184" w:lineRule="exact"/>
              <w:rPr>
                <w:sz w:val="20"/>
                <w:szCs w:val="20"/>
                <w:color w:val="auto"/>
              </w:rPr>
            </w:pPr>
            <w:r>
              <w:rPr>
                <w:rFonts w:ascii="Arial" w:cs="Arial" w:eastAsia="Arial" w:hAnsi="Arial"/>
                <w:sz w:val="18"/>
                <w:szCs w:val="18"/>
                <w:color w:val="auto"/>
              </w:rPr>
              <w:t>(46.5)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40"/>
              <w:spacing w:after="0" w:line="184" w:lineRule="exact"/>
              <w:rPr>
                <w:sz w:val="20"/>
                <w:szCs w:val="20"/>
                <w:color w:val="auto"/>
              </w:rPr>
            </w:pPr>
            <w:r>
              <w:rPr>
                <w:rFonts w:ascii="Arial" w:cs="Arial" w:eastAsia="Arial" w:hAnsi="Arial"/>
                <w:sz w:val="18"/>
                <w:szCs w:val="18"/>
                <w:color w:val="auto"/>
              </w:rPr>
              <w:t>55.9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Supplemental Data:</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EBITDA</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37"/>
              <w:spacing w:after="0" w:line="202" w:lineRule="exact"/>
              <w:rPr>
                <w:sz w:val="20"/>
                <w:szCs w:val="20"/>
                <w:color w:val="auto"/>
              </w:rPr>
            </w:pPr>
            <w:r>
              <w:rPr>
                <w:rFonts w:ascii="Arial" w:cs="Arial" w:eastAsia="Arial" w:hAnsi="Arial"/>
                <w:sz w:val="18"/>
                <w:szCs w:val="18"/>
                <w:color w:val="auto"/>
                <w:w w:val="93"/>
              </w:rPr>
              <w:t>188.6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202.9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45.9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266.9</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338.5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spacing w:after="0" w:line="206" w:lineRule="exact"/>
              <w:rPr>
                <w:sz w:val="20"/>
                <w:szCs w:val="20"/>
                <w:color w:val="auto"/>
              </w:rPr>
            </w:pPr>
            <w:r>
              <w:rPr>
                <w:rFonts w:ascii="Arial" w:cs="Arial" w:eastAsia="Arial" w:hAnsi="Arial"/>
                <w:sz w:val="18"/>
                <w:szCs w:val="18"/>
                <w:color w:val="auto"/>
              </w:rPr>
              <w:t>Net cash provided by (used in) operating</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17"/>
              <w:spacing w:after="0" w:line="200" w:lineRule="exact"/>
              <w:rPr>
                <w:sz w:val="20"/>
                <w:szCs w:val="20"/>
                <w:color w:val="auto"/>
              </w:rPr>
            </w:pPr>
            <w:r>
              <w:rPr>
                <w:rFonts w:ascii="Arial" w:cs="Arial" w:eastAsia="Arial" w:hAnsi="Arial"/>
                <w:sz w:val="18"/>
                <w:szCs w:val="18"/>
                <w:color w:val="auto"/>
              </w:rPr>
              <w:t>36.6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30.5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103.6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0" w:lineRule="exact"/>
              <w:rPr>
                <w:sz w:val="20"/>
                <w:szCs w:val="20"/>
                <w:color w:val="auto"/>
              </w:rPr>
            </w:pPr>
            <w:r>
              <w:rPr>
                <w:rFonts w:ascii="Arial" w:cs="Arial" w:eastAsia="Arial" w:hAnsi="Arial"/>
                <w:sz w:val="18"/>
                <w:szCs w:val="18"/>
                <w:color w:val="auto"/>
              </w:rPr>
              <w:t>17.3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312.2</w:t>
            </w:r>
          </w:p>
        </w:tc>
        <w:tc>
          <w:tcPr>
            <w:tcW w:w="100" w:type="dxa"/>
            <w:vAlign w:val="bottom"/>
          </w:tcPr>
          <w:p>
            <w:pPr>
              <w:spacing w:after="0"/>
              <w:rPr>
                <w:sz w:val="17"/>
                <w:szCs w:val="17"/>
                <w:color w:val="auto"/>
              </w:rPr>
            </w:pP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182.1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187.1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6"/>
        </w:trPr>
        <w:tc>
          <w:tcPr>
            <w:tcW w:w="3840" w:type="dxa"/>
            <w:vAlign w:val="bottom"/>
            <w:gridSpan w:val="2"/>
          </w:tcPr>
          <w:p>
            <w:pPr>
              <w:spacing w:after="0" w:line="206" w:lineRule="exact"/>
              <w:rPr>
                <w:sz w:val="20"/>
                <w:szCs w:val="20"/>
                <w:color w:val="auto"/>
              </w:rPr>
            </w:pPr>
            <w:r>
              <w:rPr>
                <w:rFonts w:ascii="Arial" w:cs="Arial" w:eastAsia="Arial" w:hAnsi="Arial"/>
                <w:sz w:val="18"/>
                <w:szCs w:val="18"/>
                <w:color w:val="auto"/>
              </w:rPr>
              <w:t>Net cash provided by (used in) financing</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50.5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57"/>
              <w:spacing w:after="0" w:line="200" w:lineRule="exact"/>
              <w:rPr>
                <w:sz w:val="20"/>
                <w:szCs w:val="20"/>
                <w:color w:val="auto"/>
              </w:rPr>
            </w:pPr>
            <w:r>
              <w:rPr>
                <w:rFonts w:ascii="Arial" w:cs="Arial" w:eastAsia="Arial" w:hAnsi="Arial"/>
                <w:sz w:val="18"/>
                <w:szCs w:val="18"/>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0"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w w:val="94"/>
              </w:rPr>
              <w:t>(226.8)</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w w:val="98"/>
              </w:rPr>
              <w:t>(160.6)</w:t>
            </w:r>
          </w:p>
        </w:tc>
        <w:tc>
          <w:tcPr>
            <w:tcW w:w="100" w:type="dxa"/>
            <w:vAlign w:val="bottom"/>
          </w:tcPr>
          <w:p>
            <w:pPr>
              <w:spacing w:after="0"/>
              <w:rPr>
                <w:sz w:val="17"/>
                <w:szCs w:val="17"/>
                <w:color w:val="auto"/>
              </w:rPr>
            </w:pPr>
          </w:p>
        </w:tc>
        <w:tc>
          <w:tcPr>
            <w:tcW w:w="6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0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October 6, 2004, our business was acquired from Hynix. For accounting purposes and consistent with its reporting periods, we have used October 1, 2004 as the effective date of such acquisition since the financial results from and after October 1, 2004 accrued to our benefit. As a result, we have reported our operating results and financial position for all periods from and after October 1, 2004 as those of the successor company. The predecessor company periods and the successor company periods have different bases of accounting and are therefore not comparable.</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indebtedness is calculated as long- and short-term borrowings, including the current portion of long-term borrowings.</w:t>
      </w:r>
    </w:p>
    <w:p>
      <w:pPr>
        <w:ind w:left="340" w:right="80" w:hanging="332"/>
        <w:spacing w:after="0" w:line="272" w:lineRule="auto"/>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(loss), as determined in accordance with GAAP. EBITDA is not a measure defined in accordance with GAAP. We believe that EBITDA is a standard performance measure commonly reported and widely used by analysts and investors in our industry. However, the method of computation may or may not be comparable to other similarly titled measures of other companies. A reconciliation of net income (loss) to EBITDA is as follows:</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832"/>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October 1,</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2"/>
              </w:rPr>
              <w:t>millions)</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(in</w:t>
            </w:r>
          </w:p>
        </w:tc>
        <w:tc>
          <w:tcPr>
            <w:tcW w:w="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(151.1)</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(183.7)</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(229.3)</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145.5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44.7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43.0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Provision for income tax</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11.6</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Capital expenditures represent tangible and intangible asset acquisitions.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80"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have prepared the unaudited pro forma condensed consolidated financial information of MagnaChip for the year ended December 31, 2006 and as of and for the nine months ended September 30, 2007 in accordance with generally accepted accounting principles in the United States, or GAAP. The selected unaudited pro forma condensed consolidated financial information are derived from the historical consolidated financial statements of MagnaChip Semiconductor LLC and give pro forma effect to (1) the corporate reorganization and (2) the sale of shares in this offering and application of the net proceeds from this offering. We have prepared the pro forma adjustments as if the corporate reorganization, this offering and the applicable of the net proceeds to be used for debt repayment and repurchase of preferred units had taken place as of January 1, 2006 and January 1, 2007,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following information should be read in conjunction with “Capitalization,” “Management’s Discussion and Analysis of Financial Condition and Results of Operations,” “Risk Factors” and the audited and unaudited consolidated financial statements of MagnaChip Semiconductor LLC and the related notes included elsewhere in this prospectus. The unaudited pro forma consolidated financial information is not necessarily indicative of operating results or the financial position that would have been achieved had the corporate reorganization and this offering occurred on January 1, 2006 and January 1, 2007, respectively, and is not necessarily indicative of future operating results.</w:t>
      </w:r>
    </w:p>
    <w:p>
      <w:pPr>
        <w:spacing w:after="0" w:line="15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Management has prepared the accompanying unaudited pro forma consolidated statements of operations for the year ended December 31, 2006 and the nine months ended September 30, 2007 and the unaudited pro forma consolidated balance sheet as of September 30, 2007 in accordance with Article 11 of Regulation S-X for inclusion in this prospectus.</w:t>
      </w:r>
    </w:p>
    <w:p>
      <w:pPr>
        <w:spacing w:after="0" w:line="154" w:lineRule="exact"/>
        <w:rPr>
          <w:sz w:val="20"/>
          <w:szCs w:val="20"/>
          <w:color w:val="auto"/>
        </w:rPr>
      </w:pPr>
    </w:p>
    <w:p>
      <w:pPr>
        <w:ind w:right="580" w:firstLine="571"/>
        <w:spacing w:after="0" w:line="239" w:lineRule="auto"/>
        <w:rPr>
          <w:sz w:val="20"/>
          <w:szCs w:val="20"/>
          <w:color w:val="auto"/>
        </w:rPr>
      </w:pPr>
      <w:r>
        <w:rPr>
          <w:rFonts w:ascii="Arial" w:cs="Arial" w:eastAsia="Arial" w:hAnsi="Arial"/>
          <w:sz w:val="18"/>
          <w:szCs w:val="18"/>
          <w:color w:val="auto"/>
        </w:rPr>
        <w:t>The accounting policies used in the preparation of the pro forma consolidated financial statements are those disclosed in the audited consolidated financial statements of MagnaChip Semiconductor LLC for the year ended December 31, 2006.</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firstLine="571"/>
        <w:spacing w:after="0" w:line="237" w:lineRule="auto"/>
        <w:rPr>
          <w:sz w:val="20"/>
          <w:szCs w:val="20"/>
          <w:color w:val="auto"/>
        </w:rPr>
      </w:pPr>
      <w:r>
        <w:rPr>
          <w:rFonts w:ascii="Arial" w:cs="Arial" w:eastAsia="Arial" w:hAnsi="Arial"/>
          <w:sz w:val="18"/>
          <w:szCs w:val="18"/>
          <w:color w:val="auto"/>
        </w:rPr>
        <w:t>The following summary historical and pro forma condensed consolidated financial information should be read in conjunction with “Capitalization,” “Selected Historical Consolidated Financial and Operating Data of MagnaChip Semiconductor LLC,” “Management’s Discussion and Analysis of Financial Condition and Results of Operations” and our financial statements, including the notes to those financial statements, included elsewhere in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6"/>
              <w:spacing w:after="0" w:line="126"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7"/>
              </w:rPr>
              <w:t>Historical</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5"/>
              </w:rPr>
              <w:t>Nine months Ended</w:t>
            </w: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September 30, 2007</w:t>
            </w:r>
          </w:p>
        </w:tc>
        <w:tc>
          <w:tcPr>
            <w:tcW w:w="9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6"/>
              <w:spacing w:after="0" w:line="176" w:lineRule="exact"/>
              <w:rPr>
                <w:sz w:val="20"/>
                <w:szCs w:val="20"/>
                <w:color w:val="auto"/>
              </w:rPr>
            </w:pPr>
            <w:r>
              <w:rPr>
                <w:rFonts w:ascii="Arial" w:cs="Arial" w:eastAsia="Arial" w:hAnsi="Arial"/>
                <w:sz w:val="20"/>
                <w:szCs w:val="20"/>
                <w:b w:val="1"/>
                <w:bCs w:val="1"/>
                <w:color w:val="auto"/>
                <w:vertAlign w:val="subscript"/>
              </w:rPr>
              <w:t>2007</w:t>
            </w:r>
            <w:r>
              <w:rPr>
                <w:rFonts w:ascii="Arial" w:cs="Arial" w:eastAsia="Arial" w:hAnsi="Arial"/>
                <w:sz w:val="9"/>
                <w:szCs w:val="9"/>
                <w:b w:val="1"/>
                <w:bCs w:val="1"/>
                <w:color w:val="auto"/>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Condensed Pro Forma Statements of Operations: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40" w:type="dxa"/>
            <w:vAlign w:val="bottom"/>
            <w:gridSpan w:val="6"/>
          </w:tcPr>
          <w:p>
            <w:pPr>
              <w:ind w:left="980"/>
              <w:spacing w:after="0"/>
              <w:rPr>
                <w:sz w:val="20"/>
                <w:szCs w:val="20"/>
                <w:color w:val="auto"/>
              </w:rPr>
            </w:pPr>
            <w:r>
              <w:rPr>
                <w:rFonts w:ascii="Arial" w:cs="Arial" w:eastAsia="Arial" w:hAnsi="Arial"/>
                <w:sz w:val="14"/>
                <w:szCs w:val="14"/>
                <w:b w:val="1"/>
                <w:bCs w:val="1"/>
                <w:color w:val="auto"/>
                <w:w w:val="98"/>
              </w:rPr>
              <w:t>(in millions, except per common unit / share data)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545.9</w:t>
            </w:r>
          </w:p>
        </w:tc>
        <w:tc>
          <w:tcPr>
            <w:tcW w:w="9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9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74.0</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7" w:lineRule="exact"/>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71.9</w:t>
            </w:r>
          </w:p>
        </w:tc>
        <w:tc>
          <w:tcPr>
            <w:tcW w:w="980" w:type="dxa"/>
            <w:vAlign w:val="bottom"/>
          </w:tcPr>
          <w:p>
            <w:pPr>
              <w:spacing w:after="0"/>
              <w:rPr>
                <w:sz w:val="17"/>
                <w:szCs w:val="17"/>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9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98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(111.1)</w:t>
            </w: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980" w:type="dxa"/>
            <w:vAlign w:val="bottom"/>
          </w:tcPr>
          <w:p>
            <w:pPr>
              <w:spacing w:after="0"/>
              <w:rPr>
                <w:sz w:val="17"/>
                <w:szCs w:val="17"/>
                <w:color w:val="auto"/>
              </w:rPr>
            </w:pPr>
          </w:p>
        </w:tc>
        <w:tc>
          <w:tcPr>
            <w:tcW w:w="156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(12.2)</w:t>
            </w:r>
            <w:r>
              <w:rPr>
                <w:rFonts w:ascii="Arial" w:cs="Arial" w:eastAsia="Arial" w:hAnsi="Arial"/>
                <w:sz w:val="22"/>
                <w:szCs w:val="22"/>
                <w:color w:val="auto"/>
                <w:vertAlign w:val="superscript"/>
              </w:rPr>
              <w:t>(4)</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5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9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Other income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(33.4)</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(144.4)</w:t>
            </w: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Income tax expenses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980" w:type="dxa"/>
            <w:vAlign w:val="bottom"/>
          </w:tcPr>
          <w:p>
            <w:pPr>
              <w:spacing w:after="0"/>
              <w:rPr>
                <w:sz w:val="17"/>
                <w:szCs w:val="17"/>
                <w:color w:val="auto"/>
              </w:rPr>
            </w:pPr>
          </w:p>
        </w:tc>
        <w:tc>
          <w:tcPr>
            <w:tcW w:w="1560" w:type="dxa"/>
            <w:vAlign w:val="bottom"/>
            <w:gridSpan w:val="2"/>
          </w:tcPr>
          <w:p>
            <w:pPr>
              <w:jc w:val="right"/>
              <w:ind w:right="5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(5)</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(151.1)</w:t>
            </w: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Dividends accrued on preferred stock</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980" w:type="dxa"/>
            <w:vAlign w:val="bottom"/>
          </w:tcPr>
          <w:p>
            <w:pPr>
              <w:spacing w:after="0"/>
              <w:rPr>
                <w:sz w:val="17"/>
                <w:szCs w:val="17"/>
                <w:color w:val="auto"/>
              </w:rPr>
            </w:pPr>
          </w:p>
        </w:tc>
        <w:tc>
          <w:tcPr>
            <w:tcW w:w="156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(8.9)</w:t>
            </w:r>
            <w:r>
              <w:rPr>
                <w:rFonts w:ascii="Arial" w:cs="Arial" w:eastAsia="Arial" w:hAnsi="Arial"/>
                <w:sz w:val="22"/>
                <w:szCs w:val="22"/>
                <w:color w:val="auto"/>
                <w:vertAlign w:val="superscript"/>
              </w:rPr>
              <w:t>(6)</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 / share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(159.9)</w:t>
            </w: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Per unit / share data:</w:t>
            </w: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loss per common unit / share: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440"/>
              <w:spacing w:after="0" w:line="202" w:lineRule="exact"/>
              <w:rPr>
                <w:sz w:val="20"/>
                <w:szCs w:val="20"/>
                <w:color w:val="auto"/>
              </w:rPr>
            </w:pPr>
            <w:r>
              <w:rPr>
                <w:rFonts w:ascii="Arial" w:cs="Arial" w:eastAsia="Arial" w:hAnsi="Arial"/>
                <w:sz w:val="18"/>
                <w:szCs w:val="18"/>
                <w:color w:val="auto"/>
              </w:rPr>
              <w:t>Basic and diluted</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(3.03)</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units / shares used in computing net loss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per common unit / share: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40" w:type="dxa"/>
            <w:vAlign w:val="bottom"/>
          </w:tcPr>
          <w:p>
            <w:pPr>
              <w:ind w:left="440"/>
              <w:spacing w:after="0"/>
              <w:rPr>
                <w:sz w:val="20"/>
                <w:szCs w:val="20"/>
                <w:color w:val="auto"/>
              </w:rPr>
            </w:pPr>
            <w:r>
              <w:rPr>
                <w:rFonts w:ascii="Arial" w:cs="Arial" w:eastAsia="Arial" w:hAnsi="Arial"/>
                <w:sz w:val="18"/>
                <w:szCs w:val="18"/>
                <w:color w:val="auto"/>
              </w:rPr>
              <w:t>Basic and diluted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52.769</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5140" w:type="dxa"/>
            <w:vAlign w:val="bottom"/>
          </w:tcPr>
          <w:p>
            <w:pPr>
              <w:spacing w:after="0"/>
              <w:rPr>
                <w:sz w:val="20"/>
                <w:szCs w:val="20"/>
                <w:color w:val="auto"/>
              </w:rPr>
            </w:pPr>
            <w:r>
              <w:rPr>
                <w:rFonts w:ascii="Arial" w:cs="Arial" w:eastAsia="Arial" w:hAnsi="Arial"/>
                <w:sz w:val="18"/>
                <w:szCs w:val="18"/>
                <w:b w:val="1"/>
                <w:bCs w:val="1"/>
                <w:color w:val="auto"/>
              </w:rPr>
              <w:t>Condensed Pro Forma Balance Sheets: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124.3</w:t>
            </w:r>
          </w:p>
        </w:tc>
        <w:tc>
          <w:tcPr>
            <w:tcW w:w="980" w:type="dxa"/>
            <w:vAlign w:val="bottom"/>
          </w:tcPr>
          <w:p>
            <w:pPr>
              <w:spacing w:after="0"/>
              <w:rPr>
                <w:sz w:val="17"/>
                <w:szCs w:val="17"/>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 net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9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0"/>
        </w:trPr>
        <w:tc>
          <w:tcPr>
            <w:tcW w:w="51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980" w:type="dxa"/>
            <w:vAlign w:val="bottom"/>
          </w:tcPr>
          <w:p>
            <w:pPr>
              <w:spacing w:after="0"/>
              <w:rPr>
                <w:sz w:val="18"/>
                <w:szCs w:val="18"/>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5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298.2</w:t>
            </w:r>
          </w:p>
        </w:tc>
        <w:tc>
          <w:tcPr>
            <w:tcW w:w="9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281.0</w:t>
            </w:r>
          </w:p>
        </w:tc>
        <w:tc>
          <w:tcPr>
            <w:tcW w:w="980" w:type="dxa"/>
            <w:vAlign w:val="bottom"/>
          </w:tcPr>
          <w:p>
            <w:pPr>
              <w:spacing w:after="0"/>
              <w:rPr>
                <w:sz w:val="17"/>
                <w:szCs w:val="17"/>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w:t>
            </w:r>
          </w:p>
        </w:tc>
        <w:tc>
          <w:tcPr>
            <w:tcW w:w="9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c>
          <w:tcPr>
            <w:tcW w:w="98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5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742.3</w:t>
            </w:r>
          </w:p>
        </w:tc>
        <w:tc>
          <w:tcPr>
            <w:tcW w:w="9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jc w:val="right"/>
              <w:ind w:right="13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4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6"/>
              <w:spacing w:after="0" w:line="126"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Historical</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September 30, 2007</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6"/>
              <w:spacing w:after="0" w:line="176" w:lineRule="exact"/>
              <w:rPr>
                <w:sz w:val="20"/>
                <w:szCs w:val="20"/>
                <w:color w:val="auto"/>
              </w:rPr>
            </w:pPr>
            <w:r>
              <w:rPr>
                <w:rFonts w:ascii="Arial" w:cs="Arial" w:eastAsia="Arial" w:hAnsi="Arial"/>
                <w:sz w:val="20"/>
                <w:szCs w:val="20"/>
                <w:b w:val="1"/>
                <w:bCs w:val="1"/>
                <w:color w:val="auto"/>
                <w:vertAlign w:val="subscript"/>
              </w:rPr>
              <w:t>2007</w:t>
            </w:r>
            <w:r>
              <w:rPr>
                <w:rFonts w:ascii="Arial" w:cs="Arial" w:eastAsia="Arial" w:hAnsi="Arial"/>
                <w:sz w:val="9"/>
                <w:szCs w:val="9"/>
                <w:b w:val="1"/>
                <w:bCs w:val="1"/>
                <w:color w:val="auto"/>
              </w:rPr>
              <w:t>(1)(2)(3)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Unitholders’ Equity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(in millions, except per common unit / share data)</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3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line="202" w:lineRule="exact"/>
              <w:rPr>
                <w:sz w:val="20"/>
                <w:szCs w:val="20"/>
                <w:color w:val="auto"/>
              </w:rPr>
            </w:pPr>
            <w:r>
              <w:rPr>
                <w:rFonts w:ascii="Arial" w:cs="Arial" w:eastAsia="Arial" w:hAnsi="Arial"/>
                <w:sz w:val="18"/>
                <w:szCs w:val="18"/>
                <w:color w:val="auto"/>
                <w:w w:val="97"/>
              </w:rPr>
              <w:t>Accounts payable</w:t>
            </w:r>
          </w:p>
        </w:tc>
        <w:tc>
          <w:tcPr>
            <w:tcW w:w="3600" w:type="dxa"/>
            <w:vAlign w:val="bottom"/>
          </w:tcPr>
          <w:p>
            <w:pPr>
              <w:spacing w:after="0"/>
              <w:rPr>
                <w:sz w:val="17"/>
                <w:szCs w:val="17"/>
                <w:color w:val="auto"/>
              </w:rPr>
            </w:pPr>
          </w:p>
        </w:tc>
        <w:tc>
          <w:tcPr>
            <w:tcW w:w="60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121.2</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20" w:type="dxa"/>
            <w:vAlign w:val="bottom"/>
            <w:gridSpan w:val="2"/>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accounts payable</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31.7</w:t>
            </w:r>
          </w:p>
        </w:tc>
        <w:tc>
          <w:tcPr>
            <w:tcW w:w="10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w:t>
            </w:r>
          </w:p>
        </w:tc>
        <w:tc>
          <w:tcPr>
            <w:tcW w:w="3240" w:type="dxa"/>
            <w:vAlign w:val="bottom"/>
            <w:gridSpan w:val="3"/>
          </w:tcPr>
          <w:p>
            <w:pPr>
              <w:jc w:val="right"/>
              <w:ind w:right="1220"/>
              <w:spacing w:after="0" w:line="203" w:lineRule="exact"/>
              <w:rPr>
                <w:sz w:val="20"/>
                <w:szCs w:val="20"/>
                <w:color w:val="auto"/>
              </w:rPr>
            </w:pPr>
            <w:r>
              <w:rPr>
                <w:rFonts w:ascii="Arial" w:cs="Arial" w:eastAsia="Arial" w:hAnsi="Arial"/>
                <w:sz w:val="18"/>
                <w:szCs w:val="18"/>
                <w:color w:val="auto"/>
              </w:rPr>
              <w:t xml:space="preserve">9.8 </w:t>
            </w:r>
            <w:r>
              <w:rPr>
                <w:rFonts w:ascii="Arial" w:cs="Arial" w:eastAsia="Arial" w:hAnsi="Arial"/>
                <w:sz w:val="22"/>
                <w:szCs w:val="22"/>
                <w:color w:val="auto"/>
                <w:vertAlign w:val="superscript"/>
              </w:rPr>
              <w:t>(3)</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Short-term borrowings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50.6</w:t>
            </w:r>
          </w:p>
        </w:tc>
        <w:tc>
          <w:tcPr>
            <w:tcW w:w="3240" w:type="dxa"/>
            <w:vAlign w:val="bottom"/>
            <w:gridSpan w:val="3"/>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(50.6)</w:t>
            </w:r>
            <w:r>
              <w:rPr>
                <w:rFonts w:ascii="Arial" w:cs="Arial" w:eastAsia="Arial" w:hAnsi="Arial"/>
                <w:sz w:val="22"/>
                <w:szCs w:val="22"/>
                <w:color w:val="auto"/>
                <w:vertAlign w:val="superscript"/>
              </w:rPr>
              <w:t>(7)</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1020" w:type="dxa"/>
            <w:vAlign w:val="bottom"/>
          </w:tcPr>
          <w:p>
            <w:pPr>
              <w:spacing w:after="0"/>
              <w:rPr>
                <w:sz w:val="18"/>
                <w:szCs w:val="18"/>
                <w:color w:val="auto"/>
              </w:rPr>
            </w:pPr>
          </w:p>
        </w:tc>
        <w:tc>
          <w:tcPr>
            <w:tcW w:w="2220" w:type="dxa"/>
            <w:vAlign w:val="bottom"/>
            <w:gridSpan w:val="2"/>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238.9</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Long-term borrowings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60" w:type="dxa"/>
            <w:vAlign w:val="bottom"/>
          </w:tcPr>
          <w:p>
            <w:pPr>
              <w:spacing w:after="0"/>
              <w:rPr>
                <w:sz w:val="17"/>
                <w:szCs w:val="17"/>
                <w:color w:val="auto"/>
              </w:rPr>
            </w:pPr>
          </w:p>
        </w:tc>
        <w:tc>
          <w:tcPr>
            <w:tcW w:w="3240" w:type="dxa"/>
            <w:vAlign w:val="bottom"/>
            <w:gridSpan w:val="3"/>
          </w:tcPr>
          <w:p>
            <w:pPr>
              <w:jc w:val="right"/>
              <w:ind w:right="1200"/>
              <w:spacing w:after="0" w:line="203" w:lineRule="exact"/>
              <w:rPr>
                <w:sz w:val="20"/>
                <w:szCs w:val="20"/>
                <w:color w:val="auto"/>
              </w:rPr>
            </w:pPr>
            <w:r>
              <w:rPr>
                <w:rFonts w:ascii="Arial" w:cs="Arial" w:eastAsia="Arial" w:hAnsi="Arial"/>
                <w:sz w:val="18"/>
                <w:szCs w:val="18"/>
                <w:color w:val="auto"/>
              </w:rPr>
              <w:t>(149.4)</w:t>
            </w:r>
            <w:r>
              <w:rPr>
                <w:rFonts w:ascii="Arial" w:cs="Arial" w:eastAsia="Arial" w:hAnsi="Arial"/>
                <w:sz w:val="22"/>
                <w:szCs w:val="22"/>
                <w:color w:val="auto"/>
                <w:vertAlign w:val="superscript"/>
              </w:rPr>
              <w:t>(7)</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600.6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severance benefits, net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72.3</w:t>
            </w:r>
          </w:p>
        </w:tc>
        <w:tc>
          <w:tcPr>
            <w:tcW w:w="10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3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1,068.2</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Series A redeemable convertible preferred units; 60,000</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units authorized, 50,091 units issued and 0 units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outstanding at September 30, 2007 and December 31,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2006, actual and pro forma</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1400"/>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line="206" w:lineRule="exact"/>
              <w:rPr>
                <w:sz w:val="20"/>
                <w:szCs w:val="20"/>
                <w:color w:val="auto"/>
              </w:rPr>
            </w:pPr>
            <w:r>
              <w:rPr>
                <w:rFonts w:ascii="Arial" w:cs="Arial" w:eastAsia="Arial" w:hAnsi="Arial"/>
                <w:sz w:val="18"/>
                <w:szCs w:val="18"/>
                <w:color w:val="auto"/>
              </w:rPr>
              <w:t>Series B redeemable convertible preferred units stated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value $1,000 per unit; 550,000 units authorized,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450,692 units issued and 93,997 units outstanding at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September 30, 2007 and December 31, 2006, actual,</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0 units issued and outstanding at September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2007, pro forma</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126.2</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20" w:type="dxa"/>
            <w:vAlign w:val="bottom"/>
            <w:gridSpan w:val="2"/>
          </w:tcPr>
          <w:p>
            <w:pPr>
              <w:jc w:val="right"/>
              <w:ind w:right="1200"/>
              <w:spacing w:after="0" w:line="200" w:lineRule="exact"/>
              <w:rPr>
                <w:sz w:val="20"/>
                <w:szCs w:val="20"/>
                <w:color w:val="auto"/>
              </w:rPr>
            </w:pPr>
            <w:r>
              <w:rPr>
                <w:rFonts w:ascii="Arial" w:cs="Arial" w:eastAsia="Arial" w:hAnsi="Arial"/>
                <w:sz w:val="18"/>
                <w:szCs w:val="18"/>
                <w:color w:val="auto"/>
              </w:rPr>
              <w:t>(126.2)</w:t>
            </w:r>
            <w:r>
              <w:rPr>
                <w:rFonts w:ascii="Arial" w:cs="Arial" w:eastAsia="Arial" w:hAnsi="Arial"/>
                <w:sz w:val="22"/>
                <w:szCs w:val="22"/>
                <w:color w:val="auto"/>
                <w:vertAlign w:val="superscript"/>
              </w:rPr>
              <w:t>(8)</w:t>
            </w:r>
          </w:p>
        </w:tc>
        <w:tc>
          <w:tcPr>
            <w:tcW w:w="140" w:type="dxa"/>
            <w:vAlign w:val="bottom"/>
          </w:tcPr>
          <w:p>
            <w:pPr>
              <w:spacing w:after="0"/>
              <w:rPr>
                <w:sz w:val="17"/>
                <w:szCs w:val="17"/>
                <w:color w:val="auto"/>
              </w:rPr>
            </w:pPr>
          </w:p>
        </w:tc>
        <w:tc>
          <w:tcPr>
            <w:tcW w:w="12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redeemable convertible preferred units</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126.2</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line="206" w:lineRule="exact"/>
              <w:rPr>
                <w:sz w:val="20"/>
                <w:szCs w:val="20"/>
                <w:color w:val="auto"/>
              </w:rPr>
            </w:pPr>
            <w:r>
              <w:rPr>
                <w:rFonts w:ascii="Arial" w:cs="Arial" w:eastAsia="Arial" w:hAnsi="Arial"/>
                <w:sz w:val="18"/>
                <w:szCs w:val="18"/>
                <w:color w:val="auto"/>
              </w:rPr>
              <w:t>Series B preferred stock; 0 shares authorized, issued and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outstanding at September 30, 2007, actual,</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shares issued and outstanding, at September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2007, pro forma</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2220" w:type="dxa"/>
            <w:vAlign w:val="bottom"/>
            <w:gridSpan w:val="2"/>
          </w:tcPr>
          <w:p>
            <w:pPr>
              <w:jc w:val="right"/>
              <w:ind w:right="1400"/>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Unitholders’ / stockholders' equity</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line="206" w:lineRule="exact"/>
              <w:rPr>
                <w:sz w:val="20"/>
                <w:szCs w:val="20"/>
                <w:color w:val="auto"/>
              </w:rPr>
            </w:pPr>
            <w:r>
              <w:rPr>
                <w:rFonts w:ascii="Arial" w:cs="Arial" w:eastAsia="Arial" w:hAnsi="Arial"/>
                <w:sz w:val="18"/>
                <w:szCs w:val="18"/>
                <w:color w:val="auto"/>
              </w:rPr>
              <w:t>Common units; 65,000,000 units authorized, 52,831,722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issued and outstanding at September 30, 2007,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actual, 0 units issued and outstanding at September</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30, 2007, pro forma</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52.8</w:t>
            </w:r>
          </w:p>
        </w:tc>
        <w:tc>
          <w:tcPr>
            <w:tcW w:w="3240" w:type="dxa"/>
            <w:vAlign w:val="bottom"/>
            <w:gridSpan w:val="3"/>
          </w:tcPr>
          <w:p>
            <w:pPr>
              <w:jc w:val="right"/>
              <w:ind w:right="1340"/>
              <w:spacing w:after="0" w:line="200" w:lineRule="exact"/>
              <w:rPr>
                <w:sz w:val="20"/>
                <w:szCs w:val="20"/>
                <w:color w:val="auto"/>
              </w:rPr>
            </w:pPr>
            <w:r>
              <w:rPr>
                <w:rFonts w:ascii="Arial" w:cs="Arial" w:eastAsia="Arial" w:hAnsi="Arial"/>
                <w:sz w:val="18"/>
                <w:szCs w:val="18"/>
                <w:color w:val="auto"/>
              </w:rPr>
              <w:t>(52.8)</w:t>
            </w:r>
          </w:p>
        </w:tc>
        <w:tc>
          <w:tcPr>
            <w:tcW w:w="140" w:type="dxa"/>
            <w:vAlign w:val="bottom"/>
          </w:tcPr>
          <w:p>
            <w:pPr>
              <w:spacing w:after="0"/>
              <w:rPr>
                <w:sz w:val="17"/>
                <w:szCs w:val="17"/>
                <w:color w:val="auto"/>
              </w:rPr>
            </w:pPr>
          </w:p>
        </w:tc>
        <w:tc>
          <w:tcPr>
            <w:tcW w:w="12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0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Common stock; 100,000,000 shares authorized, 0 shares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issued and outstanding at September 30, 2007,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actual,</w:t>
            </w: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issued and outstanding at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September 30, 2007, pro forma</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(531.8)</w:t>
            </w:r>
          </w:p>
        </w:tc>
        <w:tc>
          <w:tcPr>
            <w:tcW w:w="3240" w:type="dxa"/>
            <w:vAlign w:val="bottom"/>
            <w:gridSpan w:val="3"/>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(9.8)</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unitholders’ / stockholders' equity</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(452.2)</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units</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and unitholders’ / stockholders' equity</w:t>
            </w:r>
          </w:p>
        </w:tc>
        <w:tc>
          <w:tcPr>
            <w:tcW w:w="600" w:type="dxa"/>
            <w:vAlign w:val="bottom"/>
            <w:gridSpan w:val="2"/>
          </w:tcPr>
          <w:p>
            <w:pPr>
              <w:ind w:left="500"/>
              <w:spacing w:after="0" w:line="200"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742.3</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873"/>
              <w:spacing w:after="0"/>
              <w:rPr>
                <w:sz w:val="20"/>
                <w:szCs w:val="20"/>
                <w:color w:val="auto"/>
              </w:rPr>
            </w:pPr>
            <w:r>
              <w:rPr>
                <w:rFonts w:ascii="Arial" w:cs="Arial" w:eastAsia="Arial" w:hAnsi="Arial"/>
                <w:sz w:val="18"/>
                <w:szCs w:val="18"/>
                <w:color w:val="auto"/>
                <w:w w:val="99"/>
              </w:rPr>
              <w:t>32</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Selected Unaudited Pro Forma Consolidated Financial Information</w:t>
      </w:r>
    </w:p>
    <w:p>
      <w:pPr>
        <w:spacing w:after="0" w:line="99" w:lineRule="exact"/>
        <w:rPr>
          <w:sz w:val="20"/>
          <w:szCs w:val="20"/>
          <w:color w:val="auto"/>
        </w:rPr>
      </w:pPr>
    </w:p>
    <w:p>
      <w:pPr>
        <w:ind w:right="20" w:firstLine="579"/>
        <w:spacing w:after="0" w:line="264" w:lineRule="auto"/>
        <w:tabs>
          <w:tab w:leader="none" w:pos="83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corporate reorganization adjustments in the unaudited pro forma consolidated financial information for the nine months ended September 30, 2007 assume (a) the consummation of the corporate reorganization of MagnaChip Semiconductor LLC and the effectiveness of our amended and restated certificate of incorporation, which is expected to occur prior to the closing of this offering, (b) the exchange of all of the</w:t>
      </w:r>
    </w:p>
    <w:p>
      <w:pPr>
        <w:spacing w:after="0" w:line="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outstanding common units of MagnaChip Semiconductor LLC for shares of our common stock at a ratio of and (c) the exchange of all of the outstanding Series B preferred units of MagnaChip Semiconductor LLC for shares of our Series B preferred stock at a ratio of 1:1.</w:t>
      </w:r>
    </w:p>
    <w:p>
      <w:pPr>
        <w:spacing w:after="0" w:line="155" w:lineRule="exact"/>
        <w:rPr>
          <w:sz w:val="20"/>
          <w:szCs w:val="20"/>
          <w:color w:val="auto"/>
        </w:rPr>
      </w:pPr>
    </w:p>
    <w:p>
      <w:pPr>
        <w:jc w:val="both"/>
        <w:ind w:firstLine="579"/>
        <w:spacing w:after="0" w:line="237" w:lineRule="auto"/>
        <w:tabs>
          <w:tab w:leader="none" w:pos="8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offering adjustments in the unaudited pro forma consolidated financial information for the nine months ended September 30, 2007 assume the application of (a) $200.0 million of net proceeds from this offering to repay a portion of our outstanding indebtedness under our notes and our senior secured credit facility and (b) $126.2 million of net proceeds from this offering to redeem all of our Series B preferred stock, together with accrued and unpaid dividends thereon through the closing date of this offering.</w:t>
      </w:r>
    </w:p>
    <w:p>
      <w:pPr>
        <w:spacing w:after="0" w:line="154" w:lineRule="exact"/>
        <w:rPr>
          <w:rFonts w:ascii="Arial" w:cs="Arial" w:eastAsia="Arial" w:hAnsi="Arial"/>
          <w:sz w:val="18"/>
          <w:szCs w:val="18"/>
          <w:color w:val="auto"/>
        </w:rPr>
      </w:pPr>
    </w:p>
    <w:p>
      <w:pPr>
        <w:ind w:right="360" w:firstLine="579"/>
        <w:spacing w:after="0" w:line="238" w:lineRule="auto"/>
        <w:tabs>
          <w:tab w:leader="none" w:pos="8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expect to pay certain amounts in connection with the termination of our sponsors’ advisory agreements, which will result directly from this offering and which will be included in our statement of operations within 12 months following this offering. These charges are not expected to have a continuing impact and, therefore, have not been included in our pro forma statements of operations.</w:t>
      </w:r>
    </w:p>
    <w:p>
      <w:pPr>
        <w:spacing w:after="0" w:line="149" w:lineRule="exact"/>
        <w:rPr>
          <w:rFonts w:ascii="Arial" w:cs="Arial" w:eastAsia="Arial" w:hAnsi="Arial"/>
          <w:sz w:val="18"/>
          <w:szCs w:val="18"/>
          <w:color w:val="auto"/>
        </w:rPr>
      </w:pPr>
    </w:p>
    <w:p>
      <w:pPr>
        <w:ind w:left="840" w:hanging="261"/>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expense, net, reflects the assumed application of $200.0 million of net proceeds from this offering to repay a portion of the</w:t>
      </w:r>
    </w:p>
    <w:p>
      <w:pPr>
        <w:ind w:right="20"/>
        <w:spacing w:after="0" w:line="236" w:lineRule="auto"/>
        <w:rPr>
          <w:sz w:val="20"/>
          <w:szCs w:val="20"/>
          <w:color w:val="auto"/>
        </w:rPr>
      </w:pPr>
      <w:r>
        <w:rPr>
          <w:rFonts w:ascii="Arial" w:cs="Arial" w:eastAsia="Arial" w:hAnsi="Arial"/>
          <w:sz w:val="18"/>
          <w:szCs w:val="18"/>
          <w:color w:val="auto"/>
        </w:rPr>
        <w:t>$800.6 million of our outstanding indebtedness at September 30, 2007, including the senior secured credit facility and notes. The adjustment is based on the assumption that the proceeds will be applied first to repay the outstanding balance on the short-term borrowing, which consists of the senior secured credit facility and the remaining amount applied to repay a portion of the long-term debt, which consists of our notes. The resulting reduction of interest expense from the repayment of our indebtedness would have been $12.2 million for the nine months ended September 30, 2007, which was calculated using the weighted average interest rate of 8.1% which includes the interest rates of both the senior secured credit facility and the notes at September 30, 2007.</w:t>
      </w:r>
    </w:p>
    <w:p>
      <w:pPr>
        <w:spacing w:after="0" w:line="156" w:lineRule="exact"/>
        <w:rPr>
          <w:sz w:val="20"/>
          <w:szCs w:val="20"/>
          <w:color w:val="auto"/>
        </w:rPr>
      </w:pPr>
    </w:p>
    <w:p>
      <w:pPr>
        <w:ind w:left="840" w:hanging="261"/>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believe our effective tax rate will not change as a result of the corporate reorganization.</w:t>
      </w:r>
    </w:p>
    <w:p>
      <w:pPr>
        <w:spacing w:after="0" w:line="157" w:lineRule="exact"/>
        <w:rPr>
          <w:rFonts w:ascii="Arial" w:cs="Arial" w:eastAsia="Arial" w:hAnsi="Arial"/>
          <w:sz w:val="18"/>
          <w:szCs w:val="18"/>
          <w:color w:val="auto"/>
        </w:rPr>
      </w:pPr>
    </w:p>
    <w:p>
      <w:pPr>
        <w:ind w:right="20" w:firstLine="579"/>
        <w:spacing w:after="0" w:line="275" w:lineRule="auto"/>
        <w:tabs>
          <w:tab w:leader="none" w:pos="834"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Dividends accrued on preferred stock reflects the assumed application of $126.2 million of net proceeds from this offering to repurchase all of our outstanding Series B preferred stock at September 30, 2007. The resulting reduction in dividends accrued on preferred stock due to the assumed repurchase of all of our outstanding Series B preferred stock was $8.9 million for the nine months ended September 30, 2007, which was calculated using the stated dividend rate on the Series B preferred units of MagnaChip Semiconductor LLC of 10.0% per annum.</w:t>
      </w:r>
    </w:p>
    <w:p>
      <w:pPr>
        <w:spacing w:after="0" w:line="129" w:lineRule="exact"/>
        <w:rPr>
          <w:rFonts w:ascii="Arial" w:cs="Arial" w:eastAsia="Arial" w:hAnsi="Arial"/>
          <w:sz w:val="16"/>
          <w:szCs w:val="16"/>
          <w:color w:val="auto"/>
        </w:rPr>
      </w:pPr>
    </w:p>
    <w:p>
      <w:pPr>
        <w:ind w:right="60" w:firstLine="579"/>
        <w:spacing w:after="0" w:line="237" w:lineRule="auto"/>
        <w:tabs>
          <w:tab w:leader="none" w:pos="8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Short-term borrowing and long-term debt reflects the assumed application of $200.0 million of net proceeds from this offering to repay a portion of our $800.6 million of outstanding indebtedness at September 30, 2007, including the senior secured credit facility and notes. This adjustment was based on the assumption that the proceeds would have been applied first to repay the outstanding balance on the short-term borrowing and the remaining amount applied to repay a portion of the long term debt.</w:t>
      </w:r>
    </w:p>
    <w:p>
      <w:pPr>
        <w:spacing w:after="0" w:line="154" w:lineRule="exact"/>
        <w:rPr>
          <w:rFonts w:ascii="Arial" w:cs="Arial" w:eastAsia="Arial" w:hAnsi="Arial"/>
          <w:sz w:val="18"/>
          <w:szCs w:val="18"/>
          <w:color w:val="auto"/>
        </w:rPr>
      </w:pPr>
    </w:p>
    <w:p>
      <w:pPr>
        <w:ind w:right="500" w:firstLine="579"/>
        <w:spacing w:after="0" w:line="239" w:lineRule="auto"/>
        <w:tabs>
          <w:tab w:leader="none" w:pos="8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Preferred units/shares reflects the assumed application of $126.2 million of net proceeds from this offering to repurchase all of our outstanding Series B preferred stock at September 30, 2007.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940"/>
              <w:spacing w:after="0" w:line="156" w:lineRule="exact"/>
              <w:rPr>
                <w:sz w:val="20"/>
                <w:szCs w:val="20"/>
                <w:color w:val="auto"/>
              </w:rPr>
            </w:pPr>
            <w:r>
              <w:rPr>
                <w:rFonts w:ascii="Arial" w:cs="Arial" w:eastAsia="Arial" w:hAnsi="Arial"/>
                <w:sz w:val="14"/>
                <w:szCs w:val="14"/>
                <w:b w:val="1"/>
                <w:bCs w:val="1"/>
                <w:color w:val="auto"/>
                <w:w w:val="97"/>
              </w:rPr>
              <w:t>Historical</w:t>
            </w: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3"/>
              <w:spacing w:after="0" w:line="156"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2006</w:t>
            </w:r>
          </w:p>
        </w:tc>
        <w:tc>
          <w:tcPr>
            <w:tcW w:w="8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2006</w:t>
            </w:r>
            <w:r>
              <w:rPr>
                <w:rFonts w:ascii="Arial" w:cs="Arial" w:eastAsia="Arial" w:hAnsi="Arial"/>
                <w:sz w:val="10"/>
                <w:szCs w:val="10"/>
                <w:b w:val="1"/>
                <w:bCs w:val="1"/>
                <w:color w:val="auto"/>
              </w:rPr>
              <w:t>(1)(2)(3)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60" w:type="dxa"/>
            <w:vAlign w:val="bottom"/>
            <w:gridSpan w:val="5"/>
          </w:tcPr>
          <w:p>
            <w:pPr>
              <w:ind w:left="700"/>
              <w:spacing w:after="0" w:line="125" w:lineRule="exact"/>
              <w:rPr>
                <w:sz w:val="20"/>
                <w:szCs w:val="20"/>
                <w:color w:val="auto"/>
              </w:rPr>
            </w:pPr>
            <w:r>
              <w:rPr>
                <w:rFonts w:ascii="Arial" w:cs="Arial" w:eastAsia="Arial" w:hAnsi="Arial"/>
                <w:sz w:val="14"/>
                <w:szCs w:val="14"/>
                <w:b w:val="1"/>
                <w:bCs w:val="1"/>
                <w:color w:val="auto"/>
                <w:w w:val="96"/>
              </w:rPr>
              <w:t>(in millions, except per common unit/share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Condensed Pro Forma Statements of Operations: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2"/>
          </w:tcPr>
          <w:p>
            <w:pPr>
              <w:jc w:val="right"/>
              <w:ind w:right="1052"/>
              <w:spacing w:after="0"/>
              <w:rPr>
                <w:sz w:val="20"/>
                <w:szCs w:val="20"/>
                <w:color w:val="auto"/>
              </w:rPr>
            </w:pPr>
            <w:r>
              <w:rPr>
                <w:rFonts w:ascii="Arial" w:cs="Arial" w:eastAsia="Arial" w:hAnsi="Arial"/>
                <w:sz w:val="14"/>
                <w:szCs w:val="14"/>
                <w:b w:val="1"/>
                <w:bCs w:val="1"/>
                <w:color w:val="auto"/>
              </w:rPr>
              <w:t>data)</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744.4</w:t>
            </w:r>
          </w:p>
        </w:tc>
        <w:tc>
          <w:tcPr>
            <w:tcW w:w="8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644.9</w:t>
            </w:r>
          </w:p>
        </w:tc>
        <w:tc>
          <w:tcPr>
            <w:tcW w:w="8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820" w:type="dxa"/>
            <w:vAlign w:val="bottom"/>
          </w:tcPr>
          <w:p>
            <w:pPr>
              <w:spacing w:after="0"/>
              <w:rPr>
                <w:sz w:val="17"/>
                <w:szCs w:val="17"/>
                <w:color w:val="auto"/>
              </w:rPr>
            </w:pPr>
          </w:p>
        </w:tc>
        <w:tc>
          <w:tcPr>
            <w:tcW w:w="1760" w:type="dxa"/>
            <w:vAlign w:val="bottom"/>
            <w:gridSpan w:val="2"/>
          </w:tcPr>
          <w:p>
            <w:pPr>
              <w:jc w:val="right"/>
              <w:ind w:right="87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8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w:t>
            </w:r>
          </w:p>
        </w:tc>
        <w:tc>
          <w:tcPr>
            <w:tcW w:w="8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(213.8)</w:t>
            </w: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820" w:type="dxa"/>
            <w:vAlign w:val="bottom"/>
          </w:tcPr>
          <w:p>
            <w:pPr>
              <w:spacing w:after="0"/>
              <w:rPr>
                <w:sz w:val="17"/>
                <w:szCs w:val="17"/>
                <w:color w:val="auto"/>
              </w:rPr>
            </w:pPr>
          </w:p>
        </w:tc>
        <w:tc>
          <w:tcPr>
            <w:tcW w:w="1760" w:type="dxa"/>
            <w:vAlign w:val="bottom"/>
            <w:gridSpan w:val="2"/>
          </w:tcPr>
          <w:p>
            <w:pPr>
              <w:jc w:val="right"/>
              <w:ind w:right="672"/>
              <w:spacing w:after="0" w:line="203" w:lineRule="exact"/>
              <w:rPr>
                <w:sz w:val="20"/>
                <w:szCs w:val="20"/>
                <w:color w:val="auto"/>
              </w:rPr>
            </w:pPr>
            <w:r>
              <w:rPr>
                <w:rFonts w:ascii="Arial" w:cs="Arial" w:eastAsia="Arial" w:hAnsi="Arial"/>
                <w:sz w:val="18"/>
                <w:szCs w:val="18"/>
                <w:color w:val="auto"/>
              </w:rPr>
              <w:t>(16.2)</w:t>
            </w:r>
            <w:r>
              <w:rPr>
                <w:rFonts w:ascii="Arial" w:cs="Arial" w:eastAsia="Arial" w:hAnsi="Arial"/>
                <w:sz w:val="22"/>
                <w:szCs w:val="22"/>
                <w:color w:val="auto"/>
                <w:vertAlign w:val="superscript"/>
              </w:rPr>
              <w:t>(4)</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8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Other income (expenses)</w:t>
            </w: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(6.3)</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(220.1)</w:t>
            </w: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Income tax expenses</w:t>
            </w:r>
          </w:p>
        </w:tc>
        <w:tc>
          <w:tcPr>
            <w:tcW w:w="120" w:type="dxa"/>
            <w:vAlign w:val="bottom"/>
          </w:tcPr>
          <w:p>
            <w:pPr>
              <w:spacing w:after="0"/>
              <w:rPr>
                <w:sz w:val="17"/>
                <w:szCs w:val="17"/>
                <w:color w:val="auto"/>
              </w:rPr>
            </w:pPr>
          </w:p>
        </w:tc>
        <w:tc>
          <w:tcPr>
            <w:tcW w:w="160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9.3</w:t>
            </w:r>
          </w:p>
        </w:tc>
        <w:tc>
          <w:tcPr>
            <w:tcW w:w="1760" w:type="dxa"/>
            <w:vAlign w:val="bottom"/>
            <w:gridSpan w:val="2"/>
          </w:tcPr>
          <w:p>
            <w:pPr>
              <w:jc w:val="right"/>
              <w:ind w:right="712"/>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(5)</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(229.3)</w:t>
            </w: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Dividends accrued on preferred stock</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820" w:type="dxa"/>
            <w:vAlign w:val="bottom"/>
          </w:tcPr>
          <w:p>
            <w:pPr>
              <w:spacing w:after="0"/>
              <w:rPr>
                <w:sz w:val="17"/>
                <w:szCs w:val="17"/>
                <w:color w:val="auto"/>
              </w:rPr>
            </w:pPr>
          </w:p>
        </w:tc>
        <w:tc>
          <w:tcPr>
            <w:tcW w:w="1760" w:type="dxa"/>
            <w:vAlign w:val="bottom"/>
            <w:gridSpan w:val="2"/>
          </w:tcPr>
          <w:p>
            <w:pPr>
              <w:jc w:val="right"/>
              <w:ind w:right="672"/>
              <w:spacing w:after="0" w:line="203" w:lineRule="exact"/>
              <w:rPr>
                <w:sz w:val="20"/>
                <w:szCs w:val="20"/>
                <w:color w:val="auto"/>
              </w:rPr>
            </w:pPr>
            <w:r>
              <w:rPr>
                <w:rFonts w:ascii="Arial" w:cs="Arial" w:eastAsia="Arial" w:hAnsi="Arial"/>
                <w:sz w:val="18"/>
                <w:szCs w:val="18"/>
                <w:color w:val="auto"/>
              </w:rPr>
              <w:t>(10.9)</w:t>
            </w:r>
            <w:r>
              <w:rPr>
                <w:rFonts w:ascii="Arial" w:cs="Arial" w:eastAsia="Arial" w:hAnsi="Arial"/>
                <w:sz w:val="22"/>
                <w:szCs w:val="22"/>
                <w:color w:val="auto"/>
                <w:vertAlign w:val="superscript"/>
              </w:rPr>
              <w:t>(6)</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 / share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(240.2)</w:t>
            </w: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Per unit / share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loss per common unit / share: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880"/>
              <w:spacing w:after="0" w:line="202" w:lineRule="exact"/>
              <w:rPr>
                <w:sz w:val="20"/>
                <w:szCs w:val="20"/>
                <w:color w:val="auto"/>
              </w:rPr>
            </w:pPr>
            <w:r>
              <w:rPr>
                <w:rFonts w:ascii="Arial" w:cs="Arial" w:eastAsia="Arial" w:hAnsi="Arial"/>
                <w:sz w:val="18"/>
                <w:szCs w:val="18"/>
                <w:color w:val="auto"/>
              </w:rPr>
              <w:t>Basic and diluted</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(4.54)</w:t>
            </w: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units / shares used in computing net loss per common unit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share: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88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8"/>
                <w:szCs w:val="18"/>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52.912</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Selected Unaudited Pro Forma Consolidated Financial Data</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corporate reorganization adjustments in the unaudited pro forma consolidated financial information for the year ended</w:t>
      </w:r>
    </w:p>
    <w:p>
      <w:pPr>
        <w:spacing w:after="0"/>
        <w:rPr>
          <w:sz w:val="20"/>
          <w:szCs w:val="20"/>
          <w:color w:val="auto"/>
        </w:rPr>
      </w:pPr>
      <w:r>
        <w:rPr>
          <w:rFonts w:ascii="Arial" w:cs="Arial" w:eastAsia="Arial" w:hAnsi="Arial"/>
          <w:sz w:val="16"/>
          <w:szCs w:val="16"/>
          <w:color w:val="auto"/>
        </w:rPr>
        <w:t>December 31, 2006 assume (a) the consummation of the corporate reorganization of MagnaChip Semiconductor LLC and the effectiveness of 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certificate of incorporation, which is expected to occur prior to the closing of this offering, (b) the exchange of all of the</w:t>
      </w:r>
    </w:p>
    <w:p>
      <w:pPr>
        <w:ind w:right="160"/>
        <w:spacing w:after="0" w:line="239" w:lineRule="auto"/>
        <w:rPr>
          <w:sz w:val="20"/>
          <w:szCs w:val="20"/>
          <w:color w:val="auto"/>
        </w:rPr>
      </w:pPr>
      <w:r>
        <w:rPr>
          <w:rFonts w:ascii="Arial" w:cs="Arial" w:eastAsia="Arial" w:hAnsi="Arial"/>
          <w:sz w:val="18"/>
          <w:szCs w:val="18"/>
          <w:color w:val="auto"/>
        </w:rPr>
        <w:t>outstanding common units of MagnaChip Semiconductor LLC for shares of our common stock at a ratio of and (c) the exchange of all of the outstanding Series B preferred units of MagnaChip Semiconductor LLC for shares of our Series B preferred stock at a ratio of 1:1.</w:t>
      </w:r>
    </w:p>
    <w:p>
      <w:pPr>
        <w:spacing w:after="0" w:line="155" w:lineRule="exact"/>
        <w:rPr>
          <w:sz w:val="20"/>
          <w:szCs w:val="20"/>
          <w:color w:val="auto"/>
        </w:rPr>
      </w:pPr>
    </w:p>
    <w:p>
      <w:pPr>
        <w:jc w:val="both"/>
        <w:ind w:right="180" w:firstLine="579"/>
        <w:spacing w:after="0" w:line="237" w:lineRule="auto"/>
        <w:tabs>
          <w:tab w:leader="none" w:pos="8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offering adjustments in the unaudited pro forma consolidated financial information for the year ended December 31, 2006 assume the application of (a) $200.0 million of net proceeds from this offering to repay a portion of our outstanding indebtedness under the notes and our senior secured credit facility and (b) $117.4 million of net proceeds from this offering to redeem all of our Series B preferred stock, together with accrued and unpaid dividends thereon through the closing date of this offering.</w:t>
      </w:r>
    </w:p>
    <w:p>
      <w:pPr>
        <w:spacing w:after="0" w:line="154" w:lineRule="exact"/>
        <w:rPr>
          <w:rFonts w:ascii="Arial" w:cs="Arial" w:eastAsia="Arial" w:hAnsi="Arial"/>
          <w:sz w:val="18"/>
          <w:szCs w:val="18"/>
          <w:color w:val="auto"/>
        </w:rPr>
      </w:pPr>
    </w:p>
    <w:p>
      <w:pPr>
        <w:ind w:right="380" w:firstLine="579"/>
        <w:spacing w:after="0" w:line="238" w:lineRule="auto"/>
        <w:tabs>
          <w:tab w:leader="none" w:pos="8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expect to pay certain amounts in connection with the termination of our sponsors’ advisory agreements, which will result directly from this offering and which will be included in our statement of operations within 12 months following this offering. These charges are not expected to have a continuing impact and, therefore, have not been included in our pro forma statements of operations.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60" w:firstLine="579"/>
        <w:spacing w:after="0" w:line="234" w:lineRule="auto"/>
        <w:tabs>
          <w:tab w:leader="none" w:pos="8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expense, net, reflects the assumed application of $200.0 million of net proceeds from this offering to repay a portion of our $750.0 million of outstanding indebtedness at December 31, 2006, including the senior secured credit facility and notes. The adjustment was based on the assumption that the proceeds would have been applied first to repay the outstanding balance on the</w:t>
      </w:r>
    </w:p>
    <w:p>
      <w:pPr>
        <w:spacing w:after="0" w:line="2" w:lineRule="exact"/>
        <w:rPr>
          <w:rFonts w:ascii="Arial" w:cs="Arial" w:eastAsia="Arial" w:hAnsi="Arial"/>
          <w:sz w:val="18"/>
          <w:szCs w:val="18"/>
          <w:color w:val="auto"/>
        </w:rPr>
      </w:pPr>
    </w:p>
    <w:p>
      <w:pPr>
        <w:spacing w:after="0" w:line="237" w:lineRule="auto"/>
        <w:rPr>
          <w:rFonts w:ascii="Arial" w:cs="Arial" w:eastAsia="Arial" w:hAnsi="Arial"/>
          <w:sz w:val="18"/>
          <w:szCs w:val="18"/>
          <w:color w:val="auto"/>
        </w:rPr>
      </w:pPr>
      <w:r>
        <w:rPr>
          <w:rFonts w:ascii="Arial" w:cs="Arial" w:eastAsia="Arial" w:hAnsi="Arial"/>
          <w:sz w:val="18"/>
          <w:szCs w:val="18"/>
          <w:color w:val="auto"/>
        </w:rPr>
        <w:t>short-term borrowing, which consists of the senior secured credit facility and the remaining amount applied to repay a portion of the long-term debt. The resulting reduction of interest expense from the repayment of our indebtedness would have been $16.2 million for the year ended December 31, 2006, which was calculated using the weighted average interest rate of 8.1% which includes the interest rates of both the senior secured credit facility and the notes at December 31, 2006.</w:t>
      </w:r>
    </w:p>
    <w:p>
      <w:pPr>
        <w:spacing w:after="0" w:line="154" w:lineRule="exact"/>
        <w:rPr>
          <w:rFonts w:ascii="Arial" w:cs="Arial" w:eastAsia="Arial" w:hAnsi="Arial"/>
          <w:sz w:val="18"/>
          <w:szCs w:val="18"/>
          <w:color w:val="auto"/>
        </w:rPr>
      </w:pPr>
    </w:p>
    <w:p>
      <w:pPr>
        <w:ind w:left="840" w:hanging="261"/>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believe our effective tax rate will not change as a result of the corporate reorganization.</w:t>
      </w:r>
    </w:p>
    <w:p>
      <w:pPr>
        <w:spacing w:after="0" w:line="157" w:lineRule="exact"/>
        <w:rPr>
          <w:rFonts w:ascii="Arial" w:cs="Arial" w:eastAsia="Arial" w:hAnsi="Arial"/>
          <w:sz w:val="18"/>
          <w:szCs w:val="18"/>
          <w:color w:val="auto"/>
        </w:rPr>
      </w:pPr>
    </w:p>
    <w:p>
      <w:pPr>
        <w:ind w:right="40" w:firstLine="579"/>
        <w:spacing w:after="0" w:line="275" w:lineRule="auto"/>
        <w:tabs>
          <w:tab w:leader="none" w:pos="834"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Dividends accrued on preferred stock reflects the assumed application of $117.4 million of net proceeds from this offering to repurchase all of our outstanding Series B preferred stock at December 31, 2006. The resulting reduction in dividends accrued on preferred stock due to the assumed repurchase of all of our outstanding Series B preferred stock was $10.9 million for the year ended December 31, 2006, which was calculated using the stated dividend rate on the Series B preferred units of MagnaChip Semiconductor LLC of 10.0% per annum.</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4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The following discussion and analysis should be read in conjunction with the “Selected Historical Consolidated Financial and Operating Data of MagnaChip Semiconductor LLC” and our consolidated financial statements and the related notes included elsewhere in this prospectus.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right="20" w:firstLine="571"/>
        <w:spacing w:after="0" w:line="268" w:lineRule="auto"/>
        <w:rPr>
          <w:sz w:val="20"/>
          <w:szCs w:val="20"/>
          <w:color w:val="auto"/>
        </w:rPr>
      </w:pPr>
      <w:r>
        <w:rPr>
          <w:rFonts w:ascii="Arial" w:cs="Arial" w:eastAsia="Arial" w:hAnsi="Arial"/>
          <w:sz w:val="16"/>
          <w:szCs w:val="16"/>
          <w:color w:val="auto"/>
        </w:rPr>
        <w:t>We are an Asia-based designer and manufacturer of analog and mixed-signal semiconductor products for high volume consumer applications, such as mobile phones, digital televisions, flat panel displays, notebook computers, mobile multimedia devices and digital cameras. 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 We offer semiconductor manufacturing services to providers of analog and mixed-signal semiconductors that require differentiated, specialty process technologies such as high voltage CMOS, embedded memory and power.</w:t>
      </w:r>
    </w:p>
    <w:p>
      <w:pPr>
        <w:spacing w:after="0" w:line="133" w:lineRule="exact"/>
        <w:rPr>
          <w:sz w:val="20"/>
          <w:szCs w:val="20"/>
          <w:color w:val="auto"/>
        </w:rPr>
      </w:pPr>
    </w:p>
    <w:p>
      <w:pPr>
        <w:jc w:val="both"/>
        <w:ind w:right="140" w:firstLine="571"/>
        <w:spacing w:after="0" w:line="236" w:lineRule="auto"/>
        <w:rPr>
          <w:sz w:val="20"/>
          <w:szCs w:val="20"/>
          <w:color w:val="auto"/>
        </w:rPr>
      </w:pPr>
      <w:r>
        <w:rPr>
          <w:rFonts w:ascii="Arial" w:cs="Arial" w:eastAsia="Arial" w:hAnsi="Arial"/>
          <w:sz w:val="18"/>
          <w:szCs w:val="18"/>
          <w:color w:val="auto"/>
        </w:rPr>
        <w:t>The variety of analog and mixed-signal semiconductor products and services we offer is based on a technology platform that allows us to address multiple end markets and to develop and introduce new products quickly. With manufacturing operations in Korea and design centers in Korea and Japan, our proximity to the global consumer electronics supply chain allows us to service and capture additional demand from existing and new customers. Our manufacturing integration and broad intellectual property enable us to respond quickly to our consumer electronics and semiconductor customers’ needs.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97" w:lineRule="exact"/>
        <w:rPr>
          <w:sz w:val="20"/>
          <w:szCs w:val="20"/>
          <w:color w:val="auto"/>
        </w:rPr>
      </w:pPr>
    </w:p>
    <w:p>
      <w:pPr>
        <w:ind w:right="80" w:firstLine="571"/>
        <w:spacing w:after="0" w:line="281" w:lineRule="auto"/>
        <w:rPr>
          <w:sz w:val="20"/>
          <w:szCs w:val="20"/>
          <w:color w:val="auto"/>
        </w:rPr>
      </w:pPr>
      <w:r>
        <w:rPr>
          <w:rFonts w:ascii="Arial" w:cs="Arial" w:eastAsia="Arial" w:hAnsi="Arial"/>
          <w:sz w:val="16"/>
          <w:szCs w:val="16"/>
          <w:color w:val="auto"/>
        </w:rPr>
        <w:t>We report in three separate business segments because we derive our revenues from three principal business lines: Display Solutions, Imaging Solutions and Semiconductor Manufacturing Services. Additionally, we have a fourth operating segment, Power Solutions, from which we expect to begin earning revenues in 2008. We have identified these segments based on how we allocate resources and assess our performance.</w:t>
      </w:r>
    </w:p>
    <w:p>
      <w:pPr>
        <w:spacing w:after="0" w:line="25" w:lineRule="exact"/>
        <w:rPr>
          <w:sz w:val="20"/>
          <w:szCs w:val="20"/>
          <w:color w:val="auto"/>
        </w:rPr>
      </w:pPr>
    </w:p>
    <w:p>
      <w:pPr>
        <w:jc w:val="both"/>
        <w:ind w:left="820" w:right="80" w:hanging="245"/>
        <w:spacing w:after="0" w:line="293" w:lineRule="auto"/>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Our Display Solutions segment offers flat panel display drivers for a wide range of small to large panel displays used</w:t>
      </w:r>
      <w:r>
        <w:rPr>
          <w:rFonts w:ascii="Arial" w:cs="Arial" w:eastAsia="Arial" w:hAnsi="Arial"/>
          <w:sz w:val="16"/>
          <w:szCs w:val="16"/>
          <w:i w:val="1"/>
          <w:iCs w:val="1"/>
          <w:color w:val="auto"/>
        </w:rPr>
        <w:t xml:space="preserve"> </w:t>
      </w:r>
      <w:r>
        <w:rPr>
          <w:rFonts w:ascii="Arial" w:cs="Arial" w:eastAsia="Arial" w:hAnsi="Arial"/>
          <w:sz w:val="16"/>
          <w:szCs w:val="16"/>
          <w:color w:val="auto"/>
        </w:rPr>
        <w:t>in digital televisions, mobile phones, LCD monitors, notebook computers and mobile multimedia devices, such as handheld games. Our products cover a broad range of interfaces, packages and technologies, including AMOLED, LTPS and TFT technologies.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20" w:hanging="245"/>
        <w:spacing w:after="0" w:line="241"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Our Imaging Solutions segment covers a broad spectrum of videographics array, or VGA; 1.3, 2.1 and 3.2 megapixel,</w:t>
      </w:r>
      <w:r>
        <w:rPr>
          <w:rFonts w:ascii="Arial" w:cs="Arial" w:eastAsia="Arial" w:hAnsi="Arial"/>
          <w:sz w:val="18"/>
          <w:szCs w:val="18"/>
          <w:i w:val="1"/>
          <w:iCs w:val="1"/>
          <w:color w:val="auto"/>
        </w:rPr>
        <w:t xml:space="preserve"> </w:t>
      </w:r>
      <w:r>
        <w:rPr>
          <w:rFonts w:ascii="Arial" w:cs="Arial" w:eastAsia="Arial" w:hAnsi="Arial"/>
          <w:sz w:val="18"/>
          <w:szCs w:val="18"/>
          <w:color w:val="auto"/>
        </w:rPr>
        <w:t>or MP; CMOS image sensors for large and rapidly 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w:t>
      </w:r>
    </w:p>
    <w:p>
      <w:pPr>
        <w:spacing w:after="0" w:line="54"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Our Semiconductor Manufacturing Services segment manufactures wafers for analog and</w:t>
      </w:r>
      <w:r>
        <w:rPr>
          <w:rFonts w:ascii="Arial" w:cs="Arial" w:eastAsia="Arial" w:hAnsi="Arial"/>
          <w:sz w:val="18"/>
          <w:szCs w:val="18"/>
          <w:i w:val="1"/>
          <w:iCs w:val="1"/>
          <w:color w:val="auto"/>
        </w:rPr>
        <w:t xml:space="preserve"> </w:t>
      </w:r>
      <w:r>
        <w:rPr>
          <w:rFonts w:ascii="Arial" w:cs="Arial" w:eastAsia="Arial" w:hAnsi="Arial"/>
          <w:sz w:val="18"/>
          <w:szCs w:val="18"/>
          <w:color w:val="auto"/>
        </w:rPr>
        <w:t>mixed-signal semiconductor companies based on their designs. We offer over 170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offering is targeted at customers who require differentiated, specialty analog and mixed-signal process technologies such as high voltage CMOS, embedded memory and power. These customers typically serve high growth and high volume applications in the consumer, computing, wireless and industrial end markets.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Revenue Sources</w:t>
      </w:r>
    </w:p>
    <w:p>
      <w:pPr>
        <w:spacing w:after="0" w:line="79"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We derive a majority of our sales (net of sales returns and allowances) from three reportable segments: Display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Imaging Solutions and Semiconductor Manufacturing Services. Our non-segmented other net sales consist principally of rental and unit processing business activities. In unit processing, we execute a limited number of process steps, rather than the entire production sequence, in the manufacture of semiconductor wafers for one customer. Our product inventory is primarily located in Korea and is available for drop shipment globally. Outside of Korea, we maintain limited amounts of product inventory, and our sales representatives generally relay orders to our factories in Korea for fulfillment. We have strategically located our sales and technical support offices near concentrations of major customers. Our sales offices are located in Hong Kong, Japan, Korea, Taiwan, the United Kingdom and the United States. Our network of authorized agents and distributors consists of agents in the United States and Europe and distributors and agents in the Asia Pacific region.</w:t>
      </w:r>
    </w:p>
    <w:p>
      <w:pPr>
        <w:spacing w:after="0" w:line="15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net sales depend heavily upon the end-market demand for the goods in which our products are used and the inventory levels maintained by our customers. We generally recognize revenue when we deliver products to an end customer’s location when risk and reward of ownership passes to the customer. In the first nine months of 2007, we sold products to over 190 customers, and our net sales to our ten largest customers represented approximately 61.6% of our net sales. We have a combined production capacity of over 119,000 eight-inch equivalent semiconductor wafers per month. We believe our large-scale, cost-effective fabrication facilities enable us to rapidly adjust our production levels to meet shifts in demand by our end customers.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Factors Affecting Our Results of Operations</w:t>
      </w:r>
    </w:p>
    <w:p>
      <w:pPr>
        <w:spacing w:after="0" w:line="79" w:lineRule="exact"/>
        <w:rPr>
          <w:sz w:val="20"/>
          <w:szCs w:val="20"/>
          <w:color w:val="auto"/>
        </w:rPr>
      </w:pPr>
    </w:p>
    <w:p>
      <w:pPr>
        <w:ind w:right="60" w:firstLine="571"/>
        <w:spacing w:after="0" w:line="28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overall gross profit generally fluctuates as a result of changes in overall sales volumes and in the average selling prices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and variation in depreciation expense.</w:t>
      </w:r>
    </w:p>
    <w:p>
      <w:pPr>
        <w:spacing w:after="0" w:line="105" w:lineRule="exact"/>
        <w:rPr>
          <w:sz w:val="20"/>
          <w:szCs w:val="20"/>
          <w:color w:val="auto"/>
        </w:rPr>
      </w:pPr>
    </w:p>
    <w:p>
      <w:pPr>
        <w:ind w:right="540" w:firstLine="571"/>
        <w:spacing w:after="0" w:line="260" w:lineRule="auto"/>
        <w:rPr>
          <w:sz w:val="20"/>
          <w:szCs w:val="20"/>
          <w:color w:val="auto"/>
        </w:rPr>
      </w:pPr>
      <w:r>
        <w:rPr>
          <w:rFonts w:ascii="Arial" w:cs="Arial" w:eastAsia="Arial" w:hAnsi="Arial"/>
          <w:sz w:val="18"/>
          <w:szCs w:val="18"/>
          <w:i w:val="1"/>
          <w:iCs w:val="1"/>
          <w:color w:val="auto"/>
        </w:rPr>
        <w:t xml:space="preserve">Material Costs. </w:t>
      </w:r>
      <w:r>
        <w:rPr>
          <w:rFonts w:ascii="Arial" w:cs="Arial" w:eastAsia="Arial" w:hAnsi="Arial"/>
          <w:sz w:val="18"/>
          <w:szCs w:val="18"/>
          <w:color w:val="auto"/>
        </w:rPr>
        <w:t>Our cost of sales consists of costs of raw materials, such as silicon wafers, chemicals, gasses and tape, packaging</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equipment maintenance and depreciation expenses.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use processes that require specialized raw materials, such as silicon wafers, that are generally available from a limited number of suppliers. If demand increases or supplies decrease, the costs of our raw materials could significantly increase. For example, worldwide supplies of silicon wafers, an important raw material for the semiconductors we manufacture, have been constrained in recent years due to an increased demand for polysilicon. Polysilicon is also a key raw material for solar cells, the demand for which has steadily increased over the last two years. We do not expect these supplies to increase significantly in the near future. In 2006, we diversified suppliers for many of our raw materials, including chemicals, gasses and tape, which is one of the process materials for our display drivers.</w:t>
      </w:r>
    </w:p>
    <w:p>
      <w:pPr>
        <w:spacing w:after="0" w:line="138"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Labor Costs</w:t>
      </w:r>
      <w:r>
        <w:rPr>
          <w:rFonts w:ascii="Arial" w:cs="Arial" w:eastAsia="Arial" w:hAnsi="Arial"/>
          <w:sz w:val="18"/>
          <w:szCs w:val="18"/>
          <w:color w:val="auto"/>
        </w:rPr>
        <w:t>. A significant portion of our employees are located in Korea. Under Korean labor laws, most employees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with one or more years of service are entitled to severance benefits upon the termination of their employment based on their length of service and rate of pay. As of September 30, 2007, 96% of our employees were eligible for severance benefits. In accordance with the National Pension Act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136"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i w:val="1"/>
          <w:iCs w:val="1"/>
          <w:color w:val="auto"/>
        </w:rPr>
        <w:t>Depreciation Expense</w:t>
      </w:r>
      <w:r>
        <w:rPr>
          <w:rFonts w:ascii="Arial" w:cs="Arial" w:eastAsia="Arial" w:hAnsi="Arial"/>
          <w:sz w:val="18"/>
          <w:szCs w:val="18"/>
          <w:color w:val="auto"/>
        </w:rPr>
        <w:t>. We periodically evaluate the carrying amounts of long-lived assets, including property, plant and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as well as the related depreciation periods. At September 30, 2007, we depreciated our property, plant and equipment using the straight-line method over the estimated useful lives of our assets. Depreciation rates vary from 30-40 years on buildings to five years for certain equipment and assets. Our evaluation of carrying values is based on various analyses including cash flow and profitability projections. If our projections indicate that future undiscounted cash flows are not sufficient to recover the carrying amounts of the related long-lived assets, the carrying amount of the assets is impaired and will be reduced, with the reduction charged to expense so that the carrying amount is equal to fair value.</w:t>
      </w:r>
    </w:p>
    <w:p>
      <w:pPr>
        <w:spacing w:after="0" w:line="137"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We sell our products worldwide through a direct sales force as well as a network of sales agents and representatives to</w:t>
      </w:r>
      <w:r>
        <w:rPr>
          <w:rFonts w:ascii="Arial" w:cs="Arial" w:eastAsia="Arial" w:hAnsi="Arial"/>
          <w:sz w:val="18"/>
          <w:szCs w:val="18"/>
          <w:i w:val="1"/>
          <w:iCs w:val="1"/>
          <w:color w:val="auto"/>
        </w:rPr>
        <w:t xml:space="preserve"> </w:t>
      </w:r>
      <w:r>
        <w:rPr>
          <w:rFonts w:ascii="Arial" w:cs="Arial" w:eastAsia="Arial" w:hAnsi="Arial"/>
          <w:sz w:val="18"/>
          <w:szCs w:val="18"/>
          <w:color w:val="auto"/>
        </w:rPr>
        <w:t>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As incentive compensation is tied to various net sales goals, it will increase or decrease with net sales.</w:t>
      </w:r>
    </w:p>
    <w:p>
      <w:pPr>
        <w:spacing w:after="0" w:line="136" w:lineRule="exact"/>
        <w:rPr>
          <w:sz w:val="20"/>
          <w:szCs w:val="20"/>
          <w:color w:val="auto"/>
        </w:rPr>
      </w:pPr>
    </w:p>
    <w:p>
      <w:pPr>
        <w:jc w:val="both"/>
        <w:ind w:right="620" w:firstLine="571"/>
        <w:spacing w:after="0" w:line="24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finance, legal, human resources and other administrative functions. These expenses primarily consist of payroll-related expenses, consulting and other professional fees and office facility-related expenses.</w:t>
      </w:r>
    </w:p>
    <w:p>
      <w:pPr>
        <w:spacing w:after="0" w:line="131" w:lineRule="exact"/>
        <w:rPr>
          <w:sz w:val="20"/>
          <w:szCs w:val="20"/>
          <w:color w:val="auto"/>
        </w:rPr>
      </w:pPr>
    </w:p>
    <w:p>
      <w:pPr>
        <w:ind w:right="80" w:firstLine="571"/>
        <w:spacing w:after="0" w:line="274"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The rapid technological change and product obsolescence that characterize our industry require us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segments. Consequently, we do not allocate these expenses to individual segments.</w:t>
      </w:r>
    </w:p>
    <w:p>
      <w:pPr>
        <w:spacing w:after="0" w:line="110" w:lineRule="exact"/>
        <w:rPr>
          <w:sz w:val="20"/>
          <w:szCs w:val="20"/>
          <w:color w:val="auto"/>
        </w:rPr>
      </w:pPr>
    </w:p>
    <w:p>
      <w:pPr>
        <w:ind w:firstLine="571"/>
        <w:spacing w:after="0" w:line="260"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We evaluate the recoverability of certain long-lived assets on a periodic basis or whenever events</w:t>
      </w:r>
      <w:r>
        <w:rPr>
          <w:rFonts w:ascii="Arial" w:cs="Arial" w:eastAsia="Arial" w:hAnsi="Arial"/>
          <w:sz w:val="18"/>
          <w:szCs w:val="18"/>
          <w:i w:val="1"/>
          <w:iCs w:val="1"/>
          <w:color w:val="auto"/>
        </w:rPr>
        <w:t xml:space="preserve"> </w:t>
      </w:r>
      <w:r>
        <w:rPr>
          <w:rFonts w:ascii="Arial" w:cs="Arial" w:eastAsia="Arial" w:hAnsi="Arial"/>
          <w:sz w:val="18"/>
          <w:szCs w:val="18"/>
          <w:color w:val="auto"/>
        </w:rPr>
        <w:t>or changes in circumstances indicate that the carrying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amount may not be recoverable. In our efforts to improve our overall profitability in future periods, we have closed or impaired, and may in the future close or impair, facilities which are underutilized and which are no longer aligned with our long-term business goals.</w:t>
      </w:r>
    </w:p>
    <w:p>
      <w:pPr>
        <w:spacing w:after="0" w:line="137" w:lineRule="exact"/>
        <w:rPr>
          <w:sz w:val="20"/>
          <w:szCs w:val="20"/>
          <w:color w:val="auto"/>
        </w:rPr>
      </w:pPr>
    </w:p>
    <w:p>
      <w:pPr>
        <w:ind w:right="120" w:firstLine="571"/>
        <w:spacing w:after="0" w:line="275"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Our interest expense is incurred to service our notes in the amount of $750 million and drawings under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credit facility. At September 30, 2007, the notes bore interest at a weighted average interest rate of 7.94%. Drawings under our senior secured credit facility bore interest at September 30, 2007 at either three-month LIBOR plus 4.75% or ABR plus 3.75% and were minimally offset by interest income on cash balances. Of the $750 million of total long-term borrowings, $300 million consist of variable interest rate securities. Effective as of June 27, 2005, we entered into an interest rate swap agreement that converted the variable interest rate portion of our notes into a fixed interest rate of 7.34%. That arrangement will be in effect until the swap agreement expires on June 15, 2008.</w:t>
      </w:r>
    </w:p>
    <w:p>
      <w:pPr>
        <w:spacing w:after="0" w:line="113" w:lineRule="exact"/>
        <w:rPr>
          <w:sz w:val="20"/>
          <w:szCs w:val="20"/>
          <w:color w:val="auto"/>
        </w:rPr>
      </w:pPr>
    </w:p>
    <w:p>
      <w:pPr>
        <w:ind w:right="220" w:firstLine="571"/>
        <w:spacing w:after="0" w:line="247" w:lineRule="auto"/>
        <w:rPr>
          <w:sz w:val="20"/>
          <w:szCs w:val="20"/>
          <w:color w:val="auto"/>
        </w:rPr>
      </w:pPr>
      <w:r>
        <w:rPr>
          <w:rFonts w:ascii="Arial" w:cs="Arial" w:eastAsia="Arial" w:hAnsi="Arial"/>
          <w:sz w:val="18"/>
          <w:szCs w:val="18"/>
          <w:i w:val="1"/>
          <w:iCs w:val="1"/>
          <w:color w:val="auto"/>
        </w:rPr>
        <w:t xml:space="preserve">Foreign Currency Gain or Loss </w:t>
      </w:r>
      <w:r>
        <w:rPr>
          <w:rFonts w:ascii="Arial" w:cs="Arial" w:eastAsia="Arial" w:hAnsi="Arial"/>
          <w:sz w:val="18"/>
          <w:szCs w:val="18"/>
          <w:color w:val="auto"/>
        </w:rPr>
        <w:t>. A substantial portion of our net foreign currency gain or loss relates to non-cash translation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for intercompany borrowings at our Korea subsidiary that is denominated in U.S. dollars. This balance sheet item is affected by fluctuations in the exchange rate between the Korean won and U.S. dollar.</w:t>
      </w:r>
    </w:p>
    <w:p>
      <w:pPr>
        <w:spacing w:after="0" w:line="131"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 our income taxes in each of the tax jurisdictions in which we operate. This process involves using an asset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periodically evaluate our deferred tax assets to ascertain whether it is more likely than not that the deferred tax assets will be realized.</w:t>
      </w:r>
    </w:p>
    <w:p>
      <w:pPr>
        <w:spacing w:after="0" w:line="154"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Our operations are subject to income and transaction taxes in Korea and in multiple foreign jurisdictions.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136" w:lineRule="exact"/>
        <w:rPr>
          <w:sz w:val="20"/>
          <w:szCs w:val="20"/>
          <w:color w:val="auto"/>
        </w:rPr>
      </w:pPr>
    </w:p>
    <w:p>
      <w:pPr>
        <w:jc w:val="both"/>
        <w:ind w:right="140" w:firstLine="571"/>
        <w:spacing w:after="0" w:line="293"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We invest in manufacturing equipment, software design tools and other tangible and intangible assets for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expansion and technology improvement. Capacity expansions and technology improvements typically occur in anticipation of seasonal increases in demand. We typically pay for capital expenditures in partial installments with portions due on order, delivery and final acceptance.</w:t>
      </w:r>
    </w:p>
    <w:p>
      <w:pPr>
        <w:spacing w:after="0" w:line="96"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9" w:lineRule="exact"/>
        <w:rPr>
          <w:sz w:val="20"/>
          <w:szCs w:val="20"/>
          <w:color w:val="auto"/>
        </w:rPr>
      </w:pPr>
    </w:p>
    <w:p>
      <w:pPr>
        <w:ind w:right="320" w:firstLine="571"/>
        <w:spacing w:after="0" w:line="238" w:lineRule="auto"/>
        <w:rPr>
          <w:sz w:val="20"/>
          <w:szCs w:val="20"/>
          <w:color w:val="auto"/>
        </w:rPr>
      </w:pPr>
      <w:r>
        <w:rPr>
          <w:rFonts w:ascii="Arial" w:cs="Arial" w:eastAsia="Arial" w:hAnsi="Arial"/>
          <w:sz w:val="18"/>
          <w:szCs w:val="18"/>
          <w:color w:val="auto"/>
        </w:rPr>
        <w:t>Prior to October 1, 2004, our consolidated financial statements were prepared on a carve-out basis from the consolidated financial statements and accounting records of Hynix using the actual results of operations and actual basis of assets and liabilities of our business. The consolidated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statements of operations include allocations of certain raw materials, other assets and accounts payable which our business historically shared with Hynix, and allocations of certain manufacturing costs as well as general and administrative, sales and marketing and other miscellaneous expenses. These allocations were made on a specifically identifiable basis or using the relative percentages, as compared to Hynix’s other businesses, of sales, headcount, raw material consumption or other reasonable methods. We considered these allocations to be a reasonable reflection of the utilization of services provided. We believe the assumptions underlying the consolidated financial statements are reasonable. However, the consolidated financial statements may not necessarily reflect our results of operations, financial position and cash flows in the future or what our results of operations, financial position and cash flows would have been, had we been a separate stand-alone company during the historical carve-out periods presented. Accordingly, the carve-out financial statements should not be relied upon as being representative of what our financial position or operating results would have been had we operated on a stand-alone basis, nor may they be representative of our financial position or operating results following the Original Acquisition.</w:t>
      </w:r>
    </w:p>
    <w:p>
      <w:pPr>
        <w:spacing w:after="0" w:line="143"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Prior to our fiscal year 2006, we operated in a single segment—semiconductor manufacturing. In fiscal year 2006,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appointment of a new chief operating decision maker (the “CODM”) as defined by Statements of Financial Accounting Standards (“SFAS”) No. 131, </w:t>
      </w:r>
      <w:r>
        <w:rPr>
          <w:rFonts w:ascii="Arial" w:cs="Arial" w:eastAsia="Arial" w:hAnsi="Arial"/>
          <w:sz w:val="18"/>
          <w:szCs w:val="18"/>
          <w:i w:val="1"/>
          <w:iCs w:val="1"/>
          <w:color w:val="auto"/>
        </w:rPr>
        <w:t>Disclosure about Segments of an Enterprise and Relate Information</w:t>
      </w:r>
      <w:r>
        <w:rPr>
          <w:rFonts w:ascii="Arial" w:cs="Arial" w:eastAsia="Arial" w:hAnsi="Arial"/>
          <w:sz w:val="18"/>
          <w:szCs w:val="18"/>
          <w:color w:val="auto"/>
        </w:rPr>
        <w:t>, we changed the manner in which the CODM reviewed our operational results and made significant business decisions so as to include disaggregated financial information with respect to our three reportable segments. The segment information for prior periods has been prepared in conformity with our current segment structure.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7" w:lineRule="exact"/>
        <w:rPr>
          <w:sz w:val="20"/>
          <w:szCs w:val="20"/>
          <w:color w:val="auto"/>
        </w:rPr>
      </w:pPr>
    </w:p>
    <w:p>
      <w:pPr>
        <w:ind w:right="760" w:firstLine="571"/>
        <w:spacing w:after="0" w:line="239" w:lineRule="auto"/>
        <w:rPr>
          <w:sz w:val="20"/>
          <w:szCs w:val="20"/>
          <w:color w:val="auto"/>
        </w:rPr>
      </w:pPr>
      <w:r>
        <w:rPr>
          <w:rFonts w:ascii="Arial" w:cs="Arial" w:eastAsia="Arial" w:hAnsi="Arial"/>
          <w:sz w:val="18"/>
          <w:szCs w:val="18"/>
          <w:color w:val="auto"/>
        </w:rPr>
        <w:t>The following table sets forth, for the periods indicated, certain information related to our operations, expressed in dollars and as a percentage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9"/>
              </w:rPr>
              <w:t>Three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Nine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80" w:type="dxa"/>
            <w:vAlign w:val="bottom"/>
            <w:gridSpan w:val="8"/>
            <w:vMerge w:val="restart"/>
          </w:tcPr>
          <w:p>
            <w:pPr>
              <w:jc w:val="right"/>
              <w:ind w:right="820"/>
              <w:spacing w:after="0"/>
              <w:rPr>
                <w:sz w:val="20"/>
                <w:szCs w:val="20"/>
                <w:color w:val="auto"/>
              </w:rPr>
            </w:pPr>
            <w:r>
              <w:rPr>
                <w:rFonts w:ascii="Arial" w:cs="Arial" w:eastAsia="Arial" w:hAnsi="Arial"/>
                <w:sz w:val="14"/>
                <w:szCs w:val="14"/>
                <w:b w:val="1"/>
                <w:bCs w:val="1"/>
                <w:color w:val="auto"/>
                <w:w w:val="97"/>
              </w:rPr>
              <w:t>Years ended December 31,</w:t>
            </w:r>
          </w:p>
        </w:tc>
        <w:tc>
          <w:tcPr>
            <w:tcW w:w="800" w:type="dxa"/>
            <w:vAlign w:val="bottom"/>
            <w:tcBorders>
              <w:right w:val="single" w:sz="8" w:color="auto"/>
            </w:tcBorders>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months</w:t>
            </w:r>
          </w:p>
        </w:tc>
        <w:tc>
          <w:tcPr>
            <w:tcW w:w="14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months</w:t>
            </w:r>
          </w:p>
        </w:tc>
        <w:tc>
          <w:tcPr>
            <w:tcW w:w="11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twelve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5"/>
            <w:vMerge w:val="continue"/>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80" w:type="dxa"/>
            <w:vAlign w:val="bottom"/>
            <w:gridSpan w:val="8"/>
            <w:vMerge w:val="continue"/>
          </w:tcPr>
          <w:p>
            <w:pPr>
              <w:spacing w:after="0"/>
              <w:rPr>
                <w:sz w:val="7"/>
                <w:szCs w:val="7"/>
                <w:color w:val="auto"/>
              </w:rPr>
            </w:pPr>
          </w:p>
        </w:tc>
        <w:tc>
          <w:tcPr>
            <w:tcW w:w="800" w:type="dxa"/>
            <w:vAlign w:val="bottom"/>
            <w:tcBorders>
              <w:right w:val="single" w:sz="8" w:color="auto"/>
            </w:tcBorders>
            <w:gridSpan w:val="3"/>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6"/>
              </w:rPr>
              <w:t>ended</w:t>
            </w:r>
          </w:p>
        </w:tc>
        <w:tc>
          <w:tcPr>
            <w:tcW w:w="140" w:type="dxa"/>
            <w:vAlign w:val="bottom"/>
          </w:tcPr>
          <w:p>
            <w:pPr>
              <w:spacing w:after="0"/>
              <w:rPr>
                <w:sz w:val="7"/>
                <w:szCs w:val="7"/>
                <w:color w:val="auto"/>
              </w:rPr>
            </w:pPr>
          </w:p>
        </w:tc>
        <w:tc>
          <w:tcPr>
            <w:tcW w:w="660" w:type="dxa"/>
            <w:vAlign w:val="bottom"/>
            <w:gridSpan w:val="3"/>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ended</w:t>
            </w:r>
          </w:p>
        </w:tc>
        <w:tc>
          <w:tcPr>
            <w:tcW w:w="11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right w:val="single" w:sz="8" w:color="auto"/>
            </w:tcBorders>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right w:val="single" w:sz="8" w:color="auto"/>
            </w:tcBorders>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Dec. 31,</w:t>
            </w:r>
          </w:p>
        </w:tc>
        <w:tc>
          <w:tcPr>
            <w:tcW w:w="14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Sep. 30,</w:t>
            </w:r>
          </w:p>
        </w:tc>
        <w:tc>
          <w:tcPr>
            <w:tcW w:w="11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Sept. 30, 2007</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7"/>
              </w:rPr>
              <w:t>October 1, 2006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2004</w:t>
            </w:r>
          </w:p>
        </w:tc>
        <w:tc>
          <w:tcPr>
            <w:tcW w:w="160" w:type="dxa"/>
            <w:vAlign w:val="bottom"/>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Dec. 31, 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(Successor Company)</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(Predecessor Company)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352"/>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sales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93"/>
              </w:rPr>
              <w:t>net sales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sales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sales</w:t>
            </w:r>
          </w:p>
        </w:tc>
        <w:tc>
          <w:tcPr>
            <w:tcW w:w="8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 of</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6"/>
              </w:rPr>
              <w:t>(in millions;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4"/>
                <w:szCs w:val="14"/>
                <w:b w:val="1"/>
                <w:bCs w:val="1"/>
                <w:color w:val="auto"/>
              </w:rPr>
              <w:t>operations data: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582.0</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744.4</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937.7</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841.6</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$ 1,085.2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471.9</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86.4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500.6</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86.0</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644.9</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86.6</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729.0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77.7</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204.5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654.6</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859.1</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81.5</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99.4</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208.7</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187.0</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226.1</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line="148"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71.9</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66.4</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87.7</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11.8</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13.1</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29.8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54.0</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83.8</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95.9</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131.3</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107.6</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75.7</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97.8</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Restructuring and impairment charges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93.9</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94.3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(111.1)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(174.7)</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9"/>
              </w:rPr>
              <w:t>(213.8)</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57.4</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44.7</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44.7</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43.0</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57.2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16.8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17.7</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34.5</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gain,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40.9</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50.9</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35.8</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(144.4)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(176.8)</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9"/>
              </w:rPr>
              <w:t>(220.1)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46.1</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47.0</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Income tax expenses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9.3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(151.1)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(183.7)</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9"/>
              </w:rPr>
              <w:t>(229.3)</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(100.9)</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43.2</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92"/>
        </w:trPr>
        <w:tc>
          <w:tcPr>
            <w:tcW w:w="2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Net Sales: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Display Solutions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215.1</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273.7</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326.0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198.8</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259.2</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Imaging Solutions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47.7</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60.5</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17.4</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58.1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200.1</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Semiconductor Manufacturing Services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217.6</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280.8</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342.4</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345.4</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270.2</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358.5</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All 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38.4</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67.8</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102.9</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36.9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230.5</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267.3</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582.0</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744.4</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937.7</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841.6</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1,085.2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nine months ended September 30, 2007 and October 1, 2006</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consolidated results of operations for the nine months ended September 30, 2007 and October 1, 2006: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Unaudited</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2440" w:type="dxa"/>
            <w:vAlign w:val="bottom"/>
            <w:gridSpan w:val="8"/>
          </w:tcPr>
          <w:p>
            <w:pPr>
              <w:jc w:val="center"/>
              <w:ind w:right="652"/>
              <w:spacing w:after="0" w:line="129" w:lineRule="exact"/>
              <w:rPr>
                <w:sz w:val="20"/>
                <w:szCs w:val="20"/>
                <w:color w:val="auto"/>
              </w:rPr>
            </w:pPr>
            <w:r>
              <w:rPr>
                <w:rFonts w:ascii="Arial" w:cs="Arial" w:eastAsia="Arial" w:hAnsi="Arial"/>
                <w:sz w:val="14"/>
                <w:szCs w:val="14"/>
                <w:b w:val="1"/>
                <w:bCs w:val="1"/>
                <w:color w:val="auto"/>
                <w:w w:val="95"/>
              </w:rPr>
              <w:t>Nine months ended</w:t>
            </w:r>
          </w:p>
        </w:tc>
        <w:tc>
          <w:tcPr>
            <w:tcW w:w="1740" w:type="dxa"/>
            <w:vAlign w:val="bottom"/>
            <w:gridSpan w:val="6"/>
          </w:tcPr>
          <w:p>
            <w:pPr>
              <w:jc w:val="right"/>
              <w:ind w:right="172"/>
              <w:spacing w:after="0" w:line="129" w:lineRule="exact"/>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2440" w:type="dxa"/>
            <w:vAlign w:val="bottom"/>
            <w:gridSpan w:val="8"/>
          </w:tcPr>
          <w:p>
            <w:pPr>
              <w:jc w:val="center"/>
              <w:ind w:right="632"/>
              <w:spacing w:after="0"/>
              <w:rPr>
                <w:sz w:val="20"/>
                <w:szCs w:val="20"/>
                <w:color w:val="auto"/>
              </w:rPr>
            </w:pPr>
            <w:r>
              <w:rPr>
                <w:rFonts w:ascii="Arial" w:cs="Arial" w:eastAsia="Arial" w:hAnsi="Arial"/>
                <w:sz w:val="14"/>
                <w:szCs w:val="14"/>
                <w:b w:val="1"/>
                <w:bCs w:val="1"/>
                <w:color w:val="auto"/>
                <w:w w:val="96"/>
              </w:rPr>
              <w:t>September 30, 2007</w:t>
            </w:r>
          </w:p>
        </w:tc>
        <w:tc>
          <w:tcPr>
            <w:tcW w:w="320" w:type="dxa"/>
            <w:vAlign w:val="bottom"/>
          </w:tcPr>
          <w:p>
            <w:pPr>
              <w:spacing w:after="0"/>
              <w:rPr>
                <w:sz w:val="15"/>
                <w:szCs w:val="15"/>
                <w:color w:val="auto"/>
              </w:rPr>
            </w:pPr>
          </w:p>
        </w:tc>
        <w:tc>
          <w:tcPr>
            <w:tcW w:w="1920" w:type="dxa"/>
            <w:vAlign w:val="bottom"/>
            <w:gridSpan w:val="7"/>
          </w:tcPr>
          <w:p>
            <w:pPr>
              <w:ind w:left="40"/>
              <w:spacing w:after="0"/>
              <w:rPr>
                <w:sz w:val="20"/>
                <w:szCs w:val="20"/>
                <w:color w:val="auto"/>
              </w:rPr>
            </w:pPr>
            <w:r>
              <w:rPr>
                <w:rFonts w:ascii="Arial" w:cs="Arial" w:eastAsia="Arial" w:hAnsi="Arial"/>
                <w:sz w:val="14"/>
                <w:szCs w:val="14"/>
                <w:b w:val="1"/>
                <w:bCs w:val="1"/>
                <w:color w:val="auto"/>
              </w:rPr>
              <w:t>October 1, 2006</w:t>
            </w:r>
          </w:p>
        </w:tc>
        <w:tc>
          <w:tcPr>
            <w:tcW w:w="200" w:type="dxa"/>
            <w:vAlign w:val="bottom"/>
          </w:tcPr>
          <w:p>
            <w:pPr>
              <w:spacing w:after="0"/>
              <w:rPr>
                <w:sz w:val="15"/>
                <w:szCs w:val="15"/>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59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160"/>
              <w:spacing w:after="0" w:line="125" w:lineRule="exact"/>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92"/>
              <w:spacing w:after="0" w:line="125"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960" w:type="dxa"/>
            <w:vAlign w:val="bottom"/>
          </w:tcPr>
          <w:p>
            <w:pPr>
              <w:spacing w:after="0"/>
              <w:rPr>
                <w:sz w:val="15"/>
                <w:szCs w:val="15"/>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spacing w:after="0"/>
              <w:rPr>
                <w:sz w:val="15"/>
                <w:szCs w:val="15"/>
                <w:color w:val="auto"/>
              </w:rPr>
            </w:pPr>
          </w:p>
        </w:tc>
        <w:tc>
          <w:tcPr>
            <w:tcW w:w="1280" w:type="dxa"/>
            <w:vAlign w:val="bottom"/>
            <w:gridSpan w:val="5"/>
          </w:tcPr>
          <w:p>
            <w:pPr>
              <w:jc w:val="right"/>
              <w:ind w:right="632"/>
              <w:spacing w:after="0"/>
              <w:rPr>
                <w:sz w:val="20"/>
                <w:szCs w:val="20"/>
                <w:color w:val="auto"/>
              </w:rPr>
            </w:pPr>
            <w:r>
              <w:rPr>
                <w:rFonts w:ascii="Arial" w:cs="Arial" w:eastAsia="Arial" w:hAnsi="Arial"/>
                <w:sz w:val="14"/>
                <w:szCs w:val="14"/>
                <w:b w:val="1"/>
                <w:bCs w:val="1"/>
                <w:color w:val="auto"/>
                <w:w w:val="93"/>
              </w:rPr>
              <w:t>net sales</w:t>
            </w: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3"/>
              </w:rPr>
              <w:t>net sales</w:t>
            </w:r>
          </w:p>
        </w:tc>
        <w:tc>
          <w:tcPr>
            <w:tcW w:w="2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280" w:type="dxa"/>
            <w:vAlign w:val="bottom"/>
          </w:tcPr>
          <w:p>
            <w:pPr>
              <w:jc w:val="right"/>
              <w:ind w:right="78"/>
              <w:spacing w:after="0"/>
              <w:rPr>
                <w:sz w:val="20"/>
                <w:szCs w:val="20"/>
                <w:color w:val="auto"/>
              </w:rPr>
            </w:pPr>
            <w:r>
              <w:rPr>
                <w:rFonts w:ascii="Arial" w:cs="Arial" w:eastAsia="Arial" w:hAnsi="Arial"/>
                <w:sz w:val="12"/>
                <w:szCs w:val="12"/>
                <w:b w:val="1"/>
                <w:bCs w:val="1"/>
                <w:color w:val="auto"/>
                <w:w w:val="81"/>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$ 545.9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$ 582.0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100.0%</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86.4</w:t>
            </w:r>
          </w:p>
        </w:tc>
        <w:tc>
          <w:tcPr>
            <w:tcW w:w="2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86.0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81.5</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392"/>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880" w:type="dxa"/>
            <w:vAlign w:val="bottom"/>
            <w:gridSpan w:val="3"/>
          </w:tcPr>
          <w:p>
            <w:pPr>
              <w:jc w:val="right"/>
              <w:ind w:right="218"/>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95.9</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880" w:type="dxa"/>
            <w:vAlign w:val="bottom"/>
            <w:gridSpan w:val="3"/>
          </w:tcPr>
          <w:p>
            <w:pPr>
              <w:jc w:val="right"/>
              <w:ind w:right="218"/>
              <w:spacing w:after="0" w:line="202" w:lineRule="exact"/>
              <w:rPr>
                <w:sz w:val="20"/>
                <w:szCs w:val="20"/>
                <w:color w:val="auto"/>
              </w:rPr>
            </w:pPr>
            <w:r>
              <w:rPr>
                <w:rFonts w:ascii="Arial" w:cs="Arial" w:eastAsia="Arial" w:hAnsi="Arial"/>
                <w:sz w:val="18"/>
                <w:szCs w:val="18"/>
                <w:color w:val="auto"/>
              </w:rPr>
              <w:t>93.9</w:t>
            </w:r>
          </w:p>
        </w:tc>
        <w:tc>
          <w:tcPr>
            <w:tcW w:w="28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16.1</w:t>
            </w:r>
          </w:p>
        </w:tc>
        <w:tc>
          <w:tcPr>
            <w:tcW w:w="36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(111.1)</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(174.7)</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8.2</w:t>
            </w:r>
          </w:p>
        </w:tc>
        <w:tc>
          <w:tcPr>
            <w:tcW w:w="240" w:type="dxa"/>
            <w:vAlign w:val="bottom"/>
          </w:tcPr>
          <w:p>
            <w:pPr>
              <w:spacing w:after="0"/>
              <w:rPr>
                <w:sz w:val="17"/>
                <w:szCs w:val="17"/>
                <w:color w:val="auto"/>
              </w:rPr>
            </w:pPr>
          </w:p>
        </w:tc>
        <w:tc>
          <w:tcPr>
            <w:tcW w:w="880" w:type="dxa"/>
            <w:vAlign w:val="bottom"/>
            <w:gridSpan w:val="3"/>
          </w:tcPr>
          <w:p>
            <w:pPr>
              <w:jc w:val="right"/>
              <w:ind w:right="218"/>
              <w:spacing w:after="0" w:line="202" w:lineRule="exact"/>
              <w:rPr>
                <w:sz w:val="20"/>
                <w:szCs w:val="20"/>
                <w:color w:val="auto"/>
              </w:rPr>
            </w:pPr>
            <w:r>
              <w:rPr>
                <w:rFonts w:ascii="Arial" w:cs="Arial" w:eastAsia="Arial" w:hAnsi="Arial"/>
                <w:sz w:val="18"/>
                <w:szCs w:val="18"/>
                <w:color w:val="auto"/>
              </w:rPr>
              <w:t>43.0</w:t>
            </w:r>
          </w:p>
        </w:tc>
        <w:tc>
          <w:tcPr>
            <w:tcW w:w="28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7.4</w:t>
            </w:r>
          </w:p>
        </w:tc>
        <w:tc>
          <w:tcPr>
            <w:tcW w:w="36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(144.4)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332"/>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880" w:type="dxa"/>
            <w:vAlign w:val="bottom"/>
            <w:gridSpan w:val="3"/>
          </w:tcPr>
          <w:p>
            <w:pPr>
              <w:jc w:val="right"/>
              <w:ind w:right="158"/>
              <w:spacing w:after="0"/>
              <w:rPr>
                <w:sz w:val="20"/>
                <w:szCs w:val="20"/>
                <w:color w:val="auto"/>
              </w:rPr>
            </w:pPr>
            <w:r>
              <w:rPr>
                <w:rFonts w:ascii="Arial" w:cs="Arial" w:eastAsia="Arial" w:hAnsi="Arial"/>
                <w:sz w:val="18"/>
                <w:szCs w:val="18"/>
                <w:color w:val="auto"/>
              </w:rPr>
              <w:t>(176.8)</w:t>
            </w:r>
          </w:p>
        </w:tc>
        <w:tc>
          <w:tcPr>
            <w:tcW w:w="2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(151.1)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192"/>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880" w:type="dxa"/>
            <w:vAlign w:val="bottom"/>
            <w:gridSpan w:val="3"/>
          </w:tcPr>
          <w:p>
            <w:pPr>
              <w:jc w:val="right"/>
              <w:ind w:right="158"/>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(183.7)</w:t>
            </w:r>
          </w:p>
        </w:tc>
        <w:tc>
          <w:tcPr>
            <w:tcW w:w="2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(31.6)%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Net Sales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9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6"/>
          </w:tcPr>
          <w:p>
            <w:pPr>
              <w:jc w:val="right"/>
              <w:ind w:right="372"/>
              <w:spacing w:after="0" w:line="129" w:lineRule="exact"/>
              <w:rPr>
                <w:sz w:val="20"/>
                <w:szCs w:val="20"/>
                <w:color w:val="auto"/>
              </w:rPr>
            </w:pPr>
            <w:r>
              <w:rPr>
                <w:rFonts w:ascii="Arial" w:cs="Arial" w:eastAsia="Arial" w:hAnsi="Arial"/>
                <w:sz w:val="14"/>
                <w:szCs w:val="14"/>
                <w:b w:val="1"/>
                <w:bCs w:val="1"/>
                <w:color w:val="auto"/>
                <w:w w:val="98"/>
              </w:rPr>
              <w:t>Nine months ended</w:t>
            </w:r>
          </w:p>
        </w:tc>
        <w:tc>
          <w:tcPr>
            <w:tcW w:w="320" w:type="dxa"/>
            <w:vAlign w:val="bottom"/>
          </w:tcPr>
          <w:p>
            <w:pPr>
              <w:spacing w:after="0"/>
              <w:rPr>
                <w:sz w:val="11"/>
                <w:szCs w:val="11"/>
                <w:color w:val="auto"/>
              </w:rPr>
            </w:pPr>
          </w:p>
        </w:tc>
        <w:tc>
          <w:tcPr>
            <w:tcW w:w="1560" w:type="dxa"/>
            <w:vAlign w:val="bottom"/>
            <w:gridSpan w:val="6"/>
          </w:tcPr>
          <w:p>
            <w:pPr>
              <w:jc w:val="right"/>
              <w:ind w:right="160"/>
              <w:spacing w:after="0" w:line="129" w:lineRule="exact"/>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right"/>
              <w:ind w:right="372"/>
              <w:spacing w:after="0"/>
              <w:rPr>
                <w:sz w:val="20"/>
                <w:szCs w:val="20"/>
                <w:color w:val="auto"/>
              </w:rPr>
            </w:pPr>
            <w:r>
              <w:rPr>
                <w:rFonts w:ascii="Arial" w:cs="Arial" w:eastAsia="Arial" w:hAnsi="Arial"/>
                <w:sz w:val="14"/>
                <w:szCs w:val="14"/>
                <w:b w:val="1"/>
                <w:bCs w:val="1"/>
                <w:color w:val="auto"/>
                <w:w w:val="97"/>
              </w:rPr>
              <w:t>September 30, 2007</w:t>
            </w:r>
          </w:p>
        </w:tc>
        <w:tc>
          <w:tcPr>
            <w:tcW w:w="320" w:type="dxa"/>
            <w:vAlign w:val="bottom"/>
          </w:tcPr>
          <w:p>
            <w:pPr>
              <w:spacing w:after="0"/>
              <w:rPr>
                <w:sz w:val="15"/>
                <w:szCs w:val="15"/>
                <w:color w:val="auto"/>
              </w:rPr>
            </w:pPr>
          </w:p>
        </w:tc>
        <w:tc>
          <w:tcPr>
            <w:tcW w:w="19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October 1, 2006</w:t>
            </w:r>
          </w:p>
        </w:tc>
        <w:tc>
          <w:tcPr>
            <w:tcW w:w="200" w:type="dxa"/>
            <w:vAlign w:val="bottom"/>
          </w:tcPr>
          <w:p>
            <w:pPr>
              <w:spacing w:after="0"/>
              <w:rPr>
                <w:sz w:val="15"/>
                <w:szCs w:val="15"/>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5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ind w:left="20"/>
              <w:spacing w:after="0" w:line="125"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160"/>
              <w:spacing w:after="0" w:line="125"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tcBorders>
              <w:top w:val="single" w:sz="8" w:color="auto"/>
            </w:tcBorders>
            <w:gridSpan w:val="2"/>
          </w:tcPr>
          <w:p>
            <w:pPr>
              <w:jc w:val="right"/>
              <w:ind w:right="18"/>
              <w:spacing w:after="0" w:line="142" w:lineRule="exact"/>
              <w:rPr>
                <w:sz w:val="20"/>
                <w:szCs w:val="20"/>
                <w:color w:val="auto"/>
              </w:rPr>
            </w:pPr>
            <w:r>
              <w:rPr>
                <w:rFonts w:ascii="Arial" w:cs="Arial" w:eastAsia="Arial" w:hAnsi="Arial"/>
                <w:sz w:val="14"/>
                <w:szCs w:val="14"/>
                <w:b w:val="1"/>
                <w:bCs w:val="1"/>
                <w:color w:val="auto"/>
                <w:w w:val="79"/>
              </w:rPr>
              <w:t>millions;</w:t>
            </w:r>
          </w:p>
        </w:tc>
        <w:tc>
          <w:tcPr>
            <w:tcW w:w="280" w:type="dxa"/>
            <w:vAlign w:val="bottom"/>
          </w:tcPr>
          <w:p>
            <w:pPr>
              <w:jc w:val="right"/>
              <w:ind w:right="104"/>
              <w:spacing w:after="0"/>
              <w:rPr>
                <w:sz w:val="20"/>
                <w:szCs w:val="20"/>
                <w:color w:val="auto"/>
              </w:rPr>
            </w:pPr>
            <w:r>
              <w:rPr>
                <w:rFonts w:ascii="Arial" w:cs="Arial" w:eastAsia="Arial" w:hAnsi="Arial"/>
                <w:sz w:val="11"/>
                <w:szCs w:val="11"/>
                <w:b w:val="1"/>
                <w:bCs w:val="1"/>
                <w:color w:val="auto"/>
                <w:w w:val="74"/>
              </w:rPr>
              <w:t>%)</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7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223.3</w:t>
            </w:r>
          </w:p>
        </w:tc>
        <w:tc>
          <w:tcPr>
            <w:tcW w:w="1260" w:type="dxa"/>
            <w:vAlign w:val="bottom"/>
            <w:gridSpan w:val="4"/>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40.9%</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28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37.0%</w:t>
            </w: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8.2</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51.6</w:t>
            </w:r>
          </w:p>
        </w:tc>
        <w:tc>
          <w:tcPr>
            <w:tcW w:w="1260" w:type="dxa"/>
            <w:vAlign w:val="bottom"/>
            <w:gridSpan w:val="4"/>
          </w:tcPr>
          <w:p>
            <w:pPr>
              <w:jc w:val="right"/>
              <w:ind w:right="172"/>
              <w:spacing w:after="0" w:line="202" w:lineRule="exact"/>
              <w:rPr>
                <w:sz w:val="20"/>
                <w:szCs w:val="20"/>
                <w:color w:val="auto"/>
              </w:rPr>
            </w:pPr>
            <w:r>
              <w:rPr>
                <w:rFonts w:ascii="Arial" w:cs="Arial" w:eastAsia="Arial" w:hAnsi="Arial"/>
                <w:sz w:val="18"/>
                <w:szCs w:val="18"/>
                <w:color w:val="auto"/>
              </w:rPr>
              <w:t>9.5</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47.7</w:t>
            </w:r>
          </w:p>
        </w:tc>
        <w:tc>
          <w:tcPr>
            <w:tcW w:w="280" w:type="dxa"/>
            <w:vAlign w:val="bottom"/>
          </w:tcPr>
          <w:p>
            <w:pPr>
              <w:spacing w:after="0"/>
              <w:rPr>
                <w:sz w:val="17"/>
                <w:szCs w:val="17"/>
                <w:color w:val="auto"/>
              </w:rPr>
            </w:pPr>
          </w:p>
        </w:tc>
        <w:tc>
          <w:tcPr>
            <w:tcW w:w="1080" w:type="dxa"/>
            <w:vAlign w:val="bottom"/>
            <w:gridSpan w:val="4"/>
          </w:tcPr>
          <w:p>
            <w:pPr>
              <w:jc w:val="right"/>
              <w:ind w:right="360"/>
              <w:spacing w:after="0" w:line="202" w:lineRule="exact"/>
              <w:rPr>
                <w:sz w:val="20"/>
                <w:szCs w:val="20"/>
                <w:color w:val="auto"/>
              </w:rPr>
            </w:pPr>
            <w:r>
              <w:rPr>
                <w:rFonts w:ascii="Arial" w:cs="Arial" w:eastAsia="Arial" w:hAnsi="Arial"/>
                <w:sz w:val="18"/>
                <w:szCs w:val="18"/>
                <w:color w:val="auto"/>
              </w:rPr>
              <w:t>8.2</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217.6</w:t>
            </w:r>
          </w:p>
        </w:tc>
        <w:tc>
          <w:tcPr>
            <w:tcW w:w="1260" w:type="dxa"/>
            <w:vAlign w:val="bottom"/>
            <w:gridSpan w:val="4"/>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39.9</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280.8</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0"/>
        </w:trPr>
        <w:tc>
          <w:tcPr>
            <w:tcW w:w="59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53.4</w:t>
            </w:r>
          </w:p>
        </w:tc>
        <w:tc>
          <w:tcPr>
            <w:tcW w:w="1260" w:type="dxa"/>
            <w:vAlign w:val="bottom"/>
            <w:gridSpan w:val="4"/>
          </w:tcPr>
          <w:p>
            <w:pPr>
              <w:jc w:val="right"/>
              <w:ind w:right="172"/>
              <w:spacing w:after="0" w:line="202"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38.4</w:t>
            </w:r>
          </w:p>
        </w:tc>
        <w:tc>
          <w:tcPr>
            <w:tcW w:w="280" w:type="dxa"/>
            <w:vAlign w:val="bottom"/>
          </w:tcPr>
          <w:p>
            <w:pPr>
              <w:spacing w:after="0"/>
              <w:rPr>
                <w:sz w:val="18"/>
                <w:szCs w:val="18"/>
                <w:color w:val="auto"/>
              </w:rPr>
            </w:pPr>
          </w:p>
        </w:tc>
        <w:tc>
          <w:tcPr>
            <w:tcW w:w="1080" w:type="dxa"/>
            <w:vAlign w:val="bottom"/>
            <w:gridSpan w:val="4"/>
          </w:tcPr>
          <w:p>
            <w:pPr>
              <w:jc w:val="right"/>
              <w:ind w:right="360"/>
              <w:spacing w:after="0" w:line="202"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$545.9</w:t>
            </w:r>
          </w:p>
        </w:tc>
        <w:tc>
          <w:tcPr>
            <w:tcW w:w="1260" w:type="dxa"/>
            <w:vAlign w:val="bottom"/>
            <w:gridSpan w:val="4"/>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582.0</w:t>
            </w:r>
          </w:p>
        </w:tc>
        <w:tc>
          <w:tcPr>
            <w:tcW w:w="28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Net sales for the nine months ended September 30, 2007 decreased $36.2 million, or 6.2% compared to the nine months ended October 1, 2006. Net sales generated in the three operating segments during the current period were $492.5 million, a decrease of $51.1 million or 9.4% from the net sales of our three reportable segments for the prior-year period, primarily due to a decrease in sales in the Semiconductor Manufacturing Services segment offset by an increase in sales from the Display Solutions and Imaging Solutions segments.</w:t>
      </w:r>
    </w:p>
    <w:p>
      <w:pPr>
        <w:spacing w:after="0" w:line="137" w:lineRule="exact"/>
        <w:rPr>
          <w:sz w:val="20"/>
          <w:szCs w:val="20"/>
          <w:color w:val="auto"/>
        </w:rPr>
      </w:pPr>
    </w:p>
    <w:p>
      <w:pPr>
        <w:jc w:val="both"/>
        <w:ind w:right="10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nine months ended September 30, 2007 were $223.3 million, a $8.2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3.8% increase from $215.1 million for the nine months ended October 1, 2006. The increase resulted primarily from increased sales volume of our display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driver products for LCD televisions and PC monitors and was partially offset by decrease in average selling prices of our display driver products for notebook computers and small panel displays.</w:t>
      </w:r>
    </w:p>
    <w:p>
      <w:pPr>
        <w:spacing w:after="0" w:line="137"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Net sales from Imaging Solutions increased $3.9 million in the current period, or 8.2%, compared to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in the prior-year period. This increase was primarily due to significantly higher sales of small form factor VGA products and, to a lesser extent, higher 1.3 MP product sales due to an increase in market demand for mobile phones and PC cameras. This revenue increase from these products was partially offset by a sharp decrease in 1.0 MP product sales due to a shift in market demand to 1.3 MP products.</w:t>
      </w:r>
    </w:p>
    <w:p>
      <w:pPr>
        <w:spacing w:after="0" w:line="134"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2007 were $217.6 million, a $63.2 million, or a 22.5%, decrease compared to net sales of $280.8 million for the nine months ended October 1, 2006. This decrease was primarily due to a decline in sales volume as a result of higher inventory balances held by our customers in the analog and power end markets in the first quarter of 2007 as compared to the same period of the prior year, and to a lesser extent, a decrease in the average selling prices of our services.</w:t>
      </w:r>
    </w:p>
    <w:p>
      <w:pPr>
        <w:spacing w:after="0" w:line="136" w:lineRule="exact"/>
        <w:rPr>
          <w:sz w:val="20"/>
          <w:szCs w:val="20"/>
          <w:color w:val="auto"/>
        </w:rPr>
      </w:pPr>
    </w:p>
    <w:p>
      <w:pPr>
        <w:ind w:right="80" w:firstLine="571"/>
        <w:spacing w:after="0" w:line="322"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Net sales from All other for the nine months ended September 30, 2007 were $53.4 million compared to $38.4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October 1, 2006. This increase of $15.0 million substantially represents the revenue increase from our unit processing service.</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7"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nine months ended September 30, 2007 and October 1, 2006: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Unaudited</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20" w:type="dxa"/>
            <w:vAlign w:val="bottom"/>
            <w:gridSpan w:val="9"/>
          </w:tcPr>
          <w:p>
            <w:pPr>
              <w:ind w:left="180"/>
              <w:spacing w:after="0" w:line="125" w:lineRule="exact"/>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8"/>
          </w:tcPr>
          <w:p>
            <w:pPr>
              <w:jc w:val="center"/>
              <w:spacing w:after="0" w:line="125" w:lineRule="exact"/>
              <w:rPr>
                <w:sz w:val="20"/>
                <w:szCs w:val="20"/>
                <w:color w:val="auto"/>
              </w:rPr>
            </w:pPr>
            <w:r>
              <w:rPr>
                <w:rFonts w:ascii="Arial" w:cs="Arial" w:eastAsia="Arial" w:hAnsi="Arial"/>
                <w:sz w:val="14"/>
                <w:szCs w:val="14"/>
                <w:b w:val="1"/>
                <w:bCs w:val="1"/>
                <w:color w:val="auto"/>
                <w:w w:val="96"/>
              </w:rPr>
              <w:t>Nine months ended</w:t>
            </w:r>
          </w:p>
        </w:tc>
        <w:tc>
          <w:tcPr>
            <w:tcW w:w="46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2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September 30, 2007</w:t>
            </w:r>
          </w:p>
        </w:tc>
        <w:tc>
          <w:tcPr>
            <w:tcW w:w="5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7"/>
              </w:rPr>
              <w:t>October 1, 2006</w:t>
            </w:r>
          </w:p>
        </w:tc>
        <w:tc>
          <w:tcPr>
            <w:tcW w:w="82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9"/>
                <w:szCs w:val="19"/>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 of Total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2"/>
              </w:rPr>
              <w:t>% of Total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3"/>
              </w:rPr>
              <w:t>millions;</w:t>
            </w:r>
          </w:p>
        </w:tc>
        <w:tc>
          <w:tcPr>
            <w:tcW w:w="4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2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$318.9</w:t>
            </w:r>
          </w:p>
        </w:tc>
        <w:tc>
          <w:tcPr>
            <w:tcW w:w="4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52.5%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2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129.7</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142.4</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24.5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North America</w:t>
            </w:r>
          </w:p>
        </w:tc>
        <w:tc>
          <w:tcPr>
            <w:tcW w:w="2120" w:type="dxa"/>
            <w:vAlign w:val="bottom"/>
            <w:gridSpan w:val="4"/>
          </w:tcPr>
          <w:p>
            <w:pPr>
              <w:jc w:val="right"/>
              <w:ind w:right="40"/>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72"/>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52.9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5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tcPr>
          <w:p>
            <w:pPr>
              <w:spacing w:after="0"/>
              <w:rPr>
                <w:sz w:val="18"/>
                <w:szCs w:val="18"/>
                <w:color w:val="auto"/>
              </w:rPr>
            </w:pPr>
          </w:p>
        </w:tc>
        <w:tc>
          <w:tcPr>
            <w:tcW w:w="30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20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545.9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32"/>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582.0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100.0%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46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6"/>
          </w:tcPr>
          <w:p>
            <w:pPr>
              <w:ind w:left="40"/>
              <w:spacing w:after="0" w:line="125" w:lineRule="exact"/>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gridSpan w:val="8"/>
          </w:tcPr>
          <w:p>
            <w:pPr>
              <w:jc w:val="right"/>
              <w:ind w:right="560"/>
              <w:spacing w:after="0" w:line="125" w:lineRule="exact"/>
              <w:rPr>
                <w:sz w:val="20"/>
                <w:szCs w:val="20"/>
                <w:color w:val="auto"/>
              </w:rPr>
            </w:pPr>
            <w:r>
              <w:rPr>
                <w:rFonts w:ascii="Arial" w:cs="Arial" w:eastAsia="Arial" w:hAnsi="Arial"/>
                <w:sz w:val="14"/>
                <w:szCs w:val="14"/>
                <w:b w:val="1"/>
                <w:bCs w:val="1"/>
                <w:color w:val="auto"/>
                <w:w w:val="98"/>
              </w:rPr>
              <w:t>Nine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6"/>
          </w:tcPr>
          <w:p>
            <w:pPr>
              <w:ind w:left="40"/>
              <w:spacing w:after="0"/>
              <w:rPr>
                <w:sz w:val="20"/>
                <w:szCs w:val="20"/>
                <w:color w:val="auto"/>
              </w:rPr>
            </w:pPr>
            <w:r>
              <w:rPr>
                <w:rFonts w:ascii="Arial" w:cs="Arial" w:eastAsia="Arial" w:hAnsi="Arial"/>
                <w:sz w:val="14"/>
                <w:szCs w:val="14"/>
                <w:b w:val="1"/>
                <w:bCs w:val="1"/>
                <w:color w:val="auto"/>
              </w:rPr>
              <w:t>September 30, 2007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October 1, 2006</w:t>
            </w:r>
          </w:p>
        </w:tc>
        <w:tc>
          <w:tcPr>
            <w:tcW w:w="200" w:type="dxa"/>
            <w:vAlign w:val="bottom"/>
          </w:tcPr>
          <w:p>
            <w:pPr>
              <w:spacing w:after="0"/>
              <w:rPr>
                <w:sz w:val="14"/>
                <w:szCs w:val="14"/>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180"/>
              <w:spacing w:after="0" w:line="125"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3"/>
          </w:tcPr>
          <w:p>
            <w:pPr>
              <w:jc w:val="right"/>
              <w:ind w:right="180"/>
              <w:spacing w:after="0" w:line="125"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sales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0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millions;</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21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19.9</w:t>
            </w:r>
          </w:p>
        </w:tc>
        <w:tc>
          <w:tcPr>
            <w:tcW w:w="11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14.6%</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(11.4)</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Imaging Solutions</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2.5</w:t>
            </w:r>
          </w:p>
        </w:tc>
        <w:tc>
          <w:tcPr>
            <w:tcW w:w="10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ind w:right="92"/>
              <w:spacing w:after="0" w:line="202" w:lineRule="exact"/>
              <w:rPr>
                <w:sz w:val="20"/>
                <w:szCs w:val="20"/>
                <w:color w:val="auto"/>
              </w:rPr>
            </w:pPr>
            <w:r>
              <w:rPr>
                <w:rFonts w:ascii="Arial" w:cs="Arial" w:eastAsia="Arial" w:hAnsi="Arial"/>
                <w:sz w:val="18"/>
                <w:szCs w:val="18"/>
                <w:color w:val="auto"/>
              </w:rPr>
              <w:t>(5.3)</w:t>
            </w:r>
          </w:p>
        </w:tc>
        <w:tc>
          <w:tcPr>
            <w:tcW w:w="1260" w:type="dxa"/>
            <w:vAlign w:val="bottom"/>
            <w:gridSpan w:val="5"/>
          </w:tcPr>
          <w:p>
            <w:pPr>
              <w:jc w:val="right"/>
              <w:ind w:right="300"/>
              <w:spacing w:after="0" w:line="202" w:lineRule="exact"/>
              <w:rPr>
                <w:sz w:val="20"/>
                <w:szCs w:val="20"/>
                <w:color w:val="auto"/>
              </w:rPr>
            </w:pPr>
            <w:r>
              <w:rPr>
                <w:rFonts w:ascii="Arial" w:cs="Arial" w:eastAsia="Arial" w:hAnsi="Arial"/>
                <w:sz w:val="18"/>
                <w:szCs w:val="18"/>
                <w:color w:val="auto"/>
              </w:rPr>
              <w:t>(11.1)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1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31.7</w:t>
            </w:r>
          </w:p>
        </w:tc>
        <w:tc>
          <w:tcPr>
            <w:tcW w:w="10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(14.5)</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All other</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19.9</w:t>
            </w:r>
          </w:p>
        </w:tc>
        <w:tc>
          <w:tcPr>
            <w:tcW w:w="10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tcPr>
          <w:p>
            <w:pPr>
              <w:spacing w:after="0"/>
              <w:rPr>
                <w:sz w:val="17"/>
                <w:szCs w:val="17"/>
                <w:color w:val="auto"/>
              </w:rPr>
            </w:pPr>
          </w:p>
        </w:tc>
        <w:tc>
          <w:tcPr>
            <w:tcW w:w="1260" w:type="dxa"/>
            <w:vAlign w:val="bottom"/>
            <w:gridSpan w:val="5"/>
          </w:tcPr>
          <w:p>
            <w:pPr>
              <w:jc w:val="right"/>
              <w:ind w:right="360"/>
              <w:spacing w:after="0" w:line="202" w:lineRule="exact"/>
              <w:rPr>
                <w:sz w:val="20"/>
                <w:szCs w:val="20"/>
                <w:color w:val="auto"/>
              </w:rPr>
            </w:pPr>
            <w:r>
              <w:rPr>
                <w:rFonts w:ascii="Arial" w:cs="Arial" w:eastAsia="Arial" w:hAnsi="Arial"/>
                <w:sz w:val="18"/>
                <w:szCs w:val="18"/>
                <w:color w:val="auto"/>
              </w:rPr>
              <w:t>24.0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74.0</w:t>
            </w:r>
          </w:p>
        </w:tc>
        <w:tc>
          <w:tcPr>
            <w:tcW w:w="11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14.0%</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vMerge w:val="restart"/>
          </w:tcPr>
          <w:p>
            <w:pPr>
              <w:jc w:val="right"/>
              <w:ind w:right="92"/>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Total gross profit decreased $7.4 million in the nine months ended September 30, 2007, or 9.1%, compared to the gross profit generated in the nine months ended October 1, 2006. Gross profit percentage for the nine months ended September 30, 2007 was 13.6% of net sales, a decrease of 0.4% from 14.0% for the nine months ended October 1, 2006. This decline in gross profit percentage was primarily attributable to an overall decrease in average selling prices.</w:t>
      </w:r>
    </w:p>
    <w:p>
      <w:pPr>
        <w:spacing w:after="0" w:line="137" w:lineRule="exact"/>
        <w:rPr>
          <w:sz w:val="20"/>
          <w:szCs w:val="20"/>
          <w:color w:val="auto"/>
        </w:rPr>
      </w:pPr>
    </w:p>
    <w:p>
      <w:pPr>
        <w:ind w:right="14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nine months ended September 30, 2007 declined to 8.9%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14.6% for the nine months ended October 1, 2006. This decline in gross profit percentage was primarily attributable to a decrease in sales volume and the average selling price of small panel display products.</w:t>
      </w:r>
    </w:p>
    <w:p>
      <w:pPr>
        <w:spacing w:after="0" w:line="131" w:lineRule="exact"/>
        <w:rPr>
          <w:sz w:val="20"/>
          <w:szCs w:val="20"/>
          <w:color w:val="auto"/>
        </w:rPr>
      </w:pPr>
    </w:p>
    <w:p>
      <w:pPr>
        <w:jc w:val="both"/>
        <w:ind w:right="100" w:firstLine="571"/>
        <w:spacing w:after="0" w:line="247"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profit percentage for the current period improved compared to the prior-year period primarily due to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depreciation and amortization expense resulting from impairment charges in the second quarter of 2006, offset in part by a decrease in average selling prices and increased material costs for small form factor VGA products.</w:t>
      </w:r>
    </w:p>
    <w:p>
      <w:pPr>
        <w:spacing w:after="0" w:line="131" w:lineRule="exact"/>
        <w:rPr>
          <w:sz w:val="20"/>
          <w:szCs w:val="20"/>
          <w:color w:val="auto"/>
        </w:rPr>
      </w:pPr>
    </w:p>
    <w:p>
      <w:pPr>
        <w:ind w:right="4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declined to 14.6%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2007 from 16.5% in the nine months ended October 1, 2006. This decrease was primarily due to a decrease in average selling prices caused by a decline in customer demand and a shift in product mix.</w:t>
      </w:r>
    </w:p>
    <w:p>
      <w:pPr>
        <w:spacing w:after="0" w:line="131" w:lineRule="exact"/>
        <w:rPr>
          <w:sz w:val="20"/>
          <w:szCs w:val="20"/>
          <w:color w:val="auto"/>
        </w:rPr>
      </w:pPr>
    </w:p>
    <w:p>
      <w:pPr>
        <w:jc w:val="center"/>
        <w:ind w:right="100"/>
        <w:spacing w:after="0"/>
        <w:tabs>
          <w:tab w:leader="none" w:pos="180" w:val="left"/>
        </w:tabs>
        <w:rPr>
          <w:sz w:val="20"/>
          <w:szCs w:val="20"/>
          <w:color w:val="auto"/>
        </w:rPr>
      </w:pPr>
      <w:r>
        <w:rPr>
          <w:rFonts w:ascii="Arial" w:cs="Arial" w:eastAsia="Arial" w:hAnsi="Arial"/>
          <w:sz w:val="18"/>
          <w:szCs w:val="18"/>
          <w:i w:val="1"/>
          <w:iCs w:val="1"/>
          <w:color w:val="auto"/>
        </w:rPr>
        <w:t>All other.</w:t>
      </w:r>
      <w:r>
        <w:rPr>
          <w:sz w:val="20"/>
          <w:szCs w:val="20"/>
          <w:color w:val="auto"/>
        </w:rPr>
        <w:tab/>
      </w:r>
      <w:r>
        <w:rPr>
          <w:rFonts w:ascii="Arial" w:cs="Arial" w:eastAsia="Arial" w:hAnsi="Arial"/>
          <w:sz w:val="16"/>
          <w:szCs w:val="16"/>
          <w:color w:val="auto"/>
        </w:rPr>
        <w:t>Gross profit percentage for All other for the current period increased to 37.2% from 24.0% for the prior-year period. This</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improvement in gross profit percentage was primarily attributable to an increase in sales volume for unit processing and lower fixed costs per unit.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9"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$71.9 million or 13.2% of net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2007 compared to $66.4 million or 11.4% for the nine months ended October 1, 2006. The increase of $5.5 million or 8.3% from the prior-year period was mainly attributable to a settlement with former subcontractors of $1.3 million. These increases were partially offset by decreases in depreciation and amortization expenses resulting from impairment charges taken during the second quarter of 2006.</w:t>
      </w:r>
    </w:p>
    <w:p>
      <w:pPr>
        <w:spacing w:after="0" w:line="136" w:lineRule="exact"/>
        <w:rPr>
          <w:sz w:val="20"/>
          <w:szCs w:val="20"/>
          <w:color w:val="auto"/>
        </w:rPr>
      </w:pPr>
    </w:p>
    <w:p>
      <w:pPr>
        <w:ind w:right="220" w:firstLine="571"/>
        <w:spacing w:after="0" w:line="241"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current period were $101.1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$5.2 million or 5.3% from $95.9 million for the prior year period, mainly due to an increase in photomask usage of $3.4 million for new product development. This increase in research and development expenses essentially represented our focus on the introduction of new products. As a percentage of net sales, research and development expenses for the current period increased to 18.5% compared to 16.5% for the prior-year period.</w:t>
      </w:r>
    </w:p>
    <w:p>
      <w:pPr>
        <w:spacing w:after="0" w:line="136" w:lineRule="exact"/>
        <w:rPr>
          <w:sz w:val="20"/>
          <w:szCs w:val="20"/>
          <w:color w:val="auto"/>
        </w:rPr>
      </w:pPr>
    </w:p>
    <w:p>
      <w:pPr>
        <w:ind w:firstLine="571"/>
        <w:spacing w:after="0" w:line="272"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nine months ended September 30, 2007, we recognized restructuring and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charges of $12.1 million, which consisted of $10.1 million of impairment charges under SFAS No. 144 </w:t>
      </w:r>
      <w:r>
        <w:rPr>
          <w:rFonts w:ascii="Arial" w:cs="Arial" w:eastAsia="Arial" w:hAnsi="Arial"/>
          <w:sz w:val="16"/>
          <w:szCs w:val="16"/>
          <w:i w:val="1"/>
          <w:iCs w:val="1"/>
          <w:color w:val="auto"/>
        </w:rPr>
        <w:t>Accounting for the Impairment or Disposal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(“SFAS No. 144”) and $2.0 million of restructuring charges under SFAS No. 146</w:t>
      </w:r>
      <w:r>
        <w:rPr>
          <w:rFonts w:ascii="Arial" w:cs="Arial" w:eastAsia="Arial" w:hAnsi="Arial"/>
          <w:sz w:val="16"/>
          <w:szCs w:val="16"/>
          <w:i w:val="1"/>
          <w:iCs w:val="1"/>
          <w:color w:val="auto"/>
        </w:rPr>
        <w:t xml:space="preserve"> Accounting for Costs Associated with Exit or Disposal Activities </w:t>
      </w:r>
      <w:r>
        <w:rPr>
          <w:rFonts w:ascii="Arial" w:cs="Arial" w:eastAsia="Arial" w:hAnsi="Arial"/>
          <w:sz w:val="16"/>
          <w:szCs w:val="16"/>
          <w:color w:val="auto"/>
        </w:rPr>
        <w:t>(“SFAS No. 146”)</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impairment charges were recorded related to the closure of our five-inch wafer fabrication facility that has</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losses and no longer supports our strategic technology roadmap. This facility closing is expected to be completed within the next several months. During the nine months ended October 1, 2006, we determined, based on revised forecasts, that the projected demand for certain of our products in the Imaging Solutions segment was significantly less than previously forecasted and that this decline was not temporary or seasonal. Therefore, we assessed whether there had been a material impairment of the asset group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and recorded impairment and restructuring charges of $93.9 million. The amount included $92.5 million of impairment charges recorded under SFAS No. 144 and $1.4 million of restructuring charges under SFAS No. 146. The impairment charges were recorded against a group of assets comprising of one of our fabrication facilities and certain related technology and customer-based intangible assets in our imaging solutions business, and the restructuring charges were incurred in association with certain changes in our management and the early retirement of certain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 and Net Foreign Currency Gain or Loss</w:t>
      </w:r>
    </w:p>
    <w:p>
      <w:pPr>
        <w:spacing w:after="0" w:line="79" w:lineRule="exact"/>
        <w:rPr>
          <w:sz w:val="20"/>
          <w:szCs w:val="20"/>
          <w:color w:val="auto"/>
        </w:rPr>
      </w:pPr>
    </w:p>
    <w:p>
      <w:pPr>
        <w:jc w:val="both"/>
        <w:ind w:right="200" w:firstLine="571"/>
        <w:spacing w:after="0" w:line="272" w:lineRule="auto"/>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Net interest expense was $44.7 million during the nine-month period ended September 30, 2007, consistent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$43.0 million for the nine months ended October 1, 2006. Interest expense was incurred to service our notes in the amount of $750.0 million and drawings under our senior secured credit facility. At September 30, 2007, the notes bore interest at a weighted average interest rate of 7.94%.</w:t>
      </w:r>
    </w:p>
    <w:p>
      <w:pPr>
        <w:ind w:right="40"/>
        <w:spacing w:after="0" w:line="238" w:lineRule="auto"/>
        <w:rPr>
          <w:sz w:val="20"/>
          <w:szCs w:val="20"/>
          <w:color w:val="auto"/>
        </w:rPr>
      </w:pPr>
      <w:r>
        <w:rPr>
          <w:rFonts w:ascii="Arial" w:cs="Arial" w:eastAsia="Arial" w:hAnsi="Arial"/>
          <w:sz w:val="18"/>
          <w:szCs w:val="18"/>
          <w:color w:val="auto"/>
        </w:rPr>
        <w:t>Drawings under our senior secured credit facility bore interest at September 30, 2007 at either three-month LIBOR plus 4.75% or ABR plus 3.75%. The increase in net interest expense was mainly due to a decrease in interest income from financial assets including cash and cash equivalents and an increase in interest expense driven by drawdowns from the our senior secured credit facility.</w:t>
      </w:r>
    </w:p>
    <w:p>
      <w:pPr>
        <w:spacing w:after="0" w:line="136" w:lineRule="exact"/>
        <w:rPr>
          <w:sz w:val="20"/>
          <w:szCs w:val="20"/>
          <w:color w:val="auto"/>
        </w:rPr>
      </w:pPr>
    </w:p>
    <w:p>
      <w:pPr>
        <w:ind w:right="720" w:firstLine="571"/>
        <w:spacing w:after="0" w:line="260" w:lineRule="auto"/>
        <w:rPr>
          <w:sz w:val="20"/>
          <w:szCs w:val="20"/>
          <w:color w:val="auto"/>
        </w:rPr>
      </w:pPr>
      <w:r>
        <w:rPr>
          <w:rFonts w:ascii="Arial" w:cs="Arial" w:eastAsia="Arial" w:hAnsi="Arial"/>
          <w:sz w:val="18"/>
          <w:szCs w:val="18"/>
          <w:i w:val="1"/>
          <w:iCs w:val="1"/>
          <w:color w:val="auto"/>
        </w:rPr>
        <w:t xml:space="preserve">Net Foreign Currency Gain or Loss. </w:t>
      </w:r>
      <w:r>
        <w:rPr>
          <w:rFonts w:ascii="Arial" w:cs="Arial" w:eastAsia="Arial" w:hAnsi="Arial"/>
          <w:sz w:val="18"/>
          <w:szCs w:val="18"/>
          <w:color w:val="auto"/>
        </w:rPr>
        <w:t>Net foreign currency gain for the nine months ended September 30, 2007 was $11.3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foreign exchange gain of $40.9 million for the nine months ended October 1, 2006.</w:t>
      </w:r>
    </w:p>
    <w:p>
      <w:pPr>
        <w:spacing w:after="0" w:line="137"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A substantial portion of our net foreign currency gain or loss is non-cash translation gain or loss recorded for intercompany borrowings at our Korean subsidiary and is affected by changes in the exchange rate between the Korean won and the U.S. dollar. The Korean won to U.S. dollar exchange rates were 913.6:1 and 946.0:1 using the noon buying rate in effect as of September 30, 2007 and October 1, 2006, respectively, as quoted by the Federal Reserve Bank of New York.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79"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Income Tax Expenses</w:t>
      </w:r>
      <w:r>
        <w:rPr>
          <w:rFonts w:ascii="Arial" w:cs="Arial" w:eastAsia="Arial" w:hAnsi="Arial"/>
          <w:sz w:val="18"/>
          <w:szCs w:val="18"/>
          <w:color w:val="auto"/>
        </w:rPr>
        <w:t>. Income tax expenses for the current period were $6.6 million, compared to income tax expenses of $6.8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2006. Our income tax expenses are mostly composed of withholding taxes on intercompany interest payments and changes in deferred tax assets. Due to the uncertainty of the utilization of foreign tax credits, we did not recognize these withholding taxes as deferred tax assets.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2006 and 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Year ended</w:t>
            </w:r>
          </w:p>
        </w:tc>
        <w:tc>
          <w:tcPr>
            <w:tcW w:w="280" w:type="dxa"/>
            <w:vAlign w:val="bottom"/>
          </w:tcPr>
          <w:p>
            <w:pPr>
              <w:spacing w:after="0"/>
              <w:rPr>
                <w:sz w:val="14"/>
                <w:szCs w:val="14"/>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Year ended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December 31, 2006</w:t>
            </w:r>
          </w:p>
        </w:tc>
        <w:tc>
          <w:tcPr>
            <w:tcW w:w="280" w:type="dxa"/>
            <w:vAlign w:val="bottom"/>
          </w:tcPr>
          <w:p>
            <w:pPr>
              <w:spacing w:after="0"/>
              <w:rPr>
                <w:sz w:val="14"/>
                <w:szCs w:val="14"/>
                <w:color w:val="auto"/>
              </w:rPr>
            </w:pPr>
          </w:p>
        </w:tc>
        <w:tc>
          <w:tcPr>
            <w:tcW w:w="2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6"/>
              </w:rPr>
              <w:t>December 31, 2005</w:t>
            </w:r>
          </w:p>
        </w:tc>
        <w:tc>
          <w:tcPr>
            <w:tcW w:w="20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4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7"/>
              <w:spacing w:after="0" w:line="115" w:lineRule="exact"/>
              <w:rPr>
                <w:sz w:val="20"/>
                <w:szCs w:val="20"/>
                <w:color w:val="auto"/>
              </w:rPr>
            </w:pPr>
            <w:r>
              <w:rPr>
                <w:rFonts w:ascii="Arial" w:cs="Arial" w:eastAsia="Arial" w:hAnsi="Arial"/>
                <w:sz w:val="12"/>
                <w:szCs w:val="12"/>
                <w:b w:val="1"/>
                <w:bCs w:val="1"/>
                <w:color w:val="auto"/>
              </w:rPr>
              <w:t>% of</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 of</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net sales</w:t>
            </w:r>
          </w:p>
        </w:tc>
        <w:tc>
          <w:tcPr>
            <w:tcW w:w="28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net sales</w:t>
            </w:r>
          </w:p>
        </w:tc>
        <w:tc>
          <w:tcPr>
            <w:tcW w:w="2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millions;</w:t>
            </w:r>
          </w:p>
        </w:tc>
        <w:tc>
          <w:tcPr>
            <w:tcW w:w="4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3"/>
              </w:rPr>
              <w:t>%)</w:t>
            </w: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$ 744.4</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$ 937.7</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36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644.9</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34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729.0</w:t>
            </w:r>
          </w:p>
        </w:tc>
        <w:tc>
          <w:tcPr>
            <w:tcW w:w="46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77.7</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99.4</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208.7</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87.7</w:t>
            </w: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4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131.3</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107.6</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11.5</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36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94.3</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340" w:type="dxa"/>
            <w:vAlign w:val="bottom"/>
          </w:tcPr>
          <w:p>
            <w:pPr>
              <w:spacing w:after="0"/>
              <w:rPr>
                <w:sz w:val="17"/>
                <w:szCs w:val="17"/>
                <w:color w:val="auto"/>
              </w:rPr>
            </w:pPr>
          </w:p>
        </w:tc>
        <w:tc>
          <w:tcPr>
            <w:tcW w:w="134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36.2</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3.9</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(213.8)</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(28.7)</w:t>
            </w:r>
          </w:p>
        </w:tc>
        <w:tc>
          <w:tcPr>
            <w:tcW w:w="1340" w:type="dxa"/>
            <w:vAlign w:val="bottom"/>
            <w:gridSpan w:val="3"/>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(58.4)</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(6.2)</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4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57.2</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7.7</w:t>
            </w:r>
          </w:p>
        </w:tc>
        <w:tc>
          <w:tcPr>
            <w:tcW w:w="134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57.2</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50.9</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6.8</w:t>
            </w:r>
          </w:p>
        </w:tc>
        <w:tc>
          <w:tcPr>
            <w:tcW w:w="134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16.5</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1.8</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(220.1)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1340" w:type="dxa"/>
            <w:vAlign w:val="bottom"/>
            <w:gridSpan w:val="3"/>
          </w:tcPr>
          <w:p>
            <w:pPr>
              <w:jc w:val="right"/>
              <w:ind w:right="332"/>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9.3</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134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0.2</w:t>
            </w: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(229.3)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340" w:type="dxa"/>
            <w:vAlign w:val="bottom"/>
            <w:gridSpan w:val="3"/>
          </w:tcPr>
          <w:p>
            <w:pPr>
              <w:jc w:val="right"/>
              <w:ind w:right="3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1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48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Year ended</w:t>
            </w:r>
          </w:p>
        </w:tc>
        <w:tc>
          <w:tcPr>
            <w:tcW w:w="280" w:type="dxa"/>
            <w:vAlign w:val="bottom"/>
          </w:tcPr>
          <w:p>
            <w:pPr>
              <w:spacing w:after="0"/>
              <w:rPr>
                <w:sz w:val="21"/>
                <w:szCs w:val="21"/>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Year ended</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December 31, 2006</w:t>
            </w:r>
          </w:p>
        </w:tc>
        <w:tc>
          <w:tcPr>
            <w:tcW w:w="280" w:type="dxa"/>
            <w:vAlign w:val="bottom"/>
          </w:tcPr>
          <w:p>
            <w:pPr>
              <w:spacing w:after="0"/>
              <w:rPr>
                <w:sz w:val="14"/>
                <w:szCs w:val="14"/>
                <w:color w:val="auto"/>
              </w:rPr>
            </w:pPr>
          </w:p>
        </w:tc>
        <w:tc>
          <w:tcPr>
            <w:tcW w:w="2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6"/>
              </w:rPr>
              <w:t>December 31, 2005</w:t>
            </w:r>
          </w:p>
        </w:tc>
        <w:tc>
          <w:tcPr>
            <w:tcW w:w="20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4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7"/>
              <w:spacing w:after="0" w:line="115" w:lineRule="exact"/>
              <w:rPr>
                <w:sz w:val="20"/>
                <w:szCs w:val="20"/>
                <w:color w:val="auto"/>
              </w:rPr>
            </w:pPr>
            <w:r>
              <w:rPr>
                <w:rFonts w:ascii="Arial" w:cs="Arial" w:eastAsia="Arial" w:hAnsi="Arial"/>
                <w:sz w:val="12"/>
                <w:szCs w:val="12"/>
                <w:b w:val="1"/>
                <w:bCs w:val="1"/>
                <w:color w:val="auto"/>
              </w:rPr>
              <w:t>% of</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 of</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total</w:t>
            </w:r>
          </w:p>
        </w:tc>
        <w:tc>
          <w:tcPr>
            <w:tcW w:w="2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millions;</w:t>
            </w:r>
          </w:p>
        </w:tc>
        <w:tc>
          <w:tcPr>
            <w:tcW w:w="4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3"/>
              </w:rPr>
              <w:t>%)</w:t>
            </w: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$ 273.7</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36.8%</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$ 326.0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34.8%</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(52.4)</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24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60.5</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163.3</w:t>
            </w:r>
          </w:p>
        </w:tc>
        <w:tc>
          <w:tcPr>
            <w:tcW w:w="46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17.4</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342.4</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345.4</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36.8</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136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67.8</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102.9</w:t>
            </w:r>
          </w:p>
        </w:tc>
        <w:tc>
          <w:tcPr>
            <w:tcW w:w="46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11.0</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6"/>
              </w:rPr>
              <w:t>$ 744.4</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$ 937.7</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We derive a majority of our net sales from three reportable segments: Display Solutions, Imaging Solutions and Semiconductor Manufacturing Services. All other for the period also included certain business activities exited in late 2005 or early 2006, such as our application processor and DRAM foundry businesses.</w:t>
      </w:r>
    </w:p>
    <w:p>
      <w:pPr>
        <w:spacing w:after="0" w:line="154"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Total net sales for 2006 decreased $193.3 million, or 20.6%, compared to 2005. Net sales generated from the three reportable segments in 2006 were $676.6 million, a decrease of $158.2 million, or 18.9%, from net sales from the three operating segments in 2005.</w:t>
      </w:r>
    </w:p>
    <w:p>
      <w:pPr>
        <w:spacing w:after="0" w:line="137"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8"/>
          <w:szCs w:val="18"/>
          <w:i w:val="1"/>
          <w:iCs w:val="1"/>
          <w:color w:val="auto"/>
        </w:rPr>
        <w:t>Display Solutions.</w:t>
      </w:r>
      <w:r>
        <w:rPr>
          <w:sz w:val="20"/>
          <w:szCs w:val="20"/>
          <w:color w:val="auto"/>
        </w:rPr>
        <w:tab/>
      </w:r>
      <w:r>
        <w:rPr>
          <w:rFonts w:ascii="Arial" w:cs="Arial" w:eastAsia="Arial" w:hAnsi="Arial"/>
          <w:sz w:val="16"/>
          <w:szCs w:val="16"/>
          <w:color w:val="auto"/>
        </w:rPr>
        <w:t>Net sales from Display Solutions for the year ended December 31, 2006 were $273.7 million, a $52.4 million, or a</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16.1% decrease, from $326.0 million for the year ended December 31, 2005. This decrease was primarily attributable to a sales volume decrease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large display driver products as a result of a reduction in inventories held by our customers in 2006 after a build up of inventory in the prior year.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 addition, average selling prices declined during 2006 which negatively impacted net sales.</w:t>
      </w:r>
    </w:p>
    <w:p>
      <w:pPr>
        <w:spacing w:after="0" w:line="140" w:lineRule="exact"/>
        <w:rPr>
          <w:sz w:val="20"/>
          <w:szCs w:val="20"/>
          <w:color w:val="auto"/>
        </w:rPr>
      </w:pPr>
    </w:p>
    <w:p>
      <w:pPr>
        <w:ind w:right="60" w:firstLine="571"/>
        <w:spacing w:after="0" w:line="260"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net sales decreased $102.8 million in 2006, or 63%, compared to net sales generated in 2005.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attributable to delays 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transitioning to new megapixel products. Revenue from our traditional VGA products decreased year-over-year due to lower market demand and a decline in average selling prices.</w:t>
      </w:r>
    </w:p>
    <w:p>
      <w:pPr>
        <w:spacing w:after="0" w:line="137" w:lineRule="exact"/>
        <w:rPr>
          <w:sz w:val="20"/>
          <w:szCs w:val="20"/>
          <w:color w:val="auto"/>
        </w:rPr>
      </w:pPr>
    </w:p>
    <w:p>
      <w:pPr>
        <w:ind w:right="2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year ended December 31, 2006</w:t>
      </w:r>
      <w:r>
        <w:rPr>
          <w:rFonts w:ascii="Arial" w:cs="Arial" w:eastAsia="Arial" w:hAnsi="Arial"/>
          <w:sz w:val="18"/>
          <w:szCs w:val="18"/>
          <w:i w:val="1"/>
          <w:iCs w:val="1"/>
          <w:color w:val="auto"/>
        </w:rPr>
        <w:t xml:space="preserve"> </w:t>
      </w:r>
      <w:r>
        <w:rPr>
          <w:rFonts w:ascii="Arial" w:cs="Arial" w:eastAsia="Arial" w:hAnsi="Arial"/>
          <w:sz w:val="18"/>
          <w:szCs w:val="18"/>
          <w:color w:val="auto"/>
        </w:rPr>
        <w:t>were $342.4 million, a $3.0 million or 0.9% decrease, compared to net sales of $345.4 million for 2005. A moderate decrease in the average selling prices of our services was mostly offset by an increase in volume.</w:t>
      </w:r>
    </w:p>
    <w:p>
      <w:pPr>
        <w:spacing w:after="0" w:line="131" w:lineRule="exact"/>
        <w:rPr>
          <w:sz w:val="20"/>
          <w:szCs w:val="20"/>
          <w:color w:val="auto"/>
        </w:rPr>
      </w:pPr>
    </w:p>
    <w:p>
      <w:pPr>
        <w:ind w:right="60" w:firstLine="571"/>
        <w:spacing w:after="0" w:line="247"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2006 were $67.8 million compared to $102.9 million for 2005. This year-over-year reduction of $35.1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represented net sales from the exited application processor and DRAM foundry businesses, which were partially offset by an increase in revenue from unit processing.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7"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years ended December 31, 2006 and 2005:</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456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December 31, 2006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December 31, 2005</w:t>
            </w:r>
          </w:p>
        </w:tc>
        <w:tc>
          <w:tcPr>
            <w:tcW w:w="160" w:type="dxa"/>
            <w:vAlign w:val="bottom"/>
          </w:tcPr>
          <w:p>
            <w:pPr>
              <w:spacing w:after="0"/>
              <w:rPr>
                <w:sz w:val="15"/>
                <w:szCs w:val="15"/>
                <w:color w:val="auto"/>
              </w:rPr>
            </w:pPr>
          </w:p>
        </w:tc>
      </w:tr>
      <w:tr>
        <w:trPr>
          <w:trHeight w:val="223"/>
        </w:trPr>
        <w:tc>
          <w:tcPr>
            <w:tcW w:w="456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2"/>
              </w:rPr>
              <w:t>% of Total</w:t>
            </w: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 of Total</w:t>
            </w:r>
          </w:p>
        </w:tc>
      </w:tr>
      <w:tr>
        <w:trPr>
          <w:trHeight w:val="142"/>
        </w:trPr>
        <w:tc>
          <w:tcPr>
            <w:tcW w:w="45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millions;</w:t>
            </w:r>
          </w:p>
        </w:tc>
        <w:tc>
          <w:tcPr>
            <w:tcW w:w="54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$413.7</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55.6%</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$512.4</w:t>
            </w:r>
          </w:p>
        </w:tc>
        <w:tc>
          <w:tcPr>
            <w:tcW w:w="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173.0</w:t>
            </w: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3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251.2</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97.8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62.4</w:t>
            </w:r>
          </w:p>
        </w:tc>
        <w:tc>
          <w:tcPr>
            <w:tcW w:w="102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8.4</w:t>
            </w:r>
          </w:p>
        </w:tc>
        <w:tc>
          <w:tcPr>
            <w:tcW w:w="12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56.9</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w:t>
            </w:r>
          </w:p>
        </w:tc>
        <w:tc>
          <w:tcPr>
            <w:tcW w:w="10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2.3</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0"/>
        </w:trPr>
        <w:tc>
          <w:tcPr>
            <w:tcW w:w="4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210"/>
        </w:trPr>
        <w:tc>
          <w:tcPr>
            <w:tcW w:w="456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744.4</w:t>
            </w:r>
          </w:p>
        </w:tc>
        <w:tc>
          <w:tcPr>
            <w:tcW w:w="420" w:type="dxa"/>
            <w:vAlign w:val="bottom"/>
          </w:tcPr>
          <w:p>
            <w:pPr>
              <w:spacing w:after="0"/>
              <w:rPr>
                <w:sz w:val="18"/>
                <w:szCs w:val="18"/>
                <w:color w:val="auto"/>
              </w:rPr>
            </w:pP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937.7</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9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60" w:type="dxa"/>
            <w:vAlign w:val="bottom"/>
          </w:tcPr>
          <w:p>
            <w:pPr>
              <w:spacing w:after="0"/>
              <w:rPr>
                <w:sz w:val="14"/>
                <w:szCs w:val="14"/>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 2006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 2005</w:t>
            </w:r>
          </w:p>
        </w:tc>
        <w:tc>
          <w:tcPr>
            <w:tcW w:w="240" w:type="dxa"/>
            <w:vAlign w:val="bottom"/>
          </w:tcPr>
          <w:p>
            <w:pPr>
              <w:spacing w:after="0"/>
              <w:rPr>
                <w:sz w:val="14"/>
                <w:szCs w:val="14"/>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6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9"/>
              <w:spacing w:after="0" w:line="115" w:lineRule="exact"/>
              <w:rPr>
                <w:sz w:val="20"/>
                <w:szCs w:val="20"/>
                <w:color w:val="auto"/>
              </w:rPr>
            </w:pPr>
            <w:r>
              <w:rPr>
                <w:rFonts w:ascii="Arial" w:cs="Arial" w:eastAsia="Arial" w:hAnsi="Arial"/>
                <w:sz w:val="12"/>
                <w:szCs w:val="12"/>
                <w:b w:val="1"/>
                <w:bCs w:val="1"/>
                <w:color w:val="auto"/>
              </w:rPr>
              <w:t>% of</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9"/>
              <w:spacing w:after="0" w:line="115" w:lineRule="exact"/>
              <w:rPr>
                <w:sz w:val="20"/>
                <w:szCs w:val="20"/>
                <w:color w:val="auto"/>
              </w:rPr>
            </w:pPr>
            <w:r>
              <w:rPr>
                <w:rFonts w:ascii="Arial" w:cs="Arial" w:eastAsia="Arial" w:hAnsi="Arial"/>
                <w:sz w:val="12"/>
                <w:szCs w:val="12"/>
                <w:b w:val="1"/>
                <w:bCs w:val="1"/>
                <w:color w:val="auto"/>
              </w:rPr>
              <w:t>% of</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16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Amount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net sales</w:t>
            </w:r>
          </w:p>
        </w:tc>
        <w:tc>
          <w:tcPr>
            <w:tcW w:w="32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net sales</w:t>
            </w:r>
          </w:p>
        </w:tc>
        <w:tc>
          <w:tcPr>
            <w:tcW w:w="240" w:type="dxa"/>
            <w:vAlign w:val="bottom"/>
          </w:tcPr>
          <w:p>
            <w:pPr>
              <w:spacing w:after="0"/>
              <w:rPr>
                <w:sz w:val="15"/>
                <w:szCs w:val="15"/>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81"/>
              </w:rPr>
              <w:t>(in</w:t>
            </w:r>
          </w:p>
        </w:tc>
        <w:tc>
          <w:tcPr>
            <w:tcW w:w="5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86"/>
              </w:rPr>
              <w:t>millions;</w:t>
            </w:r>
          </w:p>
        </w:tc>
        <w:tc>
          <w:tcPr>
            <w:tcW w:w="4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5"/>
              </w:rPr>
              <w:t>$ 35.6</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66.5</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10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(4.0)</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25.4</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45.7</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110.4</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10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22.1</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6.3</w:t>
            </w: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5"/>
              </w:rPr>
              <w:t>$ 99.4</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13.4%</w:t>
            </w:r>
          </w:p>
        </w:tc>
        <w:tc>
          <w:tcPr>
            <w:tcW w:w="4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u w:val="single" w:color="auto"/>
                <w:color w:val="auto"/>
                <w:w w:val="9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208.7</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(109.2)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80" w:firstLine="571"/>
        <w:spacing w:after="0" w:line="238" w:lineRule="auto"/>
        <w:rPr>
          <w:sz w:val="20"/>
          <w:szCs w:val="20"/>
          <w:color w:val="auto"/>
        </w:rPr>
      </w:pPr>
      <w:r>
        <w:rPr>
          <w:rFonts w:ascii="Arial" w:cs="Arial" w:eastAsia="Arial" w:hAnsi="Arial"/>
          <w:sz w:val="18"/>
          <w:szCs w:val="18"/>
          <w:color w:val="auto"/>
        </w:rPr>
        <w:t>Total gross profit decreased $109.2 million in 2006, or 52.4%, compared to 2005. Gross profit percentage for 2006 was 13.4% of net sales, a decrease of 8.9% from 22.3% for 2005. This decline in gross profit percentage was primarily attributable to lower utilization of our manufacturing capacity as a result of substantial sales decreases, coupled with an overall decrease in average selling prices.</w:t>
      </w:r>
    </w:p>
    <w:p>
      <w:pPr>
        <w:spacing w:after="0" w:line="136" w:lineRule="exact"/>
        <w:rPr>
          <w:sz w:val="20"/>
          <w:szCs w:val="20"/>
          <w:color w:val="auto"/>
        </w:rPr>
      </w:pPr>
    </w:p>
    <w:p>
      <w:pPr>
        <w:ind w:right="4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year ended December 31, 2006 declined to 13.0%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20.4% for the year ended December 31, 2005. This decline in gross profit percentage was primarily attributable to lower average selling prices and higher overhead cost per-unit driven by a decrease in unit volume.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firstLine="571"/>
        <w:spacing w:after="0" w:line="260"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reported a gross loss for the year ended December 31, 2006 primarily attributable to delays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to our new megapixel products and due to significant decreases in market demand for older products.</w:t>
      </w:r>
    </w:p>
    <w:p>
      <w:pPr>
        <w:spacing w:after="0" w:line="119" w:lineRule="exact"/>
        <w:rPr>
          <w:sz w:val="20"/>
          <w:szCs w:val="20"/>
          <w:color w:val="auto"/>
        </w:rPr>
      </w:pPr>
    </w:p>
    <w:p>
      <w:pPr>
        <w:ind w:right="28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declined to 13.4% in 2006</w:t>
      </w:r>
      <w:r>
        <w:rPr>
          <w:rFonts w:ascii="Arial" w:cs="Arial" w:eastAsia="Arial" w:hAnsi="Arial"/>
          <w:sz w:val="18"/>
          <w:szCs w:val="18"/>
          <w:i w:val="1"/>
          <w:iCs w:val="1"/>
          <w:color w:val="auto"/>
        </w:rPr>
        <w:t xml:space="preserve"> </w:t>
      </w:r>
      <w:r>
        <w:rPr>
          <w:rFonts w:ascii="Arial" w:cs="Arial" w:eastAsia="Arial" w:hAnsi="Arial"/>
          <w:sz w:val="18"/>
          <w:szCs w:val="18"/>
          <w:color w:val="auto"/>
        </w:rPr>
        <w:t>from 32.0% in 2005. The year-over-year decrease was primarily attributable to manufacturing a higher mix of larger geometry wafers, which generate lower gross profits than smaller geometry wafers.</w:t>
      </w:r>
    </w:p>
    <w:p>
      <w:pPr>
        <w:spacing w:after="0" w:line="131" w:lineRule="exact"/>
        <w:rPr>
          <w:sz w:val="20"/>
          <w:szCs w:val="20"/>
          <w:color w:val="auto"/>
        </w:rPr>
      </w:pPr>
    </w:p>
    <w:p>
      <w:pPr>
        <w:ind w:right="600" w:firstLine="571"/>
        <w:spacing w:after="0" w:line="260"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2006 increased to 32.6% from 6.1% for the year ended December 31, 2005.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mainly attributable to the discontinuation of the less profitable application processor and DRAM foundry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9" w:lineRule="exact"/>
        <w:rPr>
          <w:sz w:val="20"/>
          <w:szCs w:val="20"/>
          <w:color w:val="auto"/>
        </w:rPr>
      </w:pPr>
    </w:p>
    <w:p>
      <w:pPr>
        <w:ind w:right="140" w:firstLine="571"/>
        <w:spacing w:after="0" w:line="24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$87.7 million or 11.8% of net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2006 compared to $123.2 million, or 13.1% of net sales, for the year ended December 31, 2005. This decrease of $35.5 million, or 28.9%, from the prior year was primarily attributable to a reduction in professional service fees driven by our cost containment efforts and a decrease in amortization expense of intangible assets as a result of an impairment taken during the year.</w:t>
      </w:r>
    </w:p>
    <w:p>
      <w:pPr>
        <w:spacing w:after="0" w:line="134"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year ended December 31, 2006 were $131.3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$23.7 million, or 21.9%, increase, from $107.6 million for the year ended December 21, 2005. This increase in research and development expenses during the year primarily represented our focus on the introduction of new products. As a percentage of net sales, research and development expense increased to 17.6% in the more recent period as compared to 11.5% in the prior period.</w:t>
      </w:r>
    </w:p>
    <w:p>
      <w:pPr>
        <w:spacing w:after="0" w:line="134"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year ended December 31, 2006, we recorded restructuring and impairment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totaling $94.3 million, which included $92.9 million of impairment charges under SFAS No. 144 and $1.4 million of restructuring charges under SFAS No. 146. The impairment charges of $92.5 million recorded during 2006 related to certain fixed assets and technology and customer-based intangible assets (the “asset group”) comprising our Imaging Solution business. At the end of 2005, the capacity utilization at our specialized fabrication facility was less than budgeted. This was primarily due to a transition in product mix, coupled with a seasonal decrease in market demand, which we deemed to be temporary and recoverable. However, in 2006, our management determined, based on revised forecasting, that projected demand for some of the products in our Imaging Solutions business was significantly less than previously forecasted and that this decline was not temporary or seasonal. Therefore, we assessed whether there had been an impairment of the asset group pursuant to SFAS No. 144 and, based on that assessment, recorded the impairment charge. We also recorded $0.4 million of impairment charges in association with the disposition of certain held-for-sale assets.</w:t>
      </w:r>
    </w:p>
    <w:p>
      <w:pPr>
        <w:spacing w:after="0" w:line="162"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The $1.4 million of restructuring charges for 2006 were incurred in connection with the termination of certain members of our management and other employees.</w:t>
      </w:r>
    </w:p>
    <w:p>
      <w:pPr>
        <w:spacing w:after="0" w:line="155"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During the year ended December 31, 2005, we recorded a one-time charge of $36.2 million of restructuring and impairment charges which included $33.5 million for asset impairment and $2.7 million for restructuring.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9" w:lineRule="exact"/>
        <w:rPr>
          <w:sz w:val="20"/>
          <w:szCs w:val="20"/>
          <w:color w:val="auto"/>
        </w:rPr>
      </w:pPr>
    </w:p>
    <w:p>
      <w:pPr>
        <w:jc w:val="both"/>
        <w:ind w:right="40" w:firstLine="571"/>
        <w:spacing w:after="0" w:line="247"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$57.2 million for the year ended December 31, 2006, consistent with $57.2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2005. Interest expense was incurred to serve our notes in the amount of $750 million. At December 31, 2006, the notes bore interest at a weighted average interest rate of 7.94%.</w:t>
      </w:r>
    </w:p>
    <w:p>
      <w:pPr>
        <w:spacing w:after="0" w:line="131"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Net Foreign Currency Gain. </w:t>
      </w:r>
      <w:r>
        <w:rPr>
          <w:rFonts w:ascii="Arial" w:cs="Arial" w:eastAsia="Arial" w:hAnsi="Arial"/>
          <w:sz w:val="18"/>
          <w:szCs w:val="18"/>
          <w:color w:val="auto"/>
        </w:rPr>
        <w:t>Net foreign currency gain for the year ended December 31, 2006 was $50.9 million, compared to $16.5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2005. A substantial portion of our net foreign currency gain was non-cash translation gain recorded for intercompany borrowings at one of our subsidiaries and is affected by changes in the Korean won to U.S. dollar exchange rate, which was 930.0:1 using the noon buying rate in effect as of December 31, 2006 as quoted by the Federal Reserve Bank of New York as compared to 1,010:1 for the prior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Income tax expenses for the year ended December 31, 2006 were $9.3 million while income tax expenses were $1.8 million for the year ended December 31, 2005. The lower income tax expenses in the prior period were primarily attributable to the income tax benefit recognized for a temporary difference related to revenue recognition at our Japanese subsidiaries, which became recognizable as a result of a change in business model. Income tax expenses for 2006 were comprised of $5.2 million of withholding taxes on the interest paid by one of our subsidiaries to its parent company, a $2.0 million income tax effect from the decrease of deferred tax assets and an aggregate $2.0 million of current income taxes incurred at various jurisdictions where we had our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2005 and December 31, 2004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7"/>
              </w:rPr>
              <w:t>Three months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5"/>
              </w:rPr>
              <w:t>Total twelve months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ended</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tcPr>
          <w:p>
            <w:pPr>
              <w:jc w:val="right"/>
              <w:ind w:right="792"/>
              <w:spacing w:after="0" w:line="14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1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 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6"/>
              </w:rPr>
              <w:t>2004</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72"/>
              <w:spacing w:after="0" w:line="115" w:lineRule="exact"/>
              <w:rPr>
                <w:sz w:val="20"/>
                <w:szCs w:val="20"/>
                <w:color w:val="auto"/>
              </w:rPr>
            </w:pPr>
            <w:r>
              <w:rPr>
                <w:rFonts w:ascii="Arial" w:cs="Arial" w:eastAsia="Arial" w:hAnsi="Arial"/>
                <w:sz w:val="12"/>
                <w:szCs w:val="12"/>
                <w:b w:val="1"/>
                <w:bCs w:val="1"/>
                <w:color w:val="auto"/>
              </w:rPr>
              <w:t>% of</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6"/>
              <w:spacing w:after="0" w:line="115" w:lineRule="exact"/>
              <w:rPr>
                <w:sz w:val="20"/>
                <w:szCs w:val="20"/>
                <w:color w:val="auto"/>
              </w:rPr>
            </w:pPr>
            <w:r>
              <w:rPr>
                <w:rFonts w:ascii="Arial" w:cs="Arial" w:eastAsia="Arial" w:hAnsi="Arial"/>
                <w:sz w:val="12"/>
                <w:szCs w:val="12"/>
                <w:b w:val="1"/>
                <w:bCs w:val="1"/>
                <w:color w:val="auto"/>
              </w:rPr>
              <w:t>%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w w:val="83"/>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w w:val="93"/>
              </w:rPr>
              <w:t>net sales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net sales</w:t>
            </w:r>
          </w:p>
        </w:tc>
        <w:tc>
          <w:tcPr>
            <w:tcW w:w="1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(Successor</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Company)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6"/>
              </w:rPr>
              <w:t>(in millions; %)</w:t>
            </w:r>
          </w:p>
        </w:tc>
        <w:tc>
          <w:tcPr>
            <w:tcW w:w="120" w:type="dxa"/>
            <w:vAlign w:val="bottom"/>
          </w:tcPr>
          <w:p>
            <w:pPr>
              <w:spacing w:after="0"/>
              <w:rPr>
                <w:sz w:val="14"/>
                <w:szCs w:val="14"/>
                <w:color w:val="auto"/>
              </w:rPr>
            </w:pPr>
          </w:p>
        </w:tc>
        <w:tc>
          <w:tcPr>
            <w:tcW w:w="206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6"/>
              </w:rPr>
              <w:t>(Predecessor Company)</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440"/>
              <w:spacing w:after="0" w:line="202" w:lineRule="exact"/>
              <w:rPr>
                <w:sz w:val="20"/>
                <w:szCs w:val="20"/>
                <w:color w:val="auto"/>
              </w:rPr>
            </w:pPr>
            <w:r>
              <w:rPr>
                <w:rFonts w:ascii="Arial" w:cs="Arial" w:eastAsia="Arial" w:hAnsi="Arial"/>
                <w:sz w:val="18"/>
                <w:szCs w:val="18"/>
                <w:color w:val="auto"/>
              </w:rPr>
              <w:t>Related party</w:t>
            </w:r>
          </w:p>
        </w:tc>
        <w:tc>
          <w:tcPr>
            <w:tcW w:w="46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4"/>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163.8</w:t>
            </w:r>
          </w:p>
        </w:tc>
        <w:tc>
          <w:tcPr>
            <w:tcW w:w="120" w:type="dxa"/>
            <w:vAlign w:val="bottom"/>
          </w:tcPr>
          <w:p>
            <w:pPr>
              <w:spacing w:after="0"/>
              <w:rPr>
                <w:sz w:val="17"/>
                <w:szCs w:val="17"/>
                <w:color w:val="auto"/>
              </w:rPr>
            </w:pPr>
          </w:p>
        </w:tc>
        <w:tc>
          <w:tcPr>
            <w:tcW w:w="32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163.8</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15.1%</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w w:val="70"/>
              </w:rPr>
              <w:t>937.7</w:t>
            </w:r>
          </w:p>
        </w:tc>
        <w:tc>
          <w:tcPr>
            <w:tcW w:w="160" w:type="dxa"/>
            <w:vAlign w:val="bottom"/>
            <w:tcBorders>
              <w:lef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243.6</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921.4</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70"/>
              </w:rPr>
              <w:t>937.7</w:t>
            </w: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1,085.2</w:t>
            </w: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70"/>
              </w:rPr>
              <w:t>729.0</w:t>
            </w:r>
          </w:p>
        </w:tc>
        <w:tc>
          <w:tcPr>
            <w:tcW w:w="160" w:type="dxa"/>
            <w:vAlign w:val="bottom"/>
            <w:tcBorders>
              <w:lef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020" w:type="dxa"/>
            <w:vAlign w:val="bottom"/>
            <w:gridSpan w:val="3"/>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204.5</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859.1</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w:t>
            </w:r>
          </w:p>
        </w:tc>
        <w:tc>
          <w:tcPr>
            <w:tcW w:w="3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70"/>
              </w:rPr>
              <w:t>208.7</w:t>
            </w:r>
          </w:p>
        </w:tc>
        <w:tc>
          <w:tcPr>
            <w:tcW w:w="1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3"/>
          </w:tcPr>
          <w:p>
            <w:pPr>
              <w:jc w:val="right"/>
              <w:ind w:right="37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226.1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Selling, general and administrative</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expenses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w w:val="70"/>
              </w:rPr>
              <w:t>123.2</w:t>
            </w:r>
          </w:p>
        </w:tc>
        <w:tc>
          <w:tcPr>
            <w:tcW w:w="160" w:type="dxa"/>
            <w:vAlign w:val="bottom"/>
            <w:tcBorders>
              <w:left w:val="single" w:sz="8" w:color="CCEEFF"/>
            </w:tcBorders>
            <w:shd w:val="clear" w:color="auto" w:fill="CCEEFF"/>
          </w:tcPr>
          <w:p>
            <w:pPr>
              <w:spacing w:after="0"/>
              <w:rPr>
                <w:sz w:val="17"/>
                <w:szCs w:val="17"/>
                <w:color w:val="auto"/>
              </w:rPr>
            </w:pPr>
          </w:p>
        </w:tc>
        <w:tc>
          <w:tcPr>
            <w:tcW w:w="1320" w:type="dxa"/>
            <w:vAlign w:val="bottom"/>
            <w:gridSpan w:val="5"/>
            <w:shd w:val="clear" w:color="auto" w:fill="CCEEFF"/>
          </w:tcPr>
          <w:p>
            <w:pPr>
              <w:jc w:val="right"/>
              <w:ind w:right="372"/>
              <w:spacing w:after="0" w:line="200" w:lineRule="exact"/>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29.8</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83.8</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7.7</w:t>
            </w:r>
          </w:p>
        </w:tc>
        <w:tc>
          <w:tcPr>
            <w:tcW w:w="7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w w:val="70"/>
              </w:rPr>
              <w:t>107.6</w:t>
            </w:r>
          </w:p>
        </w:tc>
        <w:tc>
          <w:tcPr>
            <w:tcW w:w="160" w:type="dxa"/>
            <w:vAlign w:val="bottom"/>
          </w:tcPr>
          <w:p>
            <w:pPr>
              <w:spacing w:after="0"/>
              <w:rPr>
                <w:sz w:val="17"/>
                <w:szCs w:val="17"/>
                <w:color w:val="auto"/>
              </w:rPr>
            </w:pPr>
          </w:p>
        </w:tc>
        <w:tc>
          <w:tcPr>
            <w:tcW w:w="1320" w:type="dxa"/>
            <w:vAlign w:val="bottom"/>
            <w:gridSpan w:val="5"/>
          </w:tcPr>
          <w:p>
            <w:pPr>
              <w:jc w:val="right"/>
              <w:ind w:right="372"/>
              <w:spacing w:after="0" w:line="202"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1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97.8</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9.0</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36.2</w:t>
            </w:r>
          </w:p>
        </w:tc>
        <w:tc>
          <w:tcPr>
            <w:tcW w:w="1320" w:type="dxa"/>
            <w:vAlign w:val="bottom"/>
            <w:gridSpan w:val="5"/>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1320" w:type="dxa"/>
            <w:vAlign w:val="bottom"/>
            <w:gridSpan w:val="5"/>
          </w:tcPr>
          <w:p>
            <w:pPr>
              <w:jc w:val="right"/>
              <w:ind w:right="3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(12.7)</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57.2</w:t>
            </w:r>
          </w:p>
        </w:tc>
        <w:tc>
          <w:tcPr>
            <w:tcW w:w="1320" w:type="dxa"/>
            <w:vAlign w:val="bottom"/>
            <w:gridSpan w:val="5"/>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Foreign currency gain, net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w:t>
            </w:r>
          </w:p>
        </w:tc>
        <w:tc>
          <w:tcPr>
            <w:tcW w:w="1320" w:type="dxa"/>
            <w:vAlign w:val="bottom"/>
            <w:gridSpan w:val="5"/>
          </w:tcPr>
          <w:p>
            <w:pPr>
              <w:jc w:val="right"/>
              <w:ind w:right="372"/>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30.4</w:t>
            </w:r>
          </w:p>
        </w:tc>
        <w:tc>
          <w:tcPr>
            <w:tcW w:w="1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35.8</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3.3</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 net</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0.1</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(99.1)</w:t>
            </w:r>
          </w:p>
        </w:tc>
        <w:tc>
          <w:tcPr>
            <w:tcW w:w="1320" w:type="dxa"/>
            <w:vAlign w:val="bottom"/>
            <w:gridSpan w:val="5"/>
          </w:tcPr>
          <w:p>
            <w:pPr>
              <w:jc w:val="right"/>
              <w:ind w:right="3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0.9</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1320" w:type="dxa"/>
            <w:vAlign w:val="bottom"/>
            <w:gridSpan w:val="5"/>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0.9</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(100.9)</w:t>
            </w:r>
          </w:p>
        </w:tc>
        <w:tc>
          <w:tcPr>
            <w:tcW w:w="1320" w:type="dxa"/>
            <w:vAlign w:val="bottom"/>
            <w:gridSpan w:val="5"/>
          </w:tcPr>
          <w:p>
            <w:pPr>
              <w:jc w:val="right"/>
              <w:ind w:right="152"/>
              <w:spacing w:after="0"/>
              <w:rPr>
                <w:sz w:val="20"/>
                <w:szCs w:val="20"/>
                <w:color w:val="auto"/>
              </w:rPr>
            </w:pPr>
            <w:r>
              <w:rPr>
                <w:rFonts w:ascii="Arial" w:cs="Arial" w:eastAsia="Arial" w:hAnsi="Arial"/>
                <w:sz w:val="18"/>
                <w:szCs w:val="18"/>
                <w:color w:val="auto"/>
              </w:rPr>
              <w:t>(10.8)%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160" w:type="dxa"/>
            <w:vAlign w:val="bottom"/>
            <w:tcBorders>
              <w:right w:val="single" w:sz="8" w:color="auto"/>
            </w:tcBorders>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43.2</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7"/>
                <w:szCs w:val="17"/>
                <w:color w:val="auto"/>
              </w:rPr>
            </w:pPr>
          </w:p>
        </w:tc>
        <w:tc>
          <w:tcPr>
            <w:tcW w:w="1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Nine months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6"/>
              </w:rPr>
              <w:t>Total twelve months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left="258"/>
              <w:spacing w:after="0" w:line="149" w:lineRule="exact"/>
              <w:rPr>
                <w:sz w:val="20"/>
                <w:szCs w:val="20"/>
                <w:color w:val="auto"/>
              </w:rPr>
            </w:pPr>
            <w:r>
              <w:rPr>
                <w:rFonts w:ascii="Arial" w:cs="Arial" w:eastAsia="Arial" w:hAnsi="Arial"/>
                <w:sz w:val="14"/>
                <w:szCs w:val="14"/>
                <w:b w:val="1"/>
                <w:bCs w:val="1"/>
                <w:color w:val="auto"/>
                <w:w w:val="96"/>
              </w:rPr>
              <w:t>ended</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tcPr>
          <w:p>
            <w:pPr>
              <w:jc w:val="right"/>
              <w:ind w:right="872"/>
              <w:spacing w:after="0" w:line="149" w:lineRule="exact"/>
              <w:rPr>
                <w:sz w:val="20"/>
                <w:szCs w:val="20"/>
                <w:color w:val="auto"/>
              </w:rPr>
            </w:pPr>
            <w:r>
              <w:rPr>
                <w:rFonts w:ascii="Arial" w:cs="Arial" w:eastAsia="Arial" w:hAnsi="Arial"/>
                <w:sz w:val="14"/>
                <w:szCs w:val="14"/>
                <w:b w:val="1"/>
                <w:bCs w:val="1"/>
                <w:color w:val="auto"/>
              </w:rPr>
              <w:t>Year ended</w:t>
            </w:r>
          </w:p>
        </w:tc>
        <w:tc>
          <w:tcPr>
            <w:tcW w:w="130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2"/>
                <w:szCs w:val="12"/>
                <w:color w:val="auto"/>
              </w:rPr>
            </w:pPr>
          </w:p>
        </w:tc>
        <w:tc>
          <w:tcPr>
            <w:tcW w:w="1160" w:type="dxa"/>
            <w:vAlign w:val="bottom"/>
            <w:gridSpan w:val="5"/>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7"/>
          </w:tcPr>
          <w:p>
            <w:pPr>
              <w:jc w:val="right"/>
              <w:ind w:right="632"/>
              <w:spacing w:after="0"/>
              <w:rPr>
                <w:sz w:val="20"/>
                <w:szCs w:val="20"/>
                <w:color w:val="auto"/>
              </w:rPr>
            </w:pPr>
            <w:r>
              <w:rPr>
                <w:rFonts w:ascii="Arial" w:cs="Arial" w:eastAsia="Arial" w:hAnsi="Arial"/>
                <w:sz w:val="14"/>
                <w:szCs w:val="14"/>
                <w:b w:val="1"/>
                <w:bCs w:val="1"/>
                <w:color w:val="auto"/>
                <w:w w:val="95"/>
              </w:rPr>
              <w:t>December 31, 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96"/>
              </w:rPr>
              <w:t>2004</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82"/>
              <w:spacing w:after="0" w:line="115" w:lineRule="exact"/>
              <w:rPr>
                <w:sz w:val="20"/>
                <w:szCs w:val="20"/>
                <w:color w:val="auto"/>
              </w:rPr>
            </w:pPr>
            <w:r>
              <w:rPr>
                <w:rFonts w:ascii="Arial" w:cs="Arial" w:eastAsia="Arial" w:hAnsi="Arial"/>
                <w:sz w:val="12"/>
                <w:szCs w:val="12"/>
                <w:b w:val="1"/>
                <w:bCs w:val="1"/>
                <w:color w:val="auto"/>
              </w:rPr>
              <w:t>% of</w:t>
            </w:r>
          </w:p>
        </w:tc>
        <w:tc>
          <w:tcPr>
            <w:tcW w:w="520" w:type="dxa"/>
            <w:vAlign w:val="bottom"/>
            <w:gridSpan w:val="2"/>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96"/>
              <w:spacing w:after="0" w:line="115" w:lineRule="exact"/>
              <w:rPr>
                <w:sz w:val="20"/>
                <w:szCs w:val="20"/>
                <w:color w:val="auto"/>
              </w:rPr>
            </w:pPr>
            <w:r>
              <w:rPr>
                <w:rFonts w:ascii="Arial" w:cs="Arial" w:eastAsia="Arial" w:hAnsi="Arial"/>
                <w:sz w:val="12"/>
                <w:szCs w:val="12"/>
                <w:b w:val="1"/>
                <w:bCs w:val="1"/>
                <w:color w:val="auto"/>
              </w:rPr>
              <w:t>%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total</w:t>
            </w:r>
          </w:p>
        </w:tc>
        <w:tc>
          <w:tcPr>
            <w:tcW w:w="52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37"/>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38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right"/>
              <w:spacing w:after="0" w:line="125" w:lineRule="exact"/>
              <w:rPr>
                <w:sz w:val="20"/>
                <w:szCs w:val="20"/>
                <w:color w:val="auto"/>
              </w:rPr>
            </w:pPr>
            <w:r>
              <w:rPr>
                <w:rFonts w:ascii="Arial" w:cs="Arial" w:eastAsia="Arial" w:hAnsi="Arial"/>
                <w:sz w:val="14"/>
                <w:szCs w:val="14"/>
                <w:b w:val="1"/>
                <w:bCs w:val="1"/>
                <w:color w:val="auto"/>
                <w:w w:val="95"/>
              </w:rPr>
              <w:t>(Successor</w:t>
            </w:r>
          </w:p>
        </w:tc>
        <w:tc>
          <w:tcPr>
            <w:tcW w:w="52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72"/>
              </w:rPr>
              <w:t>Company)</w:t>
            </w:r>
          </w:p>
        </w:tc>
        <w:tc>
          <w:tcPr>
            <w:tcW w:w="24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76"/>
              </w:rPr>
              <w:t>(Predecessor</w:t>
            </w:r>
          </w:p>
        </w:tc>
        <w:tc>
          <w:tcPr>
            <w:tcW w:w="1080" w:type="dxa"/>
            <w:vAlign w:val="bottom"/>
            <w:gridSpan w:val="6"/>
          </w:tcPr>
          <w:p>
            <w:pPr>
              <w:jc w:val="right"/>
              <w:ind w:right="158"/>
              <w:spacing w:after="0" w:line="125" w:lineRule="exact"/>
              <w:rPr>
                <w:sz w:val="20"/>
                <w:szCs w:val="20"/>
                <w:color w:val="auto"/>
              </w:rPr>
            </w:pPr>
            <w:r>
              <w:rPr>
                <w:rFonts w:ascii="Arial" w:cs="Arial" w:eastAsia="Arial" w:hAnsi="Arial"/>
                <w:sz w:val="14"/>
                <w:szCs w:val="14"/>
                <w:b w:val="1"/>
                <w:bCs w:val="1"/>
                <w:color w:val="auto"/>
              </w:rPr>
              <w:t>Company)</w:t>
            </w:r>
          </w:p>
        </w:tc>
        <w:tc>
          <w:tcPr>
            <w:tcW w:w="3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(in millions;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5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$ 326.0</w:t>
            </w:r>
          </w:p>
        </w:tc>
        <w:tc>
          <w:tcPr>
            <w:tcW w:w="160" w:type="dxa"/>
            <w:vAlign w:val="bottom"/>
            <w:tcBorders>
              <w:left w:val="single" w:sz="8" w:color="CCEEFF"/>
            </w:tcBorders>
            <w:shd w:val="clear" w:color="auto" w:fill="CCEEFF"/>
          </w:tcPr>
          <w:p>
            <w:pPr>
              <w:spacing w:after="0"/>
              <w:rPr>
                <w:sz w:val="17"/>
                <w:szCs w:val="17"/>
                <w:color w:val="auto"/>
              </w:rPr>
            </w:pPr>
          </w:p>
        </w:tc>
        <w:tc>
          <w:tcPr>
            <w:tcW w:w="1320" w:type="dxa"/>
            <w:vAlign w:val="bottom"/>
            <w:gridSpan w:val="5"/>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23.9%</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163.3</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142.1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34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345.4</w:t>
            </w:r>
          </w:p>
        </w:tc>
        <w:tc>
          <w:tcPr>
            <w:tcW w:w="16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102.9</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230.5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34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$ 937.7</w:t>
            </w:r>
          </w:p>
        </w:tc>
        <w:tc>
          <w:tcPr>
            <w:tcW w:w="160" w:type="dxa"/>
            <w:vAlign w:val="bottom"/>
            <w:tcBorders>
              <w:left w:val="single" w:sz="8" w:color="CCEEFF"/>
            </w:tcBorders>
            <w:shd w:val="clear" w:color="auto" w:fill="CCEEFF"/>
          </w:tcPr>
          <w:p>
            <w:pPr>
              <w:spacing w:after="0"/>
              <w:rPr>
                <w:sz w:val="17"/>
                <w:szCs w:val="17"/>
                <w:color w:val="auto"/>
              </w:rPr>
            </w:pPr>
          </w:p>
        </w:tc>
        <w:tc>
          <w:tcPr>
            <w:tcW w:w="1320" w:type="dxa"/>
            <w:vAlign w:val="bottom"/>
            <w:gridSpan w:val="5"/>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841.6</w:t>
            </w: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1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1,085.2</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Total net sales for the year ended December 31, 2005 were $937.7 million, a $147.5 million or 13.6% decrease from $1.1 billion in 2004, which consisted of $841.6 million for the nine months ended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September 30, 2004 and $243.6 million for the three months ended December 31, 2004. The reduction was primarily attributable to a decrease of $133.4 million in our DRAM foundry business with Hynix, which is included in the All other category, driven by our strategic decision to focus on three core segments. Net sales generated from the three operating segments in 2005 were $834.8 million, compared to $817.8 million in 2004.</w:t>
      </w:r>
    </w:p>
    <w:p>
      <w:pPr>
        <w:spacing w:after="0" w:line="106" w:lineRule="exact"/>
        <w:rPr>
          <w:sz w:val="20"/>
          <w:szCs w:val="20"/>
          <w:color w:val="auto"/>
        </w:rPr>
      </w:pPr>
    </w:p>
    <w:p>
      <w:pPr>
        <w:ind w:right="12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year ended December 31, 2005 were $326.0 million, a $66.9 million or 25.9%</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from $259.2 million for the year ended December 31, 2004. This revenue increase for Display Solutions was driven by an expansion in market demand, partially offset by a slight decline in average selling prices.</w:t>
      </w:r>
    </w:p>
    <w:p>
      <w:pPr>
        <w:spacing w:after="0" w:line="131" w:lineRule="exact"/>
        <w:rPr>
          <w:sz w:val="20"/>
          <w:szCs w:val="20"/>
          <w:color w:val="auto"/>
        </w:rPr>
      </w:pPr>
    </w:p>
    <w:p>
      <w:pPr>
        <w:ind w:right="320" w:firstLine="571"/>
        <w:spacing w:after="0" w:line="247"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net sales for the year ended December 2005 were $163.3 million, a decrease of $36.8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18.4%, compared to $200.1 million for the year ended December 31, 2004. This decrease in net sales was mainly attributable to a decline in average selling price, especially in VGA products, which was partially offset by an increase in unit volume sales.</w:t>
      </w:r>
    </w:p>
    <w:p>
      <w:pPr>
        <w:spacing w:after="0" w:line="131" w:lineRule="exact"/>
        <w:rPr>
          <w:sz w:val="20"/>
          <w:szCs w:val="20"/>
          <w:color w:val="auto"/>
        </w:rPr>
      </w:pPr>
    </w:p>
    <w:p>
      <w:pPr>
        <w:jc w:val="both"/>
        <w:ind w:right="6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for the year ended December 31, 2005 generated from Semiconductor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were $345.4 million, relatively consistent compared to $358.5 million of revenue for the year ended December 31, 2004, as a decrease in sales volume was mostly offset by an increase in average selling price.</w:t>
      </w:r>
    </w:p>
    <w:p>
      <w:pPr>
        <w:spacing w:after="0" w:line="131" w:lineRule="exact"/>
        <w:rPr>
          <w:sz w:val="20"/>
          <w:szCs w:val="20"/>
          <w:color w:val="auto"/>
        </w:rPr>
      </w:pPr>
    </w:p>
    <w:p>
      <w:pPr>
        <w:ind w:right="440" w:firstLine="571"/>
        <w:spacing w:after="0" w:line="260"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decreased 61.5% to $102.9 million in 2005 from $267.3 million in 2004 as we strategically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DRAM foundry and application solutions in an effort to focus on our three major business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7"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periods provided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00" w:type="dxa"/>
            <w:vAlign w:val="bottom"/>
            <w:gridSpan w:val="4"/>
          </w:tcPr>
          <w:p>
            <w:pPr>
              <w:jc w:val="right"/>
              <w:ind w:right="620"/>
              <w:spacing w:after="0" w:line="152"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860" w:type="dxa"/>
            <w:vAlign w:val="bottom"/>
            <w:gridSpan w:val="4"/>
          </w:tcPr>
          <w:p>
            <w:pPr>
              <w:ind w:left="160"/>
              <w:spacing w:after="0" w:line="152" w:lineRule="exact"/>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3"/>
          </w:tcPr>
          <w:p>
            <w:pPr>
              <w:jc w:val="right"/>
              <w:ind w:right="95"/>
              <w:spacing w:after="0" w:line="152" w:lineRule="exact"/>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center"/>
              <w:ind w:right="260"/>
              <w:spacing w:after="0" w:line="152" w:lineRule="exact"/>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4"/>
                <w:szCs w:val="14"/>
                <w:b w:val="1"/>
                <w:bCs w:val="1"/>
                <w:color w:val="auto"/>
              </w:rPr>
              <w:t>December 31, 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December 31, 2004</w:t>
            </w:r>
          </w:p>
        </w:tc>
        <w:tc>
          <w:tcPr>
            <w:tcW w:w="20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September 30, 2004</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5"/>
              <w:spacing w:after="0"/>
              <w:rPr>
                <w:sz w:val="20"/>
                <w:szCs w:val="20"/>
                <w:color w:val="auto"/>
              </w:rPr>
            </w:pPr>
            <w:r>
              <w:rPr>
                <w:rFonts w:ascii="Arial" w:cs="Arial" w:eastAsia="Arial" w:hAnsi="Arial"/>
                <w:sz w:val="14"/>
                <w:szCs w:val="14"/>
                <w:b w:val="1"/>
                <w:bCs w:val="1"/>
                <w:color w:val="auto"/>
                <w:w w:val="96"/>
              </w:rPr>
              <w:t>December 31, 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 of Total</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 of Total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of 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(Successor Company)</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w:t>
            </w:r>
          </w:p>
        </w:tc>
        <w:tc>
          <w:tcPr>
            <w:tcW w:w="56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rPr>
              <w:t>(Predecessor Company)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1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$512.4</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54.6%</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$ 127.2</w:t>
            </w:r>
          </w:p>
        </w:tc>
        <w:tc>
          <w:tcPr>
            <w:tcW w:w="2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$455.6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54.1%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19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251.2</w:t>
            </w: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26.8</w:t>
            </w:r>
          </w:p>
        </w:tc>
        <w:tc>
          <w:tcPr>
            <w:tcW w:w="8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63.1</w:t>
            </w:r>
          </w:p>
        </w:tc>
        <w:tc>
          <w:tcPr>
            <w:tcW w:w="880" w:type="dxa"/>
            <w:vAlign w:val="bottom"/>
            <w:tcBorders>
              <w:right w:val="single" w:sz="8" w:color="auto"/>
            </w:tcBorders>
          </w:tcPr>
          <w:p>
            <w:pPr>
              <w:jc w:val="right"/>
              <w:ind w:right="317"/>
              <w:spacing w:after="0" w:line="202" w:lineRule="exact"/>
              <w:rPr>
                <w:sz w:val="20"/>
                <w:szCs w:val="20"/>
                <w:color w:val="auto"/>
              </w:rPr>
            </w:pPr>
            <w:r>
              <w:rPr>
                <w:rFonts w:ascii="Arial" w:cs="Arial" w:eastAsia="Arial" w:hAnsi="Arial"/>
                <w:sz w:val="18"/>
                <w:szCs w:val="18"/>
                <w:color w:val="auto"/>
              </w:rPr>
              <w:t>25.9</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203.8</w:t>
            </w:r>
          </w:p>
        </w:tc>
        <w:tc>
          <w:tcPr>
            <w:tcW w:w="220" w:type="dxa"/>
            <w:vAlign w:val="bottom"/>
          </w:tcPr>
          <w:p>
            <w:pPr>
              <w:spacing w:after="0"/>
              <w:rPr>
                <w:sz w:val="17"/>
                <w:szCs w:val="17"/>
                <w:color w:val="auto"/>
              </w:rPr>
            </w:pPr>
          </w:p>
        </w:tc>
        <w:tc>
          <w:tcPr>
            <w:tcW w:w="82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24.2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266.9</w:t>
            </w:r>
          </w:p>
        </w:tc>
        <w:tc>
          <w:tcPr>
            <w:tcW w:w="20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880" w:type="dxa"/>
            <w:vAlign w:val="bottom"/>
            <w:tcBorders>
              <w:right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9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56.9</w:t>
            </w: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6.1</w:t>
            </w:r>
          </w:p>
        </w:tc>
        <w:tc>
          <w:tcPr>
            <w:tcW w:w="8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11.7</w:t>
            </w:r>
          </w:p>
        </w:tc>
        <w:tc>
          <w:tcPr>
            <w:tcW w:w="880" w:type="dxa"/>
            <w:vAlign w:val="bottom"/>
            <w:tcBorders>
              <w:right w:val="single" w:sz="8" w:color="auto"/>
            </w:tcBorders>
          </w:tcPr>
          <w:p>
            <w:pPr>
              <w:jc w:val="right"/>
              <w:ind w:right="317"/>
              <w:spacing w:after="0" w:line="202"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78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17.4</w:t>
            </w:r>
          </w:p>
        </w:tc>
        <w:tc>
          <w:tcPr>
            <w:tcW w:w="82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29.1</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w:t>
            </w:r>
          </w:p>
        </w:tc>
        <w:tc>
          <w:tcPr>
            <w:tcW w:w="880" w:type="dxa"/>
            <w:vAlign w:val="bottom"/>
            <w:tcBorders>
              <w:right w:val="single" w:sz="8" w:color="auto"/>
            </w:tcBorders>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21.6</w:t>
            </w:r>
          </w:p>
        </w:tc>
        <w:tc>
          <w:tcPr>
            <w:tcW w:w="82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25.2</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937.7</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$ 243.6</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ind w:right="157"/>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841.6</w:t>
            </w:r>
          </w:p>
        </w:tc>
        <w:tc>
          <w:tcPr>
            <w:tcW w:w="220" w:type="dxa"/>
            <w:vAlign w:val="bottom"/>
          </w:tcPr>
          <w:p>
            <w:pPr>
              <w:spacing w:after="0"/>
              <w:rPr>
                <w:sz w:val="18"/>
                <w:szCs w:val="18"/>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w w:val="94"/>
              </w:rPr>
              <w:t>100.0%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1,085.2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Three months</w:t>
            </w:r>
          </w:p>
        </w:tc>
        <w:tc>
          <w:tcPr>
            <w:tcW w:w="34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Nine months</w:t>
            </w:r>
          </w:p>
        </w:tc>
        <w:tc>
          <w:tcPr>
            <w:tcW w:w="140" w:type="dxa"/>
            <w:vAlign w:val="bottom"/>
          </w:tcPr>
          <w:p>
            <w:pPr>
              <w:spacing w:after="0"/>
              <w:rPr>
                <w:sz w:val="14"/>
                <w:szCs w:val="14"/>
                <w:color w:val="auto"/>
              </w:rPr>
            </w:pPr>
          </w:p>
        </w:tc>
        <w:tc>
          <w:tcPr>
            <w:tcW w:w="17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Total twelve months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ended</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6"/>
              </w:rPr>
              <w:t>ended</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720"/>
              <w:spacing w:after="0" w:line="152" w:lineRule="exact"/>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3"/>
                <w:szCs w:val="13"/>
                <w:color w:val="auto"/>
              </w:rPr>
            </w:pPr>
          </w:p>
        </w:tc>
        <w:tc>
          <w:tcPr>
            <w:tcW w:w="1120" w:type="dxa"/>
            <w:vAlign w:val="bottom"/>
            <w:gridSpan w:val="3"/>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December 31,</w:t>
            </w:r>
          </w:p>
        </w:tc>
        <w:tc>
          <w:tcPr>
            <w:tcW w:w="340" w:type="dxa"/>
            <w:vAlign w:val="bottom"/>
          </w:tcPr>
          <w:p>
            <w:pPr>
              <w:spacing w:after="0"/>
              <w:rPr>
                <w:sz w:val="13"/>
                <w:szCs w:val="13"/>
                <w:color w:val="auto"/>
              </w:rPr>
            </w:pPr>
          </w:p>
        </w:tc>
        <w:tc>
          <w:tcPr>
            <w:tcW w:w="1260" w:type="dxa"/>
            <w:vAlign w:val="bottom"/>
            <w:gridSpan w:val="3"/>
          </w:tcPr>
          <w:p>
            <w:pPr>
              <w:jc w:val="center"/>
              <w:ind w:right="340"/>
              <w:spacing w:after="0" w:line="152" w:lineRule="exact"/>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3"/>
                <w:szCs w:val="13"/>
                <w:color w:val="auto"/>
              </w:rPr>
            </w:pPr>
          </w:p>
        </w:tc>
        <w:tc>
          <w:tcPr>
            <w:tcW w:w="1780" w:type="dxa"/>
            <w:vAlign w:val="bottom"/>
            <w:gridSpan w:val="4"/>
          </w:tcPr>
          <w:p>
            <w:pPr>
              <w:jc w:val="center"/>
              <w:ind w:right="460"/>
              <w:spacing w:after="0" w:line="152" w:lineRule="exact"/>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December 31, 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2004</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gridSpan w:val="2"/>
          </w:tcPr>
          <w:p>
            <w:pPr>
              <w:jc w:val="center"/>
              <w:ind w:right="515"/>
              <w:spacing w:after="0"/>
              <w:rPr>
                <w:sz w:val="20"/>
                <w:szCs w:val="20"/>
                <w:color w:val="auto"/>
              </w:rPr>
            </w:pPr>
            <w:r>
              <w:rPr>
                <w:rFonts w:ascii="Arial" w:cs="Arial" w:eastAsia="Arial" w:hAnsi="Arial"/>
                <w:sz w:val="14"/>
                <w:szCs w:val="14"/>
                <w:b w:val="1"/>
                <w:bCs w:val="1"/>
                <w:color w:val="auto"/>
                <w:w w:val="96"/>
              </w:rPr>
              <w:t>2004</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84"/>
              <w:spacing w:after="0" w:line="115" w:lineRule="exact"/>
              <w:rPr>
                <w:sz w:val="20"/>
                <w:szCs w:val="20"/>
                <w:color w:val="auto"/>
              </w:rPr>
            </w:pPr>
            <w:r>
              <w:rPr>
                <w:rFonts w:ascii="Arial" w:cs="Arial" w:eastAsia="Arial" w:hAnsi="Arial"/>
                <w:sz w:val="12"/>
                <w:szCs w:val="12"/>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15"/>
              <w:spacing w:after="0" w:line="115" w:lineRule="exact"/>
              <w:rPr>
                <w:sz w:val="20"/>
                <w:szCs w:val="20"/>
                <w:color w:val="auto"/>
              </w:rPr>
            </w:pPr>
            <w:r>
              <w:rPr>
                <w:rFonts w:ascii="Arial" w:cs="Arial" w:eastAsia="Arial" w:hAnsi="Arial"/>
                <w:sz w:val="12"/>
                <w:szCs w:val="12"/>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net sales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(Successor Company)</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Company)</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(in millions; %)</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Display solutions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66.6</w:t>
            </w:r>
          </w:p>
        </w:tc>
        <w:tc>
          <w:tcPr>
            <w:tcW w:w="11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20.4%</w:t>
            </w:r>
          </w:p>
        </w:tc>
        <w:tc>
          <w:tcPr>
            <w:tcW w:w="36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4.6</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30.4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13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13.4%</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25.4</w:t>
            </w:r>
          </w:p>
        </w:tc>
        <w:tc>
          <w:tcPr>
            <w:tcW w:w="11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w:t>
            </w:r>
          </w:p>
        </w:tc>
        <w:tc>
          <w:tcPr>
            <w:tcW w:w="13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34.7</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110.4</w:t>
            </w:r>
          </w:p>
        </w:tc>
        <w:tc>
          <w:tcPr>
            <w:tcW w:w="100" w:type="dxa"/>
            <w:vAlign w:val="bottom"/>
          </w:tcPr>
          <w:p>
            <w:pPr>
              <w:spacing w:after="0"/>
              <w:rPr>
                <w:sz w:val="17"/>
                <w:szCs w:val="17"/>
                <w:color w:val="auto"/>
              </w:rPr>
            </w:pPr>
          </w:p>
        </w:tc>
        <w:tc>
          <w:tcPr>
            <w:tcW w:w="11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32.0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19.1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86.3</w:t>
            </w:r>
          </w:p>
        </w:tc>
        <w:tc>
          <w:tcPr>
            <w:tcW w:w="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105.4</w:t>
            </w:r>
          </w:p>
        </w:tc>
        <w:tc>
          <w:tcPr>
            <w:tcW w:w="13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29.4</w:t>
            </w:r>
          </w:p>
        </w:tc>
        <w:tc>
          <w:tcPr>
            <w:tcW w:w="7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3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6.2</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187.0</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226.1</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20.8%</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Total gross profit for 2005 decreased $17.5 million or 7.7%, compared to gross profit generated in 2004 mainly due to a decrease in revenue base. Gross profit percentage for 2005 increased to 22.3% of net sales from 20.8% of net sales for 2004. This improvement in gross profit percentage was primarily attributable to lower depreciation costs for 2005 associated with the application of purchase accounting from the Original Acquisition.</w:t>
      </w:r>
    </w:p>
    <w:p>
      <w:pPr>
        <w:spacing w:after="0" w:line="137" w:lineRule="exact"/>
        <w:rPr>
          <w:sz w:val="20"/>
          <w:szCs w:val="20"/>
          <w:color w:val="auto"/>
        </w:rPr>
      </w:pPr>
    </w:p>
    <w:p>
      <w:pPr>
        <w:ind w:right="8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year ended December 31, 2005 increased to 20.4%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13.4% for the year ended December 31, 2004. The increase in gross profit percentage was primarily attributable to lower per-unit overhead costs driven by a significant increase in unit volume produced during 2005.</w:t>
      </w:r>
    </w:p>
    <w:p>
      <w:pPr>
        <w:spacing w:after="0" w:line="131" w:lineRule="exact"/>
        <w:rPr>
          <w:sz w:val="20"/>
          <w:szCs w:val="20"/>
          <w:color w:val="auto"/>
        </w:rPr>
      </w:pPr>
    </w:p>
    <w:p>
      <w:pPr>
        <w:ind w:right="320" w:firstLine="571"/>
        <w:spacing w:after="0" w:line="260"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profit percentage for Imaging Solutions for 2005 was 15.6% compared with 34.7% for 2004. The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decrease from 2004 was primarily attributable to a decrease in average selling prices.</w:t>
      </w:r>
    </w:p>
    <w:p>
      <w:pPr>
        <w:spacing w:after="0" w:line="119" w:lineRule="exact"/>
        <w:rPr>
          <w:sz w:val="20"/>
          <w:szCs w:val="20"/>
          <w:color w:val="auto"/>
        </w:rPr>
      </w:pPr>
    </w:p>
    <w:p>
      <w:pPr>
        <w:jc w:val="both"/>
        <w:ind w:right="12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increased to 32.0% in 2005</w:t>
      </w:r>
      <w:r>
        <w:rPr>
          <w:rFonts w:ascii="Arial" w:cs="Arial" w:eastAsia="Arial" w:hAnsi="Arial"/>
          <w:sz w:val="18"/>
          <w:szCs w:val="18"/>
          <w:i w:val="1"/>
          <w:iCs w:val="1"/>
          <w:color w:val="auto"/>
        </w:rPr>
        <w:t xml:space="preserve"> </w:t>
      </w:r>
      <w:r>
        <w:rPr>
          <w:rFonts w:ascii="Arial" w:cs="Arial" w:eastAsia="Arial" w:hAnsi="Arial"/>
          <w:sz w:val="18"/>
          <w:szCs w:val="18"/>
          <w:color w:val="auto"/>
        </w:rPr>
        <w:t>from 29.4% in 2004. This increase in gross profit percentage in 2005 resulted from higher average selling prices and lower depreciation expenses during the period.</w:t>
      </w:r>
    </w:p>
    <w:p>
      <w:pPr>
        <w:spacing w:after="0" w:line="131" w:lineRule="exact"/>
        <w:rPr>
          <w:sz w:val="20"/>
          <w:szCs w:val="20"/>
          <w:color w:val="auto"/>
        </w:rPr>
      </w:pPr>
    </w:p>
    <w:p>
      <w:pPr>
        <w:ind w:left="580"/>
        <w:spacing w:after="0"/>
        <w:tabs>
          <w:tab w:leader="none" w:pos="1440" w:val="left"/>
        </w:tabs>
        <w:rPr>
          <w:sz w:val="20"/>
          <w:szCs w:val="20"/>
          <w:color w:val="auto"/>
        </w:rPr>
      </w:pPr>
      <w:r>
        <w:rPr>
          <w:rFonts w:ascii="Arial" w:cs="Arial" w:eastAsia="Arial" w:hAnsi="Arial"/>
          <w:sz w:val="18"/>
          <w:szCs w:val="18"/>
          <w:i w:val="1"/>
          <w:iCs w:val="1"/>
          <w:color w:val="auto"/>
        </w:rPr>
        <w:t>All other.</w:t>
      </w:r>
      <w:r>
        <w:rPr>
          <w:sz w:val="20"/>
          <w:szCs w:val="20"/>
          <w:color w:val="auto"/>
        </w:rPr>
        <w:tab/>
      </w:r>
      <w:r>
        <w:rPr>
          <w:rFonts w:ascii="Arial" w:cs="Arial" w:eastAsia="Arial" w:hAnsi="Arial"/>
          <w:sz w:val="16"/>
          <w:szCs w:val="16"/>
          <w:color w:val="auto"/>
        </w:rPr>
        <w:t>Gross profit percentage for All other for 2005 was 6.1%, relatively consistent with 6.2% for 2004.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$123.2 million, or 13.1%, of net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2005. This represents a $39.5 million, or 47.1%, increase from a total of $83.8 million, or 7.7%, of net sales in 2004, which consisted of $54.0 million for the nine months ended September 30, 2004 and $29.8 million for the three months ended December 31, 2004. The increase in selling, general and administrative expenses was primarily attributable to amortization of intangible assets recorded upon the application of purchase accounting as a result of the Original Acquisition. We also recognized increased professional fees related to consulting and infrastructure build-out as well as additional warranty reserves to cover possible exposures to future claims from customers.</w:t>
      </w:r>
    </w:p>
    <w:p>
      <w:pPr>
        <w:spacing w:after="0" w:line="141" w:lineRule="exact"/>
        <w:rPr>
          <w:sz w:val="20"/>
          <w:szCs w:val="20"/>
          <w:color w:val="auto"/>
        </w:rPr>
      </w:pPr>
    </w:p>
    <w:p>
      <w:pPr>
        <w:ind w:right="480" w:firstLine="571"/>
        <w:spacing w:after="0" w:line="260"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 2005 were $107.6 million, a $9.8 million, or 10.0%,</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from $97.8 million in 2004, which consisted of $75.7</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million for the nine months ended September 30, 2004 and $22.1 million for the three months ended December 31, 2004. The increase in research and development expenses was mainly due to our reinforcement of research and development centers worldwide through our mergers and acquisitions and process development to support next generation products. As a percentage of net sales, research and development expenses increased to 11.5% in 2005 from 9.0% in 2004.</w:t>
      </w:r>
    </w:p>
    <w:p>
      <w:pPr>
        <w:spacing w:after="0" w:line="137" w:lineRule="exact"/>
        <w:rPr>
          <w:sz w:val="20"/>
          <w:szCs w:val="20"/>
          <w:color w:val="auto"/>
        </w:rPr>
      </w:pPr>
    </w:p>
    <w:p>
      <w:pPr>
        <w:jc w:val="both"/>
        <w:ind w:right="160" w:firstLine="571"/>
        <w:spacing w:after="0" w:line="247"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During the year ended December 31, 2005, we recorded a one-time charge of $36.2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impairment charges associated with our initiative to focus on our core businesses and streamline our organization. The amount included $33.5 million for asset impairment charges and $2.7 million for restructuring charges.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9" w:lineRule="exact"/>
        <w:rPr>
          <w:sz w:val="20"/>
          <w:szCs w:val="20"/>
          <w:color w:val="auto"/>
        </w:rPr>
      </w:pPr>
    </w:p>
    <w:p>
      <w:pPr>
        <w:ind w:right="120" w:firstLine="571"/>
        <w:spacing w:after="0" w:line="243"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$57.2 million in 2005, a $22.8 million, or 66.3%, increase from aggregated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$34.5 million in 2004, which consisted of $17.7 million for the nine months ended September 30, 2004 and $16.8 million for the three months ended December 31, 2004. The increase in net interest expense was primarily due to interest expenses incurred on the long-term debt of $750 million, which was issued in December 2004 and outstanding throughout the year 2005.</w:t>
      </w:r>
    </w:p>
    <w:p>
      <w:pPr>
        <w:spacing w:after="0" w:line="134" w:lineRule="exact"/>
        <w:rPr>
          <w:sz w:val="20"/>
          <w:szCs w:val="20"/>
          <w:color w:val="auto"/>
        </w:rPr>
      </w:pPr>
    </w:p>
    <w:p>
      <w:pPr>
        <w:ind w:right="220" w:firstLine="571"/>
        <w:spacing w:after="0" w:line="247" w:lineRule="auto"/>
        <w:rPr>
          <w:sz w:val="20"/>
          <w:szCs w:val="20"/>
          <w:color w:val="auto"/>
        </w:rPr>
      </w:pPr>
      <w:r>
        <w:rPr>
          <w:rFonts w:ascii="Arial" w:cs="Arial" w:eastAsia="Arial" w:hAnsi="Arial"/>
          <w:sz w:val="18"/>
          <w:szCs w:val="18"/>
          <w:i w:val="1"/>
          <w:iCs w:val="1"/>
          <w:color w:val="auto"/>
        </w:rPr>
        <w:t xml:space="preserve">Net Foreign Currency Gain. </w:t>
      </w:r>
      <w:r>
        <w:rPr>
          <w:rFonts w:ascii="Arial" w:cs="Arial" w:eastAsia="Arial" w:hAnsi="Arial"/>
          <w:sz w:val="18"/>
          <w:szCs w:val="18"/>
          <w:color w:val="auto"/>
        </w:rPr>
        <w:t>Net foreign currency gain for the year ended December 31, 2005 was $16.5 million, compared to $35.8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2004. A substantial portion of our net foreign currency gain for 2005 was non-cash translation gain recorded for intercompany borrowings at one of our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60" w:lineRule="exact"/>
        <w:rPr>
          <w:sz w:val="20"/>
          <w:szCs w:val="20"/>
          <w:color w:val="auto"/>
        </w:rPr>
      </w:pPr>
    </w:p>
    <w:p>
      <w:pPr>
        <w:ind w:right="120" w:firstLine="571"/>
        <w:spacing w:after="0" w:line="27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$1.8 million in 2005, compared to $6.7 million for the three months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2004 and $2.8 million for the nine months ended September 30, 2004, which on an aggregate basis totaled $9.5 million for the year ended December 31, 2004. Income tax expense for the year ended December 31, 2005 was primarily attributable to $5.2 million of Korean withholding tax on the interest income paid to our Korean subsidiary’s parent company. Income tax expense including this withholding tax was partially offset by the recognition of a deferred tax asset at our Japanese subsidiaries based on a temporary difference related to revenue recognition.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principal capital requirements are to invest in research and development and capital equipment, to make debt service payments on the notes and our senior secured credit facility and to fund working capital needs. We anticipate that operating cash flow, together with available borrowing capacity under our senior secured credit facility, will be sufficient to meet our research and development and capital expenditures needs, to service requirements on our debt obligations and to fund our working capital needs for the foreseeable future. As of September 30, 2007, we had total long-term debt outstanding of $750 million.</w:t>
      </w:r>
    </w:p>
    <w:p>
      <w:pPr>
        <w:spacing w:after="0" w:line="157"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Our principal sources of liquidity are our cash, cash equivalents and available borrowings under our senior secured credit facility of $100 million and the net proceeds from this offering. As of September 30, 2007, our cash and cash equivalents balance was $61.9 million, or 8.3%, of our total assets, a $27.3 million decrease from $89.2 million or 11.6% of total assets as of December 31, 2006. The decrease in cash and cash equivalents during the nine-month period ended September 30, 2007 was primarily attributable to a cash outflow of $13.2 million in operating activities, coupled with a cash outflow related to</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capital expenditures during such period of $64.9 million. As of December 31, 2006, our cash and cash equivalents balance was $89.2 million or 11.6%, of our total assets, a $2.6 million increase from $86.6 million, or 8.3%, of total assets as of December 31, 2005. The increase in cash and cash equivalents was due to a cash inflow from operating activities coupled with an increase from foreign currency translation gains, mostly offset by cash outflows for capital expenditures and other investing activities.</w:t>
      </w:r>
    </w:p>
    <w:p>
      <w:pPr>
        <w:spacing w:after="0" w:line="155"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During the nine months ended September 30, 2007, net cash used in operating activities was $13.2 million, compared to $36.6 million of net cash generated by operating activities during the year-ago period. This decrease in cash from operating activities between the two periods was primarily attributable to changes in operating assets and liabilities of $30.0 million, mostly impacted by an increase in accounts receivable due to higher sales and increases in inventories primarily due to the anticipation of sales growth. The net operating cash outflow for the current period principally reflects our net loss of $151.1 million adjusted by non-cash charges of $156.6 million, which mainly consisted of depreciation, impairment and amortization charges and an increase in working capital of $18.7 million. We generated cash from operating activities of $30.5 million during the year ended December 31, 2006, which principally reflected our net loss of $229.3 million, adjusted by $247.2 million of total non-cash items composed mainly of depreciation and amortization expenses and impairment charges. Cash from operating activities for 2006 decreased $73.1 million from $103.6 million for 2005. This decrease in cash from operating activities between the two periods was primarily due to a 52.4% decrease in gross profits, mitigated by a decrease in working capital during the year 2006.</w:t>
      </w:r>
    </w:p>
    <w:p>
      <w:pPr>
        <w:spacing w:after="0" w:line="16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working capital balance as of September 30, 2007 was $59.3 million compared to $122.6 million as of December 31, 2006. The decrease of $63.3 million in our working capital balance was mainly due to a $117.4 million increase in current liabilities and $27.3 million reduction in cash and cash equivalents which was used to support our large capital investments and operations. This decrease was partially offset by an increase in accounts receivable of $47.7 million and a build-up in inventory of $36.3 million in anticipation of sales growth in future periods. Our working capital balance as of December 31, 2006 was $122.6 million compared to $141.4 million as of December 31, 2005. The decrease of $18.8 million in our working capital balance consisted primarily of a $35.4 million decrease in accounts receivable and $30.8 million decrease in inventories, partially offset by a $34.5 million decrease in accounts and other accounts payable and $5.3 million decrease in accrued expenses. This decrease in working capital was mainly attributable to a 20.6% decline in total net sales.</w:t>
      </w:r>
    </w:p>
    <w:p>
      <w:pPr>
        <w:spacing w:after="0" w:line="154" w:lineRule="exact"/>
        <w:rPr>
          <w:sz w:val="20"/>
          <w:szCs w:val="20"/>
          <w:color w:val="auto"/>
        </w:rPr>
      </w:pPr>
    </w:p>
    <w:p>
      <w:pPr>
        <w:ind w:firstLine="571"/>
        <w:spacing w:after="0" w:line="264" w:lineRule="auto"/>
        <w:rPr>
          <w:sz w:val="20"/>
          <w:szCs w:val="20"/>
          <w:color w:val="auto"/>
        </w:rPr>
      </w:pPr>
      <w:r>
        <w:rPr>
          <w:rFonts w:ascii="Arial" w:cs="Arial" w:eastAsia="Arial" w:hAnsi="Arial"/>
          <w:sz w:val="16"/>
          <w:szCs w:val="16"/>
          <w:color w:val="auto"/>
        </w:rPr>
        <w:t>For investing activities, the net cash outlay during the nine months ended September 30, 2007 was $64.4 million, compared to $20.2 million in the prior-year period, primarily relating to capacity expansion and technology improvements at a fabrication facility in anticipation of sales growth in future periods. During the year ended December 31, 2006, cash outlay for our capital expenditures was offset by a cash inflow from the sale of our application processor business. For investing activities, we used cash of approximately $33.4 million in 2006 compared to $64.1 million in</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2005. The decrease in cash used for investing activities during the year 2006 was primarily attributable to lower capital equipment expenditures during the year. Cash outflows for acquisitions of subsidiaries in 2005 in an effort to reinforce global research and development capability also led to a higher cash expenditures in 2005. We did not consummate any business acquisitions during the year 2006.</w:t>
      </w:r>
    </w:p>
    <w:p>
      <w:pPr>
        <w:spacing w:after="0" w:line="154"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We generated $50.5 million during the nine months ended September 30, 2007 from financing activities compared to the usage of $0.3 million for the nine-month period ended October 1, 2006. During the nine months ended September 30, 2007, we borrowed $70.4 million under our senior secured credit facility while we repaid borrowings under that facility of $20.0 million during the same period. We used $0.3 million for the year ended December 31, 2006, compared to $12.8 million for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year ended December 31, 2005. As we had sufficient capital resources available to serve our capital requirements, we did not have significant financing activities during the year 2006. The cash outlay during 2006 was mainly due to MagnaChip Semiconductor LLC’s repurchase of common units upon termination of certain members of our management and other employees. Cash outflow in 2005 was mainly attributable to for the repayment of short-term borrowings at one of our subsidiaries that we acquired during the year.</w:t>
      </w:r>
    </w:p>
    <w:p>
      <w:pPr>
        <w:spacing w:after="0" w:line="137" w:lineRule="exact"/>
        <w:rPr>
          <w:sz w:val="20"/>
          <w:szCs w:val="20"/>
          <w:color w:val="auto"/>
        </w:rPr>
      </w:pPr>
    </w:p>
    <w:p>
      <w:pPr>
        <w:ind w:right="40" w:firstLine="571"/>
        <w:spacing w:after="0" w:line="241"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nine months ended September 30, 2007, capital expenditures were $64.9 million, a $36.9 million or 131.7%</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from $28.0 million for the nine months ended October 1, 2006. Capital expenditures for the year ended December 31, 2006 were $41.4 million, a decrease of $23.1 million, or 35.8%, compared to $64.5 million for the year ended December 31, 2005. This year-over-year decrease was a result of managing our capital expenditure timing in order to better support the growth of our business from new customers and to optimize asset utilization and return on capital investments.</w:t>
      </w:r>
    </w:p>
    <w:p>
      <w:pPr>
        <w:spacing w:after="0" w:line="136" w:lineRule="exact"/>
        <w:rPr>
          <w:sz w:val="20"/>
          <w:szCs w:val="20"/>
          <w:color w:val="auto"/>
        </w:rPr>
      </w:pPr>
    </w:p>
    <w:p>
      <w:pPr>
        <w:jc w:val="both"/>
        <w:ind w:right="260" w:firstLine="571"/>
        <w:spacing w:after="0" w:line="243"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on a recurring basis will be funding research and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meeting required debt payments and funding working capital needs. We anticipate that our operating cash flows, together with the proceeds of this offering and available borrowings, if any, under our senior secured credit facility, will be sufficient to meet these capital requirements for the foreseeable future. We may from time to time also incur additional debt.</w:t>
      </w:r>
    </w:p>
    <w:p>
      <w:pPr>
        <w:spacing w:after="0" w:line="152" w:lineRule="exact"/>
        <w:rPr>
          <w:sz w:val="20"/>
          <w:szCs w:val="20"/>
          <w:color w:val="auto"/>
        </w:rPr>
      </w:pPr>
    </w:p>
    <w:p>
      <w:pPr>
        <w:jc w:val="both"/>
        <w:ind w:right="200" w:firstLine="571"/>
        <w:spacing w:after="0" w:line="238"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However, there can be no assurance that any such financing will be available to us on acceptable terms, or that such financing will be available at all. Our senior secured credit facility and the indentures governing our notes restrict our ability to incur additional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right="380" w:firstLine="571"/>
        <w:spacing w:after="0" w:line="237" w:lineRule="auto"/>
        <w:rPr>
          <w:sz w:val="20"/>
          <w:szCs w:val="20"/>
          <w:color w:val="auto"/>
        </w:rPr>
      </w:pPr>
      <w:r>
        <w:rPr>
          <w:rFonts w:ascii="Arial" w:cs="Arial" w:eastAsia="Arial" w:hAnsi="Arial"/>
          <w:sz w:val="18"/>
          <w:szCs w:val="18"/>
          <w:color w:val="auto"/>
        </w:rPr>
        <w:t>Summarized in the table below are estimates of future payments under debt obligations and minimum lease payment obligations at September 30, 2007. Changes in our business needs or interest rates, as well as actions by third parties and other factors, may cause these estimates to change. Because these estimates are complex and necessarily subjective, our actual payments in future periods are likely to vary from those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Payments Due by Period</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83"/>
        </w:trPr>
        <w:tc>
          <w:tcPr>
            <w:tcW w:w="3960" w:type="dxa"/>
            <w:vAlign w:val="bottom"/>
          </w:tcPr>
          <w:p>
            <w:pPr>
              <w:spacing w:after="0"/>
              <w:rPr>
                <w:sz w:val="15"/>
                <w:szCs w:val="15"/>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7"/>
              <w:spacing w:after="0" w:line="183" w:lineRule="exact"/>
              <w:rPr>
                <w:sz w:val="20"/>
                <w:szCs w:val="20"/>
                <w:color w:val="auto"/>
              </w:rPr>
            </w:pPr>
            <w:r>
              <w:rPr>
                <w:rFonts w:ascii="Arial" w:cs="Arial" w:eastAsia="Arial" w:hAnsi="Arial"/>
                <w:sz w:val="13"/>
                <w:szCs w:val="13"/>
                <w:b w:val="1"/>
                <w:bCs w:val="1"/>
                <w:color w:val="auto"/>
                <w:w w:val="95"/>
              </w:rPr>
              <w:t>2007</w:t>
            </w:r>
            <w:r>
              <w:rPr>
                <w:rFonts w:ascii="Arial" w:cs="Arial" w:eastAsia="Arial" w:hAnsi="Arial"/>
                <w:sz w:val="21"/>
                <w:szCs w:val="21"/>
                <w:b w:val="1"/>
                <w:bCs w:val="1"/>
                <w:color w:val="auto"/>
                <w:w w:val="95"/>
                <w:vertAlign w:val="superscript"/>
              </w:rPr>
              <w:t>(1)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2009</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Thereafter</w:t>
            </w:r>
          </w:p>
        </w:tc>
      </w:tr>
      <w:tr>
        <w:trPr>
          <w:trHeight w:val="142"/>
        </w:trPr>
        <w:tc>
          <w:tcPr>
            <w:tcW w:w="3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03"/>
        </w:trPr>
        <w:tc>
          <w:tcPr>
            <w:tcW w:w="3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2"/>
                <w:szCs w:val="22"/>
                <w:color w:val="auto"/>
                <w:vertAlign w:val="superscript"/>
              </w:rPr>
              <w:t>(2)(3)</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$ 50.6</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Arial" w:cs="Arial" w:eastAsia="Arial" w:hAnsi="Arial"/>
                <w:sz w:val="18"/>
                <w:szCs w:val="18"/>
                <w:color w:val="auto"/>
              </w:rPr>
              <w:t>Notes</w:t>
            </w:r>
            <w:r>
              <w:rPr>
                <w:rFonts w:ascii="Arial" w:cs="Arial" w:eastAsia="Arial" w:hAnsi="Arial"/>
                <w:sz w:val="22"/>
                <w:szCs w:val="22"/>
                <w:color w:val="auto"/>
                <w:vertAlign w:val="superscript"/>
              </w:rPr>
              <w:t>(2)</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r>
      <w:tr>
        <w:trPr>
          <w:trHeight w:val="214"/>
        </w:trPr>
        <w:tc>
          <w:tcPr>
            <w:tcW w:w="3960" w:type="dxa"/>
            <w:vAlign w:val="bottom"/>
          </w:tcPr>
          <w:p>
            <w:pPr>
              <w:spacing w:after="0"/>
              <w:rPr>
                <w:sz w:val="20"/>
                <w:szCs w:val="20"/>
                <w:color w:val="auto"/>
              </w:rPr>
            </w:pPr>
            <w:r>
              <w:rPr>
                <w:rFonts w:ascii="Arial" w:cs="Arial" w:eastAsia="Arial" w:hAnsi="Arial"/>
                <w:sz w:val="18"/>
                <w:szCs w:val="18"/>
                <w:color w:val="auto"/>
              </w:rPr>
              <w:t>Others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amounts due to be paid in the quarter ended December 31, 2007.</w:t>
      </w:r>
    </w:p>
    <w:p>
      <w:pPr>
        <w:ind w:left="580" w:hanging="572"/>
        <w:spacing w:after="0" w:line="234"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interest obligations thereon.</w:t>
      </w: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amounts outstanding under the senior secured credit facility.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floating rate second priority senior secured notes of $300 million and second priority senior secured notes of $200 million mature</w:t>
      </w:r>
    </w:p>
    <w:p>
      <w:pPr>
        <w:spacing w:after="0" w:line="23"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 xml:space="preserve">in 2011, while the senior subordinated notes of $250 million mature in 2014. Interest rates on these notes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and 8%, respectively. We expect to pay the amounts outstanding under these notes in full upon maturity.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indenture governing the notes contains covenants that limit our ability and that of our subsidiaries to (1) incur additional indebtedness,</w:t>
      </w:r>
    </w:p>
    <w:p>
      <w:pPr>
        <w:spacing w:after="0" w:line="19"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pay dividends or make other distributions on our capital stock or repurchase, repay or redeem our capital stock, (3) make certain investments,</w:t>
      </w:r>
    </w:p>
    <w:p>
      <w:pPr>
        <w:spacing w:after="0" w:line="18" w:lineRule="exact"/>
        <w:rPr>
          <w:rFonts w:ascii="Arial" w:cs="Arial" w:eastAsia="Arial" w:hAnsi="Arial"/>
          <w:sz w:val="16"/>
          <w:szCs w:val="16"/>
          <w:color w:val="auto"/>
        </w:rPr>
      </w:pPr>
    </w:p>
    <w:p>
      <w:pPr>
        <w:ind w:right="160" w:firstLine="8"/>
        <w:spacing w:after="0" w:line="239" w:lineRule="auto"/>
        <w:tabs>
          <w:tab w:leader="none" w:pos="2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liens, (5) enter into certain types of transactions with affiliates, (6) create restrictions on the payment of dividends or other amounts to us by our subsidiaries, and (7) sell all or substantially all of our assets or merge with or into other companies.</w:t>
      </w:r>
    </w:p>
    <w:p>
      <w:pPr>
        <w:spacing w:after="0" w:line="155"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In November 2007, the lenders under the senior secured credit facility waived certain provisions of the credit agreement to permit us to consummate the corporate reorganization and this offering and to use the proceeds from the offering as described in this prospectus. Upon consummation of the corporate reorganization, we will become a guarantor and grant a security interest with respect to the obligations under the senior secured credit facility.</w:t>
      </w:r>
    </w:p>
    <w:p>
      <w:pPr>
        <w:spacing w:after="0" w:line="137" w:lineRule="exact"/>
        <w:rPr>
          <w:sz w:val="20"/>
          <w:szCs w:val="20"/>
          <w:color w:val="auto"/>
        </w:rPr>
      </w:pPr>
    </w:p>
    <w:p>
      <w:pPr>
        <w:ind w:right="180" w:firstLine="571"/>
        <w:spacing w:after="0" w:line="247" w:lineRule="auto"/>
        <w:rPr>
          <w:sz w:val="20"/>
          <w:szCs w:val="20"/>
          <w:color w:val="auto"/>
        </w:rPr>
      </w:pPr>
      <w:r>
        <w:rPr>
          <w:rFonts w:ascii="Arial" w:cs="Arial" w:eastAsia="Arial" w:hAnsi="Arial"/>
          <w:sz w:val="18"/>
          <w:szCs w:val="18"/>
          <w:color w:val="auto"/>
        </w:rPr>
        <w:t xml:space="preserve">We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on January 1, 2007. As of the date of adoption, our unrecognized tax benefits totaled $1.6 million. These unrecognized tax benefits have been excluded from the above table because we cannot estimate the period of cash settlement with the respective taxing authorities.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On December 23, 2004, two of our subsidiaries, MagnaChip Semiconductor S.A. and MagnaChip Semiconductor Finance Company entered into a senior secured credit agreement with a syndicate of banks, financial institutions and other entities providing for a $100 million senior secured revolving credit facility. The undrawn portion of our senior secured credit facility as of September 30, 2007 and December 31, 2006 was $35.5 million and $93.8 million, respectively. The utilized portions of the credit facility are related to the issuance of letters of credit and cash drawdowns.</w:t>
      </w:r>
    </w:p>
    <w:p>
      <w:pPr>
        <w:spacing w:after="0" w:line="157"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Other than the senior secured credit facility, we believe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February 2007, the Financial Accounting Standards Board (“FASB”) issued Statements of Financial Accounting Standards (“SFAS”)</w:t>
      </w:r>
    </w:p>
    <w:p>
      <w:pPr>
        <w:ind w:right="20"/>
        <w:spacing w:after="0" w:line="275" w:lineRule="auto"/>
        <w:rPr>
          <w:sz w:val="20"/>
          <w:szCs w:val="20"/>
          <w:color w:val="auto"/>
        </w:rPr>
      </w:pPr>
      <w:r>
        <w:rPr>
          <w:rFonts w:ascii="Arial" w:cs="Arial" w:eastAsia="Arial" w:hAnsi="Arial"/>
          <w:sz w:val="16"/>
          <w:szCs w:val="16"/>
          <w:color w:val="auto"/>
        </w:rPr>
        <w:t>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which provides companies with an option to report selected financial assets and liabilities at fair 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We are currently evaluating the impact that the adoption may have on our consolidated financial statements.</w:t>
      </w:r>
    </w:p>
    <w:p>
      <w:pPr>
        <w:spacing w:after="0" w:line="111"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No. 157 requires companies to disclose the fair value of its financial instruments according to a fair value hierarchy, as defined and may be required to provide additional disclosures based on that hierarchy. SFAS No. 157 is effective for financial statements issued for fiscal years beginning after November 15, 2007. We are currently evaluating the impact that the adoption may have on our consolidated financial statements.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preparation of our consolidated financial statements requires us to make estimates and judgments that affect the reported amounts of assets, liabilities, revenues and expenses and related disclosures regarding contingent assets and liabilities. We base these estimates and judgments on historical experience, knowledge of current conditions and other assumptions and information that we believe to be reasonable. Estimates and assumptions about future events and their effects cannot be perceived with certainty. Accordingly, these estimates may change as new events occur, as more experience is acquired, as additional information is obtained and as the business environment in which we operate changes.</w:t>
      </w:r>
    </w:p>
    <w:p>
      <w:pPr>
        <w:spacing w:after="0" w:line="156"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have defined a critical accounting estimate as one that is both important to the portrayal of either our financial condition or results of operations and requires us to make difficult, subjective or complex judgments or estimates about matters that are uncertain. We have discussed the development and selection of our critical accounting policies with the audit committee of our board, and the audit committee has reviewed the disclosure presented below. We believe that the following are the critical accounting estimates used in the preparation of our consolidated financial statements. In addition, there are other items within our consolidated financial statements that require estimation but which we do not deem to be critical.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Account Receivables Valuation</w:t>
      </w:r>
    </w:p>
    <w:p>
      <w:pPr>
        <w:spacing w:after="0" w:line="97"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Our revenue is primarily derived from the sale of semiconductor products which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154" w:lineRule="exact"/>
        <w:rPr>
          <w:sz w:val="20"/>
          <w:szCs w:val="20"/>
          <w:color w:val="auto"/>
        </w:rPr>
      </w:pPr>
    </w:p>
    <w:p>
      <w:pPr>
        <w:ind w:firstLine="571"/>
        <w:spacing w:after="0" w:line="273" w:lineRule="auto"/>
        <w:rPr>
          <w:sz w:val="20"/>
          <w:szCs w:val="20"/>
          <w:color w:val="auto"/>
        </w:rPr>
      </w:pPr>
      <w:r>
        <w:rPr>
          <w:rFonts w:ascii="Arial" w:cs="Arial" w:eastAsia="Arial" w:hAnsi="Arial"/>
          <w:sz w:val="16"/>
          <w:szCs w:val="16"/>
          <w:color w:val="auto"/>
        </w:rPr>
        <w:t>Generally, we recognize revenue on shipment to the distributor or drop shipment to the end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129" w:lineRule="exact"/>
        <w:rPr>
          <w:sz w:val="20"/>
          <w:szCs w:val="20"/>
          <w:color w:val="auto"/>
        </w:rPr>
      </w:pPr>
    </w:p>
    <w:p>
      <w:pPr>
        <w:ind w:right="100" w:firstLine="571"/>
        <w:spacing w:after="0" w:line="235"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 We record warranty liabilities for the estimated costs that may be incurred under our limited warranty. This warranty covers product defects based on compliance with our specifications and is normally applicable for twelve months from the date of purchase.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7"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Inventories are valued at the lower of cost or market, using the average method which approximates the first in, first out method. Because of the cyclical nature of the semiconductor industry,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changes in inventory levels, obsolescence of technology and product life cycles, we write down inventories to net realizable value. The difference in the carrying amount and the net realizable value is recognized as a loss on valuation of inventories within cost of sales. We estimate the net realizable value for such finished goods and work-in-progress based primarily upon the latest invoice prices and current market conditions.</w:t>
      </w:r>
    </w:p>
    <w:p>
      <w:pPr>
        <w:spacing w:after="0" w:line="12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139" w:lineRule="exact"/>
        <w:rPr>
          <w:sz w:val="20"/>
          <w:szCs w:val="20"/>
          <w:color w:val="auto"/>
        </w:rPr>
      </w:pPr>
    </w:p>
    <w:p>
      <w:pPr>
        <w:ind w:right="140" w:firstLine="571"/>
        <w:spacing w:after="0" w:line="243" w:lineRule="auto"/>
        <w:rPr>
          <w:sz w:val="20"/>
          <w:szCs w:val="20"/>
          <w:color w:val="auto"/>
        </w:rPr>
      </w:pPr>
      <w:r>
        <w:rPr>
          <w:rFonts w:ascii="Arial" w:cs="Arial" w:eastAsia="Arial" w:hAnsi="Arial"/>
          <w:sz w:val="18"/>
          <w:szCs w:val="18"/>
          <w:color w:val="auto"/>
        </w:rPr>
        <w:t xml:space="preserve">In addition, as prescribed in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amount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amount and its fair value determined by either a quoted market price, if any, or a value determined by utilizing a discounted cash flow technique.</w:t>
      </w:r>
    </w:p>
    <w:p>
      <w:pPr>
        <w:spacing w:after="0" w:line="154"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9" w:lineRule="exact"/>
        <w:rPr>
          <w:sz w:val="20"/>
          <w:szCs w:val="20"/>
          <w:color w:val="auto"/>
        </w:rPr>
      </w:pPr>
    </w:p>
    <w:p>
      <w:pPr>
        <w:ind w:right="260" w:firstLine="571"/>
        <w:spacing w:after="0" w:line="241"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established when necessary to reduce deferred tax assets to the amount expected to be realized. Income tax expense is the tax payable for the period and the change during the period in deferred tax assets and liabilities.</w:t>
      </w:r>
    </w:p>
    <w:p>
      <w:pPr>
        <w:spacing w:after="0" w:line="155"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156"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Changes in our evaluation of our deferred income tax assets from period to period could have a significant effect on our net operating results and financial condition.</w:t>
      </w:r>
    </w:p>
    <w:p>
      <w:pPr>
        <w:spacing w:after="0" w:line="137"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 xml:space="preserve">In addition, beginning January 1, 2007, we account for uncertainties related to income taxes in compliance with FIN No 48,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Uncertainty in Income Taxes</w:t>
      </w:r>
      <w:r>
        <w:rPr>
          <w:rFonts w:ascii="Arial" w:cs="Arial" w:eastAsia="Arial" w:hAnsi="Arial"/>
          <w:sz w:val="16"/>
          <w:szCs w:val="16"/>
          <w:color w:val="auto"/>
        </w:rPr>
        <w:t>—an interpretation of SFAS No. 109. Under FIN No. 48, we evaluate our tax positions taken or expected to be taken in</w:t>
      </w:r>
      <w:r>
        <w:rPr>
          <w:rFonts w:ascii="Arial" w:cs="Arial" w:eastAsia="Arial" w:hAnsi="Arial"/>
          <w:sz w:val="16"/>
          <w:szCs w:val="16"/>
          <w:i w:val="1"/>
          <w:iCs w:val="1"/>
          <w:color w:val="auto"/>
        </w:rPr>
        <w:t xml:space="preserve"> </w:t>
      </w:r>
      <w:r>
        <w:rPr>
          <w:rFonts w:ascii="Arial" w:cs="Arial" w:eastAsia="Arial" w:hAnsi="Arial"/>
          <w:sz w:val="16"/>
          <w:szCs w:val="16"/>
          <w:color w:val="auto"/>
        </w:rPr>
        <w:t>a tax return for recognition and measurement on our financial statements. Only those tax positions that meet the more likely than not threshold are recognized on the financial statements at the largest amount of benefit that is a greater than 50 percent likely of ultimately being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Unit-based Compensation</w:t>
      </w:r>
    </w:p>
    <w:p>
      <w:pPr>
        <w:spacing w:after="0" w:line="97"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provisions of SFAS No. 123(R), unit-based compensation cost is estimated at the grant date based on the fair-value of the award and is recognized as expense over the requisite service period of the award. Consistent with our prior-period pro forma presentation under SFAS No. 123, we use the Black-Scholes option pricing model to value unit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56"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minority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 The estimated fair value of our common units was calculated using an option pricing model, using the enterprise value, an estimated volatility, expected exercise term and a risk free interest rate.</w:t>
      </w:r>
    </w:p>
    <w:p>
      <w:pPr>
        <w:spacing w:after="0" w:line="154"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9"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36"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foreign currency exchange-rate fluctuations on net income from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2007 for our Korean subsidiary, a 10% devaluation of the Korean won against the U.S. dollar would have resulted in a decrease of $1.0 million in our U.S. dollar financial instruments balance and cash balance. Based on the Japanese yen cash balance at September 30, 2007, a 10% devaluation of the Japanese yen against the U.S. dollar would have resulted in a decrease of $0.6 million in our U.S. dollar cash balance.</w:t>
      </w:r>
    </w:p>
    <w:p>
      <w:pPr>
        <w:spacing w:after="0" w:line="168" w:lineRule="exact"/>
        <w:rPr>
          <w:sz w:val="20"/>
          <w:szCs w:val="20"/>
          <w:color w:val="auto"/>
        </w:rPr>
      </w:pPr>
    </w:p>
    <w:p>
      <w:pPr>
        <w:ind w:right="160" w:firstLine="571"/>
        <w:spacing w:after="0" w:line="233"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$200 million 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the $250 million 8% senior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2014 are subject to changes in fair value due to interest rate changes. If the market interest rate had decreased by 10% and all other variables were held constant from their levels at September 30, 2007, we estimate that we would have additional interest expense costs over the market rate of $2.2 million for the nine months ended September 30, 2007. The fair value of these fixed rate notes would have decreased by $7.4 million or increased by $7.7 million with a 10% increase or decrease in the interest rate, respectively.</w:t>
      </w:r>
    </w:p>
    <w:p>
      <w:pPr>
        <w:spacing w:after="0" w:line="180" w:lineRule="exact"/>
        <w:rPr>
          <w:sz w:val="20"/>
          <w:szCs w:val="20"/>
          <w:color w:val="auto"/>
        </w:rPr>
      </w:pPr>
    </w:p>
    <w:p>
      <w:pPr>
        <w:ind w:right="100" w:firstLine="571"/>
        <w:spacing w:after="0" w:line="247"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second priority senior secured notes to a fixed interest rate for the periods to maturity date of June 2008. Pursuant to this interest rate swap and during the duration of such swap, cash flow interest rate risk was replaced with exposure to interest rate risk.</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9" w:lineRule="exact"/>
        <w:rPr>
          <w:sz w:val="20"/>
          <w:szCs w:val="20"/>
          <w:color w:val="auto"/>
        </w:rPr>
      </w:pPr>
    </w:p>
    <w:p>
      <w:pPr>
        <w:ind w:right="140" w:firstLine="571"/>
        <w:spacing w:after="0" w:line="235" w:lineRule="auto"/>
        <w:rPr>
          <w:sz w:val="20"/>
          <w:szCs w:val="20"/>
          <w:color w:val="auto"/>
        </w:rPr>
      </w:pPr>
      <w:r>
        <w:rPr>
          <w:rFonts w:ascii="Arial" w:cs="Arial" w:eastAsia="Arial" w:hAnsi="Arial"/>
          <w:sz w:val="18"/>
          <w:szCs w:val="18"/>
          <w:color w:val="auto"/>
        </w:rPr>
        <w:t>MagnaChip is a leading, Asia-based designer and manufacturer of analog and mixed-signal semiconductor products for high volume consumer applications, such as mobile phones, digital televisions, flat panel displays, notebook computers, mobile multimedia devices and digital cameras. We believe we have one of the broadest and deepest analog and mixed-signal semiconductor technology platforms in the industry, supported by our 28-year operating history, large portfolio of approximately 7,700 registered and pending patents and extensive engineering and manufacturing process expertise. Our wide variety of analog and mixed-signal semiconductor products and services combined with our deep technology platform allows us to address multiple high growth end markets and to develop and introduce new products quickly. Our substantial manufacturing operations in Korea and design centers in Korea and Japan provide us with proximity to the global consumer electronics supply chain. We believe this enables us to quickly respond to our customers’ needs and allows us to better service and capture additional demand from existing and new customers.</w:t>
      </w:r>
    </w:p>
    <w:p>
      <w:pPr>
        <w:spacing w:after="0" w:line="16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have a long history of supplying and collaborating on product and technology development with leading innovators in the consumer electronics market, such as LG.Philips LCD, Sharp and Samsung. As a result, we have been able to strengthen our technology platform and focus on products and services that are in high demand by our customers and end consumers. We believe our end customers include a majority of the ten largest global consumer electronics companies by revenue. We have sold over 1,850 distinct products to over 190 customers in the nine months ended September 30, 2007. Our largest semiconductor manufacturing services customers include some of the fastest growing and leading semiconductor companies that design products for the consumer, computing, wireless and industrial end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9"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The consumer electronics market is large and growing rapidly. This market includes mobile communications and entertainment devices such as digital televisions, mobile phones, flat panel displays, notebook computers, mobile multimedia devices and digital cameras. We believe that we address market segments with a higher growth rate than the overall consumer electronics market. For example, from 2006 to 2011 the worldwide third-generation mobile phone, LCD television and notebook computer market segments are expected to grow at compound annual unit growth rates of 28%, 27% and 23%, respectively, according to Gartner. We believe this growth will be driven largely by consumers seeking to enjoy greater availability of rich media content, such as digital and high definition audio and video, mobile television, games and digital photography. In order to address and further stimulate consumer demand, electronics manufacturers have been driving rapid advances in technology, functionality, form factor, cost, quality, reliability and power consumption of electronic devices. With these technological advancements, many electronic devices now display high resolution content, capture images, play digital audio and video and use power efficiently.</w:t>
      </w:r>
    </w:p>
    <w:p>
      <w:pPr>
        <w:spacing w:after="0" w:line="136" w:lineRule="exact"/>
        <w:rPr>
          <w:sz w:val="20"/>
          <w:szCs w:val="20"/>
          <w:color w:val="auto"/>
        </w:rPr>
      </w:pPr>
    </w:p>
    <w:p>
      <w:pPr>
        <w:ind w:right="100" w:firstLine="571"/>
        <w:spacing w:after="0" w:line="271" w:lineRule="auto"/>
        <w:rPr>
          <w:sz w:val="20"/>
          <w:szCs w:val="20"/>
          <w:color w:val="auto"/>
        </w:rPr>
      </w:pPr>
      <w:r>
        <w:rPr>
          <w:rFonts w:ascii="Arial" w:cs="Arial" w:eastAsia="Arial" w:hAnsi="Arial"/>
          <w:sz w:val="16"/>
          <w:szCs w:val="16"/>
          <w:color w:val="auto"/>
        </w:rPr>
        <w:t>We believe that consumer electronics manufacturers recognize that the user experience plays a critical role in differentiating their products from competing offerings. This user experience is defined in part by the quality of the display, audio and video processing capabilities and power efficiency of a particular electronic product. Analog and mixed-signal semiconductors enable and enhance these device capabilities. Examples of such analog and mixed-signal semiconductors include display drivers, timing controllers, image sensors, power management voltage regulators, converters, audio coding or decoding devices, or codecs, interface circuits and radio frequency, or RF, components. According to iSuppli Corporation the market opportunity for semiconductors used in consumer electronics, wireless communications and data processing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applications is expected to rise to $260 billion in 2010, of which we believe we will have an addressable market opportunity of $63 billion.</w:t>
      </w:r>
    </w:p>
    <w:p>
      <w:pPr>
        <w:spacing w:after="0" w:line="158" w:lineRule="exact"/>
        <w:rPr>
          <w:sz w:val="20"/>
          <w:szCs w:val="20"/>
          <w:color w:val="auto"/>
        </w:rPr>
      </w:pPr>
    </w:p>
    <w:p>
      <w:pPr>
        <w:jc w:val="both"/>
        <w:ind w:right="340" w:firstLine="571"/>
        <w:spacing w:after="0" w:line="238" w:lineRule="auto"/>
        <w:rPr>
          <w:sz w:val="20"/>
          <w:szCs w:val="20"/>
          <w:color w:val="auto"/>
        </w:rPr>
      </w:pPr>
      <w:r>
        <w:rPr>
          <w:rFonts w:ascii="Arial" w:cs="Arial" w:eastAsia="Arial" w:hAnsi="Arial"/>
          <w:sz w:val="18"/>
          <w:szCs w:val="18"/>
          <w:color w:val="auto"/>
        </w:rPr>
        <w:t>Design and manufacture of analog and mixed-signal semiconductors used in consumer electronics are highly complex. In order to grow and succeed in the industry, we believe semiconductor suppliers need to have a broad, advanced intellectual property portfolio, product design expertise, comprehensive product offerings and specialized manufacturing process technologies and capabilities.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Facing Our Customers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believe our target customers are looking for suppliers of analog and mixed-signal semiconductor products and services who can help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them:</w:t>
      </w:r>
    </w:p>
    <w:p>
      <w:pPr>
        <w:spacing w:after="0" w:line="55" w:lineRule="exact"/>
        <w:rPr>
          <w:sz w:val="20"/>
          <w:szCs w:val="20"/>
          <w:color w:val="auto"/>
        </w:rPr>
      </w:pPr>
    </w:p>
    <w:p>
      <w:pPr>
        <w:ind w:left="820" w:right="40" w:hanging="245"/>
        <w:spacing w:after="0" w:line="244"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Differentiate products through advanced features and functions. </w:t>
      </w:r>
      <w:r>
        <w:rPr>
          <w:rFonts w:ascii="Arial" w:cs="Arial" w:eastAsia="Arial" w:hAnsi="Arial"/>
          <w:sz w:val="18"/>
          <w:szCs w:val="18"/>
          <w:color w:val="auto"/>
        </w:rPr>
        <w:t>Our target customers seek to differentiate their end products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employing innovative semiconductor products. They seek to closely collaborate with semiconductor suppliers that can provide advanced products, technologies, and manufacturing processes that enable advanced features and functions, such as bright and thin displays, small form factor and energy efficiency.</w:t>
      </w:r>
    </w:p>
    <w:p>
      <w:pPr>
        <w:spacing w:after="0" w:line="49" w:lineRule="exact"/>
        <w:rPr>
          <w:rFonts w:ascii="Arial" w:cs="Arial" w:eastAsia="Arial" w:hAnsi="Arial"/>
          <w:sz w:val="18"/>
          <w:szCs w:val="18"/>
          <w:color w:val="auto"/>
        </w:rPr>
      </w:pPr>
    </w:p>
    <w:p>
      <w:pPr>
        <w:ind w:left="820" w:right="300" w:hanging="245"/>
        <w:spacing w:after="0" w:line="249"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Accelerate new product introduction. </w:t>
      </w:r>
      <w:r>
        <w:rPr>
          <w:rFonts w:ascii="Arial" w:cs="Arial" w:eastAsia="Arial" w:hAnsi="Arial"/>
          <w:sz w:val="18"/>
          <w:szCs w:val="18"/>
          <w:color w:val="auto"/>
        </w:rPr>
        <w:t>As a result of rapid technological advancements and short product lifecycles, our target</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typically prefer suppliers who have a rich pipeline of new products and can leverage a substantial intellectual property and technology base to accelerate product design and manufacturing when needed.</w:t>
      </w:r>
    </w:p>
    <w:p>
      <w:pPr>
        <w:spacing w:after="0" w:line="44" w:lineRule="exact"/>
        <w:rPr>
          <w:rFonts w:ascii="Arial" w:cs="Arial" w:eastAsia="Arial" w:hAnsi="Arial"/>
          <w:sz w:val="18"/>
          <w:szCs w:val="18"/>
          <w:color w:val="auto"/>
        </w:rPr>
      </w:pPr>
    </w:p>
    <w:p>
      <w:pPr>
        <w:ind w:left="820" w:right="200" w:hanging="245"/>
        <w:spacing w:after="0" w:line="249"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Ensure speed and stability of supply. </w:t>
      </w:r>
      <w:r>
        <w:rPr>
          <w:rFonts w:ascii="Arial" w:cs="Arial" w:eastAsia="Arial" w:hAnsi="Arial"/>
          <w:sz w:val="18"/>
          <w:szCs w:val="18"/>
          <w:color w:val="auto"/>
        </w:rPr>
        <w:t>Our customers often face rapid product adoption. Inability to meet this demand can</w:t>
      </w:r>
      <w:r>
        <w:rPr>
          <w:rFonts w:ascii="Arial" w:cs="Arial" w:eastAsia="Arial" w:hAnsi="Arial"/>
          <w:sz w:val="18"/>
          <w:szCs w:val="18"/>
          <w:b w:val="1"/>
          <w:bCs w:val="1"/>
          <w:color w:val="auto"/>
        </w:rPr>
        <w:t xml:space="preserve"> </w:t>
      </w:r>
      <w:r>
        <w:rPr>
          <w:rFonts w:ascii="Arial" w:cs="Arial" w:eastAsia="Arial" w:hAnsi="Arial"/>
          <w:sz w:val="18"/>
          <w:szCs w:val="18"/>
          <w:color w:val="auto"/>
        </w:rPr>
        <w:t>dramatically impact their profitability and market share. As a result, they need suppliers who can increase production quickly and meet demand consistently through periods of constrained industry capacity.</w:t>
      </w:r>
    </w:p>
    <w:p>
      <w:pPr>
        <w:spacing w:after="0" w:line="44" w:lineRule="exact"/>
        <w:rPr>
          <w:rFonts w:ascii="Arial" w:cs="Arial" w:eastAsia="Arial" w:hAnsi="Arial"/>
          <w:sz w:val="18"/>
          <w:szCs w:val="18"/>
          <w:color w:val="auto"/>
        </w:rPr>
      </w:pPr>
    </w:p>
    <w:p>
      <w:pPr>
        <w:ind w:left="820" w:right="100" w:hanging="245"/>
        <w:spacing w:after="0" w:line="244"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Provide environmentally friendly products. </w:t>
      </w:r>
      <w:r>
        <w:rPr>
          <w:rFonts w:ascii="Arial" w:cs="Arial" w:eastAsia="Arial" w:hAnsi="Arial"/>
          <w:sz w:val="18"/>
          <w:szCs w:val="18"/>
          <w:color w:val="auto"/>
        </w:rPr>
        <w:t>Consumers increasingly seek environmentally friendly and energy efficient products.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there is increasing regulatory focus on reducing energy consumption of electronic products. As a result, our customers are seeking analog and mixed-signal semiconductor suppliers that have the technological expertise to deliver solutions that satisfy these ever increasing regulatory and consumer demands.</w:t>
      </w:r>
    </w:p>
    <w:p>
      <w:pPr>
        <w:spacing w:after="0" w:line="49" w:lineRule="exact"/>
        <w:rPr>
          <w:rFonts w:ascii="Arial" w:cs="Arial" w:eastAsia="Arial" w:hAnsi="Arial"/>
          <w:sz w:val="18"/>
          <w:szCs w:val="18"/>
          <w:color w:val="auto"/>
        </w:rPr>
      </w:pPr>
    </w:p>
    <w:p>
      <w:pPr>
        <w:ind w:left="820" w:right="140" w:hanging="245"/>
        <w:spacing w:after="0" w:line="244"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Deliver cost competitive solutions. </w:t>
      </w:r>
      <w:r>
        <w:rPr>
          <w:rFonts w:ascii="Arial" w:cs="Arial" w:eastAsia="Arial" w:hAnsi="Arial"/>
          <w:sz w:val="18"/>
          <w:szCs w:val="18"/>
          <w:color w:val="auto"/>
        </w:rPr>
        <w:t>Electronics manufacturers are under constant pressure to deliver cost competitive solutions.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accomplish this objective, they need strategic suppliers that have the ability to provide system-level solutions and more integrated products, a broad product offering at a range of price points and the design and manufacturing infrastructure and logistical support to deliver cost competitive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competitive strengths enable us to offer our customers solutions to solve their key challenges. We believe our strengths include:</w:t>
      </w:r>
    </w:p>
    <w:p>
      <w:pPr>
        <w:spacing w:after="0" w:line="55" w:lineRule="exact"/>
        <w:rPr>
          <w:sz w:val="20"/>
          <w:szCs w:val="20"/>
          <w:color w:val="auto"/>
        </w:rPr>
      </w:pPr>
    </w:p>
    <w:p>
      <w:pPr>
        <w:ind w:left="820" w:hanging="245"/>
        <w:spacing w:after="0" w:line="23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Leading analog and mixed-signal semiconductor technology platform. </w:t>
      </w:r>
      <w:r>
        <w:rPr>
          <w:rFonts w:ascii="Arial" w:cs="Arial" w:eastAsia="Arial" w:hAnsi="Arial"/>
          <w:sz w:val="18"/>
          <w:szCs w:val="18"/>
          <w:color w:val="auto"/>
        </w:rPr>
        <w:t>We believe we have one of the broadest and deepest</w:t>
      </w:r>
      <w:r>
        <w:rPr>
          <w:rFonts w:ascii="Arial" w:cs="Arial" w:eastAsia="Arial" w:hAnsi="Arial"/>
          <w:sz w:val="18"/>
          <w:szCs w:val="18"/>
          <w:b w:val="1"/>
          <w:bCs w:val="1"/>
          <w:color w:val="auto"/>
        </w:rPr>
        <w:t xml:space="preserve"> </w:t>
      </w:r>
      <w:r>
        <w:rPr>
          <w:rFonts w:ascii="Arial" w:cs="Arial" w:eastAsia="Arial" w:hAnsi="Arial"/>
          <w:sz w:val="18"/>
          <w:szCs w:val="18"/>
          <w:color w:val="auto"/>
        </w:rPr>
        <w:t>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across multiple end markets. This, in turn, allows us to develop and introduce new products quickly as well as to integrate numerous functions into a single product. For example, we were one of the first companies to introduce a commercial AMOLED display driver for mobile phones. Further, we have introduced an integrated image sensor with digital auto focus technology, combining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signal processing capabilities with specialized optics to achieve superior system performance in a single chip solution.</w:t>
      </w:r>
    </w:p>
    <w:p>
      <w:pPr>
        <w:spacing w:after="0" w:line="68" w:lineRule="exact"/>
        <w:rPr>
          <w:sz w:val="20"/>
          <w:szCs w:val="20"/>
          <w:color w:val="auto"/>
        </w:rPr>
      </w:pPr>
    </w:p>
    <w:p>
      <w:pPr>
        <w:ind w:left="820" w:hanging="245"/>
        <w:spacing w:after="0" w:line="242"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Established relationships and close collaboration with leading global electronics companies. </w:t>
      </w:r>
      <w:r>
        <w:rPr>
          <w:rFonts w:ascii="Arial" w:cs="Arial" w:eastAsia="Arial" w:hAnsi="Arial"/>
          <w:sz w:val="18"/>
          <w:szCs w:val="18"/>
          <w:color w:val="auto"/>
        </w:rPr>
        <w:t>We have a long history of</w:t>
      </w:r>
      <w:r>
        <w:rPr>
          <w:rFonts w:ascii="Arial" w:cs="Arial" w:eastAsia="Arial" w:hAnsi="Arial"/>
          <w:sz w:val="18"/>
          <w:szCs w:val="18"/>
          <w:b w:val="1"/>
          <w:bCs w:val="1"/>
          <w:color w:val="auto"/>
        </w:rPr>
        <w:t xml:space="preserve"> </w:t>
      </w:r>
      <w:r>
        <w:rPr>
          <w:rFonts w:ascii="Arial" w:cs="Arial" w:eastAsia="Arial" w:hAnsi="Arial"/>
          <w:sz w:val="18"/>
          <w:szCs w:val="18"/>
          <w:color w:val="auto"/>
        </w:rPr>
        <w:t>supplying and collaborating on product and technology development with leading innovators in the consumer electronics market, such as LG.Philips LCD, Sharp and Samsung. As a result, we have further strengthened our technology platform and focus on those products and services that our customers and end consumers demand. We believe our close contact with customers enhances our visibility into new product opportunities, markets and technology trends.</w:t>
      </w:r>
    </w:p>
    <w:p>
      <w:pPr>
        <w:spacing w:after="0" w:line="50" w:lineRule="exact"/>
        <w:rPr>
          <w:rFonts w:ascii="Arial" w:cs="Arial" w:eastAsia="Arial" w:hAnsi="Arial"/>
          <w:sz w:val="18"/>
          <w:szCs w:val="18"/>
          <w:color w:val="auto"/>
        </w:rPr>
      </w:pPr>
    </w:p>
    <w:p>
      <w:pPr>
        <w:jc w:val="both"/>
        <w:ind w:left="820" w:right="220" w:hanging="245"/>
        <w:spacing w:after="0" w:line="296"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product and service offerings. </w:t>
      </w:r>
      <w:r>
        <w:rPr>
          <w:rFonts w:ascii="Arial" w:cs="Arial" w:eastAsia="Arial" w:hAnsi="Arial"/>
          <w:sz w:val="16"/>
          <w:szCs w:val="16"/>
          <w:color w:val="auto"/>
        </w:rPr>
        <w:t>We continue to develop a wide variety of analog and mixed-signal semiconductor</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for multiple high growth consumer end markets. We believe our expanding product and service offerings allow us to provide additional products to new and existing customers and to cross-sell our products and services to our established customers.</w:t>
      </w:r>
    </w:p>
    <w:p>
      <w:pPr>
        <w:spacing w:after="0" w:line="8" w:lineRule="exact"/>
        <w:rPr>
          <w:rFonts w:ascii="Arial" w:cs="Arial" w:eastAsia="Arial" w:hAnsi="Arial"/>
          <w:sz w:val="16"/>
          <w:szCs w:val="16"/>
          <w:color w:val="auto"/>
        </w:rPr>
      </w:pPr>
    </w:p>
    <w:p>
      <w:pPr>
        <w:ind w:left="820" w:hanging="245"/>
        <w:spacing w:after="0" w:line="280"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Distinctive process technology expertise and manufacturing capabilities. </w:t>
      </w:r>
      <w:r>
        <w:rPr>
          <w:rFonts w:ascii="Arial" w:cs="Arial" w:eastAsia="Arial" w:hAnsi="Arial"/>
          <w:sz w:val="16"/>
          <w:szCs w:val="16"/>
          <w:color w:val="auto"/>
        </w:rPr>
        <w:t>We have developed specialty analog and mixed-signal</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processes such as high voltage CMOS, power and embedded memory. These processes enable us to manufacture highly integrated, high performance analog and mixed-signal semiconductors. As a result of the depth of our process technology, captive manufacturing facilities and customer support capabilities, we believe the majority of our top twenty manufacturing services customers by revenue currently use us as their primary manufacturing source for the products that we manufacture for them.</w:t>
      </w:r>
    </w:p>
    <w:p>
      <w:pPr>
        <w:spacing w:after="0" w:line="20" w:lineRule="exact"/>
        <w:rPr>
          <w:rFonts w:ascii="Arial" w:cs="Arial" w:eastAsia="Arial" w:hAnsi="Arial"/>
          <w:sz w:val="16"/>
          <w:szCs w:val="16"/>
          <w:color w:val="auto"/>
        </w:rPr>
      </w:pPr>
    </w:p>
    <w:p>
      <w:pPr>
        <w:ind w:left="820" w:right="8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Longstanding presence in Asia. </w:t>
      </w:r>
      <w:r>
        <w:rPr>
          <w:rFonts w:ascii="Arial" w:cs="Arial" w:eastAsia="Arial" w:hAnsi="Arial"/>
          <w:sz w:val="18"/>
          <w:szCs w:val="18"/>
          <w:color w:val="auto"/>
        </w:rPr>
        <w:t>Our substantial manufacturing operations in Korea and design centers in Korea and Japan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proximity to many of our largest customers and to the core of the global consumer electronics supply chain. We have active local applications, engineering and product design support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54" w:lineRule="exact"/>
        <w:rPr>
          <w:rFonts w:ascii="Arial" w:cs="Arial" w:eastAsia="Arial" w:hAnsi="Arial"/>
          <w:sz w:val="18"/>
          <w:szCs w:val="18"/>
          <w:color w:val="auto"/>
        </w:rPr>
      </w:pPr>
    </w:p>
    <w:p>
      <w:pPr>
        <w:ind w:left="820" w:right="60" w:hanging="245"/>
        <w:spacing w:after="0" w:line="239"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Highly efficient manufacturing capabilities. </w:t>
      </w:r>
      <w:r>
        <w:rPr>
          <w:rFonts w:ascii="Arial" w:cs="Arial" w:eastAsia="Arial" w:hAnsi="Arial"/>
          <w:sz w:val="18"/>
          <w:szCs w:val="18"/>
          <w:color w:val="auto"/>
        </w:rPr>
        <w:t>Our manufacturing strategy is focused on maintaining the price competitiveness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services through our low cost operating structure. We believe the location of our primary manufacturing and research and development facilities in Asia provides us with a number of cost advantages as compared to operating in other regions in the world. We offer specialty analog process technologies that do not require substantial investment in leading edge, smaller geometry process equipment. We are able to utilize our manufacturing base over an extended period of time and thereby minimize our capital expenditure requirements. Our internal manufacturing facilities serve both our solutions products and manufacturing services customers, allowing us to optimize our asset utilization and improve our operational efficiency.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Our objective is to grow our business and enhance our position as a leading provider of analog and mixed-signal semiconductor products and services for high volume consumer applications. Our business strategy emphasizes the following key elements:</w:t>
      </w:r>
    </w:p>
    <w:p>
      <w:pPr>
        <w:spacing w:after="0" w:line="52" w:lineRule="exact"/>
        <w:rPr>
          <w:sz w:val="20"/>
          <w:szCs w:val="20"/>
          <w:color w:val="auto"/>
        </w:rPr>
      </w:pPr>
    </w:p>
    <w:p>
      <w:pPr>
        <w:ind w:left="820" w:right="380" w:hanging="245"/>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leading analog and mixed-signal technology platform. </w:t>
      </w:r>
      <w:r>
        <w:rPr>
          <w:rFonts w:ascii="Arial" w:cs="Arial" w:eastAsia="Arial" w:hAnsi="Arial"/>
          <w:sz w:val="18"/>
          <w:szCs w:val="18"/>
          <w:color w:val="auto"/>
        </w:rPr>
        <w:t>We intend to continue to utilize our extensive patent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portfolio and specific end-market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37" w:lineRule="auto"/>
        <w:rPr>
          <w:sz w:val="20"/>
          <w:szCs w:val="20"/>
          <w:color w:val="auto"/>
        </w:rPr>
      </w:pPr>
      <w:r>
        <w:rPr>
          <w:rFonts w:ascii="Arial" w:cs="Arial" w:eastAsia="Arial" w:hAnsi="Arial"/>
          <w:sz w:val="18"/>
          <w:szCs w:val="18"/>
          <w:color w:val="auto"/>
        </w:rPr>
        <w:t>applications expertise to deliver products with high levels of performance and integration to customers. We also intend to utilize our systems expertise to extend our product and service offerings within our target end markets. For example, we have utilized our extensive patent portfolio, process technologies and analog and mixed-signal technology platform to develop power management solutions that we expect will expand our market opportunity and address more of our customers’ needs.</w:t>
      </w:r>
    </w:p>
    <w:p>
      <w:pPr>
        <w:spacing w:after="0" w:line="65" w:lineRule="exact"/>
        <w:rPr>
          <w:sz w:val="20"/>
          <w:szCs w:val="20"/>
          <w:color w:val="auto"/>
        </w:rPr>
      </w:pPr>
    </w:p>
    <w:p>
      <w:pPr>
        <w:ind w:left="820" w:hanging="245"/>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Continue to innovate and deliver new products and services. </w:t>
      </w:r>
      <w:r>
        <w:rPr>
          <w:rFonts w:ascii="Arial" w:cs="Arial" w:eastAsia="Arial" w:hAnsi="Arial"/>
          <w:sz w:val="18"/>
          <w:szCs w:val="18"/>
          <w:color w:val="auto"/>
        </w:rPr>
        <w:t>We intend to leverage our deep knowledge of our customers’ needs,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our analog and mixed-signal design and manufacturing expertise, to design and develop innovative products and offer specialized manufacturing services. We continue to invest in research and development to introduce new technologies such as AMOLED display drivers. We are also currently developing innovative image sensors featuring backside illumination technology that we expect will offer improved light sensitivity performance at high resolutions. In manufacturing services, we are developing cost-effective processes that substantially reduce die size using deep trench isolation.</w:t>
      </w:r>
    </w:p>
    <w:p>
      <w:pPr>
        <w:spacing w:after="0" w:line="54" w:lineRule="exact"/>
        <w:rPr>
          <w:rFonts w:ascii="Arial" w:cs="Arial" w:eastAsia="Arial" w:hAnsi="Arial"/>
          <w:sz w:val="18"/>
          <w:szCs w:val="18"/>
          <w:color w:val="auto"/>
        </w:rPr>
      </w:pPr>
    </w:p>
    <w:p>
      <w:pPr>
        <w:ind w:left="820" w:right="120" w:hanging="245"/>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Increase business with existing customers. </w:t>
      </w:r>
      <w:r>
        <w:rPr>
          <w:rFonts w:ascii="Arial" w:cs="Arial" w:eastAsia="Arial" w:hAnsi="Arial"/>
          <w:sz w:val="18"/>
          <w:szCs w:val="18"/>
          <w:color w:val="auto"/>
        </w:rPr>
        <w:t>We have a global customer base consisting of leading consumer electronics OEMs</w:t>
      </w:r>
      <w:r>
        <w:rPr>
          <w:rFonts w:ascii="Arial" w:cs="Arial" w:eastAsia="Arial" w:hAnsi="Arial"/>
          <w:sz w:val="18"/>
          <w:szCs w:val="18"/>
          <w:b w:val="1"/>
          <w:bCs w:val="1"/>
          <w:color w:val="auto"/>
        </w:rPr>
        <w:t xml:space="preserve"> </w:t>
      </w:r>
      <w:r>
        <w:rPr>
          <w:rFonts w:ascii="Arial" w:cs="Arial" w:eastAsia="Arial" w:hAnsi="Arial"/>
          <w:sz w:val="18"/>
          <w:szCs w:val="18"/>
          <w:color w:val="auto"/>
        </w:rPr>
        <w:t>who sell into multiple end markets. We intend to continue strengthening our relationships with our customers by collaborating on critical design and product development in order to improve our success in achieving design wins. We will seek to increase our customer penetration by taking advantage of our broad product portfolio and existing relationships to sell more existing and new products. For example, after initially providing image sensors to one of our key customers, we now also provide mobile and large display driver solutions and plan to provide additional solutions, such as power management, over time.</w:t>
      </w:r>
    </w:p>
    <w:p>
      <w:pPr>
        <w:spacing w:after="0" w:line="54" w:lineRule="exact"/>
        <w:rPr>
          <w:rFonts w:ascii="Arial" w:cs="Arial" w:eastAsia="Arial" w:hAnsi="Arial"/>
          <w:sz w:val="18"/>
          <w:szCs w:val="18"/>
          <w:color w:val="auto"/>
        </w:rPr>
      </w:pPr>
    </w:p>
    <w:p>
      <w:pPr>
        <w:ind w:left="820" w:right="20" w:hanging="245"/>
        <w:spacing w:after="0" w:line="242"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Broaden our customer base. </w:t>
      </w:r>
      <w:r>
        <w:rPr>
          <w:rFonts w:ascii="Arial" w:cs="Arial" w:eastAsia="Arial" w:hAnsi="Arial"/>
          <w:sz w:val="18"/>
          <w:szCs w:val="18"/>
          <w:color w:val="auto"/>
        </w:rPr>
        <w:t>We expect to continue to expand our global design centers, local application engineering support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sales presence, particularly in China, Hong Kong, Taiwan and Macau, or collectively, Greater China, and other high growth geographies, to penetrate new accounts. In addition, we intend to introduce new products and variations of existing products to address a broader customer base. For example, while we are initially targeting our existing customers with power management solutions, we expect to access a variety of distribution channels to broaden the customer base for these solutions over time.</w:t>
      </w:r>
    </w:p>
    <w:p>
      <w:pPr>
        <w:spacing w:after="0" w:line="50"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Drive execution excellence. </w:t>
      </w:r>
      <w:r>
        <w:rPr>
          <w:rFonts w:ascii="Arial" w:cs="Arial" w:eastAsia="Arial" w:hAnsi="Arial"/>
          <w:sz w:val="18"/>
          <w:szCs w:val="18"/>
          <w:color w:val="auto"/>
        </w:rPr>
        <w:t>We have significantly improved our execution through a number of management initiatives implemented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hiring of our Chief Executive Officer and Chairman, Sang Park, in 2006. As an example, we have introduced new processes for product development, customer service and personnel development. We expect these ongoing initiatives will improve our new product development and customer service as well as lead to a culture of quick action and execution by our workforce. As a result of our focus on execution excellence, we have meaningfully reduced our time from new product definition to development completion, and the proportion of our revenue derived from products introduced in the prior twelve months was approximately 20% greater in the first nine months of 2007 than in the comparable period of 2006.</w:t>
      </w:r>
    </w:p>
    <w:p>
      <w:pPr>
        <w:spacing w:after="0" w:line="56" w:lineRule="exact"/>
        <w:rPr>
          <w:rFonts w:ascii="Arial" w:cs="Arial" w:eastAsia="Arial" w:hAnsi="Arial"/>
          <w:sz w:val="18"/>
          <w:szCs w:val="18"/>
          <w:color w:val="auto"/>
        </w:rPr>
      </w:pPr>
    </w:p>
    <w:p>
      <w:pPr>
        <w:ind w:left="820" w:right="300" w:hanging="245"/>
        <w:spacing w:after="0" w:line="244"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Optimize asset utilization and return on capital investments. </w:t>
      </w:r>
      <w:r>
        <w:rPr>
          <w:rFonts w:ascii="Arial" w:cs="Arial" w:eastAsia="Arial" w:hAnsi="Arial"/>
          <w:sz w:val="18"/>
          <w:szCs w:val="18"/>
          <w:color w:val="auto"/>
        </w:rPr>
        <w:t>We intend to keep our capital expenditures relatively low by</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maintaining our focus on specialty process technologies that do not require substantial investment in leading edge manufacturing equipment. By utilizing our manufacturing facilities for both our solutions products and our manufacturing services customers, we will seek to optimize returns on our capital investments.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continuously strengthen our leading analog and mixed-signal semiconductor technology platform by developing innovative technologies that enhance the functionality of consumer electronics products through brighter displays, enhanced image quality, smaller form factor and longer battery life. We seek to further build our technology platform through proprietary research and development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56"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Our display technology portfolio includes building blocks for display drivers and timing controllers, processor and interface technologies, as well as sophisticated production techniques, such as chip-on-glass, or COG, which enables the manufacture of thinner displays. Our advanced display drivers incorporate LTPS and AMOLED panel technologies that enable the highest resolution displays. Furthermore, we are developing a robust intellectual property portfolio to improve the power efficiency of displays, for example, our smart mobile luminance control, or SMLC, algorithm.</w:t>
      </w:r>
    </w:p>
    <w:p>
      <w:pPr>
        <w:spacing w:after="0" w:line="15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Our image sensor technology portfolio and development are centered on advanced pixel technologies and specialized manufacturing processes that increase light sensitivity and enable more integrated, thinner form factor image sensors. Our technology portfolio includes advanced algorithms, such as extended depth of field, or eDoF, and digital auto focus that enable significant image quality improvements.</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have a long history of specialized process technology development and have a number of distinctive process implementations. We have over 170 process flows we can utilize for our products and offer to our semiconductor manufacturing services customers. Our process technologies include standard CMOS, high voltage complementary metal-oxide semiconductor, or HVCMOS, ultra-low leakage HVCMOS, and bipolar complementary double-diffused metal oxide semiconductor, or BCDMOS. Our manufacturing processes incorporate embedded memory solutions such as static random access memory, or SRAM, one-time programmable, or OTP, memory, electronically erasable programmable read only memory, or EEPROM, and single-transistor random access memory, or 1TRAM. More broadly, we focus extensively on processes that reduce die size across all of the products we manufacture, in order to deliver cost effective solutions to our customers.</w:t>
      </w:r>
    </w:p>
    <w:p>
      <w:pPr>
        <w:spacing w:after="0" w:line="155"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Expertise in high voltage and deep trench CMOS process technologies, low power analog and mixed-signal design capabilities and packaging know-how are key requirements in the power management market. We are currently leveraging our capabilities in these areas to enter the power management market with products such as linear low drop-out, or LDO, regulators and power metal oxide semiconductor field effect transistors, or MOSFETs. We believe our system level understanding of applications such as LCD TVs and mobile phones will allow us to more quickly develop and customize power management solutions for our customers in these markets.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99"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Our broad portfolio of products and services addresses multiple high growth, consumer-focused end markets. A key component of our product strategy is to supply multiple related product and service offerings to each of the end markets that we serve.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Display Solutions</w:t>
      </w:r>
    </w:p>
    <w:p>
      <w:pPr>
        <w:spacing w:after="0" w:line="81" w:lineRule="exact"/>
        <w:rPr>
          <w:sz w:val="20"/>
          <w:szCs w:val="20"/>
          <w:color w:val="auto"/>
        </w:rPr>
      </w:pPr>
    </w:p>
    <w:p>
      <w:pPr>
        <w:ind w:right="540" w:firstLine="571"/>
        <w:spacing w:after="0" w:line="260" w:lineRule="auto"/>
        <w:rPr>
          <w:sz w:val="20"/>
          <w:szCs w:val="20"/>
          <w:color w:val="auto"/>
        </w:rPr>
      </w:pPr>
      <w:r>
        <w:rPr>
          <w:rFonts w:ascii="Arial" w:cs="Arial" w:eastAsia="Arial" w:hAnsi="Arial"/>
          <w:sz w:val="18"/>
          <w:szCs w:val="18"/>
          <w:i w:val="1"/>
          <w:iCs w:val="1"/>
          <w:color w:val="auto"/>
        </w:rPr>
        <w:t xml:space="preserve">Display Driver Characteristics. </w:t>
      </w:r>
      <w:r>
        <w:rPr>
          <w:rFonts w:ascii="Arial" w:cs="Arial" w:eastAsia="Arial" w:hAnsi="Arial"/>
          <w:sz w:val="18"/>
          <w:szCs w:val="18"/>
          <w:color w:val="auto"/>
        </w:rPr>
        <w:t>Display drivers deliver defined analog voltages and currents that activate pixels to exhibit images on</w:t>
      </w:r>
      <w:r>
        <w:rPr>
          <w:rFonts w:ascii="Arial" w:cs="Arial" w:eastAsia="Arial" w:hAnsi="Arial"/>
          <w:sz w:val="18"/>
          <w:szCs w:val="18"/>
          <w:i w:val="1"/>
          <w:iCs w:val="1"/>
          <w:color w:val="auto"/>
        </w:rPr>
        <w:t xml:space="preserve"> </w:t>
      </w:r>
      <w:r>
        <w:rPr>
          <w:rFonts w:ascii="Arial" w:cs="Arial" w:eastAsia="Arial" w:hAnsi="Arial"/>
          <w:sz w:val="18"/>
          <w:szCs w:val="18"/>
          <w:color w:val="auto"/>
        </w:rPr>
        <w:t>displays. The following key characteristics determine display driver performance and end-market application:</w:t>
      </w:r>
    </w:p>
    <w:p>
      <w:pPr>
        <w:spacing w:after="0" w:line="38" w:lineRule="exact"/>
        <w:rPr>
          <w:sz w:val="20"/>
          <w:szCs w:val="20"/>
          <w:color w:val="auto"/>
        </w:rPr>
      </w:pPr>
    </w:p>
    <w:p>
      <w:pPr>
        <w:ind w:left="820" w:right="60" w:hanging="245"/>
        <w:spacing w:after="0" w:line="241"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Resolution and Number of Channels. </w:t>
      </w:r>
      <w:r>
        <w:rPr>
          <w:rFonts w:ascii="Arial" w:cs="Arial" w:eastAsia="Arial" w:hAnsi="Arial"/>
          <w:sz w:val="18"/>
          <w:szCs w:val="18"/>
          <w:color w:val="auto"/>
        </w:rPr>
        <w:t>Resolution determines the level of detail displayed within an image and is defined by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pixels 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QQVGA (160RGB x 120) to HVGA (320RGB x 480).</w:t>
      </w:r>
    </w:p>
    <w:p>
      <w:pPr>
        <w:spacing w:after="0" w:line="54" w:lineRule="exact"/>
        <w:rPr>
          <w:rFonts w:ascii="Arial" w:cs="Arial" w:eastAsia="Arial" w:hAnsi="Arial"/>
          <w:sz w:val="18"/>
          <w:szCs w:val="18"/>
          <w:color w:val="auto"/>
        </w:rPr>
      </w:pPr>
    </w:p>
    <w:p>
      <w:pPr>
        <w:ind w:left="820" w:right="40" w:hanging="245"/>
        <w:spacing w:after="0" w:line="24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Color Depth. </w:t>
      </w:r>
      <w:r>
        <w:rPr>
          <w:rFonts w:ascii="Arial" w:cs="Arial" w:eastAsia="Arial" w:hAnsi="Arial"/>
          <w:sz w:val="18"/>
          <w:szCs w:val="18"/>
          <w:color w:val="auto"/>
        </w:rPr>
        <w:t>Color depth is the number of colors that can be displayed on a panel. For example, for TFT-LCD panels, 262 thousand</w:t>
      </w:r>
      <w:r>
        <w:rPr>
          <w:rFonts w:ascii="Arial" w:cs="Arial" w:eastAsia="Arial" w:hAnsi="Arial"/>
          <w:sz w:val="18"/>
          <w:szCs w:val="18"/>
          <w:i w:val="1"/>
          <w:iCs w:val="1"/>
          <w:color w:val="auto"/>
        </w:rPr>
        <w:t xml:space="preserve"> </w:t>
      </w:r>
      <w:r>
        <w:rPr>
          <w:rFonts w:ascii="Arial" w:cs="Arial" w:eastAsia="Arial" w:hAnsi="Arial"/>
          <w:sz w:val="18"/>
          <w:szCs w:val="18"/>
          <w:color w:val="auto"/>
        </w:rPr>
        <w:t>colors are supported by 6-bit source drivers; 16 million colors are supported by 8-bit source drivers; and 1 billion colors are supported by 10-bit and 12-bit source drivers.</w:t>
      </w:r>
    </w:p>
    <w:p>
      <w:pPr>
        <w:spacing w:after="0" w:line="49" w:lineRule="exact"/>
        <w:rPr>
          <w:rFonts w:ascii="Arial" w:cs="Arial" w:eastAsia="Arial" w:hAnsi="Arial"/>
          <w:sz w:val="18"/>
          <w:szCs w:val="18"/>
          <w:color w:val="auto"/>
        </w:rPr>
      </w:pPr>
    </w:p>
    <w:p>
      <w:pPr>
        <w:ind w:left="820" w:right="100" w:hanging="245"/>
        <w:spacing w:after="0" w:line="293"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Operational Voltage. </w:t>
      </w:r>
      <w:r>
        <w:rPr>
          <w:rFonts w:ascii="Arial" w:cs="Arial" w:eastAsia="Arial" w:hAnsi="Arial"/>
          <w:sz w:val="16"/>
          <w:szCs w:val="16"/>
          <w:color w:val="auto"/>
        </w:rPr>
        <w:t>Display drivers are characterized by input and output voltages. Source drivers typically operate at input voltages</w:t>
      </w:r>
      <w:r>
        <w:rPr>
          <w:rFonts w:ascii="Arial" w:cs="Arial" w:eastAsia="Arial" w:hAnsi="Arial"/>
          <w:sz w:val="16"/>
          <w:szCs w:val="16"/>
          <w:i w:val="1"/>
          <w:iCs w:val="1"/>
          <w:color w:val="auto"/>
        </w:rPr>
        <w:t xml:space="preserve"> </w:t>
      </w:r>
      <w:r>
        <w:rPr>
          <w:rFonts w:ascii="Arial" w:cs="Arial" w:eastAsia="Arial" w:hAnsi="Arial"/>
          <w:sz w:val="16"/>
          <w:szCs w:val="16"/>
          <w:color w:val="auto"/>
        </w:rPr>
        <w:t>from 2.0 to 3.6 volts and output voltages between 4.5 and 18 volts. Gate drivers typically operate at input voltages from 2.0 to 3.6 volts and output voltages of up to 40 volts. Lower input voltage results in lower power consumption and electromagnetic interference, or EMI.</w:t>
      </w:r>
    </w:p>
    <w:p>
      <w:pPr>
        <w:spacing w:after="0" w:line="14" w:lineRule="exact"/>
        <w:rPr>
          <w:rFonts w:ascii="Arial" w:cs="Arial" w:eastAsia="Arial" w:hAnsi="Arial"/>
          <w:sz w:val="16"/>
          <w:szCs w:val="16"/>
          <w:color w:val="auto"/>
        </w:rPr>
      </w:pPr>
    </w:p>
    <w:p>
      <w:pPr>
        <w:ind w:left="820" w:right="200" w:hanging="245"/>
        <w:spacing w:after="0" w:line="243"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Gamma Curve. </w:t>
      </w:r>
      <w:r>
        <w:rPr>
          <w:rFonts w:ascii="Arial" w:cs="Arial" w:eastAsia="Arial" w:hAnsi="Arial"/>
          <w:sz w:val="18"/>
          <w:szCs w:val="18"/>
          <w:color w:val="auto"/>
        </w:rPr>
        <w:t>The relationship between the light passing through a pixel and the voltage applied to the pixel by the source driver is</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53" w:lineRule="exact"/>
        <w:rPr>
          <w:rFonts w:ascii="Arial" w:cs="Arial" w:eastAsia="Arial" w:hAnsi="Arial"/>
          <w:sz w:val="18"/>
          <w:szCs w:val="18"/>
          <w:color w:val="auto"/>
        </w:rPr>
      </w:pPr>
    </w:p>
    <w:p>
      <w:pPr>
        <w:ind w:left="820" w:right="340" w:hanging="245"/>
        <w:spacing w:after="0" w:line="243"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increasingly require higher bandwidth interface technology to address the larger data transfer rate necessary for higher definition images. The principal types of interface technologies are transistor-to-transistor logic, or TTL, reduced swing differential signaling, or RSDS, low current differential signaling, or LCDS, and mini-low voltage differential signaling, or mLVDS.</w:t>
      </w:r>
    </w:p>
    <w:p>
      <w:pPr>
        <w:spacing w:after="0" w:line="53" w:lineRule="exact"/>
        <w:rPr>
          <w:rFonts w:ascii="Arial" w:cs="Arial" w:eastAsia="Arial" w:hAnsi="Arial"/>
          <w:sz w:val="18"/>
          <w:szCs w:val="18"/>
          <w:color w:val="auto"/>
        </w:rPr>
      </w:pPr>
    </w:p>
    <w:p>
      <w:pPr>
        <w:ind w:left="820" w:right="360" w:hanging="245"/>
        <w:spacing w:after="0" w:line="260"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Package Type. </w:t>
      </w:r>
      <w:r>
        <w:rPr>
          <w:rFonts w:ascii="Arial" w:cs="Arial" w:eastAsia="Arial" w:hAnsi="Arial"/>
          <w:sz w:val="18"/>
          <w:szCs w:val="18"/>
          <w:color w:val="auto"/>
        </w:rPr>
        <w:t>The assembly of display drivers typically uses chip-on-film, or COF, tape carrier package, or TCP, and COG package</w:t>
      </w:r>
      <w:r>
        <w:rPr>
          <w:rFonts w:ascii="Arial" w:cs="Arial" w:eastAsia="Arial" w:hAnsi="Arial"/>
          <w:sz w:val="18"/>
          <w:szCs w:val="18"/>
          <w:i w:val="1"/>
          <w:iCs w:val="1"/>
          <w:color w:val="auto"/>
        </w:rPr>
        <w:t xml:space="preserve"> </w:t>
      </w:r>
      <w:r>
        <w:rPr>
          <w:rFonts w:ascii="Arial" w:cs="Arial" w:eastAsia="Arial" w:hAnsi="Arial"/>
          <w:sz w:val="18"/>
          <w:szCs w:val="18"/>
          <w:color w:val="auto"/>
        </w:rPr>
        <w:t>types.</w:t>
      </w:r>
    </w:p>
    <w:p>
      <w:pPr>
        <w:spacing w:after="0" w:line="200"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Mobile Displays Solutions. </w:t>
      </w:r>
      <w:r>
        <w:rPr>
          <w:rFonts w:ascii="Arial" w:cs="Arial" w:eastAsia="Arial" w:hAnsi="Arial"/>
          <w:sz w:val="18"/>
          <w:szCs w:val="18"/>
          <w:color w:val="auto"/>
        </w:rPr>
        <w:t>Our mobile display solutions incorporate the industry’s most advanced display technologies, such as LTPS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AMOLED, as well as high volume technologies such as amorphous silicon, a-Si, TFT. Our mobile display products offer specialized capabilities, including high speed serial interfaces, such as mobile display digital interface, or MDDI, and mobile industry processor interface, or MIPI, as well as multi-time programmable, or MTP, memories, using EEPROM and logic-based OTP memory. Further, we are building a distinctive intellectual property portfolio that allows us to provide features that reduce power consumption, such as SMLC, ambient light-based brightness control, or LABC, automatic brightness control, or ABC, and automatic current limit, or ACL. This intellectual property portfolio will also support our power management product development initiatives, as we leverage our system level understanding of power efficiency.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features of our products, both in mass production and in development, for mobile displays: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2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Key Features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Applications</w:t>
            </w:r>
          </w:p>
        </w:tc>
      </w:tr>
      <w:tr>
        <w:trPr>
          <w:trHeight w:val="273"/>
        </w:trPr>
        <w:tc>
          <w:tcPr>
            <w:tcW w:w="1380" w:type="dxa"/>
            <w:vAlign w:val="bottom"/>
          </w:tcPr>
          <w:p>
            <w:pPr>
              <w:spacing w:after="0"/>
              <w:rPr>
                <w:sz w:val="20"/>
                <w:szCs w:val="20"/>
                <w:color w:val="auto"/>
              </w:rPr>
            </w:pPr>
            <w:r>
              <w:rPr>
                <w:rFonts w:ascii="Arial" w:cs="Arial" w:eastAsia="Arial" w:hAnsi="Arial"/>
                <w:sz w:val="18"/>
                <w:szCs w:val="18"/>
                <w:color w:val="auto"/>
              </w:rPr>
              <w:t>LTPS</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Resolutions of QQVGA, QCIF+, QVGA, WQVGA</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Mobile phones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Color depth ranging from 65 thousand to 16 million</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PDAs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Geometries of 0.13µm to 0.18µm</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Digital cameras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MDDI interface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  MTP (EEPROM and logic-based OTP)</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5"/>
        </w:trPr>
        <w:tc>
          <w:tcPr>
            <w:tcW w:w="1380" w:type="dxa"/>
            <w:vAlign w:val="bottom"/>
          </w:tcPr>
          <w:p>
            <w:pPr>
              <w:spacing w:after="0"/>
              <w:rPr>
                <w:sz w:val="20"/>
                <w:szCs w:val="20"/>
                <w:color w:val="auto"/>
              </w:rPr>
            </w:pPr>
            <w:r>
              <w:rPr>
                <w:rFonts w:ascii="Arial" w:cs="Arial" w:eastAsia="Arial" w:hAnsi="Arial"/>
                <w:sz w:val="18"/>
                <w:szCs w:val="18"/>
                <w:color w:val="auto"/>
              </w:rPr>
              <w:t>AMOLED</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Resolutions of QVGA, WQVGA</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Mobile phones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Color depth ranging from 262 thousand to 16 million</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Portable</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Geometries of 0.13µm to 0.15µm</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ind w:left="80"/>
              <w:spacing w:after="0" w:line="202" w:lineRule="exact"/>
              <w:rPr>
                <w:sz w:val="20"/>
                <w:szCs w:val="20"/>
                <w:color w:val="auto"/>
              </w:rPr>
            </w:pPr>
            <w:r>
              <w:rPr>
                <w:rFonts w:ascii="Arial" w:cs="Arial" w:eastAsia="Arial" w:hAnsi="Arial"/>
                <w:sz w:val="18"/>
                <w:szCs w:val="18"/>
                <w:color w:val="auto"/>
                <w:w w:val="97"/>
              </w:rPr>
              <w:t>multimedia players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MDDI interface</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PDAs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MTP (EEPROM and logic-based OTP)</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ABC, ACL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5"/>
        </w:trPr>
        <w:tc>
          <w:tcPr>
            <w:tcW w:w="1380" w:type="dxa"/>
            <w:vAlign w:val="bottom"/>
          </w:tcPr>
          <w:p>
            <w:pPr>
              <w:spacing w:after="0"/>
              <w:rPr>
                <w:sz w:val="20"/>
                <w:szCs w:val="20"/>
                <w:color w:val="auto"/>
              </w:rPr>
            </w:pPr>
            <w:r>
              <w:rPr>
                <w:rFonts w:ascii="Arial" w:cs="Arial" w:eastAsia="Arial" w:hAnsi="Arial"/>
                <w:sz w:val="18"/>
                <w:szCs w:val="18"/>
                <w:color w:val="auto"/>
              </w:rPr>
              <w:t>a-Si TFT</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Resolutions of QCIF+, QVGA, WQVGA, HVGA</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Mobile phones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Color depth ranging from 262 thousand to 16 million</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Game consoles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Geometries of 0.13µm to 0.35µm</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w w:val="97"/>
              </w:rPr>
              <w:t>Navigation devices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MDDI, MIPI Interface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1T RAM and MTP (EEPROM and logic-based OTP)</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ABC, SMLC and LABC</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Embedded touch screen controller</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Wide view angle support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Separated gamma control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line="230" w:lineRule="exact"/>
        <w:rPr>
          <w:sz w:val="20"/>
          <w:szCs w:val="20"/>
          <w:color w:val="auto"/>
        </w:rPr>
      </w:pPr>
    </w:p>
    <w:p>
      <w:pPr>
        <w:ind w:right="280" w:firstLine="571"/>
        <w:spacing w:after="0" w:line="260" w:lineRule="auto"/>
        <w:rPr>
          <w:sz w:val="20"/>
          <w:szCs w:val="20"/>
          <w:color w:val="auto"/>
        </w:rPr>
      </w:pPr>
      <w:r>
        <w:rPr>
          <w:rFonts w:ascii="Arial" w:cs="Arial" w:eastAsia="Arial" w:hAnsi="Arial"/>
          <w:sz w:val="18"/>
          <w:szCs w:val="18"/>
          <w:i w:val="1"/>
          <w:iCs w:val="1"/>
          <w:color w:val="auto"/>
        </w:rPr>
        <w:t xml:space="preserve">Large Display Solutions. </w:t>
      </w:r>
      <w:r>
        <w:rPr>
          <w:rFonts w:ascii="Arial" w:cs="Arial" w:eastAsia="Arial" w:hAnsi="Arial"/>
          <w:sz w:val="18"/>
          <w:szCs w:val="18"/>
          <w:color w:val="auto"/>
        </w:rPr>
        <w:t>We provide display solutions for a wide range of large panel display sizes used in digital televisions,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high definition televisions, or HDTVs, LCD monitors and notebook computers.</w:t>
      </w:r>
    </w:p>
    <w:p>
      <w:pPr>
        <w:spacing w:after="0" w:line="137" w:lineRule="exact"/>
        <w:rPr>
          <w:sz w:val="20"/>
          <w:szCs w:val="20"/>
          <w:color w:val="auto"/>
        </w:rPr>
      </w:pPr>
    </w:p>
    <w:p>
      <w:pPr>
        <w:ind w:right="240" w:firstLine="571"/>
        <w:spacing w:after="0" w:line="236" w:lineRule="auto"/>
        <w:rPr>
          <w:sz w:val="20"/>
          <w:szCs w:val="20"/>
          <w:color w:val="auto"/>
        </w:rPr>
      </w:pPr>
      <w:r>
        <w:rPr>
          <w:rFonts w:ascii="Arial" w:cs="Arial" w:eastAsia="Arial" w:hAnsi="Arial"/>
          <w:sz w:val="18"/>
          <w:szCs w:val="18"/>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under development to provide up to 720 channels. We also offer a distinctive interface technology known as LCDS, which supports thinner displays for notebook computers. Our large display solutions are designed to allow customers to cost effectively meet the increasing demand for high resolution displays. We focus extensively on reducing the die size of our large display drivers and other solutions products and have recently introduced a number of new large display drivers with reduced die size.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sets forth the features of our products, both in mass production and in development, for large-sized displays:</w:t>
      </w:r>
    </w:p>
    <w:p>
      <w:pPr>
        <w:spacing w:after="0" w:line="178" w:lineRule="exact"/>
        <w:rPr>
          <w:sz w:val="20"/>
          <w:szCs w:val="20"/>
          <w:color w:val="auto"/>
        </w:rPr>
      </w:pPr>
    </w:p>
    <w:p>
      <w:pPr>
        <w:spacing w:after="0"/>
        <w:tabs>
          <w:tab w:leader="none" w:pos="4820" w:val="left"/>
          <w:tab w:leader="none" w:pos="986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Key Features</w:t>
      </w:r>
      <w:r>
        <w:rPr>
          <w:sz w:val="20"/>
          <w:szCs w:val="20"/>
          <w:color w:val="auto"/>
        </w:rPr>
        <w:tab/>
      </w:r>
      <w:r>
        <w:rPr>
          <w:rFonts w:ascii="Arial" w:cs="Arial" w:eastAsia="Arial" w:hAnsi="Arial"/>
          <w:sz w:val="12"/>
          <w:szCs w:val="12"/>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98" w:lineRule="exact"/>
        <w:rPr>
          <w:sz w:val="20"/>
          <w:szCs w:val="20"/>
          <w:color w:val="auto"/>
        </w:rPr>
      </w:pPr>
    </w:p>
    <w:p>
      <w:pPr>
        <w:spacing w:after="0"/>
        <w:tabs>
          <w:tab w:leader="none" w:pos="1600" w:val="left"/>
          <w:tab w:leader="none" w:pos="1900" w:val="left"/>
        </w:tabs>
        <w:rPr>
          <w:sz w:val="20"/>
          <w:szCs w:val="20"/>
          <w:color w:val="auto"/>
        </w:rPr>
      </w:pPr>
      <w:r>
        <w:rPr>
          <w:rFonts w:ascii="Arial" w:cs="Arial" w:eastAsia="Arial" w:hAnsi="Arial"/>
          <w:sz w:val="18"/>
          <w:szCs w:val="18"/>
          <w:color w:val="auto"/>
        </w:rPr>
        <w:t>TFT-LCD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384 to 720 output channels</w:t>
      </w:r>
    </w:p>
    <w:p>
      <w:pPr>
        <w:ind w:left="220"/>
        <w:spacing w:after="0"/>
        <w:tabs>
          <w:tab w:leader="none" w:pos="1600" w:val="left"/>
          <w:tab w:leader="none" w:pos="190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6-bit (262 thousand colors), 8-bit (16 million colors), 10-bit and 12-bit (1 billion colors)</w:t>
      </w:r>
    </w:p>
    <w:p>
      <w:pPr>
        <w:ind w:left="220"/>
        <w:spacing w:after="0"/>
        <w:tabs>
          <w:tab w:leader="none" w:pos="1600" w:val="left"/>
          <w:tab w:leader="none" w:pos="1900" w:val="left"/>
        </w:tabs>
        <w:rPr>
          <w:sz w:val="20"/>
          <w:szCs w:val="20"/>
          <w:color w:val="auto"/>
        </w:rPr>
      </w:pPr>
      <w:r>
        <w:rPr>
          <w:rFonts w:ascii="Arial" w:cs="Arial" w:eastAsia="Arial" w:hAnsi="Arial"/>
          <w:sz w:val="18"/>
          <w:szCs w:val="18"/>
          <w:color w:val="auto"/>
        </w:rPr>
        <w:t>Drivers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Output voltage ranging from 4.5V to 18V</w:t>
      </w:r>
    </w:p>
    <w:p>
      <w:pPr>
        <w:ind w:left="1620"/>
        <w:spacing w:after="0" w:line="235" w:lineRule="auto"/>
        <w:tabs>
          <w:tab w:leader="none" w:pos="1900" w:val="left"/>
        </w:tabs>
        <w:rPr>
          <w:sz w:val="20"/>
          <w:szCs w:val="20"/>
          <w:color w:val="auto"/>
        </w:rPr>
      </w:pPr>
      <w:r>
        <w:rPr>
          <w:rFonts w:ascii="Arial" w:cs="Arial" w:eastAsia="Arial" w:hAnsi="Arial"/>
          <w:sz w:val="18"/>
          <w:szCs w:val="18"/>
          <w:color w:val="auto"/>
        </w:rPr>
        <w:t>•</w:t>
        <w:tab/>
        <w:t>Input voltage ranging from standard 2.0V to 3.6V</w:t>
      </w:r>
    </w:p>
    <w:p>
      <w:pPr>
        <w:ind w:left="1620"/>
        <w:spacing w:after="0" w:line="235" w:lineRule="auto"/>
        <w:tabs>
          <w:tab w:leader="none" w:pos="1900" w:val="left"/>
        </w:tabs>
        <w:rPr>
          <w:sz w:val="20"/>
          <w:szCs w:val="20"/>
          <w:color w:val="auto"/>
        </w:rPr>
      </w:pPr>
      <w:r>
        <w:rPr>
          <w:rFonts w:ascii="Arial" w:cs="Arial" w:eastAsia="Arial" w:hAnsi="Arial"/>
          <w:sz w:val="18"/>
          <w:szCs w:val="18"/>
          <w:color w:val="auto"/>
        </w:rPr>
        <w:t>•</w:t>
        <w:tab/>
        <w:t>Low power consumption and low EMI</w:t>
      </w:r>
    </w:p>
    <w:p>
      <w:pPr>
        <w:ind w:left="1620"/>
        <w:spacing w:after="0" w:line="235" w:lineRule="auto"/>
        <w:tabs>
          <w:tab w:leader="none" w:pos="1900" w:val="left"/>
        </w:tabs>
        <w:rPr>
          <w:sz w:val="20"/>
          <w:szCs w:val="20"/>
          <w:color w:val="auto"/>
        </w:rPr>
      </w:pPr>
      <w:r>
        <w:rPr>
          <w:rFonts w:ascii="Arial" w:cs="Arial" w:eastAsia="Arial" w:hAnsi="Arial"/>
          <w:sz w:val="18"/>
          <w:szCs w:val="18"/>
          <w:color w:val="auto"/>
        </w:rPr>
        <w:t>•</w:t>
        <w:tab/>
        <w:t>Supports COF, TCP and COG package types</w:t>
      </w:r>
    </w:p>
    <w:p>
      <w:pPr>
        <w:ind w:left="1620"/>
        <w:spacing w:after="0" w:line="235" w:lineRule="auto"/>
        <w:tabs>
          <w:tab w:leader="none" w:pos="1900" w:val="left"/>
        </w:tabs>
        <w:rPr>
          <w:sz w:val="20"/>
          <w:szCs w:val="20"/>
          <w:color w:val="auto"/>
        </w:rPr>
      </w:pPr>
      <w:r>
        <w:rPr>
          <w:rFonts w:ascii="Arial" w:cs="Arial" w:eastAsia="Arial" w:hAnsi="Arial"/>
          <w:sz w:val="18"/>
          <w:szCs w:val="18"/>
          <w:color w:val="auto"/>
        </w:rPr>
        <w:t>•</w:t>
        <w:tab/>
        <w:t>Supports RSDS, LCDS, and mLVDS interface technologies</w:t>
      </w:r>
    </w:p>
    <w:p>
      <w:pPr>
        <w:ind w:left="1620"/>
        <w:spacing w:after="0"/>
        <w:tabs>
          <w:tab w:leader="none" w:pos="1900" w:val="left"/>
        </w:tabs>
        <w:rPr>
          <w:sz w:val="20"/>
          <w:szCs w:val="20"/>
          <w:color w:val="auto"/>
        </w:rPr>
      </w:pPr>
      <w:r>
        <w:rPr>
          <w:rFonts w:ascii="Arial" w:cs="Arial" w:eastAsia="Arial" w:hAnsi="Arial"/>
          <w:sz w:val="18"/>
          <w:szCs w:val="18"/>
          <w:color w:val="auto"/>
        </w:rPr>
        <w:t>•</w:t>
        <w:tab/>
        <w:t>Geometries of 0.18µm to 0.3µm</w:t>
      </w:r>
    </w:p>
    <w:p>
      <w:pPr>
        <w:spacing w:after="0" w:line="72" w:lineRule="exact"/>
        <w:rPr>
          <w:sz w:val="20"/>
          <w:szCs w:val="20"/>
          <w:color w:val="auto"/>
        </w:rPr>
      </w:pPr>
    </w:p>
    <w:p>
      <w:pPr>
        <w:spacing w:after="0"/>
        <w:tabs>
          <w:tab w:leader="none" w:pos="1600" w:val="left"/>
          <w:tab w:leader="none" w:pos="1900" w:val="left"/>
        </w:tabs>
        <w:rPr>
          <w:sz w:val="20"/>
          <w:szCs w:val="20"/>
          <w:color w:val="auto"/>
        </w:rPr>
      </w:pPr>
      <w:r>
        <w:rPr>
          <w:rFonts w:ascii="Arial" w:cs="Arial" w:eastAsia="Arial" w:hAnsi="Arial"/>
          <w:sz w:val="18"/>
          <w:szCs w:val="18"/>
          <w:color w:val="auto"/>
        </w:rPr>
        <w:t>TFT-LCD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240 to 540 output channels</w:t>
      </w:r>
    </w:p>
    <w:p>
      <w:pPr>
        <w:ind w:left="220"/>
        <w:spacing w:after="0"/>
        <w:tabs>
          <w:tab w:leader="none" w:pos="1600" w:val="left"/>
          <w:tab w:leader="none" w:pos="1900" w:val="left"/>
        </w:tabs>
        <w:rPr>
          <w:sz w:val="20"/>
          <w:szCs w:val="20"/>
          <w:color w:val="auto"/>
        </w:rPr>
      </w:pPr>
      <w:r>
        <w:rPr>
          <w:rFonts w:ascii="Arial" w:cs="Arial" w:eastAsia="Arial" w:hAnsi="Arial"/>
          <w:sz w:val="18"/>
          <w:szCs w:val="18"/>
          <w:color w:val="auto"/>
        </w:rPr>
        <w:t>Gate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Output voltage ranging up to 40V</w:t>
      </w:r>
    </w:p>
    <w:p>
      <w:pPr>
        <w:ind w:left="220"/>
        <w:spacing w:after="0"/>
        <w:tabs>
          <w:tab w:leader="none" w:pos="1600" w:val="left"/>
          <w:tab w:leader="none" w:pos="1900" w:val="left"/>
        </w:tabs>
        <w:rPr>
          <w:sz w:val="20"/>
          <w:szCs w:val="20"/>
          <w:color w:val="auto"/>
        </w:rPr>
      </w:pPr>
      <w:r>
        <w:rPr>
          <w:rFonts w:ascii="Arial" w:cs="Arial" w:eastAsia="Arial" w:hAnsi="Arial"/>
          <w:sz w:val="18"/>
          <w:szCs w:val="18"/>
          <w:color w:val="auto"/>
        </w:rPr>
        <w:t>Drivers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Input voltage ranging from standard 2.0V to 3.6V</w:t>
      </w:r>
    </w:p>
    <w:p>
      <w:pPr>
        <w:ind w:left="1620"/>
        <w:spacing w:after="0" w:line="235" w:lineRule="auto"/>
        <w:tabs>
          <w:tab w:leader="none" w:pos="1900" w:val="left"/>
        </w:tabs>
        <w:rPr>
          <w:sz w:val="20"/>
          <w:szCs w:val="20"/>
          <w:color w:val="auto"/>
        </w:rPr>
      </w:pPr>
      <w:r>
        <w:rPr>
          <w:rFonts w:ascii="Arial" w:cs="Arial" w:eastAsia="Arial" w:hAnsi="Arial"/>
          <w:sz w:val="18"/>
          <w:szCs w:val="18"/>
          <w:color w:val="auto"/>
        </w:rPr>
        <w:t>•</w:t>
        <w:tab/>
        <w:t>Supports COF and COG package types</w:t>
      </w:r>
    </w:p>
    <w:p>
      <w:pPr>
        <w:spacing w:after="0" w:line="1" w:lineRule="exact"/>
        <w:rPr>
          <w:sz w:val="20"/>
          <w:szCs w:val="20"/>
          <w:color w:val="auto"/>
        </w:rPr>
      </w:pPr>
    </w:p>
    <w:p>
      <w:pPr>
        <w:ind w:left="1620"/>
        <w:spacing w:after="0"/>
        <w:tabs>
          <w:tab w:leader="none" w:pos="1900" w:val="left"/>
        </w:tabs>
        <w:rPr>
          <w:sz w:val="20"/>
          <w:szCs w:val="20"/>
          <w:color w:val="auto"/>
        </w:rPr>
      </w:pPr>
      <w:r>
        <w:rPr>
          <w:rFonts w:ascii="Arial" w:cs="Arial" w:eastAsia="Arial" w:hAnsi="Arial"/>
          <w:sz w:val="18"/>
          <w:szCs w:val="18"/>
          <w:color w:val="auto"/>
        </w:rPr>
        <w:t>•</w:t>
        <w:tab/>
        <w:t>Geometries of 0.35µm to 0.6µm</w:t>
      </w:r>
    </w:p>
    <w:p>
      <w:pPr>
        <w:spacing w:after="0" w:line="72" w:lineRule="exact"/>
        <w:rPr>
          <w:sz w:val="20"/>
          <w:szCs w:val="20"/>
          <w:color w:val="auto"/>
        </w:rPr>
      </w:pPr>
    </w:p>
    <w:p>
      <w:pPr>
        <w:spacing w:after="0"/>
        <w:tabs>
          <w:tab w:leader="none" w:pos="1600" w:val="left"/>
          <w:tab w:leader="none" w:pos="1900" w:val="left"/>
        </w:tabs>
        <w:rPr>
          <w:sz w:val="20"/>
          <w:szCs w:val="20"/>
          <w:color w:val="auto"/>
        </w:rPr>
      </w:pPr>
      <w:r>
        <w:rPr>
          <w:rFonts w:ascii="Arial" w:cs="Arial" w:eastAsia="Arial" w:hAnsi="Arial"/>
          <w:sz w:val="18"/>
          <w:szCs w:val="18"/>
          <w:color w:val="auto"/>
        </w:rPr>
        <w:t>Timing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Product portfolio supports a wide range of resolutions</w:t>
      </w:r>
    </w:p>
    <w:p>
      <w:pPr>
        <w:ind w:left="220"/>
        <w:spacing w:after="0"/>
        <w:tabs>
          <w:tab w:leader="none" w:pos="1600" w:val="left"/>
          <w:tab w:leader="none" w:pos="1900" w:val="left"/>
        </w:tabs>
        <w:rPr>
          <w:sz w:val="20"/>
          <w:szCs w:val="20"/>
          <w:color w:val="auto"/>
        </w:rPr>
      </w:pPr>
      <w:r>
        <w:rPr>
          <w:rFonts w:ascii="Arial" w:cs="Arial" w:eastAsia="Arial" w:hAnsi="Arial"/>
          <w:sz w:val="18"/>
          <w:szCs w:val="18"/>
          <w:color w:val="auto"/>
        </w:rPr>
        <w:t>Controllers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Supports TTL, mLVDS, RSDS, LCDS interface technologies</w:t>
      </w:r>
    </w:p>
    <w:p>
      <w:pPr>
        <w:ind w:left="1620"/>
        <w:spacing w:after="0" w:line="235" w:lineRule="auto"/>
        <w:tabs>
          <w:tab w:leader="none" w:pos="1900" w:val="left"/>
        </w:tabs>
        <w:rPr>
          <w:sz w:val="20"/>
          <w:szCs w:val="20"/>
          <w:color w:val="auto"/>
        </w:rPr>
      </w:pPr>
      <w:r>
        <w:rPr>
          <w:rFonts w:ascii="Arial" w:cs="Arial" w:eastAsia="Arial" w:hAnsi="Arial"/>
          <w:sz w:val="18"/>
          <w:szCs w:val="18"/>
          <w:color w:val="auto"/>
        </w:rPr>
        <w:t>•</w:t>
        <w:tab/>
        <w:t>Input voltage ranging from 3.6V to 2.3V</w:t>
      </w:r>
    </w:p>
    <w:p>
      <w:pPr>
        <w:spacing w:after="0" w:line="1" w:lineRule="exact"/>
        <w:rPr>
          <w:sz w:val="20"/>
          <w:szCs w:val="20"/>
          <w:color w:val="auto"/>
        </w:rPr>
      </w:pPr>
    </w:p>
    <w:p>
      <w:pPr>
        <w:ind w:left="1620"/>
        <w:spacing w:after="0"/>
        <w:tabs>
          <w:tab w:leader="none" w:pos="1900" w:val="left"/>
        </w:tabs>
        <w:rPr>
          <w:sz w:val="20"/>
          <w:szCs w:val="20"/>
          <w:color w:val="auto"/>
        </w:rPr>
      </w:pPr>
      <w:r>
        <w:rPr>
          <w:rFonts w:ascii="Arial" w:cs="Arial" w:eastAsia="Arial" w:hAnsi="Arial"/>
          <w:sz w:val="18"/>
          <w:szCs w:val="18"/>
          <w:color w:val="auto"/>
        </w:rPr>
        <w:t>•</w:t>
        <w:tab/>
        <w:t>Geometries of 0.25µm to 0.6µm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282" w:right="40" w:hanging="282"/>
        <w:spacing w:after="0" w:line="234" w:lineRule="auto"/>
        <w:tabs>
          <w:tab w:leader="none" w:pos="3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LCD monitors, including widescreens</w:t>
      </w:r>
    </w:p>
    <w:p>
      <w:pPr>
        <w:spacing w:after="0" w:line="1" w:lineRule="exact"/>
        <w:rPr>
          <w:rFonts w:ascii="Arial" w:cs="Arial" w:eastAsia="Arial" w:hAnsi="Arial"/>
          <w:sz w:val="18"/>
          <w:szCs w:val="18"/>
          <w:color w:val="auto"/>
        </w:rPr>
      </w:pPr>
    </w:p>
    <w:p>
      <w:pPr>
        <w:ind w:left="302" w:hanging="302"/>
        <w:spacing w:after="0" w:line="234" w:lineRule="auto"/>
        <w:tabs>
          <w:tab w:leader="none" w:pos="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Notebook computers</w:t>
      </w:r>
    </w:p>
    <w:p>
      <w:pPr>
        <w:ind w:left="282" w:right="500" w:hanging="282"/>
        <w:spacing w:after="0" w:line="299" w:lineRule="auto"/>
        <w:tabs>
          <w:tab w:leader="none" w:pos="3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Digital televisions, including HDTVs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282" w:right="40" w:hanging="282"/>
        <w:spacing w:after="0" w:line="234" w:lineRule="auto"/>
        <w:tabs>
          <w:tab w:leader="none" w:pos="3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LCD monitors, including widescreens</w:t>
      </w:r>
    </w:p>
    <w:p>
      <w:pPr>
        <w:spacing w:after="0" w:line="1" w:lineRule="exact"/>
        <w:rPr>
          <w:rFonts w:ascii="Arial" w:cs="Arial" w:eastAsia="Arial" w:hAnsi="Arial"/>
          <w:sz w:val="18"/>
          <w:szCs w:val="18"/>
          <w:color w:val="auto"/>
        </w:rPr>
      </w:pPr>
    </w:p>
    <w:p>
      <w:pPr>
        <w:ind w:left="302" w:hanging="302"/>
        <w:spacing w:after="0" w:line="234" w:lineRule="auto"/>
        <w:tabs>
          <w:tab w:leader="none" w:pos="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Notebook computers</w:t>
      </w:r>
    </w:p>
    <w:p>
      <w:pPr>
        <w:ind w:left="282" w:right="500" w:hanging="282"/>
        <w:spacing w:after="0" w:line="299" w:lineRule="auto"/>
        <w:tabs>
          <w:tab w:leader="none" w:pos="3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Digital televisions, including HDTVs</w:t>
      </w:r>
    </w:p>
    <w:p>
      <w:pPr>
        <w:spacing w:after="0" w:line="23" w:lineRule="exact"/>
        <w:rPr>
          <w:rFonts w:ascii="Arial" w:cs="Arial" w:eastAsia="Arial" w:hAnsi="Arial"/>
          <w:sz w:val="16"/>
          <w:szCs w:val="16"/>
          <w:color w:val="auto"/>
        </w:rPr>
      </w:pPr>
    </w:p>
    <w:p>
      <w:pPr>
        <w:ind w:left="302" w:hanging="302"/>
        <w:spacing w:after="0"/>
        <w:tabs>
          <w:tab w:leader="none" w:pos="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LCD monitors</w:t>
      </w:r>
    </w:p>
    <w:p>
      <w:pPr>
        <w:ind w:left="302" w:hanging="302"/>
        <w:spacing w:after="0"/>
        <w:tabs>
          <w:tab w:leader="none" w:pos="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Notebook computers</w:t>
      </w:r>
    </w:p>
    <w:p>
      <w:pPr>
        <w:spacing w:after="0" w:line="941" w:lineRule="exact"/>
        <w:rPr>
          <w:sz w:val="20"/>
          <w:szCs w:val="20"/>
          <w:color w:val="auto"/>
        </w:rPr>
      </w:pPr>
    </w:p>
    <w:p>
      <w:pPr>
        <w:sectPr>
          <w:pgSz w:w="11900" w:h="16838" w:orient="portrait"/>
          <w:cols w:equalWidth="0" w:num="2">
            <w:col w:w="8520" w:space="618"/>
            <w:col w:w="2202"/>
          </w:cols>
          <w:pgMar w:left="240" w:top="459" w:right="319" w:bottom="1440" w:gutter="0" w:footer="0" w:header="0"/>
          <w:type w:val="continuous"/>
        </w:sectPr>
      </w:pPr>
    </w:p>
    <w:p>
      <w:pPr>
        <w:ind w:firstLine="571"/>
        <w:spacing w:after="0" w:line="271" w:lineRule="auto"/>
        <w:rPr>
          <w:sz w:val="20"/>
          <w:szCs w:val="20"/>
          <w:color w:val="auto"/>
        </w:rPr>
      </w:pPr>
      <w:r>
        <w:rPr>
          <w:rFonts w:ascii="Arial" w:cs="Arial" w:eastAsia="Arial" w:hAnsi="Arial"/>
          <w:sz w:val="16"/>
          <w:szCs w:val="16"/>
          <w:color w:val="auto"/>
        </w:rPr>
        <w:t>We have begun marketing a new line of power management solutions. Our initial power management products include MOSFETs, DC-DC converters and linear regulators. These initial products are designed for applications such as mobile phones and LCD televisions and allow electronics manufacturers to achieve specific design goals of high efficiency and low standby power consumption. For mobile device applications, our product design is focused on improving battery life, while for LCD televisions, we have focused our product design on controlling and reducing standby power consumption. We believe that our power management solutions will enable customers to increase system stability and reduce heat dissipation and energy use, resulting in cost savings for our customers and consumers, as well as environmental benefits.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Solutions</w:t>
      </w:r>
    </w:p>
    <w:p>
      <w:pPr>
        <w:spacing w:after="0" w:line="9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provide image sensors for large and rapidly 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 Our captive manufacturing capabilities enable us to continuously refine our CMOS process and pixel technology to deliver improved image-capture sensitivity and accuracy.</w:t>
      </w:r>
    </w:p>
    <w:p>
      <w:pPr>
        <w:spacing w:after="0" w:line="15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CMOS image sensors are characterized by a high level of integration. Many CMOS image sensor systems are made up of at least two integrated circuits, including the CMOS image sensor itself and a separate image signal processor, or ISP. With the continuing demand for ever smaller camera-enabled devices, small size without performance degradation has become an increasingly important requirement for manufacturers of camera phones and similar products. Our products meet this demand for</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459" w:right="31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smaller form factor by integrating both our proprietary image sensor and an ISP onto a single chip, thus occupying approximately half of the space required by conventional multiple chip solutions, while providing equivalent, or even superior, image quality with lower power consumption and a lower overall cost.</w:t>
      </w:r>
    </w:p>
    <w:p>
      <w:pPr>
        <w:spacing w:after="0" w:line="154" w:lineRule="exact"/>
        <w:rPr>
          <w:sz w:val="20"/>
          <w:szCs w:val="20"/>
          <w:color w:val="auto"/>
        </w:rPr>
      </w:pPr>
    </w:p>
    <w:p>
      <w:pPr>
        <w:ind w:right="300" w:firstLine="571"/>
        <w:spacing w:after="0" w:line="281" w:lineRule="auto"/>
        <w:rPr>
          <w:sz w:val="20"/>
          <w:szCs w:val="20"/>
          <w:color w:val="auto"/>
        </w:rPr>
      </w:pPr>
      <w:r>
        <w:rPr>
          <w:rFonts w:ascii="Arial" w:cs="Arial" w:eastAsia="Arial" w:hAnsi="Arial"/>
          <w:sz w:val="16"/>
          <w:szCs w:val="16"/>
          <w:color w:val="auto"/>
        </w:rPr>
        <w:t>The choice of image sensor products by our customers may involve many factors such as light sensitivity, resolution, size of device, packaging and integration level. Our image sensors are available in multiple package types as well as with various levels of integration, ranging from stand alone image sensors to SoC solutions that integrate ISP and eDoF technologies, so as to service a broad range of customer needs.</w:t>
      </w:r>
    </w:p>
    <w:p>
      <w:pPr>
        <w:spacing w:after="0" w:line="124"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Image sensor products are classified by resolution, which determines the visual detail in the image. As the size of the pixel decreases, smaller devices can be produced with higher resolution. Image sensors are comprised of an array of pixels. The pixel size and optical format, which is the size of the image area, determine the size of the pixel array. Smaller optical formats and pixel sizes enable higher resolutions without increasing device size. Our image sensors range from VGA devices at one end of the resolution spectrum up to 3.2 MP at the other.</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sets forth the key products and features of our image solutions currently either in mass production or development.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Resolution</w:t>
            </w:r>
          </w:p>
        </w:tc>
        <w:tc>
          <w:tcPr>
            <w:tcW w:w="1300" w:type="dxa"/>
            <w:vAlign w:val="bottom"/>
          </w:tcPr>
          <w:p>
            <w:pPr>
              <w:spacing w:after="0"/>
              <w:rPr>
                <w:sz w:val="14"/>
                <w:szCs w:val="14"/>
                <w:color w:val="auto"/>
              </w:rPr>
            </w:pPr>
          </w:p>
        </w:tc>
        <w:tc>
          <w:tcPr>
            <w:tcW w:w="33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Key Features</w:t>
            </w: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Applications</w:t>
            </w:r>
          </w:p>
        </w:tc>
      </w:tr>
      <w:tr>
        <w:trPr>
          <w:trHeight w:val="273"/>
        </w:trPr>
        <w:tc>
          <w:tcPr>
            <w:tcW w:w="3660" w:type="dxa"/>
            <w:vAlign w:val="bottom"/>
          </w:tcPr>
          <w:p>
            <w:pPr>
              <w:spacing w:after="0"/>
              <w:rPr>
                <w:sz w:val="20"/>
                <w:szCs w:val="20"/>
                <w:color w:val="auto"/>
              </w:rPr>
            </w:pPr>
            <w:r>
              <w:rPr>
                <w:rFonts w:ascii="Arial" w:cs="Arial" w:eastAsia="Arial" w:hAnsi="Arial"/>
                <w:sz w:val="18"/>
                <w:szCs w:val="18"/>
                <w:color w:val="auto"/>
              </w:rPr>
              <w:t>VGA (640 x 480)</w:t>
            </w:r>
          </w:p>
        </w:tc>
        <w:tc>
          <w:tcPr>
            <w:tcW w:w="1300" w:type="dxa"/>
            <w:vAlign w:val="bottom"/>
          </w:tcPr>
          <w:p>
            <w:pPr>
              <w:spacing w:after="0"/>
              <w:rPr>
                <w:sz w:val="23"/>
                <w:szCs w:val="23"/>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Pixel size: 5.04µm to 2.2µm Optical</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PC cameras</w:t>
            </w:r>
          </w:p>
        </w:tc>
      </w:tr>
      <w:tr>
        <w:trPr>
          <w:trHeight w:val="211"/>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format: 1/4” to 1/10”</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446"/>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6"/>
              </w:rPr>
              <w:t>Notebook computers</w:t>
            </w:r>
          </w:p>
        </w:tc>
      </w:tr>
      <w:tr>
        <w:trPr>
          <w:trHeight w:val="446"/>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7"/>
              </w:rPr>
              <w:t>Surveillance devices</w:t>
            </w:r>
          </w:p>
        </w:tc>
      </w:tr>
      <w:tr>
        <w:trPr>
          <w:trHeight w:val="275"/>
        </w:trPr>
        <w:tc>
          <w:tcPr>
            <w:tcW w:w="3660" w:type="dxa"/>
            <w:vAlign w:val="bottom"/>
          </w:tcPr>
          <w:p>
            <w:pPr>
              <w:spacing w:after="0"/>
              <w:rPr>
                <w:sz w:val="20"/>
                <w:szCs w:val="20"/>
                <w:color w:val="auto"/>
              </w:rPr>
            </w:pPr>
            <w:r>
              <w:rPr>
                <w:rFonts w:ascii="Arial" w:cs="Arial" w:eastAsia="Arial" w:hAnsi="Arial"/>
                <w:sz w:val="18"/>
                <w:szCs w:val="18"/>
                <w:color w:val="auto"/>
              </w:rPr>
              <w:t>1.3 MP (1280 x 1024)</w:t>
            </w:r>
          </w:p>
        </w:tc>
        <w:tc>
          <w:tcPr>
            <w:tcW w:w="1300" w:type="dxa"/>
            <w:vAlign w:val="bottom"/>
          </w:tcPr>
          <w:p>
            <w:pPr>
              <w:spacing w:after="0"/>
              <w:rPr>
                <w:sz w:val="23"/>
                <w:szCs w:val="23"/>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9"/>
              </w:rPr>
              <w:t>Pixel size: 3.6µm to 2.8µm Optical format:</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211"/>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1/3” to 1/5”</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6"/>
              </w:rPr>
              <w:t>Notebook computers</w:t>
            </w:r>
          </w:p>
        </w:tc>
      </w:tr>
      <w:tr>
        <w:trPr>
          <w:trHeight w:val="446"/>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Digital cameras</w:t>
            </w:r>
          </w:p>
        </w:tc>
      </w:tr>
      <w:tr>
        <w:trPr>
          <w:trHeight w:val="446"/>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7"/>
              </w:rPr>
              <w:t>Surveillance devices</w:t>
            </w:r>
          </w:p>
        </w:tc>
      </w:tr>
      <w:tr>
        <w:trPr>
          <w:trHeight w:val="275"/>
        </w:trPr>
        <w:tc>
          <w:tcPr>
            <w:tcW w:w="3660" w:type="dxa"/>
            <w:vAlign w:val="bottom"/>
          </w:tcPr>
          <w:p>
            <w:pPr>
              <w:spacing w:after="0"/>
              <w:rPr>
                <w:sz w:val="20"/>
                <w:szCs w:val="20"/>
                <w:color w:val="auto"/>
              </w:rPr>
            </w:pPr>
            <w:r>
              <w:rPr>
                <w:rFonts w:ascii="Arial" w:cs="Arial" w:eastAsia="Arial" w:hAnsi="Arial"/>
                <w:sz w:val="18"/>
                <w:szCs w:val="18"/>
                <w:color w:val="auto"/>
              </w:rPr>
              <w:t>2.1 MP (1600 x 1200)</w:t>
            </w:r>
          </w:p>
        </w:tc>
        <w:tc>
          <w:tcPr>
            <w:tcW w:w="1300" w:type="dxa"/>
            <w:vAlign w:val="bottom"/>
          </w:tcPr>
          <w:p>
            <w:pPr>
              <w:spacing w:after="0"/>
              <w:rPr>
                <w:sz w:val="23"/>
                <w:szCs w:val="23"/>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Pixel size: 2.2µm</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211"/>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Optical format: 1/4”</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6"/>
              </w:rPr>
              <w:t>Notebook computers</w:t>
            </w:r>
          </w:p>
        </w:tc>
      </w:tr>
      <w:tr>
        <w:trPr>
          <w:trHeight w:val="275"/>
        </w:trPr>
        <w:tc>
          <w:tcPr>
            <w:tcW w:w="3660" w:type="dxa"/>
            <w:vAlign w:val="bottom"/>
          </w:tcPr>
          <w:p>
            <w:pPr>
              <w:spacing w:after="0"/>
              <w:rPr>
                <w:sz w:val="20"/>
                <w:szCs w:val="20"/>
                <w:color w:val="auto"/>
              </w:rPr>
            </w:pPr>
            <w:r>
              <w:rPr>
                <w:rFonts w:ascii="Arial" w:cs="Arial" w:eastAsia="Arial" w:hAnsi="Arial"/>
                <w:sz w:val="18"/>
                <w:szCs w:val="18"/>
                <w:color w:val="auto"/>
              </w:rPr>
              <w:t>3.2 MP (2048 x 1536)</w:t>
            </w:r>
          </w:p>
        </w:tc>
        <w:tc>
          <w:tcPr>
            <w:tcW w:w="1300" w:type="dxa"/>
            <w:vAlign w:val="bottom"/>
          </w:tcPr>
          <w:p>
            <w:pPr>
              <w:spacing w:after="0"/>
              <w:rPr>
                <w:sz w:val="23"/>
                <w:szCs w:val="23"/>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Pixel size: 2.2µm to 1.75µm Optical</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211"/>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format: 1/3.2” to 1/4”</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Digital cameras</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Manufacturing Services</w:t>
      </w:r>
    </w:p>
    <w:p>
      <w:pPr>
        <w:spacing w:after="0" w:line="99" w:lineRule="exact"/>
        <w:rPr>
          <w:sz w:val="20"/>
          <w:szCs w:val="20"/>
          <w:color w:val="auto"/>
        </w:rPr>
      </w:pPr>
    </w:p>
    <w:p>
      <w:pPr>
        <w:jc w:val="both"/>
        <w:ind w:right="40" w:firstLine="571"/>
        <w:spacing w:after="0" w:line="238" w:lineRule="auto"/>
        <w:rPr>
          <w:sz w:val="20"/>
          <w:szCs w:val="20"/>
          <w:color w:val="auto"/>
        </w:rPr>
      </w:pPr>
      <w:r>
        <w:rPr>
          <w:rFonts w:ascii="Arial" w:cs="Arial" w:eastAsia="Arial" w:hAnsi="Arial"/>
          <w:sz w:val="18"/>
          <w:szCs w:val="18"/>
          <w:color w:val="auto"/>
        </w:rPr>
        <w:t>We provide semiconductor manufacturing services to analog and mixed-signal semiconductor companies. We have over 170 process flows we offer to our manufacturing services customers. We also often partner with key customers to jointly develop or customize specialized processes that enable our customers to improve their products and allow us to develop unique manufacturing expertise.</w:t>
      </w:r>
    </w:p>
    <w:p>
      <w:pPr>
        <w:spacing w:after="0" w:line="154"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Our manufacturing services offering is targeted at customers who require differentiated, specialty analog and mixed-signal process technologies such as high voltage CMOS, embedded memory and power. We differentiate ourselves through the depth of our intellectual property portfolio, ability to customize process technology to meet the customers’ requirements effectively, long history in this business and reputation for excellence.</w:t>
      </w:r>
    </w:p>
    <w:p>
      <w:pPr>
        <w:spacing w:after="0" w:line="155" w:lineRule="exact"/>
        <w:rPr>
          <w:sz w:val="20"/>
          <w:szCs w:val="20"/>
          <w:color w:val="auto"/>
        </w:rPr>
      </w:pPr>
    </w:p>
    <w:p>
      <w:pPr>
        <w:ind w:right="880" w:firstLine="571"/>
        <w:spacing w:after="0" w:line="299" w:lineRule="auto"/>
        <w:rPr>
          <w:sz w:val="20"/>
          <w:szCs w:val="20"/>
          <w:color w:val="auto"/>
        </w:rPr>
      </w:pPr>
      <w:r>
        <w:rPr>
          <w:rFonts w:ascii="Arial" w:cs="Arial" w:eastAsia="Arial" w:hAnsi="Arial"/>
          <w:sz w:val="16"/>
          <w:szCs w:val="16"/>
          <w:color w:val="auto"/>
        </w:rPr>
        <w:t>Our semiconductor manufacturing services customers typically serve high growth and high volume applications in the consumer, computing, wireless and industrial end markets. We strive to be the primary manufacturing source for our foundry customers.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Process Technology Overview</w:t>
      </w:r>
    </w:p>
    <w:p>
      <w:pPr>
        <w:spacing w:after="0" w:line="81" w:lineRule="exact"/>
        <w:rPr>
          <w:sz w:val="20"/>
          <w:szCs w:val="20"/>
          <w:color w:val="auto"/>
        </w:rPr>
      </w:pPr>
    </w:p>
    <w:p>
      <w:pPr>
        <w:ind w:left="820" w:right="180" w:hanging="245"/>
        <w:spacing w:after="0" w:line="24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Mixed Signal</w:t>
      </w:r>
      <w:r>
        <w:rPr>
          <w:rFonts w:ascii="Arial" w:cs="Arial" w:eastAsia="Arial" w:hAnsi="Arial"/>
          <w:sz w:val="18"/>
          <w:szCs w:val="18"/>
          <w:color w:val="auto"/>
        </w:rPr>
        <w:t>. Mixed signal process technology is used in devices that require conversion of light and sound into electrical signals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display. Our mixed signal processes include advanced technologies such as triple gate, which uses less power at any given performance level.</w:t>
      </w:r>
    </w:p>
    <w:p>
      <w:pPr>
        <w:spacing w:after="0" w:line="49" w:lineRule="exact"/>
        <w:rPr>
          <w:rFonts w:ascii="Arial" w:cs="Arial" w:eastAsia="Arial" w:hAnsi="Arial"/>
          <w:sz w:val="18"/>
          <w:szCs w:val="18"/>
          <w:color w:val="auto"/>
        </w:rPr>
      </w:pPr>
    </w:p>
    <w:p>
      <w:pPr>
        <w:ind w:left="820" w:right="820" w:hanging="245"/>
        <w:spacing w:after="0" w:line="260"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Power</w:t>
      </w:r>
      <w:r>
        <w:rPr>
          <w:rFonts w:ascii="Arial" w:cs="Arial" w:eastAsia="Arial" w:hAnsi="Arial"/>
          <w:sz w:val="18"/>
          <w:szCs w:val="18"/>
          <w:color w:val="auto"/>
        </w:rPr>
        <w:t>. Power process technology, such as modular BCD, includes high voltage capabilities as well as the ability to integrate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such as self-regulation, internal protection, and other intelligent features.</w:t>
      </w:r>
    </w:p>
    <w:p>
      <w:pPr>
        <w:spacing w:after="0" w:line="37" w:lineRule="exact"/>
        <w:rPr>
          <w:rFonts w:ascii="Arial" w:cs="Arial" w:eastAsia="Arial" w:hAnsi="Arial"/>
          <w:sz w:val="18"/>
          <w:szCs w:val="18"/>
          <w:color w:val="auto"/>
        </w:rPr>
      </w:pPr>
    </w:p>
    <w:p>
      <w:pPr>
        <w:ind w:left="820" w:right="60" w:hanging="245"/>
        <w:spacing w:after="0" w:line="243"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High Voltage CMOS</w:t>
      </w:r>
      <w:r>
        <w:rPr>
          <w:rFonts w:ascii="Arial" w:cs="Arial" w:eastAsia="Arial" w:hAnsi="Arial"/>
          <w:sz w:val="18"/>
          <w:szCs w:val="18"/>
          <w:color w:val="auto"/>
        </w:rPr>
        <w:t>. High voltage CMOS process technology facilitates the use of high voltage levels in conjunction with smaller</w:t>
      </w:r>
      <w:r>
        <w:rPr>
          <w:rFonts w:ascii="Arial" w:cs="Arial" w:eastAsia="Arial" w:hAnsi="Arial"/>
          <w:sz w:val="18"/>
          <w:szCs w:val="18"/>
          <w:i w:val="1"/>
          <w:iCs w:val="1"/>
          <w:color w:val="auto"/>
        </w:rPr>
        <w:t xml:space="preserve"> </w:t>
      </w:r>
      <w:r>
        <w:rPr>
          <w:rFonts w:ascii="Arial" w:cs="Arial" w:eastAsia="Arial" w:hAnsi="Arial"/>
          <w:sz w:val="18"/>
          <w:szCs w:val="18"/>
          <w:color w:val="auto"/>
        </w:rPr>
        <w:t>transistor sizes. This process technology includes several variations, such as bipolar processes, which use transistors with qualities well suited for amplifying and switching applications, mixed mode processes, which incorporate denser, more power efficient FETs and thick metal processes.</w:t>
      </w:r>
    </w:p>
    <w:p>
      <w:pPr>
        <w:spacing w:after="0" w:line="53" w:lineRule="exact"/>
        <w:rPr>
          <w:rFonts w:ascii="Arial" w:cs="Arial" w:eastAsia="Arial" w:hAnsi="Arial"/>
          <w:sz w:val="18"/>
          <w:szCs w:val="18"/>
          <w:color w:val="auto"/>
        </w:rPr>
      </w:pPr>
    </w:p>
    <w:p>
      <w:pPr>
        <w:ind w:left="820" w:right="160" w:hanging="245"/>
        <w:spacing w:after="0" w:line="24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Non-Volatile Memory (NVM)</w:t>
      </w:r>
      <w:r>
        <w:rPr>
          <w:rFonts w:ascii="Arial" w:cs="Arial" w:eastAsia="Arial" w:hAnsi="Arial"/>
          <w:sz w:val="18"/>
          <w:szCs w:val="18"/>
          <w:color w:val="auto"/>
        </w:rPr>
        <w:t>. Non-volatile memory process technology enables the integration of non-volatile memory cells that allow</w:t>
      </w:r>
      <w:r>
        <w:rPr>
          <w:rFonts w:ascii="Arial" w:cs="Arial" w:eastAsia="Arial" w:hAnsi="Arial"/>
          <w:sz w:val="18"/>
          <w:szCs w:val="18"/>
          <w:i w:val="1"/>
          <w:iCs w:val="1"/>
          <w:color w:val="auto"/>
        </w:rPr>
        <w:t xml:space="preserve"> </w:t>
      </w:r>
      <w:r>
        <w:rPr>
          <w:rFonts w:ascii="Arial" w:cs="Arial" w:eastAsia="Arial" w:hAnsi="Arial"/>
          <w:sz w:val="18"/>
          <w:szCs w:val="18"/>
          <w:color w:val="auto"/>
        </w:rPr>
        <w:t>retention of the stored information even when power is removed from the circuit. This type of memory is typically used for long-term persistent storage.</w:t>
      </w:r>
    </w:p>
    <w:p>
      <w:pPr>
        <w:spacing w:after="0" w:line="49" w:lineRule="exact"/>
        <w:rPr>
          <w:rFonts w:ascii="Arial" w:cs="Arial" w:eastAsia="Arial" w:hAnsi="Arial"/>
          <w:sz w:val="18"/>
          <w:szCs w:val="18"/>
          <w:color w:val="auto"/>
        </w:rPr>
      </w:pPr>
    </w:p>
    <w:p>
      <w:pPr>
        <w:ind w:left="820" w:right="540" w:hanging="245"/>
        <w:spacing w:after="0" w:line="322" w:lineRule="auto"/>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Microelectromechanical Systems (MEMS). </w:t>
      </w:r>
      <w:r>
        <w:rPr>
          <w:rFonts w:ascii="Arial" w:cs="Arial" w:eastAsia="Arial" w:hAnsi="Arial"/>
          <w:sz w:val="16"/>
          <w:szCs w:val="16"/>
          <w:color w:val="auto"/>
        </w:rPr>
        <w:t>MEMS process technology allows the manufacture of components that use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energy to generate a mechanical response. For example, MEMS devices are used in the earpieces of mobile phones.</w:t>
      </w:r>
    </w:p>
    <w:p>
      <w:pPr>
        <w:spacing w:after="0" w:line="92" w:lineRule="exact"/>
        <w:rPr>
          <w:sz w:val="20"/>
          <w:szCs w:val="20"/>
          <w:color w:val="auto"/>
        </w:rPr>
      </w:pPr>
    </w:p>
    <w:p>
      <w:pPr>
        <w:ind w:right="840" w:firstLine="571"/>
        <w:spacing w:after="0" w:line="239" w:lineRule="auto"/>
        <w:rPr>
          <w:sz w:val="20"/>
          <w:szCs w:val="20"/>
          <w:color w:val="auto"/>
        </w:rPr>
      </w:pPr>
      <w:r>
        <w:rPr>
          <w:rFonts w:ascii="Arial" w:cs="Arial" w:eastAsia="Arial" w:hAnsi="Arial"/>
          <w:sz w:val="18"/>
          <w:szCs w:val="18"/>
          <w:color w:val="auto"/>
        </w:rPr>
        <w:t>The table below sets forth the key process technologies in semiconductor manufacturing services currently in mass production or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Process</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Technology</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Device</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End Markets</w:t>
            </w:r>
          </w:p>
        </w:tc>
      </w:tr>
      <w:tr>
        <w:trPr>
          <w:trHeight w:val="68"/>
        </w:trPr>
        <w:tc>
          <w:tcPr>
            <w:tcW w:w="2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6"/>
        </w:trPr>
        <w:tc>
          <w:tcPr>
            <w:tcW w:w="2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Mixed-signal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6" w:lineRule="exact"/>
              <w:rPr>
                <w:sz w:val="20"/>
                <w:szCs w:val="20"/>
                <w:color w:val="auto"/>
              </w:rPr>
            </w:pPr>
            <w:r>
              <w:rPr>
                <w:rFonts w:ascii="Arial" w:cs="Arial" w:eastAsia="Arial" w:hAnsi="Arial"/>
                <w:sz w:val="18"/>
                <w:szCs w:val="18"/>
                <w:color w:val="auto"/>
              </w:rPr>
              <w:t>0.16-0.8µm</w:t>
            </w:r>
          </w:p>
        </w:tc>
        <w:tc>
          <w:tcPr>
            <w:tcW w:w="820" w:type="dxa"/>
            <w:vAlign w:val="bottom"/>
            <w:gridSpan w:val="2"/>
            <w:shd w:val="clear" w:color="auto" w:fill="CCEEFF"/>
          </w:tcPr>
          <w:p>
            <w:pPr>
              <w:ind w:left="680"/>
              <w:spacing w:after="0" w:line="206" w:lineRule="exact"/>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Analog to digital converter</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Consumer</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Multipurpose</w:t>
            </w:r>
          </w:p>
        </w:tc>
        <w:tc>
          <w:tcPr>
            <w:tcW w:w="8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Digital to analog converter</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Industrial</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Triple gate</w:t>
            </w:r>
          </w:p>
        </w:tc>
        <w:tc>
          <w:tcPr>
            <w:tcW w:w="8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CODEC</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Wireless</w:t>
            </w:r>
          </w:p>
        </w:tc>
      </w:tr>
      <w:tr>
        <w:trPr>
          <w:trHeight w:val="213"/>
        </w:trPr>
        <w:tc>
          <w:tcPr>
            <w:tcW w:w="2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DVD chipset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Computing</w:t>
            </w:r>
          </w:p>
        </w:tc>
      </w:tr>
      <w:tr>
        <w:trPr>
          <w:trHeight w:val="273"/>
        </w:trPr>
        <w:tc>
          <w:tcPr>
            <w:tcW w:w="2980" w:type="dxa"/>
            <w:vAlign w:val="bottom"/>
          </w:tcPr>
          <w:p>
            <w:pPr>
              <w:spacing w:after="0"/>
              <w:rPr>
                <w:sz w:val="20"/>
                <w:szCs w:val="20"/>
                <w:color w:val="auto"/>
              </w:rPr>
            </w:pPr>
            <w:r>
              <w:rPr>
                <w:rFonts w:ascii="Arial" w:cs="Arial" w:eastAsia="Arial" w:hAnsi="Arial"/>
                <w:sz w:val="18"/>
                <w:szCs w:val="18"/>
                <w:color w:val="auto"/>
              </w:rPr>
              <w:t>Power</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0.18-0.6µm</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Power management</w:t>
            </w:r>
          </w:p>
        </w:tc>
        <w:tc>
          <w:tcPr>
            <w:tcW w:w="6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Consumer</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40V-80V</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Power over Ethernet</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Wireless</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rPr>
              <w:t>Analog</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LED drivers</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Computing</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Modular BCD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BCD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Deep Trench</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Trench MOSFET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70"/>
        </w:trPr>
        <w:tc>
          <w:tcPr>
            <w:tcW w:w="2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06"/>
        </w:trPr>
        <w:tc>
          <w:tcPr>
            <w:tcW w:w="2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High Voltage CMOS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6" w:lineRule="exact"/>
              <w:rPr>
                <w:sz w:val="20"/>
                <w:szCs w:val="20"/>
                <w:color w:val="auto"/>
              </w:rPr>
            </w:pPr>
            <w:r>
              <w:rPr>
                <w:rFonts w:ascii="Arial" w:cs="Arial" w:eastAsia="Arial" w:hAnsi="Arial"/>
                <w:sz w:val="18"/>
                <w:szCs w:val="18"/>
                <w:color w:val="auto"/>
              </w:rPr>
              <w:t>0.13-0.8µm</w:t>
            </w:r>
          </w:p>
        </w:tc>
        <w:tc>
          <w:tcPr>
            <w:tcW w:w="820" w:type="dxa"/>
            <w:vAlign w:val="bottom"/>
            <w:gridSpan w:val="2"/>
            <w:shd w:val="clear" w:color="auto" w:fill="CCEEFF"/>
          </w:tcPr>
          <w:p>
            <w:pPr>
              <w:ind w:left="680"/>
              <w:spacing w:after="0" w:line="206" w:lineRule="exact"/>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Display drivers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Consumer</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18V-200V</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Wireless</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Multiple options, such as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Computing</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Bipolar, Mixed Mode, Thick</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Medical</w:t>
            </w:r>
          </w:p>
        </w:tc>
      </w:tr>
      <w:tr>
        <w:trPr>
          <w:trHeight w:val="213"/>
        </w:trPr>
        <w:tc>
          <w:tcPr>
            <w:tcW w:w="2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Metal</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3"/>
        </w:trPr>
        <w:tc>
          <w:tcPr>
            <w:tcW w:w="2980" w:type="dxa"/>
            <w:vAlign w:val="bottom"/>
          </w:tcPr>
          <w:p>
            <w:pPr>
              <w:spacing w:after="0"/>
              <w:rPr>
                <w:sz w:val="20"/>
                <w:szCs w:val="20"/>
                <w:color w:val="auto"/>
              </w:rPr>
            </w:pPr>
            <w:r>
              <w:rPr>
                <w:rFonts w:ascii="Arial" w:cs="Arial" w:eastAsia="Arial" w:hAnsi="Arial"/>
                <w:sz w:val="18"/>
                <w:szCs w:val="18"/>
                <w:color w:val="auto"/>
              </w:rPr>
              <w:t>NVM</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0.18-0.35µm</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Microcontroller</w:t>
            </w:r>
          </w:p>
        </w:tc>
        <w:tc>
          <w:tcPr>
            <w:tcW w:w="6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Consumer</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EEPROM</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Electronic Tag</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Industrial</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eFlash</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Hearing aid</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Medical</w:t>
            </w:r>
          </w:p>
        </w:tc>
      </w:tr>
      <w:tr>
        <w:trPr>
          <w:trHeight w:val="211"/>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80"/>
              <w:spacing w:after="0"/>
              <w:rPr>
                <w:sz w:val="20"/>
                <w:szCs w:val="20"/>
                <w:color w:val="auto"/>
              </w:rPr>
            </w:pPr>
            <w:r>
              <w:rPr>
                <w:rFonts w:ascii="Arial" w:cs="Arial" w:eastAsia="Arial" w:hAnsi="Arial"/>
                <w:sz w:val="18"/>
                <w:szCs w:val="18"/>
                <w:color w:val="auto"/>
              </w:rPr>
              <w:t>Automotive</w:t>
            </w:r>
          </w:p>
        </w:tc>
      </w:tr>
      <w:tr>
        <w:trPr>
          <w:trHeight w:val="70"/>
        </w:trPr>
        <w:tc>
          <w:tcPr>
            <w:tcW w:w="2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MEMS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1.0µm</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Transducer</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Wireless</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Facilities</w:t>
      </w:r>
    </w:p>
    <w:p>
      <w:pPr>
        <w:spacing w:after="0" w:line="99" w:lineRule="exact"/>
        <w:rPr>
          <w:sz w:val="20"/>
          <w:szCs w:val="20"/>
          <w:color w:val="auto"/>
        </w:rPr>
      </w:pPr>
    </w:p>
    <w:p>
      <w:pPr>
        <w:ind w:right="620" w:firstLine="571"/>
        <w:spacing w:after="0" w:line="239" w:lineRule="auto"/>
        <w:rPr>
          <w:sz w:val="20"/>
          <w:szCs w:val="20"/>
          <w:color w:val="auto"/>
        </w:rPr>
      </w:pPr>
      <w:r>
        <w:rPr>
          <w:rFonts w:ascii="Arial" w:cs="Arial" w:eastAsia="Arial" w:hAnsi="Arial"/>
          <w:sz w:val="18"/>
          <w:szCs w:val="18"/>
          <w:color w:val="auto"/>
        </w:rPr>
        <w:t>Our manufacturing operations consist of two sites located in Cheongju and Gumi in Korea. These sites have a combined capacity of approximately 119,000 eight-inch equivalent wafers per month. We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manufacture wafers utilizing geometries ranging from 0.13 to 1.0 micron. The Cheongju facilities have three main buildings totaling 164,058 square meters devoted to manufacturing and development. The Gumi facilities have two main buildings with 50,352 square meters devoted to manufacturing, testing and packaging.</w:t>
      </w:r>
    </w:p>
    <w:p>
      <w:pPr>
        <w:spacing w:after="0" w:line="154" w:lineRule="exact"/>
        <w:rPr>
          <w:sz w:val="20"/>
          <w:szCs w:val="20"/>
          <w:color w:val="auto"/>
        </w:rPr>
      </w:pPr>
    </w:p>
    <w:p>
      <w:pPr>
        <w:jc w:val="both"/>
        <w:ind w:right="60" w:firstLine="571"/>
        <w:spacing w:after="0" w:line="238" w:lineRule="auto"/>
        <w:rPr>
          <w:sz w:val="20"/>
          <w:szCs w:val="20"/>
          <w:color w:val="auto"/>
        </w:rPr>
      </w:pPr>
      <w:r>
        <w:rPr>
          <w:rFonts w:ascii="Arial" w:cs="Arial" w:eastAsia="Arial" w:hAnsi="Arial"/>
          <w:sz w:val="18"/>
          <w:szCs w:val="18"/>
          <w:color w:val="auto"/>
        </w:rPr>
        <w:t>In addition to our fabrication facilities located in Cheongju and Gumi, Korea, we lease facilities in Seoul, Korea, Sunnyvale, California, and Tokyo and Osaka, Japan. Each of these facilities includes administration, sales and marketing and research and development functions. We lease a design facility in Lake Oswego, Oregon, and sales and marketing offices at our subsidiaries in several other countries.</w:t>
      </w:r>
    </w:p>
    <w:p>
      <w:pPr>
        <w:spacing w:after="0" w:line="154"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properties are adequate for the conduct of our business for the foreseeable future.</w:t>
      </w:r>
    </w:p>
    <w:p>
      <w:pPr>
        <w:spacing w:after="0" w:line="154"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We use a combination of in-house and outsourced assembly, test and packaging services. Our independent providers of these services are located in Korea, China, Japan and Taiwan.</w:t>
      </w:r>
    </w:p>
    <w:p>
      <w:pPr>
        <w:spacing w:after="0" w:line="155"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We use processes that require specialized raw materials that are generally available from a limited number of suppliers. In 2006, we diversified suppliers for many of our raw materials, including polysilicon, chemicals, gases and tape. Tape is one of the process materials required for our display drivers. We continue to attempt to qualify additional suppliers for our raw materials.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right="100" w:firstLine="571"/>
        <w:spacing w:after="0" w:line="271" w:lineRule="auto"/>
        <w:rPr>
          <w:sz w:val="20"/>
          <w:szCs w:val="20"/>
          <w:color w:val="auto"/>
        </w:rPr>
      </w:pPr>
      <w:r>
        <w:rPr>
          <w:rFonts w:ascii="Arial" w:cs="Arial" w:eastAsia="Arial" w:hAnsi="Arial"/>
          <w:sz w:val="16"/>
          <w:szCs w:val="16"/>
          <w:color w:val="auto"/>
        </w:rPr>
        <w:t>We focus our sales and marketing strategy on creating and strengthening our relationships with leading consumer electronics OEMs, such as LG.Philips LCD, Sharp and Samsung, as well as analog and mixed-signal semiconductor companies. We believe our close collaboration with customers allows us to align our product and process technology development with our customers’ existing and future needs. Because our customers often service multiple end markets, our product sales teams are organized by customers as opposed to products. We believe this facilitates the sale of products that address multiple end-market applications to each of our customers. Our manufacturing services sales teams focus on marketing our services to mixed-signal semiconductor companies that require specialty manufacturing processes.</w:t>
      </w:r>
    </w:p>
    <w:p>
      <w:pPr>
        <w:spacing w:after="0" w:line="131" w:lineRule="exact"/>
        <w:rPr>
          <w:sz w:val="20"/>
          <w:szCs w:val="20"/>
          <w:color w:val="auto"/>
        </w:rPr>
      </w:pPr>
    </w:p>
    <w:p>
      <w:pPr>
        <w:ind w:right="140" w:firstLine="571"/>
        <w:spacing w:after="0" w:line="273" w:lineRule="auto"/>
        <w:rPr>
          <w:sz w:val="20"/>
          <w:szCs w:val="20"/>
          <w:color w:val="auto"/>
        </w:rPr>
      </w:pPr>
      <w:r>
        <w:rPr>
          <w:rFonts w:ascii="Arial" w:cs="Arial" w:eastAsia="Arial" w:hAnsi="Arial"/>
          <w:sz w:val="16"/>
          <w:szCs w:val="16"/>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centers in Korea, Japan and the United States, as well as our local sales and support offices in Greater China and Europe. We have a network of agents and distributors in Korea, Japan, Europe and Greater China. During the nine-month period ended September 30, 2007, we derived approximately 84% of net sales through our direct sales force and 16% of net sales through our network of authorized agents and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jc w:val="both"/>
        <w:ind w:right="60" w:firstLine="571"/>
        <w:spacing w:after="0" w:line="237" w:lineRule="auto"/>
        <w:rPr>
          <w:sz w:val="20"/>
          <w:szCs w:val="20"/>
          <w:color w:val="auto"/>
        </w:rPr>
      </w:pPr>
      <w:r>
        <w:rPr>
          <w:rFonts w:ascii="Arial" w:cs="Arial" w:eastAsia="Arial" w:hAnsi="Arial"/>
          <w:sz w:val="18"/>
          <w:szCs w:val="18"/>
          <w:color w:val="auto"/>
        </w:rPr>
        <w:t>Our research and development efforts focus on intellectual property, design methodology and process technology for our complex analog and mixed-signal semiconductor products and services. Our expenditures for research and development were $101.1 million, representing 18.5% of net sales for the nine months ended September 30, 2007, compared to 17.6% of net sales for the year ended December 31, 2006 and 11.5% of net sales for the year ended December 31, 2005.</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9" w:lineRule="exact"/>
        <w:rPr>
          <w:sz w:val="20"/>
          <w:szCs w:val="20"/>
          <w:color w:val="auto"/>
        </w:rPr>
      </w:pPr>
    </w:p>
    <w:p>
      <w:pPr>
        <w:ind w:right="40" w:firstLine="571"/>
        <w:spacing w:after="0" w:line="271" w:lineRule="auto"/>
        <w:rPr>
          <w:sz w:val="20"/>
          <w:szCs w:val="20"/>
          <w:color w:val="auto"/>
        </w:rPr>
      </w:pPr>
      <w:r>
        <w:rPr>
          <w:rFonts w:ascii="Arial" w:cs="Arial" w:eastAsia="Arial" w:hAnsi="Arial"/>
          <w:sz w:val="16"/>
          <w:szCs w:val="16"/>
          <w:color w:val="auto"/>
        </w:rPr>
        <w:t>We sell our products to consumer electronics OEMs as well as subsystem designers and contract manufacturers. We sell our manufacturing services to analog and mixed-signal semiconductor companies. We believe our end customers include a majority of the ten largest global consumer electronics companies by revenue. In the nine-month period ended September 30, 2007, our 10 largest customers accounted for approximately 61.6% of our net sales, and we had one customer, LG.Philips LCD, representing greater than 10% of our net sales. During the nine-month period ended September 30, 2007, we received revenues of $31.7 million from customers in the United States and $514.2 million from all foreign countries, of which 62.0% was from Korea, 16.7% from Taiwan, 8.8% from Japan and 8.2% from China, Hong Kong and Macau.</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jc w:val="both"/>
        <w:ind w:right="240" w:firstLine="571"/>
        <w:spacing w:after="0" w:line="238" w:lineRule="auto"/>
        <w:rPr>
          <w:sz w:val="20"/>
          <w:szCs w:val="20"/>
          <w:color w:val="auto"/>
        </w:rPr>
      </w:pPr>
      <w:r>
        <w:rPr>
          <w:rFonts w:ascii="Arial" w:cs="Arial" w:eastAsia="Arial" w:hAnsi="Arial"/>
          <w:sz w:val="18"/>
          <w:szCs w:val="18"/>
          <w:color w:val="auto"/>
        </w:rPr>
        <w:t>As of September 30, 2007, our portfolio of intellectual property assets included approximately 7,700 registered and pending patents. Our patents expire at various times over the next 18 years. While these patents are in the aggregate important to our competitive position, we do not believe that any single registered or pending patent is material to us.</w:t>
      </w:r>
    </w:p>
    <w:p>
      <w:pPr>
        <w:spacing w:after="0" w:line="154"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processor cores.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right="180" w:firstLine="571"/>
        <w:spacing w:after="0" w:line="275" w:lineRule="auto"/>
        <w:rPr>
          <w:sz w:val="20"/>
          <w:szCs w:val="20"/>
          <w:color w:val="auto"/>
        </w:rPr>
      </w:pPr>
      <w:r>
        <w:rPr>
          <w:rFonts w:ascii="Arial" w:cs="Arial" w:eastAsia="Arial" w:hAnsi="Arial"/>
          <w:sz w:val="16"/>
          <w:szCs w:val="16"/>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power management and image sensor semiconductor devices, as well as companies providing specialty manufacturing services.</w:t>
      </w:r>
    </w:p>
    <w:p>
      <w:pPr>
        <w:spacing w:after="0" w:line="12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worldwide workforce consisted of 3,575 employees (full- and part-time) as of September 30, 2007, of which 440 were involved in sales, general and administrative, 541 were in research and development (including 295 with advanced degrees), 93 were in quality, reliability and assurance and 2,501 were in manufacturing (comprised of 399 in engineering and 2,102 in operations). As of September 30, 2007, 2,187 employees, or approximately 61% of our workforce, were represented by the MagnaChip Semiconductor Labor Union, which is a member of the Federation of Korean Metal Workers Trade Unions. We believe our labor relations are good.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9" w:lineRule="exact"/>
        <w:rPr>
          <w:sz w:val="20"/>
          <w:szCs w:val="20"/>
          <w:color w:val="auto"/>
        </w:rPr>
      </w:pPr>
    </w:p>
    <w:p>
      <w:pPr>
        <w:ind w:right="60" w:firstLine="571"/>
        <w:spacing w:after="0" w:line="269" w:lineRule="auto"/>
        <w:rPr>
          <w:sz w:val="20"/>
          <w:szCs w:val="20"/>
          <w:color w:val="auto"/>
        </w:rPr>
      </w:pPr>
      <w:r>
        <w:rPr>
          <w:rFonts w:ascii="Arial" w:cs="Arial" w:eastAsia="Arial" w:hAnsi="Arial"/>
          <w:sz w:val="16"/>
          <w:szCs w:val="16"/>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constantly changing and have tended to become more stringent over time. There can be no assurance that we have been or will be in compliance with all these laws and regulations, or that we will not incur material costs or liabilities in connection with these laws and regulations in the future. The adoption of new environmental, health and safety laws, any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 products. We are currently not involved in any legal proceedings the outcome of which we believe would have a material adverse effect on our business, financial condition or results of operations.</w:t>
      </w:r>
    </w:p>
    <w:p>
      <w:pPr>
        <w:spacing w:after="0" w:line="155" w:lineRule="exact"/>
        <w:rPr>
          <w:sz w:val="20"/>
          <w:szCs w:val="20"/>
          <w:color w:val="auto"/>
        </w:rPr>
      </w:pPr>
    </w:p>
    <w:p>
      <w:pPr>
        <w:ind w:right="460" w:firstLine="571"/>
        <w:spacing w:after="0" w:line="299" w:lineRule="auto"/>
        <w:rPr>
          <w:sz w:val="20"/>
          <w:szCs w:val="20"/>
          <w:color w:val="auto"/>
        </w:rPr>
      </w:pPr>
      <w:r>
        <w:rPr>
          <w:rFonts w:ascii="Arial" w:cs="Arial" w:eastAsia="Arial" w:hAnsi="Arial"/>
          <w:sz w:val="16"/>
          <w:szCs w:val="16"/>
          <w:color w:val="auto"/>
        </w:rPr>
        <w:t>For a description of our business and the distribution of our assets by geographic regions and reporting segments, see note 16 to the consolidated financial statements of MagnaChip Semiconductor LLC for the year ended December 31, 2006 elsewhere in this prospectus.</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and Corporate Governance.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is a list of the current directors and executive officers of MagnaChip and their respective ages as of February 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7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82"/>
        </w:trPr>
        <w:tc>
          <w:tcPr>
            <w:tcW w:w="3080" w:type="dxa"/>
            <w:vAlign w:val="bottom"/>
          </w:tcPr>
          <w:p>
            <w:pPr>
              <w:spacing w:after="0"/>
              <w:rPr>
                <w:sz w:val="20"/>
                <w:szCs w:val="20"/>
                <w:color w:val="auto"/>
              </w:rPr>
            </w:pPr>
            <w:r>
              <w:rPr>
                <w:rFonts w:ascii="Arial" w:cs="Arial" w:eastAsia="Arial" w:hAnsi="Arial"/>
                <w:sz w:val="18"/>
                <w:szCs w:val="18"/>
                <w:color w:val="auto"/>
              </w:rPr>
              <w:t>Sang Park</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7640" w:type="dxa"/>
            <w:vAlign w:val="bottom"/>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Robert J. Krakauer</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7640" w:type="dxa"/>
            <w:vAlign w:val="bottom"/>
          </w:tcPr>
          <w:p>
            <w:pPr>
              <w:spacing w:after="0"/>
              <w:rPr>
                <w:sz w:val="20"/>
                <w:szCs w:val="20"/>
                <w:color w:val="auto"/>
              </w:rPr>
            </w:pPr>
            <w:r>
              <w:rPr>
                <w:rFonts w:ascii="Arial" w:cs="Arial" w:eastAsia="Arial" w:hAnsi="Arial"/>
                <w:sz w:val="18"/>
                <w:szCs w:val="18"/>
                <w:color w:val="auto"/>
              </w:rPr>
              <w:t>President, Chief Financial Officer, General Manager, Imaging Solutions Division, and 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Tae Young Hwang</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51</w:t>
            </w:r>
          </w:p>
        </w:tc>
        <w:tc>
          <w:tcPr>
            <w:tcW w:w="7640" w:type="dxa"/>
            <w:vAlign w:val="bottom"/>
          </w:tcPr>
          <w:p>
            <w:pPr>
              <w:spacing w:after="0"/>
              <w:rPr>
                <w:sz w:val="20"/>
                <w:szCs w:val="20"/>
                <w:color w:val="auto"/>
              </w:rPr>
            </w:pPr>
            <w:r>
              <w:rPr>
                <w:rFonts w:ascii="Arial" w:cs="Arial" w:eastAsia="Arial" w:hAnsi="Arial"/>
                <w:sz w:val="18"/>
                <w:szCs w:val="18"/>
                <w:color w:val="auto"/>
                <w:w w:val="98"/>
              </w:rPr>
              <w:t>Executive Vice President, Manufacturing Division, and General Manager, Large Display Solutions</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Chan Hee Lee</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54</w:t>
            </w: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and General Manager, Semiconductor Manufacturing Services</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John McFarland</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76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Victoria Miller Nam</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7640" w:type="dxa"/>
            <w:vAlign w:val="bottom"/>
          </w:tcPr>
          <w:p>
            <w:pPr>
              <w:spacing w:after="0"/>
              <w:rPr>
                <w:sz w:val="20"/>
                <w:szCs w:val="20"/>
                <w:color w:val="auto"/>
              </w:rPr>
            </w:pPr>
            <w:r>
              <w:rPr>
                <w:rFonts w:ascii="Arial" w:cs="Arial" w:eastAsia="Arial" w:hAnsi="Arial"/>
                <w:sz w:val="18"/>
                <w:szCs w:val="18"/>
                <w:color w:val="auto"/>
              </w:rPr>
              <w:t>Senior Vice President, Strategic Operations</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Brent Rowe</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7640" w:type="dxa"/>
            <w:vAlign w:val="bottom"/>
          </w:tcPr>
          <w:p>
            <w:pPr>
              <w:spacing w:after="0"/>
              <w:rPr>
                <w:sz w:val="20"/>
                <w:szCs w:val="20"/>
                <w:color w:val="auto"/>
              </w:rPr>
            </w:pPr>
            <w:r>
              <w:rPr>
                <w:rFonts w:ascii="Arial" w:cs="Arial" w:eastAsia="Arial" w:hAnsi="Arial"/>
                <w:sz w:val="18"/>
                <w:szCs w:val="18"/>
                <w:color w:val="auto"/>
              </w:rPr>
              <w:t>Senior Vice President, Worldwide Sales</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Margaret Sakai</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50</w:t>
            </w:r>
          </w:p>
        </w:tc>
        <w:tc>
          <w:tcPr>
            <w:tcW w:w="7640" w:type="dxa"/>
            <w:vAlign w:val="bottom"/>
          </w:tcPr>
          <w:p>
            <w:pPr>
              <w:spacing w:after="0"/>
              <w:rPr>
                <w:sz w:val="20"/>
                <w:szCs w:val="20"/>
                <w:color w:val="auto"/>
              </w:rPr>
            </w:pPr>
            <w:r>
              <w:rPr>
                <w:rFonts w:ascii="Arial" w:cs="Arial" w:eastAsia="Arial" w:hAnsi="Arial"/>
                <w:sz w:val="18"/>
                <w:szCs w:val="18"/>
                <w:color w:val="auto"/>
              </w:rPr>
              <w:t>Senior Vice President, Finance</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Jerry M. Baker</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56</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Dipanjan Deb</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Armando Geday</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45</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Roy Kuan</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R. Douglas Norby</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72</w:t>
            </w:r>
          </w:p>
        </w:tc>
        <w:tc>
          <w:tcPr>
            <w:tcW w:w="7640" w:type="dxa"/>
            <w:vAlign w:val="bottom"/>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Phokion Potamianos</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43</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Paul C. Schorr IV</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David F. Thomas</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58</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ind w:right="40" w:firstLine="571"/>
        <w:spacing w:after="0"/>
        <w:rPr>
          <w:sz w:val="20"/>
          <w:szCs w:val="20"/>
          <w:color w:val="auto"/>
        </w:rPr>
      </w:pPr>
      <w:r>
        <w:rPr>
          <w:rFonts w:ascii="Arial" w:cs="Arial" w:eastAsia="Arial" w:hAnsi="Arial"/>
          <w:sz w:val="18"/>
          <w:szCs w:val="18"/>
          <w:b w:val="1"/>
          <w:bCs w:val="1"/>
          <w:i w:val="1"/>
          <w:iCs w:val="1"/>
          <w:color w:val="auto"/>
        </w:rPr>
        <w:t>Sang Park</w:t>
      </w:r>
      <w:r>
        <w:rPr>
          <w:rFonts w:ascii="Arial" w:cs="Arial" w:eastAsia="Arial" w:hAnsi="Arial"/>
          <w:sz w:val="18"/>
          <w:szCs w:val="18"/>
          <w:i w:val="1"/>
          <w:iCs w:val="1"/>
          <w:color w:val="auto"/>
        </w:rPr>
        <w:t>, Chairman of the Board of Directors and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Park became our Chairman of the Board of Directors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on January 1, 2007, after serving as President, Chief Executive Officer and director since May 2006. Mr. Park served as an executive fellow for iSuppli Corporation from January 2005 to May 2006. Prior to joining iSuppli, he was founder and president of SP Associates, a consulting services provider for technology companies, from September 2003 to December 2004. Mr. Park served as Chief Executive Officer of Hynix from May 2002 to March 2003, and as Chief Operating Officer and President of the Semiconductor Division of Hynix from July 1999 to April 2002.</w:t>
      </w:r>
    </w:p>
    <w:p>
      <w:pPr>
        <w:spacing w:after="0" w:line="136" w:lineRule="exact"/>
        <w:rPr>
          <w:sz w:val="20"/>
          <w:szCs w:val="20"/>
          <w:color w:val="auto"/>
        </w:rPr>
      </w:pPr>
    </w:p>
    <w:p>
      <w:pPr>
        <w:ind w:right="140" w:firstLine="571"/>
        <w:spacing w:after="0" w:line="274" w:lineRule="auto"/>
        <w:rPr>
          <w:sz w:val="20"/>
          <w:szCs w:val="20"/>
          <w:color w:val="auto"/>
        </w:rPr>
      </w:pPr>
      <w:r>
        <w:rPr>
          <w:rFonts w:ascii="Arial" w:cs="Arial" w:eastAsia="Arial" w:hAnsi="Arial"/>
          <w:sz w:val="16"/>
          <w:szCs w:val="16"/>
          <w:b w:val="1"/>
          <w:bCs w:val="1"/>
          <w:i w:val="1"/>
          <w:iCs w:val="1"/>
          <w:color w:val="auto"/>
        </w:rPr>
        <w:t>Robert J. Krakauer</w:t>
      </w:r>
      <w:r>
        <w:rPr>
          <w:rFonts w:ascii="Arial" w:cs="Arial" w:eastAsia="Arial" w:hAnsi="Arial"/>
          <w:sz w:val="16"/>
          <w:szCs w:val="16"/>
          <w:i w:val="1"/>
          <w:iCs w:val="1"/>
          <w:color w:val="auto"/>
        </w:rPr>
        <w:t>, President, Chief Financial Officer, General Manager, Imaging Solutions Division, and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Krakauer became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President, Chief Financial Officer and director in January 2007. In addition, Mr. Krakauer took on duties as General Manager, Imaging Solutions Division, in March 2007. He previously served as our Executive Vice President of Strategic Operations, Chief Financial Officer and director since October 2004. From 2003 to 2004, Mr. Krakauer served as Executive Vice President of Corporate Operations and Chief Financial Officer for ChipPAC, Ltd. (now STATS ChipPAC, Ltd.), a supplier of semiconductor packing design, test and distribution solutions, and had served as its Chief Financial Officer since November 1999. From May 1998 to November 1999, Mr. Krakauer was Vice President of Finance, Chief Financial Officer for AlliedSignal—Electronic Materials (now Honeywell). From 1996 to 1998, Mr. Krakauer was the Corporate Controller at Altera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Corporation and from 1993 to 1996 he was the Chief Financial Officer at Alphatec U.S.A. From 1987 to 1991, Mr. Krakauer was an auditor and consultant at KPMG Peat Marwick and Coopers &amp; Lybrand, respectively. Mr. Krakauer received a B.S.C. in accounting and a masters in business administration with an operations concentration from Santa Clara University.</w:t>
      </w:r>
    </w:p>
    <w:p>
      <w:pPr>
        <w:spacing w:after="0" w:line="134" w:lineRule="exact"/>
        <w:rPr>
          <w:sz w:val="20"/>
          <w:szCs w:val="20"/>
          <w:color w:val="auto"/>
        </w:rPr>
      </w:pPr>
    </w:p>
    <w:p>
      <w:pPr>
        <w:ind w:right="100" w:firstLine="571"/>
        <w:spacing w:after="0"/>
        <w:rPr>
          <w:sz w:val="20"/>
          <w:szCs w:val="20"/>
          <w:color w:val="auto"/>
        </w:rPr>
      </w:pPr>
      <w:r>
        <w:rPr>
          <w:rFonts w:ascii="Arial" w:cs="Arial" w:eastAsia="Arial" w:hAnsi="Arial"/>
          <w:sz w:val="18"/>
          <w:szCs w:val="18"/>
          <w:b w:val="1"/>
          <w:bCs w:val="1"/>
          <w:i w:val="1"/>
          <w:iCs w:val="1"/>
          <w:color w:val="auto"/>
        </w:rPr>
        <w:t>Tae Young Hwang</w:t>
      </w:r>
      <w:r>
        <w:rPr>
          <w:rFonts w:ascii="Arial" w:cs="Arial" w:eastAsia="Arial" w:hAnsi="Arial"/>
          <w:sz w:val="18"/>
          <w:szCs w:val="18"/>
          <w:i w:val="1"/>
          <w:iCs w:val="1"/>
          <w:color w:val="auto"/>
        </w:rPr>
        <w:t>, Executive Vice President, Manufacturing Division and General Manager, Large Display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Hwang became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Executive Vice President, Manufacturing Division, and General Manager, Large Display Solutions in January 2007. He previously served as our Executive Vice President of Manufacturing Operations from October 2004. Prior to that time, Mr. Hwang served as Hynix’s Senior Vice President of Manufacturing Operations, System IC, from 2002 to 2003. From 1999 to 2001, he was Vice President of Cheongju Operations for Hynix. Mr. Hwang holds a bachelor of science degree in mechanical engineering from Pusan National University and a masters in business administration from Cheongju University.</w:t>
      </w:r>
    </w:p>
    <w:p>
      <w:pPr>
        <w:spacing w:after="0" w:line="136" w:lineRule="exact"/>
        <w:rPr>
          <w:sz w:val="20"/>
          <w:szCs w:val="20"/>
          <w:color w:val="auto"/>
        </w:rPr>
      </w:pPr>
    </w:p>
    <w:p>
      <w:pPr>
        <w:ind w:right="140" w:firstLine="571"/>
        <w:spacing w:after="0" w:line="241" w:lineRule="auto"/>
        <w:rPr>
          <w:sz w:val="20"/>
          <w:szCs w:val="20"/>
          <w:color w:val="auto"/>
        </w:rPr>
      </w:pPr>
      <w:r>
        <w:rPr>
          <w:rFonts w:ascii="Arial" w:cs="Arial" w:eastAsia="Arial" w:hAnsi="Arial"/>
          <w:sz w:val="18"/>
          <w:szCs w:val="18"/>
          <w:b w:val="1"/>
          <w:bCs w:val="1"/>
          <w:i w:val="1"/>
          <w:iCs w:val="1"/>
          <w:color w:val="auto"/>
        </w:rPr>
        <w:t>Chan Hee Lee</w:t>
      </w:r>
      <w:r>
        <w:rPr>
          <w:rFonts w:ascii="Arial" w:cs="Arial" w:eastAsia="Arial" w:hAnsi="Arial"/>
          <w:sz w:val="18"/>
          <w:szCs w:val="18"/>
          <w:i w:val="1"/>
          <w:iCs w:val="1"/>
          <w:color w:val="auto"/>
        </w:rPr>
        <w:t>, Executive Vice President and General Manager, Semiconductor Manufacturing Services</w:t>
      </w:r>
      <w:r>
        <w:rPr>
          <w:rFonts w:ascii="Arial" w:cs="Arial" w:eastAsia="Arial" w:hAnsi="Arial"/>
          <w:sz w:val="18"/>
          <w:szCs w:val="18"/>
          <w:color w:val="auto"/>
        </w:rPr>
        <w:t>. Mr. Lee became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General Manager, Semiconductor Manufacturing Services, in September 2005, after serving as Executive Vice President of Product Lines, since October 2004. Previously, Mr. Lee served as Hynix’s Vice President and General Manager of Semiconductor Manufacturing Services and Digital Driver IC, Business Division from 1999 until September 2004. Mr. Lee holds a bachelor of science degree in electronics from Kyungbuk National University.</w:t>
      </w:r>
    </w:p>
    <w:p>
      <w:pPr>
        <w:spacing w:after="0" w:line="136" w:lineRule="exact"/>
        <w:rPr>
          <w:sz w:val="20"/>
          <w:szCs w:val="20"/>
          <w:color w:val="auto"/>
        </w:rPr>
      </w:pPr>
    </w:p>
    <w:p>
      <w:pPr>
        <w:ind w:firstLine="571"/>
        <w:spacing w:after="0"/>
        <w:rPr>
          <w:sz w:val="20"/>
          <w:szCs w:val="20"/>
          <w:color w:val="auto"/>
        </w:rPr>
      </w:pPr>
      <w:r>
        <w:rPr>
          <w:rFonts w:ascii="Arial" w:cs="Arial" w:eastAsia="Arial" w:hAnsi="Arial"/>
          <w:sz w:val="18"/>
          <w:szCs w:val="18"/>
          <w:b w:val="1"/>
          <w:bCs w:val="1"/>
          <w:i w:val="1"/>
          <w:iCs w:val="1"/>
          <w:color w:val="auto"/>
        </w:rPr>
        <w:t>John McFarland</w:t>
      </w:r>
      <w:r>
        <w:rPr>
          <w:rFonts w:ascii="Arial" w:cs="Arial" w:eastAsia="Arial" w:hAnsi="Arial"/>
          <w:sz w:val="18"/>
          <w:szCs w:val="18"/>
          <w:i w:val="1"/>
          <w:iCs w:val="1"/>
          <w:color w:val="auto"/>
        </w:rPr>
        <w:t>, Senior Vice President, General Counsel and Secretary</w:t>
      </w:r>
      <w:r>
        <w:rPr>
          <w:rFonts w:ascii="Arial" w:cs="Arial" w:eastAsia="Arial" w:hAnsi="Arial"/>
          <w:sz w:val="18"/>
          <w:szCs w:val="18"/>
          <w:color w:val="auto"/>
        </w:rPr>
        <w:t>. Mr. McFarland became our Senior Vice President,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Counsel and Secretary in April 2006, after serving as Vice President, General Counsel and Secretary since November 2004. Prior to joining our company, Mr. McFarland served as a foreign legal consultant at Bae, Kim &amp; Lee, a law firm, from August 2003 to November 2004 and an associate at Wilson Sonsini Goodrich &amp; Rosati, P.C., a law firm, from August 2000 to July 2003. Mr. McFarland holds a bachelor of arts degree in Asian Studies, conferred with highest distinction from the University of Michigan, where he was elected to Phi Beta Kappa, and a juris doctor degree from the University of California, Los Angeles, School of Law.</w:t>
      </w:r>
    </w:p>
    <w:p>
      <w:pPr>
        <w:spacing w:after="0" w:line="136"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b w:val="1"/>
          <w:bCs w:val="1"/>
          <w:i w:val="1"/>
          <w:iCs w:val="1"/>
          <w:color w:val="auto"/>
        </w:rPr>
        <w:t>Victoria Miller Nam</w:t>
      </w:r>
      <w:r>
        <w:rPr>
          <w:rFonts w:ascii="Arial" w:cs="Arial" w:eastAsia="Arial" w:hAnsi="Arial"/>
          <w:sz w:val="18"/>
          <w:szCs w:val="18"/>
          <w:i w:val="1"/>
          <w:iCs w:val="1"/>
          <w:color w:val="auto"/>
        </w:rPr>
        <w:t>, Senior Vice President, Strategic Operations</w:t>
      </w:r>
      <w:r>
        <w:rPr>
          <w:rFonts w:ascii="Arial" w:cs="Arial" w:eastAsia="Arial" w:hAnsi="Arial"/>
          <w:sz w:val="18"/>
          <w:szCs w:val="18"/>
          <w:color w:val="auto"/>
        </w:rPr>
        <w:t>. Ms. Miller Nam became our Senior Vice President, Strategic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January 2007, after serving as Senior Vice President, Strategic Planning since October 2004. Prior to joining our company, Ms. Miller Nam worked in consulting with McKinsey &amp; Company in the Los Angeles and Seoul offices from 1994 until 2003, when she left as a Partner to found and run a management consulting business from 2003 until 2004. Earlier in her career, Ms. Miller Nam worked for Kidder, Peabody &amp; Co. Incorporated, in the corporate finance department, in New York. Ms. Miller Nam holds a bachelor of arts degree, </w:t>
      </w:r>
      <w:r>
        <w:rPr>
          <w:rFonts w:ascii="Arial" w:cs="Arial" w:eastAsia="Arial" w:hAnsi="Arial"/>
          <w:sz w:val="18"/>
          <w:szCs w:val="18"/>
          <w:i w:val="1"/>
          <w:iCs w:val="1"/>
          <w:color w:val="auto"/>
        </w:rPr>
        <w:t>magna cum laude</w:t>
      </w:r>
      <w:r>
        <w:rPr>
          <w:rFonts w:ascii="Arial" w:cs="Arial" w:eastAsia="Arial" w:hAnsi="Arial"/>
          <w:sz w:val="18"/>
          <w:szCs w:val="18"/>
          <w:color w:val="auto"/>
        </w:rPr>
        <w:t>, in international relations from Brown University, where she was elected to Phi Beta Kappa, and a masters in business administration from Harvard Business School.</w:t>
      </w:r>
    </w:p>
    <w:p>
      <w:pPr>
        <w:spacing w:after="0" w:line="137"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b w:val="1"/>
          <w:bCs w:val="1"/>
          <w:i w:val="1"/>
          <w:iCs w:val="1"/>
          <w:color w:val="auto"/>
        </w:rPr>
        <w:t>Brent Rowe</w:t>
      </w:r>
      <w:r>
        <w:rPr>
          <w:rFonts w:ascii="Arial" w:cs="Arial" w:eastAsia="Arial" w:hAnsi="Arial"/>
          <w:sz w:val="18"/>
          <w:szCs w:val="18"/>
          <w:i w:val="1"/>
          <w:iCs w:val="1"/>
          <w:color w:val="auto"/>
        </w:rPr>
        <w:t>, Senior Vice President, Worldwide Sales</w:t>
      </w:r>
      <w:r>
        <w:rPr>
          <w:rFonts w:ascii="Arial" w:cs="Arial" w:eastAsia="Arial" w:hAnsi="Arial"/>
          <w:sz w:val="18"/>
          <w:szCs w:val="18"/>
          <w:color w:val="auto"/>
        </w:rPr>
        <w:t>. Mr. Rowe became our Senior Vice President, Worldwide Sales in April 2006.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our company, Mr. Rowe served at Fairchild Semiconductor International, Inc., a semiconductor manufacturer, as Vice President, Americas Sales and Marketing from August 2003 to October 2005; Vice President, Europe Sales and Marketing from August 2002 to August 2003; and Vice President, Japan Sales and Marketing from April 2002 to August 2002. Mr. Rowe holds a bachelor of arts degree in chemical engineering from the University of Illinois.</w:t>
      </w:r>
    </w:p>
    <w:p>
      <w:pPr>
        <w:spacing w:after="0" w:line="136" w:lineRule="exact"/>
        <w:rPr>
          <w:sz w:val="20"/>
          <w:szCs w:val="20"/>
          <w:color w:val="auto"/>
        </w:rPr>
      </w:pPr>
    </w:p>
    <w:p>
      <w:pPr>
        <w:ind w:right="160" w:firstLine="571"/>
        <w:spacing w:after="0" w:line="248" w:lineRule="auto"/>
        <w:rPr>
          <w:sz w:val="20"/>
          <w:szCs w:val="20"/>
          <w:color w:val="auto"/>
        </w:rPr>
      </w:pPr>
      <w:r>
        <w:rPr>
          <w:rFonts w:ascii="Arial" w:cs="Arial" w:eastAsia="Arial" w:hAnsi="Arial"/>
          <w:sz w:val="18"/>
          <w:szCs w:val="18"/>
          <w:b w:val="1"/>
          <w:bCs w:val="1"/>
          <w:i w:val="1"/>
          <w:iCs w:val="1"/>
          <w:color w:val="auto"/>
        </w:rPr>
        <w:t>Margaret Sakai</w:t>
      </w:r>
      <w:r>
        <w:rPr>
          <w:rFonts w:ascii="Arial" w:cs="Arial" w:eastAsia="Arial" w:hAnsi="Arial"/>
          <w:sz w:val="18"/>
          <w:szCs w:val="18"/>
          <w:i w:val="1"/>
          <w:iCs w:val="1"/>
          <w:color w:val="auto"/>
        </w:rPr>
        <w:t>, Senior Vice President,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Sakai became our Senior Vice President, Finance, on November 1, 2006.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our company, she had served as Chief Financial Officer of Asia Finance and Vice President, of Photronics, Inc., a manufacturer of reticles and photomasks for semiconductor and microelectronic applications, since November 2003. From June 1999 to October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2003, Ms. Sakai was Executive Vice President and Chief Financial Officer of PKL Corporation, a photomask manufacturer. From October 1995 to May 1999, Ms. Sakai served as Director of Finance of Acqutek International Limited, a lead-frame manufacturer, and from March 1992 to September 1995, Ms. Sakai served as Financial Manager at National Semiconductor Corporation. Ms. Sakai worked as an Audit Supervisor at Coopers &amp; Lybrand from January 1988 to March 1992. Ms. Sakai is a Certified Public Accountant in the State of California and holds a bachelor’s degree in accounting from Babson College.</w:t>
      </w:r>
    </w:p>
    <w:p>
      <w:pPr>
        <w:spacing w:after="0" w:line="137" w:lineRule="exact"/>
        <w:rPr>
          <w:sz w:val="20"/>
          <w:szCs w:val="20"/>
          <w:color w:val="auto"/>
        </w:rPr>
      </w:pPr>
    </w:p>
    <w:p>
      <w:pPr>
        <w:ind w:right="160" w:firstLine="571"/>
        <w:spacing w:after="0"/>
        <w:rPr>
          <w:sz w:val="20"/>
          <w:szCs w:val="20"/>
          <w:color w:val="auto"/>
        </w:rPr>
      </w:pPr>
      <w:r>
        <w:rPr>
          <w:rFonts w:ascii="Arial" w:cs="Arial" w:eastAsia="Arial" w:hAnsi="Arial"/>
          <w:sz w:val="18"/>
          <w:szCs w:val="18"/>
          <w:b w:val="1"/>
          <w:bCs w:val="1"/>
          <w:i w:val="1"/>
          <w:iCs w:val="1"/>
          <w:color w:val="auto"/>
        </w:rPr>
        <w:t>Jerry M. Baker</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Baker has been a director since October 2004. He served as Chairman of the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2004 to December 2006. Mr. Baker was retired from 2001 until October 2004. From 2000 until 2001, Mr. Baker served as Executive Vice President, Global Operations for Fairchild Semiconductor International, Inc. From December 1996 to 2000, Mr. Baker was the Executive Vice President and General Manager, Discrete Power and Signal Technologies Group of Fairchild Semiconductor International, Inc. Prior to that position, he spent more than 24 years in a variety of engineering and management positions within National Semiconductor, the most recent of which was Executive Vice President and General Manager, Global Operations.</w:t>
      </w:r>
    </w:p>
    <w:p>
      <w:pPr>
        <w:spacing w:after="0" w:line="136" w:lineRule="exact"/>
        <w:rPr>
          <w:sz w:val="20"/>
          <w:szCs w:val="20"/>
          <w:color w:val="auto"/>
        </w:rPr>
      </w:pPr>
    </w:p>
    <w:p>
      <w:pPr>
        <w:ind w:right="60" w:firstLine="571"/>
        <w:spacing w:after="0" w:line="276" w:lineRule="auto"/>
        <w:rPr>
          <w:sz w:val="20"/>
          <w:szCs w:val="20"/>
          <w:color w:val="auto"/>
        </w:rPr>
      </w:pPr>
      <w:r>
        <w:rPr>
          <w:rFonts w:ascii="Arial" w:cs="Arial" w:eastAsia="Arial" w:hAnsi="Arial"/>
          <w:sz w:val="16"/>
          <w:szCs w:val="16"/>
          <w:b w:val="1"/>
          <w:bCs w:val="1"/>
          <w:i w:val="1"/>
          <w:iCs w:val="1"/>
          <w:color w:val="auto"/>
        </w:rPr>
        <w:t>Dipanjan Deb</w:t>
      </w:r>
      <w:r>
        <w:rPr>
          <w:rFonts w:ascii="Arial" w:cs="Arial" w:eastAsia="Arial" w:hAnsi="Arial"/>
          <w:sz w:val="16"/>
          <w:szCs w:val="16"/>
          <w:i w:val="1"/>
          <w:iCs w:val="1"/>
          <w:color w:val="auto"/>
        </w:rPr>
        <w: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Deb has been a director since September 2004. He is a founder and Managing Partner of Francisco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been a Partner since its formation in August 1999. Prior to joining Francisco Partners, Mr. Deb was a principal with Texas Pacific Group from 1998 to 1999. Earlier in his career, Mr. Deb was director of semiconductor banking at Robertson Stephens &amp; Company and a management consultant at McKinsey &amp; Company. Mr. Deb is also on the board of directors of AMIS Holdings, Inc., SMART Modular Technologies, Inc. and CBA Group LLC. Mr. Deb holds a bachelor of science degree in electrical engineering and computer science from the University of California, Berkeley, where he was a Regents Scholar, and a masters in business administration from the Stanford University Graduate School of Business.</w:t>
      </w:r>
    </w:p>
    <w:p>
      <w:pPr>
        <w:spacing w:after="0" w:line="108"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b w:val="1"/>
          <w:bCs w:val="1"/>
          <w:i w:val="1"/>
          <w:iCs w:val="1"/>
          <w:color w:val="auto"/>
        </w:rPr>
        <w:t>Armando Geday</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Geday has been a director since January 2006. He served as Chief Executive Officer of Telesen, Inc.,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developer of consumer electronics products for the wellness industry, from January 2005 until September 2006. Prior to joining Telesen, Mr. Geday was Chief Executive Officer of Conexant Systems, a provider of semiconductor system solutions for broadband communications, from February 2004 to November 2004. From December 2001 to February 2004, Mr. Geday served as the Chief Executive Officer of GlobespanVirata. From April 1997 to December 2001, Mr. Geday was President and Chief Executive Officer of GlobeSpan. Earlier in his career, Mr. Geday was Vice President and General Manager of the Multimedia Communications Division of Rockwell Semiconductor Systems, and held various technical marketing and engineering positions at Harris Semiconductor and MERET Inc. Mr. Geday is a director of Commonvault, Inc. Mr. Geday holds a bachelor of science degree in electrical engineering from the Florida Institute of Technology.</w:t>
      </w:r>
    </w:p>
    <w:p>
      <w:pPr>
        <w:spacing w:after="0" w:line="141" w:lineRule="exact"/>
        <w:rPr>
          <w:sz w:val="20"/>
          <w:szCs w:val="20"/>
          <w:color w:val="auto"/>
        </w:rPr>
      </w:pPr>
    </w:p>
    <w:p>
      <w:pPr>
        <w:jc w:val="both"/>
        <w:ind w:right="80" w:firstLine="571"/>
        <w:spacing w:after="0" w:line="248" w:lineRule="auto"/>
        <w:rPr>
          <w:sz w:val="20"/>
          <w:szCs w:val="20"/>
          <w:color w:val="auto"/>
        </w:rPr>
      </w:pPr>
      <w:r>
        <w:rPr>
          <w:rFonts w:ascii="Arial" w:cs="Arial" w:eastAsia="Arial" w:hAnsi="Arial"/>
          <w:sz w:val="18"/>
          <w:szCs w:val="18"/>
          <w:b w:val="1"/>
          <w:bCs w:val="1"/>
          <w:i w:val="1"/>
          <w:iCs w:val="1"/>
          <w:color w:val="auto"/>
        </w:rPr>
        <w:t>Roy Kuan</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Kuan has been a director since September 2004. He serves as Partner of CVC Asia Pacific Limited, where he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worked since 1999. Mr. Kuan holds a bachelor of arts degree in economics from Georgetown University and a masters in business administration with a finance concentration from the Wharton School at the University of Pennsylvania.</w:t>
      </w:r>
    </w:p>
    <w:p>
      <w:pPr>
        <w:spacing w:after="0" w:line="128"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b w:val="1"/>
          <w:bCs w:val="1"/>
          <w:i w:val="1"/>
          <w:iCs w:val="1"/>
          <w:color w:val="auto"/>
        </w:rPr>
        <w:t>R. Douglas Norby</w:t>
      </w:r>
      <w:r>
        <w:rPr>
          <w:rFonts w:ascii="Arial" w:cs="Arial" w:eastAsia="Arial" w:hAnsi="Arial"/>
          <w:sz w:val="18"/>
          <w:szCs w:val="18"/>
          <w:i w:val="1"/>
          <w:iCs w:val="1"/>
          <w:color w:val="auto"/>
        </w:rPr>
        <w:t>, Director and Chairman of the Audit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Norby has been a director and the Chairman of the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our company since May 2006. Mr. Norby served as Senior Vice President and Chief Financial Officer of Tessera Technologies, Inc., a semiconductor intellectual property company, from July 2003 to January 2006. He worked as a management consultant with Tessera from May 2003 until July 2003. He served as Senior Vice President and Chief Financial Officer of Zambeel, Inc., a data storage systems company, from March 2002 until February 2003; and as Senior Vice President and Chief Financial Officer of Novalux, Inc., an optoelectronics company, from December 2000 to March 2002. Prior to his tenure with Novalux, Inc., Mr. Norby served as Executive Vice President and Chief Financial Officer of LSI Logic Corporation from November 1996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to December 2000. Mr. Norby is a director of Alexion Pharmaceuticals, Inc. and STATS ChipPAC Ltd. He received his bachelor of arts degree in Economics from Harvard University and a masters in business administration from Harvard Business School.</w:t>
      </w:r>
    </w:p>
    <w:p>
      <w:pPr>
        <w:spacing w:after="0" w:line="135" w:lineRule="exact"/>
        <w:rPr>
          <w:sz w:val="20"/>
          <w:szCs w:val="20"/>
          <w:color w:val="auto"/>
        </w:rPr>
      </w:pPr>
    </w:p>
    <w:p>
      <w:pPr>
        <w:ind w:right="60" w:firstLine="571"/>
        <w:spacing w:after="0" w:line="269" w:lineRule="auto"/>
        <w:rPr>
          <w:sz w:val="20"/>
          <w:szCs w:val="20"/>
          <w:color w:val="auto"/>
        </w:rPr>
      </w:pPr>
      <w:r>
        <w:rPr>
          <w:rFonts w:ascii="Arial" w:cs="Arial" w:eastAsia="Arial" w:hAnsi="Arial"/>
          <w:sz w:val="16"/>
          <w:szCs w:val="16"/>
          <w:b w:val="1"/>
          <w:bCs w:val="1"/>
          <w:i w:val="1"/>
          <w:iCs w:val="1"/>
          <w:color w:val="auto"/>
        </w:rPr>
        <w:t>Phokion Potamianos</w:t>
      </w:r>
      <w:r>
        <w:rPr>
          <w:rFonts w:ascii="Arial" w:cs="Arial" w:eastAsia="Arial" w:hAnsi="Arial"/>
          <w:sz w:val="16"/>
          <w:szCs w:val="16"/>
          <w:i w:val="1"/>
          <w:iCs w:val="1"/>
          <w:color w:val="auto"/>
        </w:rPr>
        <w: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Potamianos has been a director since March 2005. He has been a Partner of Francisco Partners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2007, and was a Principal with Francisco Partners from March 2005 to January 2007. Prior to joining Francisco Partners, Mr. Potamianos was the head of the UBS Global Semiconductor Investment Banking Group from 2004 until 2005 and a member of the UBS Global Semiconductor Investment Banking Group from 2000 to 2004. From 1999 to 2000, Mr. Potamianos was a member of Donaldson Lufkin &amp; Jenrette’s investment banking group. Earlier in his career, Mr. Potamianos was an Institutional Investor ranked research analyst at Donaldson, Lufkin &amp; Jenrette.</w:t>
      </w:r>
    </w:p>
    <w:p>
      <w:pPr>
        <w:spacing w:after="0" w:line="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Mr. Potamianos holds a Bachelor of Arts from American University and received his Masters of Science (Economics) from the London School of Economics and Political Science.</w:t>
      </w:r>
    </w:p>
    <w:p>
      <w:pPr>
        <w:spacing w:after="0" w:line="135"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b w:val="1"/>
          <w:bCs w:val="1"/>
          <w:i w:val="1"/>
          <w:iCs w:val="1"/>
          <w:color w:val="auto"/>
        </w:rPr>
        <w:t>Paul C. Schorr IV</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Schorr has been a director since September 2004. He has been a Senior Managing Director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Blackstone Group since September 2005. Prior to that, he was a Managing Partner of Citigroup Venture Capital Equity Partners, L.P., or CVC, from December 2001. Mr. Schorr joined CVC in 1996, after working as an Engagement Manager with McKinsey &amp; Company, Inc. He is a director of AMI Semiconductor Inc. and Orbitz Worldwide, Inc. Mr. Schorr received his B.S.F.S.,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Georgetown University’s School of Foreign Service and his masters in business administration with distinction from Harvard Business School.</w:t>
      </w:r>
    </w:p>
    <w:p>
      <w:pPr>
        <w:spacing w:after="0" w:line="136" w:lineRule="exact"/>
        <w:rPr>
          <w:sz w:val="20"/>
          <w:szCs w:val="20"/>
          <w:color w:val="auto"/>
        </w:rPr>
      </w:pPr>
    </w:p>
    <w:p>
      <w:pPr>
        <w:ind w:right="100" w:firstLine="571"/>
        <w:spacing w:after="0"/>
        <w:rPr>
          <w:sz w:val="20"/>
          <w:szCs w:val="20"/>
          <w:color w:val="auto"/>
        </w:rPr>
      </w:pPr>
      <w:r>
        <w:rPr>
          <w:rFonts w:ascii="Arial" w:cs="Arial" w:eastAsia="Arial" w:hAnsi="Arial"/>
          <w:sz w:val="18"/>
          <w:szCs w:val="18"/>
          <w:b w:val="1"/>
          <w:bCs w:val="1"/>
          <w:i w:val="1"/>
          <w:iCs w:val="1"/>
          <w:color w:val="auto"/>
        </w:rPr>
        <w:t>David F. Thomas</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Thomas has been a director since October 2004. Mr. Thomas has been a Managing Partner with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Square Capital Partners, or CSC, a private equity fund management company, since August 1, 2006. Mr. Thomas had been with the predecessor to CSC, Citigroup Venture Capital Ltd., since 1980, most recently as Managing Partner and President. Previously, he held various positions with Citibank’s Transportation Finance and Acquisition Finance Groups. Prior to Citibank, Mr. Thomas worked for Arthur Anderson &amp; Co. and received degrees in finance and accounting from the University of Akron. His directorships include Network Communications, Inc., Newmarket International and Auto Europe.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9" w:lineRule="exact"/>
        <w:rPr>
          <w:sz w:val="20"/>
          <w:szCs w:val="20"/>
          <w:color w:val="auto"/>
        </w:rPr>
      </w:pPr>
    </w:p>
    <w:p>
      <w:pPr>
        <w:ind w:right="20" w:firstLine="571"/>
        <w:spacing w:after="0" w:line="267" w:lineRule="auto"/>
        <w:rPr>
          <w:sz w:val="20"/>
          <w:szCs w:val="20"/>
          <w:color w:val="auto"/>
        </w:rPr>
      </w:pPr>
      <w:r>
        <w:rPr>
          <w:rFonts w:ascii="Arial" w:cs="Arial" w:eastAsia="Arial" w:hAnsi="Arial"/>
          <w:sz w:val="16"/>
          <w:szCs w:val="16"/>
          <w:color w:val="auto"/>
        </w:rPr>
        <w:t>Our securityholders’ agreement will provide that our board of directors will consist of ten members, including three representatives of Court Square, three representatives of Francisco Partners, one representative of CVC Asia Pacific, our chief executive officer, our chief financial officer and one independent director chosen by Court Square, Francisco Partners and our chief executive officer. Additional independent directors may be added by Court Square, Francisco Partners and our chief executive officer. The rights of nomination with respect to each of Court Square and Francisco Partners will be reduced to one director when its beneficial ownership falls below 10% of the beneficial ownership of all stockholders party to the agreement and will expire when its beneficial ownership falls below 5% of the beneficial ownership of all stockholders party to the agreement. CVC Asia Pacific’s rights of nomination will expire when its beneficial ownership falls below 5% of the beneficial ownership of all stockholders party to the securityholders’ agreement. A quorum of our board of directors requires a majority of the designees of each of Court Square and Francisco Partners. In addition, Court Square and Francisco Partners together have the right to place their designees on each committee created by our board of directors such that, together, these designees constitute at least a majority of such committee, and CVC Asia Pacific is entitled to minority representation on each committee, in each case until such time as their designated committee members are required to be removed as a result of us no longer qualifying for the “controlled company” exception under New York Stock Exchange rules.</w:t>
      </w:r>
    </w:p>
    <w:p>
      <w:pPr>
        <w:spacing w:after="0" w:line="341"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Mr. Park, our Chief Executive Officer, is the chairman of our board of directors, and Mr. Krakauer, our President and Chief Financial Officer, is a director. Messrs. Schorr, Thomas and Baker have been designated to serve on our board by Court Square. Messrs. Deb, Potamianos and Geday have been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designated to serve on our board by Francisco Partners. Mr. Kuan has been designated to serve on our board by CVC Asia Pacific. Mr. Norby serves as the independent director unanimously approved by Court Square, Francisco Partners and our chief executive officer.</w:t>
      </w:r>
    </w:p>
    <w:p>
      <w:pPr>
        <w:spacing w:after="0" w:line="15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Court Square, Francisco Partners, CVC Asia Pacific, Peninsula Investments Pte. Ltd., and their affiliates, have advised us that they intend to file a Schedule 13D/G with the SEC following the closing of this offering to report their MagnaChip holdings as a group, and such entities collectively own more than 50% of our outstanding voting securities. Because these stockholders are parties to a securityholders’ agreement, they are considered a “group,” and we are therefore considered a “controlled company” within the meaning of New York Stock Exchange rules. As a result, we rely on exemptions from the requirements of having a majority of independent directors, a fully independent nominating and governance committee, a fully independent compensation committee, nominating and governance and compensation committee charters and other requirements prescribed for such committees by the NYSE. Following the closing of this offering, we expect to remain a “controlled company” and to continue to rely on these exceptions. The “controlled company” exception does not modify the independence requirements for the audit committee, and we intend to comply with the applicable independence rules for audit committees. In view of our status as a controlled company under the NYSE rules, our board has not made a determination of independence with respect to any of our directors not serving on our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audit committee includes Chairman R. Douglas Norby, Mr. Schorr and, upon the closing of this offering, will also include at least one other director. Our board of directors has determined that Mr. Norby is an audit committee financial expert as defined in Item 407(d)(5) of Regulation S-K promulgated under the Securities Act. Each of the members of our audit committee is “independent” as that term is defined in both Rule 303A of the NYSE rules and Rule 10A-3 promulgated under the Securities Exchange Act of 1934, as amended, and, upon the closing of this offering, will be an “independent director” as that term is defined in Rule 303A of the NYSE rules.</w:t>
      </w:r>
    </w:p>
    <w:p>
      <w:pPr>
        <w:spacing w:after="0" w:line="157"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In considering the independence of Mr. Schorr, our board of directors took into consideration that he served as a Managing Partner of CVC from December 2001 to September 2005, and also holds a limited amount of our outstanding debt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9" w:lineRule="exact"/>
        <w:rPr>
          <w:sz w:val="20"/>
          <w:szCs w:val="20"/>
          <w:color w:val="auto"/>
        </w:rPr>
      </w:pPr>
    </w:p>
    <w:p>
      <w:pPr>
        <w:ind w:right="360" w:firstLine="571"/>
        <w:spacing w:after="0" w:line="238" w:lineRule="auto"/>
        <w:rPr>
          <w:sz w:val="20"/>
          <w:szCs w:val="20"/>
          <w:color w:val="auto"/>
        </w:rPr>
      </w:pPr>
      <w:r>
        <w:rPr>
          <w:rFonts w:ascii="Arial" w:cs="Arial" w:eastAsia="Arial" w:hAnsi="Arial"/>
          <w:sz w:val="18"/>
          <w:szCs w:val="18"/>
          <w:color w:val="auto"/>
        </w:rPr>
        <w:t>The compensation committee of the board consists of Messrs. Deb, Schorr and Thomas. The compensation committee has overall responsibility for evaluating and approving our executive officer and director compensation plans, policies and programs, as well as all equity-based compensation plans and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99"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nominating and governance committee consists of Messrs. Norby, Potamianos and Thomas. The nominating and governance committee mandate is to identify qualified individuals to become members of the board, to oversee an annual evaluation of the board of directors and its committees to periodically review and recommend to the board any proposed changes to our corporate governance guidelines and to monitor our corporate governance structure.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9"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We have adopted a Code of Business Conduct and Ethics that applies to all of our directors, officers and employees. We will provide a copy of our Code of Business Conduct and Ethics without</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charge to any person upon written request made to our Senior Vice President, General Counsel and Secretary at c/o MagnaChip Semiconductor, Ltd., 891 Daechi-dong, Gangnam-gu, Seoul, 135-738, Korea. Our Code of Business Conduct and Ethics is also available on our website at www.magnachip.com.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2"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Objectives</w:t>
      </w:r>
      <w:r>
        <w:rPr>
          <w:rFonts w:ascii="Arial" w:cs="Arial" w:eastAsia="Arial" w:hAnsi="Arial"/>
          <w:sz w:val="18"/>
          <w:szCs w:val="18"/>
          <w:color w:val="auto"/>
        </w:rPr>
        <w:t>. The compensation committee (for purposes of this section, the “Committee”) of our board has overall responsibility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approving and monitoring our executive officer and director compensation plans, policies and programs, as well as all equity-based compensation plans and policies. The Committee ensures that the total compensation paid to executive officers is fair, reasonable and competitive. Throughout this prospectus, Sang Park, Robert J. Krakauer, Victoria Miller Nam, Tae Young Hwang, Chan Hee Lee, Jason Hartlove and Youm Huh are referred to as the “named executive officers.”</w:t>
      </w:r>
    </w:p>
    <w:p>
      <w:pPr>
        <w:spacing w:after="0" w:line="154"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The Committee evaluates our compensation packages to ensure that (1) we maintain our ability to attract and retain superior executives in critical positions and (2) compensation provided to critical executives remains competitive relative to the compensation paid to similarly situated executives of our peer companies. The Committee believes that the most effective executive compensation packages align executives’ interests with those of our stockholders by rewarding performance above specific annual, long-term and strategic goals that are intended to improve stockholder value. These objectives include the achievement of financial performance goals and progress in projects that our board of directors anticipates will lead to future growth as discussed more fully below.</w:t>
      </w:r>
    </w:p>
    <w:p>
      <w:pPr>
        <w:spacing w:after="0" w:line="138" w:lineRule="exact"/>
        <w:rPr>
          <w:sz w:val="20"/>
          <w:szCs w:val="20"/>
          <w:color w:val="auto"/>
        </w:rPr>
      </w:pPr>
    </w:p>
    <w:p>
      <w:pPr>
        <w:ind w:right="20" w:firstLine="571"/>
        <w:spacing w:after="0" w:line="278" w:lineRule="auto"/>
        <w:rPr>
          <w:sz w:val="20"/>
          <w:szCs w:val="20"/>
          <w:color w:val="auto"/>
        </w:rPr>
      </w:pPr>
      <w:r>
        <w:rPr>
          <w:rFonts w:ascii="Arial" w:cs="Arial" w:eastAsia="Arial" w:hAnsi="Arial"/>
          <w:sz w:val="16"/>
          <w:szCs w:val="16"/>
          <w:i w:val="1"/>
          <w:iCs w:val="1"/>
          <w:color w:val="auto"/>
        </w:rPr>
        <w:t xml:space="preserve">Determination of Compensation and Role of Executive Officers. </w:t>
      </w:r>
      <w:r>
        <w:rPr>
          <w:rFonts w:ascii="Arial" w:cs="Arial" w:eastAsia="Arial" w:hAnsi="Arial"/>
          <w:sz w:val="16"/>
          <w:szCs w:val="16"/>
          <w:color w:val="auto"/>
        </w:rPr>
        <w:t>We offer compensation to our named executive officers in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salary, cash incentives, equity incentives and perquisites. In making decisions regarding the pay of the named executive officers, the Committee looks to set a total compensation package for each officer that will retain high quality talent and motivate executives to achieve the goals set by our board of directors. As a general matter, we benchmark salaries for our named executive officers to median levels for companies in the semiconductor industry and provide incentive compensation to raise those salaries above such levels if incentive targets are achieved.</w:t>
      </w:r>
    </w:p>
    <w:p>
      <w:pPr>
        <w:spacing w:after="0" w:line="127"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The Committee annually reviews the performance of the chief executive officer, and the chief executive officer annually reviews the performance of our other named executive officers. The chief executive officer subsequently presents conclusions and recommendations regarding such officers, including proposed salary adjustments and incentive amounts, to the Committee. The Committee then makes the final decision regarding any adjustments or awards. The Committee’s annual determinations regarding executive compensation are subject to the terms of the respective service agreements between us and the named executive officers. In addition to the annual reviews, the chief executive officer and the Committee also typically consider compensation changes upon a named executive officer’s promotion or other change in job responsibility.</w:t>
      </w:r>
    </w:p>
    <w:p>
      <w:pPr>
        <w:spacing w:after="0" w:line="131" w:lineRule="exact"/>
        <w:rPr>
          <w:sz w:val="20"/>
          <w:szCs w:val="20"/>
          <w:color w:val="auto"/>
        </w:rPr>
      </w:pPr>
    </w:p>
    <w:p>
      <w:pPr>
        <w:ind w:right="80" w:firstLine="571"/>
        <w:spacing w:after="0" w:line="275" w:lineRule="auto"/>
        <w:rPr>
          <w:sz w:val="20"/>
          <w:szCs w:val="20"/>
          <w:color w:val="auto"/>
        </w:rPr>
      </w:pPr>
      <w:r>
        <w:rPr>
          <w:rFonts w:ascii="Arial" w:cs="Arial" w:eastAsia="Arial" w:hAnsi="Arial"/>
          <w:sz w:val="16"/>
          <w:szCs w:val="16"/>
          <w:color w:val="auto"/>
        </w:rPr>
        <w:t>The Committee approves general guidelines and plans regarding the cash compensation of all other officers, but has empowered the chief executive officer to make final compensation decisions within the Committee’s guidelines and plans. The Committee makes all equity compensation decisions for our officers based on established compensation arrangements for other executives at the same level of responsibility in our company and our market. The Committee may make additional equity compensation grants from time to time in its discretion.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In determining a compensation award, the Committee compares each element of total compensation against compensation offered by a group of peer companies in the semiconductor industry (as described below, collectively, the “Benchmark Group”). The composition of the Benchmark Group is determined annually by the Committee in consultation with the chief executive officer and our human resources department. For Korean executives, the Benchmark Group includes the following Korean technology companies: Samsung Electronics, LG.Philips LCD and Hynix. For U.S. and expatriate executives, the Committee relies on market data provided by commercial salary surveys of several U.S.-based technology companies.</w:t>
      </w:r>
    </w:p>
    <w:p>
      <w:pPr>
        <w:spacing w:after="0" w:line="156"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Committee seeks to establish the total cash compensation packages of our named executive officers slightly above the median total cash compensation of the Benchmark Group, subject to variations based on an executive officer’s experience and performance. The Committee then sets equity awards in accordance with peer companies in a similar growth stage. Equity awards are not tied to base salary or cash incentive amounts and will constitute lesser or greater proportions of total compensation depending on the fair value of the awards. The Committee does not apply a formula or assign these performance measures relative weights. Instead, it makes a subjective determination after considering such measures collectively. The Committee often has evaluated these metrics on a cumulative, rather than annual, basis as we have pursued our goals of becoming a public company.</w:t>
      </w:r>
    </w:p>
    <w:p>
      <w:pPr>
        <w:spacing w:after="0" w:line="13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Base salary is the guaranteed element of an employee’s annual cash compensation. Increases in base salary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long-term performance, skill set and the value of that skill set as well as changes to the compensation arrangements provided by the companies within our Benchmark Group. The Committee evaluates the performance of each named executive officer on an annual basis based on the accomplishment of objectives that were established at the beginning of the prior fiscal year as well as its own subjective evaluation of his or her performance. In making its evaluation, the Committee determines changes in the base salary of each named executive officer based on a qualitative assessment of his or her contribution to the performance of the Company during the preceding year, including assessing leadership, success in attaining particular goals of a division for which that officer has responsibility, overall financial performance of MagnaChip and such other criteria as the Committee may deem relevant.</w:t>
      </w:r>
    </w:p>
    <w:p>
      <w:pPr>
        <w:spacing w:after="0" w:line="14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i w:val="1"/>
          <w:iCs w:val="1"/>
          <w:color w:val="auto"/>
        </w:rPr>
        <w:t>Cash Incentives</w:t>
      </w:r>
      <w:r>
        <w:rPr>
          <w:rFonts w:ascii="Arial" w:cs="Arial" w:eastAsia="Arial" w:hAnsi="Arial"/>
          <w:sz w:val="18"/>
          <w:szCs w:val="18"/>
          <w:color w:val="auto"/>
        </w:rPr>
        <w:t>. Cash incentives comprise a significant portion of the total compensation package and are designed to reward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for their contributions to meeting and exceeding our goals and to recognize and reward our executives in achieving these goals. Incentives are designed as a percentage of base salary and are awarded based on individual performance and our achievement of the annual, long-term and strategic quantitative goals set by our Committee. Our Committee bases its quantitative goals on quarterly EBITDA and revenue goals for each segment and the overall company. The total yearly incentive is calculated and distributed on a quarterly basis, with 10% of the eligible incentive paid in the first fiscal quarter, 20% paid in the second fiscal quarter, 25% paid in the third fiscal quarter and 45% paid in the fourth fiscal quarter (each, an “Eligible Quarterly Incentive”). These incentives are awarded in three achievement levels, beginning with the achievement of 80% of targeted EBITDA and revenue goals and rising to 150% of target EBITDA and revenue. For each named executive officer, at the lowest achievement level, 70% of the Eligible Quarterly Incentive is awarded, at the middle achievement level, 100% of the Eligible Quarterly Incentive is awarded and at the highest achievement level, 150% of Eligible Quarterly Incentive is awarded. The three achievement levels are determined by the Committee based on forecasts prepared by us. The eligible incentive for named executives is set forth in each individual’s service agreement. See “—Service Agreements and Named Executive Officer Compensation.” The Committee has modified and may in the future modify the eligible incentive for our named executive officers. The incentive for the General Managers of our Imaging Solutions, Display Solutions and Semiconductor Manufacturing Services divisions are based on a combination of general corporate and divisional EBITDA and revenue goals, while incentive payments for the chief executive officer and other named executive officers are based exclusively on general corporate EBITDA and revenue goals. Officers who have responsibility for more than one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division are awarded the greater available incentive. In addition, the Committee and chief executive officer may award discretionary bonuses to recognize outstanding individual performance. In 2006, each of the named executive officers other than Dr. Huh were awarded discretionary bonuses.</w:t>
      </w:r>
    </w:p>
    <w:p>
      <w:pPr>
        <w:spacing w:after="0" w:line="136"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 In addition to cash incentives, we offer equity incentives as a way to enhance the link between the creation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value and executive incentive compensation and to give executives appropriate motivation and rewards for achieving increases in enterprise value. The Committee may grant participants restricted stock, stock options and stock appreciation rights. Although the Committee granted restricted unit awards at the time of the Original Acquisition (which will be converted into restricted stock awards upon our corporate reorganization), the Committee has determined that it will only grant restricted shares of common stock in the future in exceptional cases. In granting equity awards, the Committee may establish any conditions or restrictions it deems appropriate. Grants of restricted stock or stock options typically vest four years after the date of the grant, and all grants of our stock options are made at or above the fair market value of the stock at the time of the grant. Vesting and exercise rights generally cease upon termination of employment. Prior to the exercise of a stock option, the holder has no rights as a stockholder with respect to the stock subject to such option, including voting rights and the right to receive dividends or dividend equivalents.</w:t>
      </w:r>
    </w:p>
    <w:p>
      <w:pPr>
        <w:spacing w:after="0" w:line="162"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Our stockholders and board of directors have delegated to the Committee the authority to grant stock option awards within a total pool of our common stock available upon exercise of the stock options. The size of the option pool is based on market surveys of peer companies in a similar growth stage and on our stockholders’ determination of an appropriately-sized pool to ensure recruitment and retention of key executives and employees. Stock option award levels vary among participants based on their job grade and position. The Committee provides higher awards to those executives in positions considered by the Committee to be more critical. Stock option awards are not tied to base salary or cash incentive amounts.</w:t>
      </w:r>
    </w:p>
    <w:p>
      <w:pPr>
        <w:spacing w:after="0" w:line="156" w:lineRule="exact"/>
        <w:rPr>
          <w:sz w:val="20"/>
          <w:szCs w:val="20"/>
          <w:color w:val="auto"/>
        </w:rPr>
      </w:pPr>
    </w:p>
    <w:p>
      <w:pPr>
        <w:ind w:firstLine="571"/>
        <w:spacing w:after="0" w:line="266" w:lineRule="auto"/>
        <w:rPr>
          <w:sz w:val="20"/>
          <w:szCs w:val="20"/>
          <w:color w:val="auto"/>
        </w:rPr>
      </w:pPr>
      <w:r>
        <w:rPr>
          <w:rFonts w:ascii="Arial" w:cs="Arial" w:eastAsia="Arial" w:hAnsi="Arial"/>
          <w:sz w:val="16"/>
          <w:szCs w:val="16"/>
          <w:color w:val="auto"/>
        </w:rPr>
        <w:t>At this time, the Committee does not grant additional equity compensation to executives as part of the normal annual review process. However, the Committee will consider additional equity compensation in the event of new employment, or a promotion or change in job responsibility, such as when Mr. Park was appointed our chief executive officer. Upon the recommendation of our board of directors or chief executive officer, the Committee will from time to time consider performance-based equity incentives. For example, the March 2006 option grants to Mr. Krakauer, Mr. Hartlove, Ms. Miller Nam, Mr. Hwang and Mr. Lee were performance-based incentives under the MagnaChip Semiconductor LLC Equity Incentive Plan and were intended by our board of directors to further encourage these executive officers to advance MagnaChip toward an initial public offering of our common equity or other return on investment for our equityholders. The board made these grants at an exercise price above the then-fair market value of our common units. An installment of 25% of the common units subject to the options become vested and exercisable upon the earlier of: (1) the date of the first closing of a firmly underwritten public offering for any of our equity securities, and (2) the date, as designated in the sole discretion of the Committee, on which our equityholders as of October 6, 2004 achieve a 250% return on their investment. The remaining 75% of the common units subject to the options become vested and exercisable as to 25% of such common units on each of the first three successive annual anniversaries of the first vesting event, subject to the grantee’s continuous employment from the grant date to each such vesting date. The options expire on the tenth anniversary of the grant date, and the amounts of each grant are described in greater detail under “Grants of Plan Based Awards for the Fiscal Year Ended December 31, 2006.” The Committee determined the number of options to be appropriate based on improvement to our operating cash flow, acceleration of profit development and our overall performance.</w:t>
      </w:r>
    </w:p>
    <w:p>
      <w:pPr>
        <w:spacing w:after="0" w:line="328" w:lineRule="exact"/>
        <w:rPr>
          <w:sz w:val="20"/>
          <w:szCs w:val="20"/>
          <w:color w:val="auto"/>
        </w:rPr>
      </w:pPr>
    </w:p>
    <w:p>
      <w:pPr>
        <w:ind w:right="60" w:firstLine="571"/>
        <w:spacing w:after="0" w:line="260" w:lineRule="auto"/>
        <w:rPr>
          <w:sz w:val="20"/>
          <w:szCs w:val="20"/>
          <w:color w:val="auto"/>
        </w:rPr>
      </w:pPr>
      <w:r>
        <w:rPr>
          <w:rFonts w:ascii="Arial" w:cs="Arial" w:eastAsia="Arial" w:hAnsi="Arial"/>
          <w:sz w:val="18"/>
          <w:szCs w:val="18"/>
          <w:i w:val="1"/>
          <w:iCs w:val="1"/>
          <w:color w:val="auto"/>
        </w:rPr>
        <w:t>Perquisites and Other Benefits</w:t>
      </w:r>
      <w:r>
        <w:rPr>
          <w:rFonts w:ascii="Arial" w:cs="Arial" w:eastAsia="Arial" w:hAnsi="Arial"/>
          <w:sz w:val="18"/>
          <w:szCs w:val="18"/>
          <w:color w:val="auto"/>
        </w:rPr>
        <w:t>. We provide the named executive officers with perquisites and other personal benefits that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are reasonable and consistent with its overall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compensation program to better enable us to attract and retain superior employees for key positions. The Committee determines the level and types of expatriate benefits for the officers based on local market surveys taken by our Human Resources department. Attributed costs of the personal benefits for the named executive officers are as set forth in the Summary Compensation Table below.</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Mr. Park, Mr. Krakauer and Ms. Miller Nam were expatriates during all or part of 2006 and received expatriate benefits commensurate with market practice in Korea. These perquisites, which were determined on a individual basis, included housing allowances, relocation allowances, insurance premiums, reimbursement for the use of a car, home leave flights, living expenses, tax equalization payments and tax advisory services, each as the Committee deemed appropriate. The base salary and incentives for these named executive officers therefore constituted a lower proportion of total compensation in comparison to Messrs. Hwang and Lee, both of whom reside in their home country.</w:t>
      </w:r>
    </w:p>
    <w:p>
      <w:pPr>
        <w:spacing w:after="0" w:line="157" w:lineRule="exact"/>
        <w:rPr>
          <w:sz w:val="20"/>
          <w:szCs w:val="20"/>
          <w:color w:val="auto"/>
        </w:rPr>
      </w:pPr>
    </w:p>
    <w:p>
      <w:pPr>
        <w:ind w:right="40" w:firstLine="571"/>
        <w:spacing w:after="0" w:line="270" w:lineRule="auto"/>
        <w:rPr>
          <w:sz w:val="20"/>
          <w:szCs w:val="20"/>
          <w:color w:val="auto"/>
        </w:rPr>
      </w:pPr>
      <w:r>
        <w:rPr>
          <w:rFonts w:ascii="Arial" w:cs="Arial" w:eastAsia="Arial" w:hAnsi="Arial"/>
          <w:sz w:val="16"/>
          <w:szCs w:val="16"/>
          <w:color w:val="auto"/>
        </w:rPr>
        <w:t>In addition, pursuant to the Labor Standards Act of Korea, certain executive officers resident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Ms. Miller Nam, Mr. Hwang and Mr. Lee all accrue statutory severance. Prior to the Original Acquisition, Hynix attached a multiplier to the statutory severance amounts for former Hynix executives Mr. Hwang and Mr. Lee. Although our board has determined that we will not offer a statutory severance multiplier to any executives, in the interest of fairness, our board permitted Mr. Hwang and Mr. Lee to accrue a statutory severance multiplier of 3x (i.e., triple their statutory severance) for their service from October 6, 2004 to September 20, 2006, after which only the base statutory severance is available.</w:t>
      </w:r>
    </w:p>
    <w:p>
      <w:pPr>
        <w:spacing w:after="0" w:line="113" w:lineRule="exact"/>
        <w:rPr>
          <w:sz w:val="20"/>
          <w:szCs w:val="20"/>
          <w:color w:val="auto"/>
        </w:rPr>
      </w:pPr>
    </w:p>
    <w:p>
      <w:pPr>
        <w:ind w:right="100" w:firstLine="571"/>
        <w:spacing w:after="0" w:line="260" w:lineRule="auto"/>
        <w:rPr>
          <w:sz w:val="20"/>
          <w:szCs w:val="20"/>
          <w:color w:val="auto"/>
        </w:rPr>
      </w:pPr>
      <w:r>
        <w:rPr>
          <w:rFonts w:ascii="Arial" w:cs="Arial" w:eastAsia="Arial" w:hAnsi="Arial"/>
          <w:sz w:val="18"/>
          <w:szCs w:val="18"/>
          <w:i w:val="1"/>
          <w:iCs w:val="1"/>
          <w:color w:val="auto"/>
        </w:rPr>
        <w:t xml:space="preserve">Tax and Accounting Implications. </w:t>
      </w:r>
      <w:r>
        <w:rPr>
          <w:rFonts w:ascii="Arial" w:cs="Arial" w:eastAsia="Arial" w:hAnsi="Arial"/>
          <w:sz w:val="18"/>
          <w:szCs w:val="18"/>
          <w:color w:val="auto"/>
        </w:rPr>
        <w:t>Beginning on January 1, 2006, we began accounting for unit-based payments, including our unit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in accordance with the requirements of FASB Statement No. 123(R).</w:t>
      </w:r>
    </w:p>
    <w:p>
      <w:pPr>
        <w:spacing w:after="0" w:line="137" w:lineRule="exact"/>
        <w:rPr>
          <w:sz w:val="20"/>
          <w:szCs w:val="20"/>
          <w:color w:val="auto"/>
        </w:rPr>
      </w:pPr>
    </w:p>
    <w:p>
      <w:pPr>
        <w:jc w:val="both"/>
        <w:ind w:right="60" w:firstLine="571"/>
        <w:spacing w:after="0" w:line="264" w:lineRule="auto"/>
        <w:rPr>
          <w:sz w:val="20"/>
          <w:szCs w:val="20"/>
          <w:color w:val="auto"/>
        </w:rPr>
      </w:pPr>
      <w:r>
        <w:rPr>
          <w:rFonts w:ascii="Arial" w:cs="Arial" w:eastAsia="Arial" w:hAnsi="Arial"/>
          <w:sz w:val="16"/>
          <w:szCs w:val="16"/>
          <w:color w:val="auto"/>
        </w:rPr>
        <w:t>In November 2007, our board of directors adopted our 2008 Equity Incentive Plan and our 2008 Employee Stock Purchase Plan to provide our directors, executives and other employees with additional incentives by allowing them to acquire an ownership interest in our business and, as a result, encouraging them to contribute to our success. These plans will be effective upon the approval of our stockholders, which is currently</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anticipated to occur in February 2008. The number of shares reserved under each of the plans may not exceed and , respectively. The options to be granted under the 2008 Equity Incentive Plan will be nonqualified stock options that have an exercise price per share equal to the price set at the time of grant by our board of directors or by a committee of the board designated to administer the plan. The term of each option will be determined by our board of directors or by a designated committee of the board but the term of any option may not exceed ten years from the date of grant. Substantially all of our employees will be entitled to participate in the 2008 Employee Stock Purchase Plan, and we believe that the program will permit employees to participate in the success of our company in addition to any incentive compensation they may receive.</w:t>
      </w:r>
    </w:p>
    <w:p>
      <w:pPr>
        <w:spacing w:after="0" w:line="113" w:lineRule="exact"/>
        <w:rPr>
          <w:sz w:val="20"/>
          <w:szCs w:val="20"/>
          <w:color w:val="auto"/>
        </w:rPr>
      </w:pPr>
    </w:p>
    <w:p>
      <w:pPr>
        <w:ind w:right="340" w:firstLine="571"/>
        <w:spacing w:after="0" w:line="247" w:lineRule="auto"/>
        <w:rPr>
          <w:sz w:val="20"/>
          <w:szCs w:val="20"/>
          <w:color w:val="auto"/>
        </w:rPr>
      </w:pPr>
      <w:r>
        <w:rPr>
          <w:rFonts w:ascii="Arial" w:cs="Arial" w:eastAsia="Arial" w:hAnsi="Arial"/>
          <w:sz w:val="18"/>
          <w:szCs w:val="18"/>
          <w:i w:val="1"/>
          <w:iCs w:val="1"/>
          <w:color w:val="auto"/>
        </w:rPr>
        <w:t xml:space="preserve">Service Agreements and Named Executive Officer Compensation. </w:t>
      </w:r>
      <w:r>
        <w:rPr>
          <w:rFonts w:ascii="Arial" w:cs="Arial" w:eastAsia="Arial" w:hAnsi="Arial"/>
          <w:sz w:val="18"/>
          <w:szCs w:val="18"/>
          <w:color w:val="auto"/>
        </w:rPr>
        <w:t>Other than Youm Huh and Jason Hartlove,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are all parties to service agreements. The material terms of these agreements, and the equity compensation granted pursuant to these agreements, are as follows:</w:t>
      </w:r>
    </w:p>
    <w:p>
      <w:pPr>
        <w:spacing w:after="0" w:line="50"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 xml:space="preserve">Sang Park. </w:t>
      </w:r>
      <w:r>
        <w:rPr>
          <w:rFonts w:ascii="Arial" w:cs="Arial" w:eastAsia="Arial" w:hAnsi="Arial"/>
          <w:sz w:val="18"/>
          <w:szCs w:val="18"/>
          <w:color w:val="auto"/>
        </w:rPr>
        <w:t>Sang Park serves as Chairman and Chief Executive Officer of MagnaChip with an initial base salary of $450,000 per year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target annual incentive bonus opportunity of 100% of his base salary. Mr. Park is entitled to customary employee benefits including the cost of housing accommodations and expenses, and relocation expenses. The term of the service agreement extends for two years from May 27, 2006, with such initial term automatically extending for additional two-year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periods unless written notice is given by either party prior to the termination date. In accordance with the terms of his service agreement, Mr. Park received options to purchase 800,000 common units of MagnaChip Semiconductor LLC at a price of $1.02 per unit, the then-fair market value of a common unit. Twenty-five percent of Mr. Park’s options vest on the first anniversary of his service date and an additional 6.25% of the options vest at the end of each three month period thereafter on the same day of the month as the grant date or, if earlier, the last day of such month. The service agreement also contains customary non-competition and non-solicitation covenants lasting two and three years, respectively, from the date of termination of employment and confidentiality covenants of unlimited duration.</w:t>
      </w:r>
    </w:p>
    <w:p>
      <w:pPr>
        <w:spacing w:after="0" w:line="138" w:lineRule="exact"/>
        <w:rPr>
          <w:sz w:val="20"/>
          <w:szCs w:val="20"/>
          <w:color w:val="auto"/>
        </w:rPr>
      </w:pPr>
    </w:p>
    <w:p>
      <w:pPr>
        <w:ind w:right="60" w:firstLine="571"/>
        <w:spacing w:after="0" w:line="269" w:lineRule="auto"/>
        <w:rPr>
          <w:sz w:val="20"/>
          <w:szCs w:val="20"/>
          <w:color w:val="auto"/>
        </w:rPr>
      </w:pPr>
      <w:r>
        <w:rPr>
          <w:rFonts w:ascii="Arial" w:cs="Arial" w:eastAsia="Arial" w:hAnsi="Arial"/>
          <w:sz w:val="16"/>
          <w:szCs w:val="16"/>
          <w:i w:val="1"/>
          <w:iCs w:val="1"/>
          <w:color w:val="auto"/>
        </w:rPr>
        <w:t xml:space="preserve">Robert Krakauer. </w:t>
      </w:r>
      <w:r>
        <w:rPr>
          <w:rFonts w:ascii="Arial" w:cs="Arial" w:eastAsia="Arial" w:hAnsi="Arial"/>
          <w:sz w:val="16"/>
          <w:szCs w:val="16"/>
          <w:color w:val="auto"/>
        </w:rPr>
        <w:t>Mr. Krakauer serves as President, Chief Financial Officer and General Manager, Image Solutions Division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MagnaChip with an initial base salary of $375,000 per year and with a target annual incentive bonus opportunity of 100% of his base salary. Mr. Krakauer is entitled to customary employee benefits and, for so long as his place of business is located in Korea, expatriate/repatriation benefits, including relocation expenses, tax equalization payments, cost of housing accommodations and expenses. The term of the service agreement extends for three years from October 6, 2004, with such initial term automatically extending for additional one-year periods unless written notice is given by either party prior to the termination date. In accordance with the terms of his service agreement, Mr. Krakauer was granted 682,247 immediately exercisable options for restricted common units of MagnaChip Semiconductor LLC at a price of $1.00 per unit. Mr. Krakauer exercised his options on November 30, 2004. Under his restricted unit subscription agreement, restrictions on the units lapse as to 25% of the units on September 30, 2005 and as to 6.25% of the units on the last day of each calendar quarter thereafter, subject to his continuous employment with MagnaChip. The restrictions lapse as to all restricted units held by Mr. Krakauer upon a change in control after which</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Mr. Krakauer no longer serves as the Chief Financial Officer of MagnaChip. The restricted unit subscription agreements provide that the units are nontransferable and shall be subject to forfeiture upon termination of his employment. Upon termination, MagnaChip may repurchase any units for which the restrictions have not lapsed for $1.00, if termination is for cause (as defined in the agreement), or for fair market value, if termination is for any other reason. Mr. Krakauer has the right to vote the restricted units and to receive cash dividends, provided that dividends payable in units or other securities shall have the same status as restricted units. In connection with the exercise, Mr. Krakauer was entitled to a bonus of $677,293 to pay the exercise price of a portion of the options and an additional payment of $380,977 to cover U.S. federal income tax withholding related to such bonus. The service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43" w:lineRule="exact"/>
        <w:rPr>
          <w:sz w:val="20"/>
          <w:szCs w:val="20"/>
          <w:color w:val="auto"/>
        </w:rPr>
      </w:pPr>
    </w:p>
    <w:p>
      <w:pPr>
        <w:ind w:left="580"/>
        <w:spacing w:after="0"/>
        <w:tabs>
          <w:tab w:leader="none" w:pos="2280" w:val="left"/>
        </w:tabs>
        <w:rPr>
          <w:sz w:val="20"/>
          <w:szCs w:val="20"/>
          <w:color w:val="auto"/>
        </w:rPr>
      </w:pPr>
      <w:r>
        <w:rPr>
          <w:rFonts w:ascii="Arial" w:cs="Arial" w:eastAsia="Arial" w:hAnsi="Arial"/>
          <w:sz w:val="18"/>
          <w:szCs w:val="18"/>
          <w:i w:val="1"/>
          <w:iCs w:val="1"/>
          <w:color w:val="auto"/>
        </w:rPr>
        <w:t>Victoria Miller Nam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Ms. Miller Nam serves as Senior Vice President, Strategic Operations of MagnaChip with an initial base salary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$300,000 per year and with a target annual incentive bonus opportunity of 75% of her base salary. Ms. Miller Nam is entitled to customary</w:t>
      </w:r>
    </w:p>
    <w:p>
      <w:pPr>
        <w:spacing w:after="0" w:line="234" w:lineRule="auto"/>
        <w:rPr>
          <w:sz w:val="20"/>
          <w:szCs w:val="20"/>
          <w:color w:val="auto"/>
        </w:rPr>
      </w:pPr>
      <w:r>
        <w:rPr>
          <w:rFonts w:ascii="Arial" w:cs="Arial" w:eastAsia="Arial" w:hAnsi="Arial"/>
          <w:sz w:val="18"/>
          <w:szCs w:val="18"/>
          <w:color w:val="auto"/>
        </w:rPr>
        <w:t>employee benefits. The term of the service agreement extends for three years from December 29, 2004, with such initial term automatically</w:t>
      </w:r>
    </w:p>
    <w:p>
      <w:pPr>
        <w:spacing w:after="0" w:line="235" w:lineRule="auto"/>
        <w:rPr>
          <w:sz w:val="20"/>
          <w:szCs w:val="20"/>
          <w:color w:val="auto"/>
        </w:rPr>
      </w:pPr>
      <w:r>
        <w:rPr>
          <w:rFonts w:ascii="Arial" w:cs="Arial" w:eastAsia="Arial" w:hAnsi="Arial"/>
          <w:sz w:val="18"/>
          <w:szCs w:val="18"/>
          <w:color w:val="auto"/>
        </w:rPr>
        <w:t>extending for additional one-year periods absent prior written notice given by either party. Ms. Miller Nam was granted 136,450 immediately</w:t>
      </w:r>
    </w:p>
    <w:p>
      <w:pPr>
        <w:spacing w:after="0" w:line="235" w:lineRule="auto"/>
        <w:rPr>
          <w:sz w:val="20"/>
          <w:szCs w:val="20"/>
          <w:color w:val="auto"/>
        </w:rPr>
      </w:pPr>
      <w:r>
        <w:rPr>
          <w:rFonts w:ascii="Arial" w:cs="Arial" w:eastAsia="Arial" w:hAnsi="Arial"/>
          <w:sz w:val="18"/>
          <w:szCs w:val="18"/>
          <w:color w:val="auto"/>
        </w:rPr>
        <w:t>exercisable options for restricted common units of MagnaChip Semiconductor LLC at a price of $1.00 per unit. Ms. Miller Nam exercised her</w:t>
      </w:r>
    </w:p>
    <w:p>
      <w:pPr>
        <w:spacing w:after="0" w:line="235" w:lineRule="auto"/>
        <w:rPr>
          <w:sz w:val="20"/>
          <w:szCs w:val="20"/>
          <w:color w:val="auto"/>
        </w:rPr>
      </w:pPr>
      <w:r>
        <w:rPr>
          <w:rFonts w:ascii="Arial" w:cs="Arial" w:eastAsia="Arial" w:hAnsi="Arial"/>
          <w:sz w:val="18"/>
          <w:szCs w:val="18"/>
          <w:color w:val="auto"/>
        </w:rPr>
        <w:t>options on November 30, 2004. Under her restricted unit subscription agreement, restrictions on the units lapse as to 25% of the units on</w:t>
      </w:r>
    </w:p>
    <w:p>
      <w:pPr>
        <w:spacing w:after="0"/>
        <w:rPr>
          <w:sz w:val="20"/>
          <w:szCs w:val="20"/>
          <w:color w:val="auto"/>
        </w:rPr>
      </w:pPr>
      <w:r>
        <w:rPr>
          <w:rFonts w:ascii="Arial" w:cs="Arial" w:eastAsia="Arial" w:hAnsi="Arial"/>
          <w:sz w:val="16"/>
          <w:szCs w:val="16"/>
          <w:color w:val="auto"/>
        </w:rPr>
        <w:t>September 30, 2005 and as to 6.25% of the units on the last day of each calendar quarter thereafter, subject to her continuous employment with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MagnaChip. The restricted unit subscription agreements provide that the units are nontransferable and shall be subject to forfeiture upon</w:t>
      </w:r>
    </w:p>
    <w:p>
      <w:pPr>
        <w:spacing w:after="0" w:line="234" w:lineRule="auto"/>
        <w:rPr>
          <w:sz w:val="20"/>
          <w:szCs w:val="20"/>
          <w:color w:val="auto"/>
        </w:rPr>
      </w:pPr>
      <w:r>
        <w:rPr>
          <w:rFonts w:ascii="Arial" w:cs="Arial" w:eastAsia="Arial" w:hAnsi="Arial"/>
          <w:sz w:val="18"/>
          <w:szCs w:val="18"/>
          <w:color w:val="auto"/>
        </w:rPr>
        <w:t>termination of the officer’s employment. Upon termination, MagnaChip may repurchase any units for which the restrictions have not lapsed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$1.00, if termination is for cause (as defined in the agreement), or for fair market value, if termination is for any other reason. Ms. Miller Nam has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right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to vote the restricted units and to receive cash dividends, provided that dividends payable in units or other securities shall have the same status as restricted units. The service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37"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i w:val="1"/>
          <w:iCs w:val="1"/>
          <w:color w:val="auto"/>
        </w:rPr>
        <w:t xml:space="preserve">Chan Hee Lee. </w:t>
      </w:r>
      <w:r>
        <w:rPr>
          <w:rFonts w:ascii="Arial" w:cs="Arial" w:eastAsia="Arial" w:hAnsi="Arial"/>
          <w:sz w:val="18"/>
          <w:szCs w:val="18"/>
          <w:color w:val="auto"/>
        </w:rPr>
        <w:t>Mr. Lee serves as Executive Vice President and General Manager, Semiconductor Manufacturing Services of MagnaChip</w:t>
      </w:r>
      <w:r>
        <w:rPr>
          <w:rFonts w:ascii="Arial" w:cs="Arial" w:eastAsia="Arial" w:hAnsi="Arial"/>
          <w:sz w:val="18"/>
          <w:szCs w:val="18"/>
          <w:i w:val="1"/>
          <w:iCs w:val="1"/>
          <w:color w:val="auto"/>
        </w:rPr>
        <w:t xml:space="preserve"> </w:t>
      </w:r>
      <w:r>
        <w:rPr>
          <w:rFonts w:ascii="Arial" w:cs="Arial" w:eastAsia="Arial" w:hAnsi="Arial"/>
          <w:sz w:val="18"/>
          <w:szCs w:val="18"/>
          <w:color w:val="auto"/>
        </w:rPr>
        <w:t>with an initial base salary of 200,000,000 Korean won per year (approximately $209,577) and with a target annual incentive bonus opportunity of 80% of his base salary and rewards opportunities based on his performance. Mr. Lee is also entitled to customary employee benefits. The initial term of Mr. Lee’s service agreement was from October 1, 2004 to September 30, 2005. In October 2004, Mr. Lee received options to purchase 272,899 common units of MagnaChip Semiconductor LLC at a price of $1.00 per unit. Twenty-five percent of Mr. Lee’s options vested on September 30, 2005 and an additional 6.25% of the options vest on the last day of each calendar quarter thereafter. The service agreement contains customary service invention assignment provisions, customary non-competition covenants lasting a year from the date of termination of the agreement, and confidentiality covenants of unlimited duration.</w:t>
      </w:r>
    </w:p>
    <w:p>
      <w:pPr>
        <w:spacing w:after="0" w:line="14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Tae Young Hwang. </w:t>
      </w:r>
      <w:r>
        <w:rPr>
          <w:rFonts w:ascii="Arial" w:cs="Arial" w:eastAsia="Arial" w:hAnsi="Arial"/>
          <w:sz w:val="18"/>
          <w:szCs w:val="18"/>
          <w:color w:val="auto"/>
        </w:rPr>
        <w:t>Mr. Hwang serves as Executive Vice President, Manufacturing Division, and General Manager of Large Display</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of MagnaChip with an initial base salary of 220,000,000 Korean won per year (approximately $230,539) and with a target annual incentive bonus opportunity of 80% of his base salary and rewards opportunities based on his performance. Mr. Hwang is also entitled to customary employee benefits. The initial term of Mr. Hwang’s service agreement was from October 1, 2004 to September 30, 2005. In October 2004, Mr. Hwang received options to purchase 272,899 common units of MagnaChip Semiconductor LLC at a price of $1.00 per unit. Twenty-five percent of Mr. Hwang’s options vested on September 30, 2005 and an additional 6.25% of the options vest on the last day of each calendar quarter thereafter. The service agreement contains customary service invention assignment provisions, customary non-competition covenants lasting a year from the date of termination of the agreement, and confidentiality covenants of unlimited duration.</w:t>
      </w:r>
    </w:p>
    <w:p>
      <w:pPr>
        <w:spacing w:after="0" w:line="159" w:lineRule="exact"/>
        <w:rPr>
          <w:sz w:val="20"/>
          <w:szCs w:val="20"/>
          <w:color w:val="auto"/>
        </w:rPr>
      </w:pPr>
    </w:p>
    <w:p>
      <w:pPr>
        <w:ind w:right="460" w:firstLine="571"/>
        <w:spacing w:after="0" w:line="273" w:lineRule="auto"/>
        <w:rPr>
          <w:sz w:val="20"/>
          <w:szCs w:val="20"/>
          <w:color w:val="auto"/>
        </w:rPr>
      </w:pPr>
      <w:r>
        <w:rPr>
          <w:rFonts w:ascii="Arial" w:cs="Arial" w:eastAsia="Arial" w:hAnsi="Arial"/>
          <w:sz w:val="16"/>
          <w:szCs w:val="16"/>
          <w:color w:val="auto"/>
        </w:rPr>
        <w:t>Prior to their respective resignations, Youm Huh and Jason Hartlove were parties to service agreements. Both received compensation packages similar to our current executive officers in comparable positions, including similar base salaries, target incentives, and expatriate benefits. As our first Chief Executive Officer, Dr. Huh additionally received a grant of immediately exercisable options to purchase restricted common units of MagnaChip Semiconductor LLC, while Mr. Hartlove received two grants of options to purchase common units of MagnaChip Semiconductor LLC. See “—Option Exercises and Stock Vested for the Fiscal Year Ended December 31, 2006.”</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The following table sets forth certain information concerning the compensation earned during the year ended December 31, 2006, of our named executive officers.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38"/>
        </w:trPr>
        <w:tc>
          <w:tcPr>
            <w:tcW w:w="34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Salary</w:t>
            </w:r>
          </w:p>
        </w:tc>
        <w:tc>
          <w:tcPr>
            <w:tcW w:w="32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Awards</w:t>
            </w:r>
          </w:p>
        </w:tc>
        <w:tc>
          <w:tcPr>
            <w:tcW w:w="320" w:type="dxa"/>
            <w:vAlign w:val="bottom"/>
          </w:tcPr>
          <w:p>
            <w:pPr>
              <w:spacing w:after="0"/>
              <w:rPr>
                <w:sz w:val="12"/>
                <w:szCs w:val="12"/>
                <w:color w:val="auto"/>
              </w:rPr>
            </w:pPr>
          </w:p>
        </w:tc>
        <w:tc>
          <w:tcPr>
            <w:tcW w:w="520" w:type="dxa"/>
            <w:vAlign w:val="bottom"/>
            <w:gridSpan w:val="2"/>
          </w:tcPr>
          <w:p>
            <w:pPr>
              <w:jc w:val="right"/>
              <w:ind w:right="20"/>
              <w:spacing w:after="0" w:line="13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82"/>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84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 (1)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4"/>
                <w:szCs w:val="14"/>
                <w:color w:val="auto"/>
              </w:rPr>
              <w:t>Sang Park</w:t>
            </w:r>
          </w:p>
        </w:tc>
        <w:tc>
          <w:tcPr>
            <w:tcW w:w="320" w:type="dxa"/>
            <w:vAlign w:val="bottom"/>
          </w:tcPr>
          <w:p>
            <w:pPr>
              <w:spacing w:after="0"/>
              <w:rPr>
                <w:sz w:val="11"/>
                <w:szCs w:val="11"/>
                <w:color w:val="auto"/>
              </w:rPr>
            </w:pPr>
          </w:p>
        </w:tc>
        <w:tc>
          <w:tcPr>
            <w:tcW w:w="30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color w:val="auto"/>
                <w:w w:val="89"/>
              </w:rPr>
              <w:t>2006</w:t>
            </w:r>
          </w:p>
        </w:tc>
        <w:tc>
          <w:tcPr>
            <w:tcW w:w="340" w:type="dxa"/>
            <w:vAlign w:val="bottom"/>
          </w:tcPr>
          <w:p>
            <w:pPr>
              <w:spacing w:after="0"/>
              <w:rPr>
                <w:sz w:val="11"/>
                <w:szCs w:val="11"/>
                <w:color w:val="auto"/>
              </w:rPr>
            </w:pPr>
          </w:p>
        </w:tc>
        <w:tc>
          <w:tcPr>
            <w:tcW w:w="5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262,500</w:t>
            </w:r>
          </w:p>
        </w:tc>
        <w:tc>
          <w:tcPr>
            <w:tcW w:w="320" w:type="dxa"/>
            <w:vAlign w:val="bottom"/>
          </w:tcPr>
          <w:p>
            <w:pPr>
              <w:spacing w:after="0"/>
              <w:rPr>
                <w:sz w:val="11"/>
                <w:szCs w:val="11"/>
                <w:color w:val="auto"/>
              </w:rPr>
            </w:pPr>
          </w:p>
        </w:tc>
        <w:tc>
          <w:tcPr>
            <w:tcW w:w="5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w w:val="94"/>
              </w:rPr>
              <w:t>130,000</w:t>
            </w: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62,473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Chairman and Chief Executive Officer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Robert J. Krakauer</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375,000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President and Chief Financial Officer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Victoria Miller Nam</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300,000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Senior Vice President, Strategic Operations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Tae Young Hwang</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230,539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20,087</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Executive Vice President, Manufacturing Division,</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and General Manager of Large Display Solutions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Chan Hee Lee</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209,577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20,087</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Executive Vice President and General Manager,</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Semiconductor Manufacturing Services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Jason Hartlove</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309,201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31,898</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w w:val="98"/>
              </w:rPr>
              <w:t>Former Senior Vice President and General Manager,</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Imaging Solutions Division (8)</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Youm Huh</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400,000</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Senior Advisor and former Chief Executive Officer</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and President (10)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-2014220</wp:posOffset>
            </wp:positionV>
            <wp:extent cx="7246620" cy="1974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1974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246620"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291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Change in</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Pension</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Value</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Non-</w:t>
            </w: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and Non-</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qualified</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Deferred</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Compen-</w:t>
            </w: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All Other</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Compen-</w:t>
            </w:r>
          </w:p>
        </w:tc>
        <w:tc>
          <w:tcPr>
            <w:tcW w:w="32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sation</w:t>
            </w: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Compen-</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2"/>
        </w:trPr>
        <w:tc>
          <w:tcPr>
            <w:tcW w:w="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sation</w:t>
            </w:r>
          </w:p>
        </w:tc>
        <w:tc>
          <w:tcPr>
            <w:tcW w:w="320" w:type="dxa"/>
            <w:vAlign w:val="bottom"/>
          </w:tcPr>
          <w:p>
            <w:pPr>
              <w:spacing w:after="0"/>
              <w:rPr>
                <w:sz w:val="13"/>
                <w:szCs w:val="13"/>
                <w:color w:val="auto"/>
              </w:rPr>
            </w:pPr>
          </w:p>
        </w:tc>
        <w:tc>
          <w:tcPr>
            <w:tcW w:w="1160" w:type="dxa"/>
            <w:vAlign w:val="bottom"/>
            <w:gridSpan w:val="2"/>
          </w:tcPr>
          <w:p>
            <w:pPr>
              <w:jc w:val="center"/>
              <w:ind w:right="500"/>
              <w:spacing w:after="0" w:line="152" w:lineRule="exact"/>
              <w:rPr>
                <w:sz w:val="20"/>
                <w:szCs w:val="20"/>
                <w:color w:val="auto"/>
              </w:rPr>
            </w:pPr>
            <w:r>
              <w:rPr>
                <w:rFonts w:ascii="Arial" w:cs="Arial" w:eastAsia="Arial" w:hAnsi="Arial"/>
                <w:sz w:val="14"/>
                <w:szCs w:val="14"/>
                <w:b w:val="1"/>
                <w:bCs w:val="1"/>
                <w:color w:val="auto"/>
                <w:w w:val="96"/>
              </w:rPr>
              <w:t>Earnings</w:t>
            </w:r>
          </w:p>
        </w:tc>
        <w:tc>
          <w:tcPr>
            <w:tcW w:w="1160" w:type="dxa"/>
            <w:vAlign w:val="bottom"/>
            <w:gridSpan w:val="2"/>
          </w:tcPr>
          <w:p>
            <w:pPr>
              <w:jc w:val="center"/>
              <w:ind w:right="560"/>
              <w:spacing w:after="0" w:line="152" w:lineRule="exact"/>
              <w:rPr>
                <w:sz w:val="20"/>
                <w:szCs w:val="20"/>
                <w:color w:val="auto"/>
              </w:rPr>
            </w:pPr>
            <w:r>
              <w:rPr>
                <w:rFonts w:ascii="Arial" w:cs="Arial" w:eastAsia="Arial" w:hAnsi="Arial"/>
                <w:sz w:val="14"/>
                <w:szCs w:val="14"/>
                <w:b w:val="1"/>
                <w:bCs w:val="1"/>
                <w:color w:val="auto"/>
                <w:w w:val="96"/>
              </w:rPr>
              <w:t>sation</w:t>
            </w:r>
          </w:p>
        </w:tc>
        <w:tc>
          <w:tcPr>
            <w:tcW w:w="520" w:type="dxa"/>
            <w:vAlign w:val="bottom"/>
            <w:gridSpan w:val="2"/>
          </w:tcPr>
          <w:p>
            <w:pPr>
              <w:jc w:val="center"/>
              <w:ind w:right="20"/>
              <w:spacing w:after="0" w:line="152" w:lineRule="exact"/>
              <w:rPr>
                <w:sz w:val="20"/>
                <w:szCs w:val="20"/>
                <w:color w:val="auto"/>
              </w:rPr>
            </w:pPr>
            <w:r>
              <w:rPr>
                <w:rFonts w:ascii="Arial" w:cs="Arial" w:eastAsia="Arial" w:hAnsi="Arial"/>
                <w:sz w:val="14"/>
                <w:szCs w:val="14"/>
                <w:b w:val="1"/>
                <w:bCs w:val="1"/>
                <w:color w:val="auto"/>
                <w:w w:val="89"/>
              </w:rPr>
              <w:t>Total</w:t>
            </w:r>
          </w:p>
        </w:tc>
      </w:tr>
      <w:tr>
        <w:trPr>
          <w:trHeight w:val="17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r>
      <w:tr>
        <w:trPr>
          <w:trHeight w:val="156"/>
        </w:trPr>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tcPr>
          <w:p>
            <w:pPr>
              <w:jc w:val="right"/>
              <w:ind w:right="400"/>
              <w:spacing w:after="0" w:line="156" w:lineRule="exact"/>
              <w:rPr>
                <w:sz w:val="20"/>
                <w:szCs w:val="20"/>
                <w:color w:val="auto"/>
              </w:rPr>
            </w:pPr>
            <w:r>
              <w:rPr>
                <w:rFonts w:ascii="Arial" w:cs="Arial" w:eastAsia="Arial" w:hAnsi="Arial"/>
                <w:sz w:val="14"/>
                <w:szCs w:val="14"/>
                <w:color w:val="auto"/>
              </w:rPr>
              <w:t>321,129(2)</w:t>
            </w:r>
          </w:p>
        </w:tc>
        <w:tc>
          <w:tcPr>
            <w:tcW w:w="500" w:type="dxa"/>
            <w:vAlign w:val="bottom"/>
          </w:tcPr>
          <w:p>
            <w:pPr>
              <w:jc w:val="center"/>
              <w:spacing w:after="0" w:line="156" w:lineRule="exact"/>
              <w:rPr>
                <w:sz w:val="20"/>
                <w:szCs w:val="20"/>
                <w:color w:val="auto"/>
              </w:rPr>
            </w:pPr>
            <w:r>
              <w:rPr>
                <w:rFonts w:ascii="Arial" w:cs="Arial" w:eastAsia="Arial" w:hAnsi="Arial"/>
                <w:sz w:val="14"/>
                <w:szCs w:val="14"/>
                <w:color w:val="auto"/>
                <w:w w:val="94"/>
              </w:rPr>
              <w:t>776,102</w:t>
            </w:r>
          </w:p>
        </w:tc>
        <w:tc>
          <w:tcPr>
            <w:tcW w:w="20" w:type="dxa"/>
            <w:vAlign w:val="bottom"/>
          </w:tcPr>
          <w:p>
            <w:pPr>
              <w:spacing w:after="0"/>
              <w:rPr>
                <w:sz w:val="13"/>
                <w:szCs w:val="13"/>
                <w:color w:val="auto"/>
              </w:rPr>
            </w:pPr>
          </w:p>
        </w:tc>
      </w:tr>
      <w:tr>
        <w:trPr>
          <w:trHeight w:val="377"/>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387,090(3)</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842,090</w:t>
            </w:r>
          </w:p>
        </w:tc>
      </w:tr>
      <w:tr>
        <w:trPr>
          <w:trHeight w:val="378"/>
        </w:trPr>
        <w:tc>
          <w:tcPr>
            <w:tcW w:w="60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Arial" w:cs="Arial" w:eastAsia="Arial" w:hAnsi="Arial"/>
                <w:sz w:val="14"/>
                <w:szCs w:val="14"/>
                <w:color w:val="auto"/>
              </w:rPr>
              <w:t>25,246(4)</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96,515(5)</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451,761</w:t>
            </w:r>
          </w:p>
        </w:tc>
      </w:tr>
      <w:tr>
        <w:trPr>
          <w:trHeight w:val="378"/>
        </w:trPr>
        <w:tc>
          <w:tcPr>
            <w:tcW w:w="60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Arial" w:cs="Arial" w:eastAsia="Arial" w:hAnsi="Arial"/>
                <w:sz w:val="14"/>
                <w:szCs w:val="14"/>
                <w:color w:val="auto"/>
              </w:rPr>
              <w:t>49,283(4)</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11,617(6)</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361,526</w:t>
            </w:r>
          </w:p>
        </w:tc>
      </w:tr>
      <w:tr>
        <w:trPr>
          <w:trHeight w:val="527"/>
        </w:trPr>
        <w:tc>
          <w:tcPr>
            <w:tcW w:w="60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Arial" w:cs="Arial" w:eastAsia="Arial" w:hAnsi="Arial"/>
                <w:sz w:val="14"/>
                <w:szCs w:val="14"/>
                <w:color w:val="auto"/>
              </w:rPr>
              <w:t>44,803(4)</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20,272(7)</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344,739</w:t>
            </w:r>
          </w:p>
        </w:tc>
      </w:tr>
      <w:tr>
        <w:trPr>
          <w:trHeight w:val="527"/>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35,481(9)</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426,580</w:t>
            </w:r>
          </w:p>
        </w:tc>
      </w:tr>
      <w:tr>
        <w:trPr>
          <w:trHeight w:val="527"/>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275,964(11)</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675,964</w:t>
            </w:r>
          </w:p>
        </w:tc>
      </w:tr>
    </w:tbl>
    <w:p>
      <w:pPr>
        <w:spacing w:after="0" w:line="497" w:lineRule="exact"/>
        <w:rPr>
          <w:sz w:val="20"/>
          <w:szCs w:val="20"/>
          <w:color w:val="auto"/>
        </w:rPr>
      </w:pPr>
    </w:p>
    <w:p>
      <w:pPr>
        <w:sectPr>
          <w:pgSz w:w="11900" w:h="16838" w:orient="portrait"/>
          <w:cols w:equalWidth="0" w:num="2">
            <w:col w:w="7360" w:space="320"/>
            <w:col w:w="3740"/>
          </w:cols>
          <w:pgMar w:left="240" w:top="459" w:right="239" w:bottom="1440" w:gutter="0" w:footer="0" w:header="0"/>
          <w:type w:val="continuous"/>
        </w:sectPr>
      </w:pPr>
    </w:p>
    <w:p>
      <w:pPr>
        <w:spacing w:after="0" w:line="29"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Note: Amounts set forth in the above table that were originally paid in Korean won have been converted into U.S. dollars at the exchange rate as of each payment date during our fiscal year ended December 31, 2006. Pension value represents severance benefits.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30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This amount is calculated using the dollar amount recognized for financial statement reporting purposes with respect to the fiscal year in accordance with FAS 123(R). See “Note 13. Equity Incentive Plan” to the MagnaChip Semiconductor LLC audited consolidated financial statements for the years ended December 31, 2006, 2005 and 2004.</w:t>
      </w:r>
    </w:p>
    <w:p>
      <w:pPr>
        <w:ind w:left="340" w:hanging="332"/>
        <w:spacing w:after="0" w:line="25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Park: (a) $62,872 for prepayment of Mr. Park’s housing expenses for two years; (b) $200,000 for Mr. Park’s relocation allowance when he joined us; (c) $20,610 for insurance premiums paid during the fiscal year 2006 for the benefit of Mr. Park; and (d) $37,647 for other personal benefits (including monthly rent for</w:t>
      </w:r>
    </w:p>
    <w:p>
      <w:pPr>
        <w:ind w:left="340"/>
        <w:spacing w:after="0" w:line="221" w:lineRule="auto"/>
        <w:rPr>
          <w:rFonts w:ascii="Arial" w:cs="Arial" w:eastAsia="Arial" w:hAnsi="Arial"/>
          <w:sz w:val="12"/>
          <w:szCs w:val="12"/>
          <w:color w:val="auto"/>
        </w:rPr>
      </w:pPr>
      <w:r>
        <w:rPr>
          <w:rFonts w:ascii="Arial" w:cs="Arial" w:eastAsia="Arial" w:hAnsi="Arial"/>
          <w:sz w:val="14"/>
          <w:szCs w:val="14"/>
          <w:color w:val="auto"/>
        </w:rPr>
        <w:t>Mr. Park’s housing lease for three months, and reimbursement of the use of a car, home leave flights and living expenses).</w:t>
      </w:r>
    </w:p>
    <w:p>
      <w:pPr>
        <w:ind w:left="340" w:right="280" w:hanging="332"/>
        <w:spacing w:after="0" w:line="23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Krakauer: (a) $176,042 for prepayment of Mr. Krakauer’s housing expenses for two years; (b) $40,848 for reimbursement of living expenses; (c) $69,485 for reimbursement of tuition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expenses for Mr. Krakauer’s children; (d) $32,405 for the amount settled between Mr. Krakauer’s receivables from us and his tax equalization payment to us for the fiscal year 2004;</w:t>
      </w:r>
    </w:p>
    <w:p>
      <w:pPr>
        <w:ind w:left="540" w:hanging="194"/>
        <w:spacing w:after="0" w:line="221" w:lineRule="auto"/>
        <w:tabs>
          <w:tab w:leader="none" w:pos="54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$23,547 for insurance premiums paid during the fiscal year 2006 for the benefit of Mr. Krakauer; (f) $2,399 for tax equalization settlement from us for the fiscal year 2005; and</w:t>
      </w:r>
    </w:p>
    <w:p>
      <w:pPr>
        <w:ind w:left="540" w:hanging="194"/>
        <w:spacing w:after="0"/>
        <w:tabs>
          <w:tab w:leader="none" w:pos="540" w:val="left"/>
        </w:tabs>
        <w:numPr>
          <w:ilvl w:val="1"/>
          <w:numId w:val="45"/>
        </w:numPr>
        <w:rPr>
          <w:rFonts w:ascii="Arial" w:cs="Arial" w:eastAsia="Arial" w:hAnsi="Arial"/>
          <w:sz w:val="14"/>
          <w:szCs w:val="14"/>
          <w:color w:val="auto"/>
        </w:rPr>
      </w:pPr>
      <w:r>
        <w:rPr>
          <w:rFonts w:ascii="Arial" w:cs="Arial" w:eastAsia="Arial" w:hAnsi="Arial"/>
          <w:sz w:val="14"/>
          <w:szCs w:val="14"/>
          <w:color w:val="auto"/>
        </w:rPr>
        <w:t>$42,364 for other personal benefits (including reimbursement of the use of a car and personal tax advisory expenses).</w:t>
      </w:r>
    </w:p>
    <w:p>
      <w:pPr>
        <w:spacing w:after="0" w:line="1" w:lineRule="exact"/>
        <w:rPr>
          <w:rFonts w:ascii="Arial" w:cs="Arial" w:eastAsia="Arial" w:hAnsi="Arial"/>
          <w:sz w:val="14"/>
          <w:szCs w:val="14"/>
          <w:color w:val="auto"/>
        </w:rPr>
      </w:pPr>
    </w:p>
    <w:p>
      <w:pPr>
        <w:ind w:left="340" w:righ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statutory severance accrued during the fiscal year ended December 31, 2006. See the section subtitled “Compensation Discussion and Analysis” for a description of the statutory severance benefit.</w:t>
      </w:r>
    </w:p>
    <w:p>
      <w:pPr>
        <w:ind w:left="340" w:right="30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Ms. Miller Nam: (a) $22,924 for insurance premiums paid during the fiscal year 2006 for the benefit of Ms. Miller Nam; (b) $68,376 for reimbursement of tuition expenses for Ms. Miller Nam’s children; and (c) $5,215 for reimbursement of the use of a car.</w:t>
      </w: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Reimbursement of the use of a car.</w:t>
      </w:r>
    </w:p>
    <w:p>
      <w:pPr>
        <w:ind w:left="340" w:hanging="332"/>
        <w:spacing w:after="0"/>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Lee: (a) $12,812 for reimbursement of the use of a car; and (b) $7,460 for reimbursement of tuition expenses for Mr. Lee’s children.</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Hartlove resigned as Senior Vice President and General Manager, Imaging Solutions Division, effective March 9, 2007.</w:t>
      </w:r>
    </w:p>
    <w:p>
      <w:pPr>
        <w:ind w:left="340" w:right="460" w:hanging="332"/>
        <w:spacing w:after="0" w:line="258"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Hartlove: (a) $18,935 for insurance premiums paid during the fiscal year 2006 for the benefit of Mr. Hartlove; (b) $7,802 for reimbursement of personal tax advisory expenses; and (c) $8,744 for other personal benefits (including reimbursement of the use of a car, and personal legal advisory expenses).</w:t>
      </w: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Dr. Huh resigned as Chief Executive Officer, President, and Director effective May 27, 2006.</w:t>
      </w:r>
    </w:p>
    <w:p>
      <w:pPr>
        <w:ind w:left="340" w:right="100" w:hanging="332"/>
        <w:spacing w:after="0" w:line="228"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following personal benefits paid to Dr. Huh: (a) $54,220 for insurance premiums paid during the fiscal year 2006 for the benefit of Dr. Huh; (b) $31,792 for payment for unused annual holidays of Dr. Huh during the fiscal year 2006; (c) $174,569 for the amount settled between Dr. Huh’s receivables from us and his tax equalization payment to us for the fiscal year 2004; and (d) $15,383 for other personal benefits (including reimbursement of the use of a car and tuition expenses for Dr. Huh’s children).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 for the Fiscal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Payouts</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Under</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56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Exercise</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56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or Base</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56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Price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Board</w:t>
            </w:r>
          </w:p>
        </w:tc>
        <w:tc>
          <w:tcPr>
            <w:tcW w:w="4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56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Option</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Grant</w:t>
            </w:r>
          </w:p>
        </w:tc>
        <w:tc>
          <w:tcPr>
            <w:tcW w:w="580" w:type="dxa"/>
            <w:vAlign w:val="bottom"/>
          </w:tcPr>
          <w:p>
            <w:pPr>
              <w:spacing w:after="0"/>
              <w:rPr>
                <w:sz w:val="10"/>
                <w:szCs w:val="10"/>
                <w:color w:val="auto"/>
              </w:rPr>
            </w:pPr>
          </w:p>
        </w:tc>
        <w:tc>
          <w:tcPr>
            <w:tcW w:w="620" w:type="dxa"/>
            <w:vAlign w:val="bottom"/>
          </w:tcPr>
          <w:p>
            <w:pPr>
              <w:ind w:left="20"/>
              <w:spacing w:after="0" w:line="125" w:lineRule="exact"/>
              <w:rPr>
                <w:sz w:val="20"/>
                <w:szCs w:val="20"/>
                <w:color w:val="auto"/>
              </w:rPr>
            </w:pPr>
            <w:r>
              <w:rPr>
                <w:rFonts w:ascii="Arial" w:cs="Arial" w:eastAsia="Arial" w:hAnsi="Arial"/>
                <w:sz w:val="14"/>
                <w:szCs w:val="14"/>
                <w:b w:val="1"/>
                <w:bCs w:val="1"/>
                <w:color w:val="auto"/>
                <w:w w:val="95"/>
              </w:rPr>
              <w:t>Approval</w:t>
            </w:r>
          </w:p>
        </w:tc>
        <w:tc>
          <w:tcPr>
            <w:tcW w:w="44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Target</w:t>
            </w:r>
          </w:p>
        </w:tc>
        <w:tc>
          <w:tcPr>
            <w:tcW w:w="560" w:type="dxa"/>
            <w:vAlign w:val="bottom"/>
          </w:tcPr>
          <w:p>
            <w:pPr>
              <w:spacing w:after="0"/>
              <w:rPr>
                <w:sz w:val="10"/>
                <w:szCs w:val="10"/>
                <w:color w:val="auto"/>
              </w:rPr>
            </w:pPr>
          </w:p>
        </w:tc>
        <w:tc>
          <w:tcPr>
            <w:tcW w:w="1140" w:type="dxa"/>
            <w:vAlign w:val="bottom"/>
            <w:gridSpan w:val="2"/>
          </w:tcPr>
          <w:p>
            <w:pPr>
              <w:jc w:val="center"/>
              <w:ind w:right="580"/>
              <w:spacing w:after="0" w:line="125"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gridSpan w:val="2"/>
          </w:tcPr>
          <w:p>
            <w:pPr>
              <w:jc w:val="center"/>
              <w:ind w:right="20"/>
              <w:spacing w:after="0" w:line="125"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65"/>
        </w:trPr>
        <w:tc>
          <w:tcPr>
            <w:tcW w:w="62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($/Sh)</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27</w:t>
            </w: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w w:val="95"/>
              </w:rPr>
              <w:t>May 17(2)</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7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tcPr>
          <w:p>
            <w:pPr>
              <w:spacing w:after="0" w:line="149" w:lineRule="exact"/>
              <w:rPr>
                <w:sz w:val="20"/>
                <w:szCs w:val="20"/>
                <w:color w:val="auto"/>
              </w:rPr>
            </w:pPr>
            <w:r>
              <w:rPr>
                <w:rFonts w:ascii="Arial" w:cs="Arial" w:eastAsia="Arial" w:hAnsi="Arial"/>
                <w:sz w:val="14"/>
                <w:szCs w:val="14"/>
                <w:color w:val="auto"/>
              </w:rPr>
              <w:t>Robert J. Krakauer</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185,000</w:t>
            </w:r>
          </w:p>
        </w:tc>
        <w:tc>
          <w:tcPr>
            <w:tcW w:w="17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tcPr>
          <w:p>
            <w:pPr>
              <w:spacing w:after="0" w:line="149" w:lineRule="exact"/>
              <w:rPr>
                <w:sz w:val="20"/>
                <w:szCs w:val="20"/>
                <w:color w:val="auto"/>
              </w:rPr>
            </w:pPr>
            <w:r>
              <w:rPr>
                <w:rFonts w:ascii="Arial" w:cs="Arial" w:eastAsia="Arial" w:hAnsi="Arial"/>
                <w:sz w:val="14"/>
                <w:szCs w:val="14"/>
                <w:color w:val="auto"/>
              </w:rPr>
              <w:t>Tae Young Hwang</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w:t>
            </w:r>
          </w:p>
        </w:tc>
        <w:tc>
          <w:tcPr>
            <w:tcW w:w="17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Chan Hee Lee</w:t>
            </w: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7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tcPr>
          <w:p>
            <w:pPr>
              <w:spacing w:after="0" w:line="149" w:lineRule="exact"/>
              <w:rPr>
                <w:sz w:val="20"/>
                <w:szCs w:val="20"/>
                <w:color w:val="auto"/>
              </w:rPr>
            </w:pPr>
            <w:r>
              <w:rPr>
                <w:rFonts w:ascii="Arial" w:cs="Arial" w:eastAsia="Arial" w:hAnsi="Arial"/>
                <w:sz w:val="14"/>
                <w:szCs w:val="14"/>
                <w:color w:val="auto"/>
              </w:rPr>
              <w:t>Jason Hartlove (3)</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w:t>
            </w:r>
          </w:p>
        </w:tc>
        <w:tc>
          <w:tcPr>
            <w:tcW w:w="17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Youm Huh</w:t>
            </w: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300" w:hanging="332"/>
        <w:spacing w:after="0" w:line="22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 describe the option award calculation method under to SFAS No. 123(R) in “Note 13. Equity Incentive Plan” to the MagnaChip Semiconductor LLC audited consolidated financial statements for the years ended December 31, 2006, 2005 and 2004.</w:t>
      </w:r>
    </w:p>
    <w:p>
      <w:pPr>
        <w:ind w:left="340" w:hanging="332"/>
        <w:spacing w:after="0"/>
        <w:tabs>
          <w:tab w:leader="none" w:pos="3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Although our Board of Directors approved the option grant to Mr. Park on May 17, 2006, the option grant was not effective until the start date of Mr. Park’s employment on May 27, 2006.</w:t>
      </w:r>
    </w:p>
    <w:p>
      <w:pPr>
        <w:spacing w:after="0" w:line="10" w:lineRule="exact"/>
        <w:rPr>
          <w:rFonts w:ascii="Arial" w:cs="Arial" w:eastAsia="Arial" w:hAnsi="Arial"/>
          <w:sz w:val="12"/>
          <w:szCs w:val="12"/>
          <w:color w:val="auto"/>
        </w:rPr>
      </w:pPr>
    </w:p>
    <w:p>
      <w:pPr>
        <w:ind w:left="340" w:right="340" w:hanging="332"/>
        <w:spacing w:after="0" w:line="23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Hartlove resigned as Senior Vice President and General Manager, Imaging Solutions Division, effective March 9, 2007. The reported equity award terminated unvested upon his resignation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2006 Fiscal Year-End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8"/>
              </w:rPr>
              <w:t>Option Awards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580"/>
              <w:spacing w:after="0" w:line="125" w:lineRule="exact"/>
              <w:rPr>
                <w:sz w:val="20"/>
                <w:szCs w:val="20"/>
                <w:color w:val="auto"/>
              </w:rPr>
            </w:pPr>
            <w:r>
              <w:rPr>
                <w:rFonts w:ascii="Arial" w:cs="Arial" w:eastAsia="Arial" w:hAnsi="Arial"/>
                <w:sz w:val="14"/>
                <w:szCs w:val="14"/>
                <w:b w:val="1"/>
                <w:bCs w:val="1"/>
                <w:color w:val="auto"/>
                <w:w w:val="93"/>
              </w:rPr>
              <w:t>Equity</w:t>
            </w:r>
          </w:p>
        </w:tc>
        <w:tc>
          <w:tcPr>
            <w:tcW w:w="5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jc w:val="center"/>
              <w:ind w:right="580"/>
              <w:spacing w:after="0" w:line="152" w:lineRule="exact"/>
              <w:rPr>
                <w:sz w:val="20"/>
                <w:szCs w:val="20"/>
                <w:color w:val="auto"/>
              </w:rPr>
            </w:pPr>
            <w:r>
              <w:rPr>
                <w:rFonts w:ascii="Arial" w:cs="Arial" w:eastAsia="Arial" w:hAnsi="Arial"/>
                <w:sz w:val="14"/>
                <w:szCs w:val="14"/>
                <w:b w:val="1"/>
                <w:bCs w:val="1"/>
                <w:color w:val="auto"/>
                <w:w w:val="98"/>
              </w:rPr>
              <w:t>Incentive</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2"/>
          </w:tcPr>
          <w:p>
            <w:pPr>
              <w:jc w:val="center"/>
              <w:ind w:right="160"/>
              <w:spacing w:after="0" w:line="152"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Plan</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Number of</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Securities</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8"/>
              </w:rPr>
              <w:t>Underlying</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Shares or</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Units That</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Options (#)</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t>
            </w:r>
          </w:p>
        </w:tc>
        <w:tc>
          <w:tcPr>
            <w:tcW w:w="34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Unearned</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Exercise</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Have Not</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Exercisable</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Unexercisable</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Options (#)</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Price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20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Vested</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Vested</w:t>
            </w:r>
          </w:p>
        </w:tc>
        <w:tc>
          <w:tcPr>
            <w:tcW w:w="0" w:type="dxa"/>
            <w:vAlign w:val="bottom"/>
          </w:tcPr>
          <w:p>
            <w:pPr>
              <w:spacing w:after="0"/>
              <w:rPr>
                <w:sz w:val="1"/>
                <w:szCs w:val="1"/>
                <w:color w:val="auto"/>
              </w:rPr>
            </w:pP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(column b)</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(column c)</w:t>
            </w:r>
          </w:p>
        </w:tc>
        <w:tc>
          <w:tcPr>
            <w:tcW w:w="34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(column 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Date</w:t>
            </w:r>
          </w:p>
        </w:tc>
        <w:tc>
          <w:tcPr>
            <w:tcW w:w="8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800,000(1)</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1.02</w:t>
            </w:r>
          </w:p>
        </w:tc>
        <w:tc>
          <w:tcPr>
            <w:tcW w:w="66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05/27/16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40" w:type="dxa"/>
            <w:vAlign w:val="bottom"/>
            <w:gridSpan w:val="3"/>
          </w:tcPr>
          <w:p>
            <w:pPr>
              <w:spacing w:after="0"/>
              <w:rPr>
                <w:sz w:val="20"/>
                <w:szCs w:val="20"/>
                <w:color w:val="auto"/>
              </w:rPr>
            </w:pPr>
            <w:r>
              <w:rPr>
                <w:rFonts w:ascii="Arial" w:cs="Arial" w:eastAsia="Arial" w:hAnsi="Arial"/>
                <w:sz w:val="14"/>
                <w:szCs w:val="14"/>
                <w:color w:val="auto"/>
              </w:rPr>
              <w:t>Robert J. Krakauer</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4"/>
                <w:szCs w:val="14"/>
                <w:color w:val="auto"/>
              </w:rPr>
              <w:t>185,000(2)</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1.50</w:t>
            </w:r>
          </w:p>
        </w:tc>
        <w:tc>
          <w:tcPr>
            <w:tcW w:w="660" w:type="dxa"/>
            <w:vAlign w:val="bottom"/>
          </w:tcPr>
          <w:p>
            <w:pPr>
              <w:jc w:val="center"/>
              <w:ind w:left="72"/>
              <w:spacing w:after="0"/>
              <w:rPr>
                <w:sz w:val="20"/>
                <w:szCs w:val="20"/>
                <w:color w:val="auto"/>
              </w:rPr>
            </w:pPr>
            <w:r>
              <w:rPr>
                <w:rFonts w:ascii="Arial" w:cs="Arial" w:eastAsia="Arial" w:hAnsi="Arial"/>
                <w:sz w:val="14"/>
                <w:szCs w:val="14"/>
                <w:color w:val="auto"/>
                <w:w w:val="95"/>
              </w:rPr>
              <w:t>03/09/16</w:t>
            </w:r>
          </w:p>
        </w:tc>
        <w:tc>
          <w:tcPr>
            <w:tcW w:w="200" w:type="dxa"/>
            <w:vAlign w:val="bottom"/>
          </w:tcPr>
          <w:p>
            <w:pPr>
              <w:spacing w:after="0"/>
              <w:rPr>
                <w:sz w:val="19"/>
                <w:szCs w:val="19"/>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4"/>
                <w:szCs w:val="14"/>
                <w:color w:val="auto"/>
              </w:rPr>
              <w:t>298,483(3)</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304,453(4)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40,000(2)</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w:t>
            </w:r>
          </w:p>
        </w:tc>
        <w:tc>
          <w:tcPr>
            <w:tcW w:w="66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03/09/16</w:t>
            </w:r>
          </w:p>
        </w:tc>
        <w:tc>
          <w:tcPr>
            <w:tcW w:w="20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59,696(3)</w:t>
            </w: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60,891(4)</w:t>
            </w:r>
          </w:p>
        </w:tc>
        <w:tc>
          <w:tcPr>
            <w:tcW w:w="0" w:type="dxa"/>
            <w:vAlign w:val="bottom"/>
          </w:tcPr>
          <w:p>
            <w:pPr>
              <w:spacing w:after="0"/>
              <w:rPr>
                <w:sz w:val="1"/>
                <w:szCs w:val="1"/>
                <w:color w:val="auto"/>
              </w:rPr>
            </w:pPr>
          </w:p>
        </w:tc>
      </w:tr>
      <w:tr>
        <w:trPr>
          <w:trHeight w:val="215"/>
        </w:trPr>
        <w:tc>
          <w:tcPr>
            <w:tcW w:w="3340" w:type="dxa"/>
            <w:vAlign w:val="bottom"/>
            <w:gridSpan w:val="3"/>
          </w:tcPr>
          <w:p>
            <w:pPr>
              <w:spacing w:after="0"/>
              <w:rPr>
                <w:sz w:val="20"/>
                <w:szCs w:val="20"/>
                <w:color w:val="auto"/>
              </w:rPr>
            </w:pPr>
            <w:r>
              <w:rPr>
                <w:rFonts w:ascii="Arial" w:cs="Arial" w:eastAsia="Arial" w:hAnsi="Arial"/>
                <w:sz w:val="14"/>
                <w:szCs w:val="14"/>
                <w:color w:val="auto"/>
              </w:rPr>
              <w:t>Tae Young Hwang</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153,505</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119,393(5)</w:t>
            </w:r>
          </w:p>
        </w:tc>
        <w:tc>
          <w:tcPr>
            <w:tcW w:w="1720" w:type="dxa"/>
            <w:vAlign w:val="bottom"/>
            <w:gridSpan w:val="3"/>
          </w:tcPr>
          <w:p>
            <w:pPr>
              <w:jc w:val="right"/>
              <w:ind w:right="400"/>
              <w:spacing w:after="0"/>
              <w:rPr>
                <w:sz w:val="20"/>
                <w:szCs w:val="20"/>
                <w:color w:val="auto"/>
              </w:rPr>
            </w:pPr>
            <w:r>
              <w:rPr>
                <w:rFonts w:ascii="Arial" w:cs="Arial" w:eastAsia="Arial" w:hAnsi="Arial"/>
                <w:sz w:val="14"/>
                <w:szCs w:val="14"/>
                <w:color w:val="auto"/>
              </w:rPr>
              <w:t>25,000(2)</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cols. b, c:</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cols. b, c:</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5"/>
              </w:rPr>
              <w:t>10/06/14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col. d:</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col. 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1.50</w:t>
            </w:r>
          </w:p>
        </w:tc>
        <w:tc>
          <w:tcPr>
            <w:tcW w:w="660" w:type="dxa"/>
            <w:vAlign w:val="bottom"/>
          </w:tcPr>
          <w:p>
            <w:pPr>
              <w:jc w:val="center"/>
              <w:ind w:left="72"/>
              <w:spacing w:after="0"/>
              <w:rPr>
                <w:sz w:val="20"/>
                <w:szCs w:val="20"/>
                <w:color w:val="auto"/>
              </w:rPr>
            </w:pPr>
            <w:r>
              <w:rPr>
                <w:rFonts w:ascii="Arial" w:cs="Arial" w:eastAsia="Arial" w:hAnsi="Arial"/>
                <w:sz w:val="14"/>
                <w:szCs w:val="14"/>
                <w:color w:val="auto"/>
                <w:w w:val="95"/>
              </w:rPr>
              <w:t>03/09/16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Chan Hee Lee</w:t>
            </w:r>
          </w:p>
        </w:tc>
        <w:tc>
          <w:tcPr>
            <w:tcW w:w="116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4"/>
                <w:szCs w:val="14"/>
                <w:color w:val="auto"/>
              </w:rPr>
              <w:t>153,505</w:t>
            </w:r>
          </w:p>
        </w:tc>
        <w:tc>
          <w:tcPr>
            <w:tcW w:w="11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119,393(5)</w:t>
            </w:r>
          </w:p>
        </w:tc>
        <w:tc>
          <w:tcPr>
            <w:tcW w:w="172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4"/>
                <w:szCs w:val="14"/>
                <w:color w:val="auto"/>
              </w:rPr>
              <w:t>25,000(2)</w:t>
            </w:r>
          </w:p>
        </w:tc>
        <w:tc>
          <w:tcPr>
            <w:tcW w:w="9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w w:val="94"/>
              </w:rPr>
              <w:t>cols. b, c:</w:t>
            </w:r>
          </w:p>
        </w:tc>
        <w:tc>
          <w:tcPr>
            <w:tcW w:w="86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4"/>
                <w:szCs w:val="14"/>
                <w:color w:val="auto"/>
                <w:w w:val="94"/>
              </w:rPr>
              <w:t>cols. b, c:</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10/06/14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col. d:</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col. 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w:t>
            </w:r>
          </w:p>
        </w:tc>
        <w:tc>
          <w:tcPr>
            <w:tcW w:w="66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03/09/16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340" w:type="dxa"/>
            <w:vAlign w:val="bottom"/>
            <w:gridSpan w:val="3"/>
          </w:tcPr>
          <w:p>
            <w:pPr>
              <w:spacing w:after="0"/>
              <w:rPr>
                <w:sz w:val="20"/>
                <w:szCs w:val="20"/>
                <w:color w:val="auto"/>
              </w:rPr>
            </w:pPr>
            <w:r>
              <w:rPr>
                <w:rFonts w:ascii="Arial" w:cs="Arial" w:eastAsia="Arial" w:hAnsi="Arial"/>
                <w:sz w:val="14"/>
                <w:szCs w:val="14"/>
                <w:color w:val="auto"/>
              </w:rPr>
              <w:t>Jason Hartlove</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112,500</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187,500(6)</w:t>
            </w:r>
          </w:p>
        </w:tc>
        <w:tc>
          <w:tcPr>
            <w:tcW w:w="1720" w:type="dxa"/>
            <w:vAlign w:val="bottom"/>
            <w:gridSpan w:val="3"/>
          </w:tcPr>
          <w:p>
            <w:pPr>
              <w:jc w:val="right"/>
              <w:ind w:right="400"/>
              <w:spacing w:after="0"/>
              <w:rPr>
                <w:sz w:val="20"/>
                <w:szCs w:val="20"/>
                <w:color w:val="auto"/>
              </w:rPr>
            </w:pPr>
            <w:r>
              <w:rPr>
                <w:rFonts w:ascii="Arial" w:cs="Arial" w:eastAsia="Arial" w:hAnsi="Arial"/>
                <w:sz w:val="14"/>
                <w:szCs w:val="14"/>
                <w:color w:val="auto"/>
              </w:rPr>
              <w:t>25,000(6)</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cols. b, c:</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cols. b, c:</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5"/>
              </w:rPr>
              <w:t>05/16/15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col. d:</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col. 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1.50</w:t>
            </w:r>
          </w:p>
        </w:tc>
        <w:tc>
          <w:tcPr>
            <w:tcW w:w="660" w:type="dxa"/>
            <w:vAlign w:val="bottom"/>
          </w:tcPr>
          <w:p>
            <w:pPr>
              <w:jc w:val="center"/>
              <w:ind w:left="72"/>
              <w:spacing w:after="0"/>
              <w:rPr>
                <w:sz w:val="20"/>
                <w:szCs w:val="20"/>
                <w:color w:val="auto"/>
              </w:rPr>
            </w:pPr>
            <w:r>
              <w:rPr>
                <w:rFonts w:ascii="Arial" w:cs="Arial" w:eastAsia="Arial" w:hAnsi="Arial"/>
                <w:sz w:val="14"/>
                <w:szCs w:val="14"/>
                <w:color w:val="auto"/>
                <w:w w:val="95"/>
              </w:rPr>
              <w:t>03/09/16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10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vested and became exercisable on May 27, 2007, and an additional 6.25% of the options vest at the end of each three month period thereafter on the same day of the month as the grant date or, if earlier, the last day of such month.</w:t>
      </w:r>
    </w:p>
    <w:p>
      <w:pPr>
        <w:ind w:left="340" w:right="4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become vested and exercisable upon the earlier of: (i) the date of the first closing of a firmly underwritten public offering for any of our equity securities, and (ii) the date as designated in the sole discretion of the Committee as the date upon which our equityholders as of October 6, 2004, have achieved a 250% return on their investment. The remaining 75% of the common units subject to the options become vested and exercisable in three equal installments on each of the first three successive annual anniversaries of the first vesting event, subject to the grantee’s continuous employment from the grant date to each such vesting date.</w:t>
      </w:r>
    </w:p>
    <w:p>
      <w:pPr>
        <w:spacing w:after="0" w:line="1" w:lineRule="exact"/>
        <w:rPr>
          <w:rFonts w:ascii="Arial" w:cs="Arial" w:eastAsia="Arial" w:hAnsi="Arial"/>
          <w:sz w:val="14"/>
          <w:szCs w:val="14"/>
          <w:color w:val="auto"/>
        </w:rPr>
      </w:pPr>
    </w:p>
    <w:p>
      <w:pPr>
        <w:ind w:left="340" w:right="14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Restricted common units received upon the exercise of a fully vested option granted November 30, 2004. The restrictions on the units lapse on the last day of each calendar quarter as to 6.25% of the total amount of restricted common units originally awarded.</w:t>
      </w:r>
    </w:p>
    <w:p>
      <w:pPr>
        <w:ind w:left="340" w:right="8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During fiscal year 2006, there was no established public trading market for our outstanding common equity. We determined the reported value based on a third-party fair value appraisal of our common units as of December 31, 2006.</w:t>
      </w:r>
    </w:p>
    <w:p>
      <w:pPr>
        <w:ind w:left="34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Installments of 6.25% of the total common units subject to the options become vested and exercisable on the last day of each calendar quarter.</w:t>
      </w:r>
    </w:p>
    <w:p>
      <w:pPr>
        <w:jc w:val="both"/>
        <w:ind w:left="340" w:right="260" w:hanging="332"/>
        <w:spacing w:after="0" w:line="228"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Hartlove resigned as Senior Vice President and General Manager, Imaging Solutions Division, effective March 9, 2007. The reported unvested option awards terminated upon his resignation date. On May 4, 2007, Mr. Hartlove exercised options for 80,000 of the common units of MagnaChip Semiconductor LLC. Thereafter, the remainder of the options expired unexercised in accordance with their terms.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MagnaChip Semiconductor LLC California Equity Incentive Plan and the MagnaChip Semiconductor LLC Equity Incentive Plan</w:t>
      </w:r>
    </w:p>
    <w:p>
      <w:pPr>
        <w:spacing w:after="0" w:line="97"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In October 2004 and March 2005, respectively, the board of directors of MagnaChip Semiconductor LLC adopted the MagnaChip Semiconductor LLC Equity Incentive Plan and the MagnaChip Semiconductor LLC California Equity Incentive Plan, which we refer to as the Prior Plans. The equityholders of MagnaChip Semiconductor LLC approved the Prior Plans in October 2004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and March 2005, respectively. The Prior Plans each provide for the award of nonstatutory options, unit appreciation rights, or SARs, and restricted unit awards to employees, consultants or non-employee directors of MagnaChip and its subsidiaries. However, only options and restricted unit awards have been granted under the Prior Plans. Subject to adjustment in the event of certain corporate transactions or events, the maximum aggregate number of MagnaChip units that are available for grant under both plans is 7,890,864, all of which may be granted under either plan. Units subject to awards that expire, are forfeited or otherwise terminate will again be available for grant under the plans.</w:t>
      </w:r>
    </w:p>
    <w:p>
      <w:pPr>
        <w:spacing w:after="0" w:line="157" w:lineRule="exact"/>
        <w:rPr>
          <w:sz w:val="20"/>
          <w:szCs w:val="20"/>
          <w:color w:val="auto"/>
        </w:rPr>
      </w:pPr>
    </w:p>
    <w:p>
      <w:pPr>
        <w:ind w:right="100" w:firstLine="571"/>
        <w:spacing w:after="0" w:line="264" w:lineRule="auto"/>
        <w:rPr>
          <w:sz w:val="20"/>
          <w:szCs w:val="20"/>
          <w:color w:val="auto"/>
        </w:rPr>
      </w:pPr>
      <w:r>
        <w:rPr>
          <w:rFonts w:ascii="Arial" w:cs="Arial" w:eastAsia="Arial" w:hAnsi="Arial"/>
          <w:sz w:val="16"/>
          <w:szCs w:val="16"/>
          <w:color w:val="auto"/>
        </w:rPr>
        <w:t>The Prior Plans are substantially identical, except that the California Equity Incentive Plan contains certain provisions required for compliance with then applicable California law. In connection with our corporate reorganization, we will assume the rights and obligations of MagnaChip Semiconductor LLC under the Prior Plans and convert MagnaChip Semiconductor LLC unit options outstanding under the Prior Plans</w:t>
      </w:r>
    </w:p>
    <w:p>
      <w:pPr>
        <w:spacing w:after="0" w:line="1"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into options to acquire a number of shares of our common stock at a ratio of on substantially equivalent terms and conditions. Following the corporate reorganization, a combined total of shares of common stock will be reserved for issuance under the Prior Plans. As of</w:t>
      </w:r>
    </w:p>
    <w:p>
      <w:pPr>
        <w:spacing w:after="0" w:line="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September 30, 2007, based upon the common units of MagnaChip Semiconductor LLC outstanding as of September 30, 2007 and after giving pro forma effect to the corporate reorganization pursuant to which each common unit will be exchanged for shares of our common stock at a ratio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40" w:firstLine="586"/>
        <w:spacing w:after="0" w:line="234" w:lineRule="auto"/>
        <w:rPr>
          <w:sz w:val="20"/>
          <w:szCs w:val="20"/>
          <w:color w:val="auto"/>
        </w:rPr>
      </w:pPr>
      <w:r>
        <w:rPr>
          <w:rFonts w:ascii="Arial" w:cs="Arial" w:eastAsia="Arial" w:hAnsi="Arial"/>
          <w:sz w:val="18"/>
          <w:szCs w:val="18"/>
          <w:color w:val="auto"/>
        </w:rPr>
        <w:t>, there would have been outstanding under the Prior Plans options to purchase shares of common stock, at a weighted average exercise price of $ per share. Our board of directors will terminate the Prior Plans effective upon the closing of this offering, and no</w:t>
      </w:r>
    </w:p>
    <w:p>
      <w:pPr>
        <w:spacing w:after="0" w:line="2"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additional options or other equity awards may be granted under the Prior Plans following their termination. However, options granted under the Prior Plans prior to their termination will remain outstanding until they are either exercised or expire.</w:t>
      </w:r>
    </w:p>
    <w:p>
      <w:pPr>
        <w:spacing w:after="0" w:line="155" w:lineRule="exact"/>
        <w:rPr>
          <w:sz w:val="20"/>
          <w:szCs w:val="20"/>
          <w:color w:val="auto"/>
        </w:rPr>
      </w:pPr>
    </w:p>
    <w:p>
      <w:pPr>
        <w:jc w:val="both"/>
        <w:ind w:right="60" w:firstLine="571"/>
        <w:spacing w:after="0" w:line="237" w:lineRule="auto"/>
        <w:rPr>
          <w:sz w:val="20"/>
          <w:szCs w:val="20"/>
          <w:color w:val="auto"/>
        </w:rPr>
      </w:pPr>
      <w:r>
        <w:rPr>
          <w:rFonts w:ascii="Arial" w:cs="Arial" w:eastAsia="Arial" w:hAnsi="Arial"/>
          <w:sz w:val="18"/>
          <w:szCs w:val="18"/>
          <w:color w:val="auto"/>
        </w:rPr>
        <w:t>The Prior Plans are administered by the compensation committee of our board of directors. Subject to the provisions of the Prior Plans, the committee determined in its discretion the persons to whom and the times at which awards were granted, the sizes of such awards, and all of their terms and conditions. All awards are evidenced by a written agreement between us and the holder of the award. The committee has the authority to construe and interpret the terms of the Prior Plans and awards granted under them.</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the event of a merger, consolidation, change in control or liquidation of our company, the committee has the authority to take any of the following actions with respect to one or more outstanding options: accelerate the vesting of outstanding options or SARs; require that awards be assumed or replaced with awards of equivalent value by the successor corporation; terminate any award immediately prior to any such transaction, provided that at least seven days written notice is provided to the option or SAR holders affording them an opportunity to exercise the options or SARs; cancel the outstanding awards in exchange for a payment in cash of the fair market value of restricted units or the excess, if any, of the fair market value of the shares subject to an option or SAR less the exercise price per share of such option or base price of such SAR; or any other action that the committee considers to be reasonable under the circumstances.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97"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Our 2008 Equity Incentive Plan, or the 2008 Plan, was approved by our board of directors in November 2007 and will be effective upon its approval by our stockholders, currently anticipated in February 2008.</w:t>
      </w:r>
    </w:p>
    <w:p>
      <w:pPr>
        <w:spacing w:after="0" w:line="155"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A total of shares of our common stock will be initially authorized and reserved for issuance under the 2008 Plan. This reserve will automatically increase on January 1, 2009 and each subsequent anniversary through 2017, by an amount equal to the smaller of (a) percent of the number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shares of stock issued and outstanding on the immediately preceding December 31, or (b) a lesser amount determined by the board. Appropriate adjustments will be made in the number of authorized shares and other numerical limits in the 2008 Plan and in outstanding awards to prevent dilution or enlargement of participants’ rights in the event of a stock split or other change in our capital structure. Shares subject to awards which expire or are cancelled or forfeited will again become available for issuance under the 2008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2008 Plan.</w:t>
      </w:r>
    </w:p>
    <w:p>
      <w:pPr>
        <w:spacing w:after="0" w:line="155" w:lineRule="exact"/>
        <w:rPr>
          <w:sz w:val="20"/>
          <w:szCs w:val="20"/>
          <w:color w:val="auto"/>
        </w:rPr>
      </w:pPr>
    </w:p>
    <w:p>
      <w:pPr>
        <w:jc w:val="both"/>
        <w:ind w:right="20" w:firstLine="571"/>
        <w:spacing w:after="0" w:line="236" w:lineRule="auto"/>
        <w:rPr>
          <w:sz w:val="20"/>
          <w:szCs w:val="20"/>
          <w:color w:val="auto"/>
        </w:rPr>
      </w:pPr>
      <w:r>
        <w:rPr>
          <w:rFonts w:ascii="Arial" w:cs="Arial" w:eastAsia="Arial" w:hAnsi="Arial"/>
          <w:sz w:val="18"/>
          <w:szCs w:val="18"/>
          <w:color w:val="auto"/>
        </w:rPr>
        <w:t>Awards may be granted under the 2008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 Non-employee director awards will be granted only to members of our board of directors who, at the time of grant, are not employees.</w:t>
      </w:r>
    </w:p>
    <w:p>
      <w:pPr>
        <w:spacing w:after="0" w:line="157"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Only members of the board of directors who are not employees at the time of grant are eligible to participate in the nonemployee director awards component of the 2008 Plan. The board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55" w:lineRule="exact"/>
        <w:rPr>
          <w:sz w:val="20"/>
          <w:szCs w:val="20"/>
          <w:color w:val="auto"/>
        </w:rPr>
      </w:pPr>
    </w:p>
    <w:p>
      <w:pPr>
        <w:ind w:right="140" w:firstLine="571"/>
        <w:spacing w:after="0" w:line="235" w:lineRule="auto"/>
        <w:rPr>
          <w:sz w:val="20"/>
          <w:szCs w:val="20"/>
          <w:color w:val="auto"/>
        </w:rPr>
      </w:pPr>
      <w:r>
        <w:rPr>
          <w:rFonts w:ascii="Arial" w:cs="Arial" w:eastAsia="Arial" w:hAnsi="Arial"/>
          <w:sz w:val="18"/>
          <w:szCs w:val="18"/>
          <w:color w:val="auto"/>
        </w:rPr>
        <w:t>In the event of a change in control as described in the 2008 Plan, the acquiring or successor entity may assume or continue all or any awards outstanding under the 2008 Plan or substitute substantially equivalent awards. Any awards which are not assumed or continued in connection with a change in control or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2008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Employee Stock Purchase Plan</w:t>
      </w:r>
    </w:p>
    <w:p>
      <w:pPr>
        <w:spacing w:after="0" w:line="97"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Our 2008 Employee Stock Purchase Plan, or the Purchase Plan, was adopted by our board of directors in November 2007 and will be effective upon its approval by our stockholders, currently anticipated in February 2008.</w:t>
      </w:r>
    </w:p>
    <w:p>
      <w:pPr>
        <w:spacing w:after="0" w:line="155" w:lineRule="exact"/>
        <w:rPr>
          <w:sz w:val="20"/>
          <w:szCs w:val="20"/>
          <w:color w:val="auto"/>
        </w:rPr>
      </w:pPr>
    </w:p>
    <w:p>
      <w:pPr>
        <w:ind w:right="60" w:firstLine="571"/>
        <w:spacing w:after="0" w:line="234" w:lineRule="auto"/>
        <w:rPr>
          <w:sz w:val="20"/>
          <w:szCs w:val="20"/>
          <w:color w:val="auto"/>
        </w:rPr>
      </w:pPr>
      <w:r>
        <w:rPr>
          <w:rFonts w:ascii="Arial" w:cs="Arial" w:eastAsia="Arial" w:hAnsi="Arial"/>
          <w:sz w:val="18"/>
          <w:szCs w:val="18"/>
          <w:color w:val="auto"/>
        </w:rPr>
        <w:t>A total of shares of our common stock are initially authorized and reserved for sale under the Purchase Plan. In addition, the Purchase Plan provides for an automatic annual increase in the number of shares available for issuance under the plan on January 1 of each year</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beginning in 2009 and continuing through and including January 1, 2017 equal to the lesser of (1) percent of our then issued and outstanding shares of common stock on the immediately preceding December 31, (2) shares or (3) a number of shares as our board may</w:t>
      </w:r>
    </w:p>
    <w:p>
      <w:pPr>
        <w:spacing w:after="0" w:line="2"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determine. Appropriate adjustments will be made in the number of authorized shares and in outstanding purchase rights to prevent dilution or enlargement of participants’ rights in the event of a stock split or other change in our capital structure.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Shares subject to purchase rights which expire or are canceled will again become available for issuance under the Purchase Plan.</w:t>
      </w:r>
    </w:p>
    <w:p>
      <w:pPr>
        <w:spacing w:after="0" w:line="158"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employees and employees of any parent or subsidiary corporation designated by the administrator are eligible to participate in the Purchase Plan if they are customarily employed by us for more than 20 hours per week and more than five months in any calendar year. However, an employee may not be granted a right to purchase stock under the Purchase Plan if: (1) the employee immediately after such grant would own stock possessing 5% or more of the total combined voting power or value of all classes of our capital stock or of any parent or subsidiary corporation, or (2) the employee’s rights to purchase stock under all of our employee stock purchase plans would accrue at a rate that exceeds $25,000 in value for each calendar year of participation in such plans.</w:t>
      </w:r>
    </w:p>
    <w:p>
      <w:pPr>
        <w:spacing w:after="0" w:line="156"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Purchase Plan is implemented through a series of sequential offering periods, generally three months in duration beginning on the first trading days of January, April, July, and October each year. However, the administrator may establish an offering period to commence on the effective date of the Purchase Plan that will end on June 30, 2008.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157" w:lineRule="exact"/>
        <w:rPr>
          <w:sz w:val="20"/>
          <w:szCs w:val="20"/>
          <w:color w:val="auto"/>
        </w:rPr>
      </w:pPr>
    </w:p>
    <w:p>
      <w:pPr>
        <w:ind w:right="200" w:firstLine="571"/>
        <w:spacing w:after="0" w:line="236" w:lineRule="auto"/>
        <w:rPr>
          <w:sz w:val="20"/>
          <w:szCs w:val="20"/>
          <w:color w:val="auto"/>
        </w:rPr>
      </w:pPr>
      <w:r>
        <w:rPr>
          <w:rFonts w:ascii="Arial" w:cs="Arial" w:eastAsia="Arial" w:hAnsi="Arial"/>
          <w:sz w:val="18"/>
          <w:szCs w:val="18"/>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administrator is authorized to change the purchase price discount for that offering period, but the purchase may not be less than 85% of the lower of the fair market value of our common stock at the beginning of the offering period or at the end of the offering period.</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maximum number of shares a participant may purchase in any three-month offering period is the lesser of (i) that number of shares</w:t>
      </w:r>
    </w:p>
    <w:p>
      <w:pPr>
        <w:spacing w:after="0" w:line="269" w:lineRule="auto"/>
        <w:rPr>
          <w:sz w:val="20"/>
          <w:szCs w:val="20"/>
          <w:color w:val="auto"/>
        </w:rPr>
      </w:pPr>
      <w:r>
        <w:rPr>
          <w:rFonts w:ascii="Arial" w:cs="Arial" w:eastAsia="Arial" w:hAnsi="Arial"/>
          <w:sz w:val="16"/>
          <w:szCs w:val="16"/>
          <w:color w:val="auto"/>
        </w:rPr>
        <w:t>determined by multiplying (x) shares by (y) the number of months (rounded to the nearest whole month) in the offering period and rounding to the nearest whole share or (ii) that number of whole shares determined by dividing (x) the product of $2,083.33 and the number of months (rounded to the nearest whole month) in the offering period and rounding to the nearest whole dollar by (y)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 without interest.</w:t>
      </w:r>
    </w:p>
    <w:p>
      <w:pPr>
        <w:spacing w:after="0" w:line="133"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the Fiscal Year Ended December 31, 2006</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5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80" w:type="dxa"/>
            <w:vAlign w:val="bottom"/>
            <w:tcBorders>
              <w:top w:val="single" w:sz="8" w:color="auto"/>
            </w:tcBorders>
            <w:gridSpan w:val="2"/>
          </w:tcPr>
          <w:p>
            <w:pPr>
              <w:jc w:val="center"/>
              <w:ind w:right="780"/>
              <w:spacing w:after="0" w:line="125" w:lineRule="exact"/>
              <w:rPr>
                <w:sz w:val="20"/>
                <w:szCs w:val="20"/>
                <w:color w:val="auto"/>
              </w:rPr>
            </w:pPr>
            <w:r>
              <w:rPr>
                <w:rFonts w:ascii="Arial" w:cs="Arial" w:eastAsia="Arial" w:hAnsi="Arial"/>
                <w:sz w:val="14"/>
                <w:szCs w:val="14"/>
                <w:b w:val="1"/>
                <w:bCs w:val="1"/>
                <w:color w:val="auto"/>
                <w:w w:val="98"/>
              </w:rPr>
              <w:t>Number</w:t>
            </w: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7"/>
              </w:rPr>
              <w:t>of Shares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2"/>
                <w:szCs w:val="12"/>
                <w:color w:val="auto"/>
              </w:rPr>
            </w:pP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Realized on</w:t>
            </w:r>
          </w:p>
        </w:tc>
        <w:tc>
          <w:tcPr>
            <w:tcW w:w="0" w:type="dxa"/>
            <w:vAlign w:val="bottom"/>
          </w:tcPr>
          <w:p>
            <w:pPr>
              <w:spacing w:after="0"/>
              <w:rPr>
                <w:sz w:val="1"/>
                <w:szCs w:val="1"/>
                <w:color w:val="auto"/>
              </w:rPr>
            </w:pPr>
          </w:p>
        </w:tc>
      </w:tr>
      <w:tr>
        <w:trPr>
          <w:trHeight w:val="159"/>
        </w:trPr>
        <w:tc>
          <w:tcPr>
            <w:tcW w:w="5420" w:type="dxa"/>
            <w:vAlign w:val="bottom"/>
            <w:tcBorders>
              <w:bottom w:val="single" w:sz="8" w:color="auto"/>
            </w:tcBorders>
            <w:vMerge w:val="continue"/>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4"/>
              </w:rPr>
              <w:t>Vesting (#)</w:t>
            </w:r>
          </w:p>
        </w:tc>
        <w:tc>
          <w:tcPr>
            <w:tcW w:w="78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4"/>
              </w:rPr>
              <w:t xml:space="preserve">Vesting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6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Robert J. Krakauer</w:t>
            </w:r>
          </w:p>
        </w:tc>
        <w:tc>
          <w:tcPr>
            <w:tcW w:w="220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170,561.75(1)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173,973(2)</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22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34,112.50(1)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34,795(2)</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Tae Young Hwang</w:t>
            </w:r>
          </w:p>
        </w:tc>
        <w:tc>
          <w:tcPr>
            <w:tcW w:w="62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 Hee Lee</w:t>
            </w:r>
          </w:p>
        </w:tc>
        <w:tc>
          <w:tcPr>
            <w:tcW w:w="6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Jason Hartlove</w:t>
            </w:r>
          </w:p>
        </w:tc>
        <w:tc>
          <w:tcPr>
            <w:tcW w:w="62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Youm Huh</w:t>
            </w:r>
          </w:p>
        </w:tc>
        <w:tc>
          <w:tcPr>
            <w:tcW w:w="6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46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Footnote:</w:t>
      </w:r>
    </w:p>
    <w:p>
      <w:pPr>
        <w:ind w:left="580" w:right="200" w:hanging="572"/>
        <w:spacing w:after="0" w:line="221"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Restricted common units received upon the exercise of a fully vested option granted November 30, 2004. The restrictions on the units lapsed as to 6.25% of the initial grant on the last day of each calendar quarter of 2006.</w:t>
      </w:r>
    </w:p>
    <w:p>
      <w:pPr>
        <w:ind w:left="580" w:right="440" w:hanging="572"/>
        <w:spacing w:after="0" w:line="231"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During fiscal year 2006, there was no established public trading market for our outstanding common equity. We determined the reported value based on a third-party fair value appraisal of our common units as of December 31,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the Fiscal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Present</w:t>
            </w:r>
          </w:p>
        </w:tc>
        <w:tc>
          <w:tcPr>
            <w:tcW w:w="66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of Years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66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2"/>
                <w:szCs w:val="12"/>
                <w:color w:val="auto"/>
              </w:rPr>
            </w:pPr>
          </w:p>
        </w:tc>
        <w:tc>
          <w:tcPr>
            <w:tcW w:w="2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Plan Name</w:t>
            </w:r>
          </w:p>
        </w:tc>
        <w:tc>
          <w:tcPr>
            <w:tcW w:w="66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of Credited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Accumulated</w:t>
            </w:r>
          </w:p>
        </w:tc>
        <w:tc>
          <w:tcPr>
            <w:tcW w:w="66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the Last</w:t>
            </w:r>
          </w:p>
        </w:tc>
        <w:tc>
          <w:tcPr>
            <w:tcW w:w="0" w:type="dxa"/>
            <w:vAlign w:val="bottom"/>
          </w:tcPr>
          <w:p>
            <w:pPr>
              <w:spacing w:after="0"/>
              <w:rPr>
                <w:sz w:val="1"/>
                <w:szCs w:val="1"/>
                <w:color w:val="auto"/>
              </w:rPr>
            </w:pPr>
          </w:p>
        </w:tc>
      </w:tr>
      <w:tr>
        <w:trPr>
          <w:trHeight w:val="159"/>
        </w:trPr>
        <w:tc>
          <w:tcPr>
            <w:tcW w:w="36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5"/>
              </w:rPr>
              <w:t>Service (#)</w:t>
            </w:r>
          </w:p>
        </w:tc>
        <w:tc>
          <w:tcPr>
            <w:tcW w:w="8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 xml:space="preserve">Benefit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(1)</w:t>
            </w:r>
          </w:p>
        </w:tc>
        <w:tc>
          <w:tcPr>
            <w:tcW w:w="660" w:type="dxa"/>
            <w:vAlign w:val="bottom"/>
          </w:tcPr>
          <w:p>
            <w:pPr>
              <w:spacing w:after="0"/>
              <w:rPr>
                <w:sz w:val="13"/>
                <w:szCs w:val="13"/>
                <w:color w:val="auto"/>
              </w:rPr>
            </w:pPr>
          </w:p>
        </w:tc>
        <w:tc>
          <w:tcPr>
            <w:tcW w:w="740" w:type="dxa"/>
            <w:vAlign w:val="bottom"/>
            <w:gridSpan w:val="2"/>
          </w:tcPr>
          <w:p>
            <w:pPr>
              <w:jc w:val="right"/>
              <w:ind w:right="20"/>
              <w:spacing w:after="0" w:line="152" w:lineRule="exact"/>
              <w:rPr>
                <w:sz w:val="20"/>
                <w:szCs w:val="20"/>
                <w:color w:val="auto"/>
              </w:rPr>
            </w:pPr>
            <w:r>
              <w:rPr>
                <w:rFonts w:ascii="Arial" w:cs="Arial" w:eastAsia="Arial" w:hAnsi="Arial"/>
                <w:sz w:val="14"/>
                <w:szCs w:val="14"/>
                <w:b w:val="1"/>
                <w:bCs w:val="1"/>
                <w:color w:val="auto"/>
                <w:w w:val="94"/>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660" w:type="dxa"/>
            <w:vAlign w:val="bottom"/>
            <w:shd w:val="clear" w:color="auto" w:fill="CCEEFF"/>
          </w:tcPr>
          <w:p>
            <w:pPr>
              <w:spacing w:after="0"/>
              <w:rPr>
                <w:sz w:val="12"/>
                <w:szCs w:val="12"/>
                <w:color w:val="auto"/>
              </w:rPr>
            </w:pPr>
          </w:p>
        </w:tc>
        <w:tc>
          <w:tcPr>
            <w:tcW w:w="280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80" w:type="dxa"/>
            <w:vAlign w:val="bottom"/>
            <w:gridSpan w:val="3"/>
          </w:tcPr>
          <w:p>
            <w:pPr>
              <w:spacing w:after="0"/>
              <w:rPr>
                <w:sz w:val="20"/>
                <w:szCs w:val="20"/>
                <w:color w:val="auto"/>
              </w:rPr>
            </w:pPr>
            <w:r>
              <w:rPr>
                <w:rFonts w:ascii="Arial" w:cs="Arial" w:eastAsia="Arial" w:hAnsi="Arial"/>
                <w:sz w:val="14"/>
                <w:szCs w:val="14"/>
                <w:color w:val="auto"/>
              </w:rPr>
              <w:t>Robert J. Krakauer</w:t>
            </w:r>
          </w:p>
        </w:tc>
        <w:tc>
          <w:tcPr>
            <w:tcW w:w="66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66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Statutory Severance</w:t>
            </w:r>
          </w:p>
        </w:tc>
        <w:tc>
          <w:tcPr>
            <w:tcW w:w="204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56,802</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680" w:type="dxa"/>
            <w:vAlign w:val="bottom"/>
            <w:gridSpan w:val="3"/>
          </w:tcPr>
          <w:p>
            <w:pPr>
              <w:spacing w:after="0"/>
              <w:rPr>
                <w:sz w:val="20"/>
                <w:szCs w:val="20"/>
                <w:color w:val="auto"/>
              </w:rPr>
            </w:pPr>
            <w:r>
              <w:rPr>
                <w:rFonts w:ascii="Arial" w:cs="Arial" w:eastAsia="Arial" w:hAnsi="Arial"/>
                <w:sz w:val="14"/>
                <w:szCs w:val="14"/>
                <w:color w:val="auto"/>
              </w:rPr>
              <w:t>Tae Young Hwang</w:t>
            </w:r>
          </w:p>
        </w:tc>
        <w:tc>
          <w:tcPr>
            <w:tcW w:w="6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5"/>
              </w:rPr>
              <w:t>Statutory Severance with Multiplier for Partial</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8"/>
              </w:rPr>
              <w:t>Period</w:t>
            </w:r>
          </w:p>
        </w:tc>
        <w:tc>
          <w:tcPr>
            <w:tcW w:w="2040" w:type="dxa"/>
            <w:vAlign w:val="bottom"/>
            <w:gridSpan w:val="3"/>
          </w:tcPr>
          <w:p>
            <w:pPr>
              <w:jc w:val="right"/>
              <w:ind w:right="660"/>
              <w:spacing w:after="0"/>
              <w:rPr>
                <w:sz w:val="20"/>
                <w:szCs w:val="20"/>
                <w:color w:val="auto"/>
              </w:rPr>
            </w:pPr>
            <w:r>
              <w:rPr>
                <w:rFonts w:ascii="Arial" w:cs="Arial" w:eastAsia="Arial" w:hAnsi="Arial"/>
                <w:sz w:val="14"/>
                <w:szCs w:val="14"/>
                <w:color w:val="auto"/>
              </w:rPr>
              <w:t>11</w:t>
            </w:r>
          </w:p>
        </w:tc>
        <w:tc>
          <w:tcPr>
            <w:tcW w:w="860" w:type="dxa"/>
            <w:vAlign w:val="bottom"/>
          </w:tcPr>
          <w:p>
            <w:pPr>
              <w:jc w:val="right"/>
              <w:spacing w:after="0"/>
              <w:rPr>
                <w:sz w:val="20"/>
                <w:szCs w:val="20"/>
                <w:color w:val="auto"/>
              </w:rPr>
            </w:pPr>
            <w:r>
              <w:rPr>
                <w:rFonts w:ascii="Arial" w:cs="Arial" w:eastAsia="Arial" w:hAnsi="Arial"/>
                <w:sz w:val="14"/>
                <w:szCs w:val="14"/>
                <w:color w:val="auto"/>
              </w:rPr>
              <w:t>372,573</w:t>
            </w:r>
          </w:p>
        </w:tc>
        <w:tc>
          <w:tcPr>
            <w:tcW w:w="6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6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Chan Hee Lee</w:t>
            </w:r>
          </w:p>
        </w:tc>
        <w:tc>
          <w:tcPr>
            <w:tcW w:w="66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Statutory Severance with Multiplier for Partial</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Period</w:t>
            </w:r>
          </w:p>
        </w:tc>
        <w:tc>
          <w:tcPr>
            <w:tcW w:w="204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218,006</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80" w:type="dxa"/>
            <w:vAlign w:val="bottom"/>
            <w:gridSpan w:val="3"/>
          </w:tcPr>
          <w:p>
            <w:pPr>
              <w:spacing w:after="0"/>
              <w:rPr>
                <w:sz w:val="20"/>
                <w:szCs w:val="20"/>
                <w:color w:val="auto"/>
              </w:rPr>
            </w:pPr>
            <w:r>
              <w:rPr>
                <w:rFonts w:ascii="Arial" w:cs="Arial" w:eastAsia="Arial" w:hAnsi="Arial"/>
                <w:sz w:val="14"/>
                <w:szCs w:val="14"/>
                <w:color w:val="auto"/>
              </w:rPr>
              <w:t>Jason Hartlove</w:t>
            </w:r>
          </w:p>
        </w:tc>
        <w:tc>
          <w:tcPr>
            <w:tcW w:w="66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Youm Huh</w:t>
            </w:r>
          </w:p>
        </w:tc>
        <w:tc>
          <w:tcPr>
            <w:tcW w:w="66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Footnote:</w:t>
      </w:r>
    </w:p>
    <w:p>
      <w:pPr>
        <w:ind w:left="580" w:right="320" w:hanging="572"/>
        <w:spacing w:after="0" w:line="231" w:lineRule="auto"/>
        <w:tabs>
          <w:tab w:leader="none" w:pos="5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Actual present value of the accumulated benefit, as if the employment of the named executive officer had been terminated on the last day of our fiscal year ended December 31,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 of Us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obligated to make certain payments to our named executive officers upon termination or a change of control as further described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40"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i w:val="1"/>
          <w:iCs w:val="1"/>
          <w:color w:val="auto"/>
        </w:rPr>
        <w:t xml:space="preserve">Sang Park. </w:t>
      </w:r>
      <w:r>
        <w:rPr>
          <w:rFonts w:ascii="Arial" w:cs="Arial" w:eastAsia="Arial" w:hAnsi="Arial"/>
          <w:sz w:val="18"/>
          <w:szCs w:val="18"/>
          <w:color w:val="auto"/>
        </w:rPr>
        <w:t>Pursuant to his service agreement, if Mr. Park’s employment is terminated without cause or if he resigns for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Mr. Park is entitled to receive payment of all salary and benefits accrued up to the date of termination, payment of his base salary for twelve months and annual incentive bonus for the year in which the termination occurs, twelve months’ accelerated vesting on outstanding equity awards, and continued participation in our benefit plans for twelve months. If such termination occurs in connection with a change in control, Mr. Park is entitled to receive payment of all salary and benefits accrued up to the date of termination, payment of his base salary for two years and annual incentive bonus for the year in which the termination occurs, two years’ accelerated vesting on outstanding equity awards, and continued participation in our benefit plans for two years. In the event of his termination as a result of death or disability, Mr. Park (or his beneficiaries) will be entitled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receive payment of all salary and benefits accrued up to the date of termination and a prorated portion of the annual incentive bonus for the year in which the termination occurs. If Mr. Park’s employment is terminated for cause or if he resigns without good reason, he will be entitled to receive payment of all salary and benefits accrued up to the date of termination and will not be entitled to any other compensation.</w:t>
      </w:r>
    </w:p>
    <w:p>
      <w:pPr>
        <w:spacing w:after="0" w:line="136"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Robert Krakauer. </w:t>
      </w:r>
      <w:r>
        <w:rPr>
          <w:rFonts w:ascii="Arial" w:cs="Arial" w:eastAsia="Arial" w:hAnsi="Arial"/>
          <w:sz w:val="18"/>
          <w:szCs w:val="18"/>
          <w:color w:val="auto"/>
        </w:rPr>
        <w:t>If Mr. Krakauer’s employment is terminated without cause or if he resigns for good reason, Mr. Krakauer is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his base salary for twelve months, payment of a prorated portion of the annual incentive bonus for the year in which the termination occurs, continued participation in our benefit plans for twelve months and, to the extent Mr. Krakauer’s place of employment is located outside the United States on the termination date, costs of repatriation. In the event of his termination as a result of death or disability, Mr. Krakauer (or his beneficiaries) will be entitled to receive payment of all salary and benefits accrued up to the date of termination and a prorated portion of the annual incentive bonus for the year in which the termination occurs. If Mr. Krakauer’s employment is terminated for cause or if he resigns without good reason, he will be entitled to receive payment of all salary and benefits accrued up to the date of termination and will not be entitled to any other compensation.</w:t>
      </w:r>
    </w:p>
    <w:p>
      <w:pPr>
        <w:spacing w:after="0" w:line="141"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i w:val="1"/>
          <w:iCs w:val="1"/>
          <w:color w:val="auto"/>
        </w:rPr>
        <w:t>Victoria Miller Nam</w:t>
      </w:r>
      <w:r>
        <w:rPr>
          <w:rFonts w:ascii="Arial" w:cs="Arial" w:eastAsia="Arial" w:hAnsi="Arial"/>
          <w:sz w:val="18"/>
          <w:szCs w:val="18"/>
          <w:color w:val="auto"/>
        </w:rPr>
        <w:t>. If Ms. Miller Nam’s service is terminated without cause or if she resigns for good reason, Ms. Miller Nam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her base salary for six months, payment of the annual incentive bonus in a prorated amount based on the number of days she was actually employed by us, continued participation in our benefit plans for six months, each of the foregoing net of any statutory severance accrued and payable, and, if such a termination or resignation occurs either prior to October 1, 2005 or within the twelve month period following a change of control, restrictions lapse with respect to 25% of her restricted common units on the date of termination. In the event of her termination as a result of death or disability, Ms. Miller Nam (or her beneficiaries) will be entitled to receive payment of all salary and benefits accrued up to the date of termination and a prorated portion of the annual incentive bonus for the year in which the termination occurs. If Ms. Miller Nam’s service is terminated for cause or if she resigns without good reason, she will be entitled to receive payment of all salary and benefits accrued up to the date of termination and will not be entitled to any other compensation. All severance payable pursuant to Ms. Miller Nam’s service agreement will be offset by any accrued statutory severance.</w:t>
      </w:r>
    </w:p>
    <w:p>
      <w:pPr>
        <w:spacing w:after="0" w:line="144" w:lineRule="exact"/>
        <w:rPr>
          <w:sz w:val="20"/>
          <w:szCs w:val="20"/>
          <w:color w:val="auto"/>
        </w:rPr>
      </w:pPr>
    </w:p>
    <w:p>
      <w:pPr>
        <w:ind w:right="40" w:firstLine="571"/>
        <w:spacing w:after="0" w:line="293" w:lineRule="auto"/>
        <w:rPr>
          <w:sz w:val="20"/>
          <w:szCs w:val="20"/>
          <w:color w:val="auto"/>
        </w:rPr>
      </w:pPr>
      <w:r>
        <w:rPr>
          <w:rFonts w:ascii="Arial" w:cs="Arial" w:eastAsia="Arial" w:hAnsi="Arial"/>
          <w:sz w:val="16"/>
          <w:szCs w:val="16"/>
          <w:i w:val="1"/>
          <w:iCs w:val="1"/>
          <w:color w:val="auto"/>
        </w:rPr>
        <w:t xml:space="preserve">Chan Hee Lee. </w:t>
      </w:r>
      <w:r>
        <w:rPr>
          <w:rFonts w:ascii="Arial" w:cs="Arial" w:eastAsia="Arial" w:hAnsi="Arial"/>
          <w:sz w:val="16"/>
          <w:szCs w:val="16"/>
          <w:color w:val="auto"/>
        </w:rPr>
        <w:t>Upon termination of Mr. Lee’s employment for any reason, Mr. Lee is entitled to receive payment of all salary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up to the date of termination and a severance payment calculated as follows: statutory severance multiplied by three for service from the Original Acquisition date to September 20, 2006, plus statutory severance with no multiplier for service after September 20, 2006.</w:t>
      </w:r>
    </w:p>
    <w:p>
      <w:pPr>
        <w:spacing w:after="0" w:line="96" w:lineRule="exact"/>
        <w:rPr>
          <w:sz w:val="20"/>
          <w:szCs w:val="20"/>
          <w:color w:val="auto"/>
        </w:rPr>
      </w:pPr>
    </w:p>
    <w:p>
      <w:pPr>
        <w:ind w:right="60" w:firstLine="571"/>
        <w:spacing w:after="0" w:line="293" w:lineRule="auto"/>
        <w:rPr>
          <w:sz w:val="20"/>
          <w:szCs w:val="20"/>
          <w:color w:val="auto"/>
        </w:rPr>
      </w:pPr>
      <w:r>
        <w:rPr>
          <w:rFonts w:ascii="Arial" w:cs="Arial" w:eastAsia="Arial" w:hAnsi="Arial"/>
          <w:sz w:val="16"/>
          <w:szCs w:val="16"/>
          <w:i w:val="1"/>
          <w:iCs w:val="1"/>
          <w:color w:val="auto"/>
        </w:rPr>
        <w:t xml:space="preserve">Tae Young Hwang. </w:t>
      </w:r>
      <w:r>
        <w:rPr>
          <w:rFonts w:ascii="Arial" w:cs="Arial" w:eastAsia="Arial" w:hAnsi="Arial"/>
          <w:sz w:val="16"/>
          <w:szCs w:val="16"/>
          <w:color w:val="auto"/>
        </w:rPr>
        <w:t>Upon termination of Mr. Hwang’s employment for any reason, Mr. Hwang is entitled to receive payment of all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and benefits accrued up to the date of termination and a severance payment calculated as follows: statutory severance multiplied by three for service from the Original Acquisition date to September 20, 2006, plus statutory severance with no multiplier for service after September 20, 2006.</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the Fiscal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Fees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Earned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or Paid</w:t>
            </w: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Option</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All Other</w:t>
            </w: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8"/>
              </w:rPr>
              <w:t>in Cash</w:t>
            </w:r>
          </w:p>
        </w:tc>
        <w:tc>
          <w:tcPr>
            <w:tcW w:w="1160" w:type="dxa"/>
            <w:vAlign w:val="bottom"/>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4"/>
              </w:rPr>
              <w:t>Awards</w:t>
            </w:r>
          </w:p>
        </w:tc>
        <w:tc>
          <w:tcPr>
            <w:tcW w:w="1620" w:type="dxa"/>
            <w:vAlign w:val="bottom"/>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Jerry M. Baker</w:t>
            </w: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4"/>
              </w:rPr>
              <w:t>110,000(2)</w:t>
            </w:r>
          </w:p>
        </w:tc>
        <w:tc>
          <w:tcPr>
            <w:tcW w:w="11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20,956(3)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130,956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4"/>
                <w:szCs w:val="14"/>
                <w:color w:val="auto"/>
              </w:rPr>
              <w:t>Dipanjan Deb</w:t>
            </w:r>
          </w:p>
        </w:tc>
        <w:tc>
          <w:tcPr>
            <w:tcW w:w="5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Armando Geday</w:t>
            </w:r>
          </w:p>
        </w:tc>
        <w:tc>
          <w:tcPr>
            <w:tcW w:w="16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50,000</w:t>
            </w: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18,373(4)</w:t>
            </w:r>
          </w:p>
        </w:tc>
        <w:tc>
          <w:tcPr>
            <w:tcW w:w="16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68,373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4"/>
                <w:szCs w:val="14"/>
                <w:color w:val="auto"/>
              </w:rPr>
              <w:t>Roy Kuan</w:t>
            </w:r>
          </w:p>
        </w:tc>
        <w:tc>
          <w:tcPr>
            <w:tcW w:w="5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 Douglas Norby</w:t>
            </w:r>
          </w:p>
        </w:tc>
        <w:tc>
          <w:tcPr>
            <w:tcW w:w="16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32,849</w:t>
            </w:r>
          </w:p>
        </w:tc>
        <w:tc>
          <w:tcPr>
            <w:tcW w:w="11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4"/>
                <w:szCs w:val="14"/>
                <w:color w:val="auto"/>
              </w:rPr>
              <w:t>Phokion Potamianos</w:t>
            </w:r>
          </w:p>
        </w:tc>
        <w:tc>
          <w:tcPr>
            <w:tcW w:w="5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Paul C. Schorr IV</w:t>
            </w: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4"/>
                <w:szCs w:val="14"/>
                <w:color w:val="auto"/>
              </w:rPr>
              <w:t>David F. Thomas</w:t>
            </w:r>
          </w:p>
        </w:tc>
        <w:tc>
          <w:tcPr>
            <w:tcW w:w="5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440" w:hanging="332"/>
        <w:spacing w:after="0" w:line="22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describe the option award calculation method under SFAS No. 123(R) in “Note 13. Equity Incentive Plan” to the MagnaChip Semiconductor LLC audited consolidated financial statements for the years ended December 31, 2006, 2005 and 2004.</w:t>
      </w:r>
    </w:p>
    <w:p>
      <w:pPr>
        <w:ind w:left="340" w:hanging="332"/>
        <w:spacing w:after="0" w:line="22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$60,000 for consulting fees pursuant to a consulting arrangement effective January 1, 2006.</w:t>
      </w:r>
    </w:p>
    <w:p>
      <w:pPr>
        <w:ind w:left="340" w:hanging="332"/>
        <w:spacing w:after="0" w:line="22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$19,115 for medical and accident insurance premiums and $1,841 for life insurance premiums.</w:t>
      </w: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grant date fair value of Mr. Geday’s option award is $55,253.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 Regarding Director Compensation Table</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Effective January 2006, our board of directors began providing director fees to non-employee directors who do not have a current or past affiliation with Court Square, Francisco Partners, or CVC Asia Pacific. Jerry Baker and Armando Geday each receive $50,000 annually for service on our board of directors. R. Douglas Norby became our director on May 27, 2006. He receives board fees of $55,000 per year for his service as a director and Chairman of our Audit Committee. In addition to director fees, effective January 19, 2006, Armando Geday received options to acquire 175,000 of the common units of MagnaChip Semiconductor LLC at a purchase price of $1.04 per unit pursuant to the MagnaChip Semiconductor LLC Equity Incentive Plan. An installment of 25% of the options became exercisable on January 19, 2007, and additional installments of 6.25% of the total amount become exercisable on the last day of each calendar quarter thereafter. The options expire on the tenth anniversary of the grant date.</w:t>
      </w:r>
    </w:p>
    <w:p>
      <w:pPr>
        <w:spacing w:after="0" w:line="154" w:lineRule="exact"/>
        <w:rPr>
          <w:sz w:val="20"/>
          <w:szCs w:val="20"/>
          <w:color w:val="auto"/>
        </w:rPr>
      </w:pPr>
    </w:p>
    <w:p>
      <w:pPr>
        <w:ind w:right="440" w:firstLine="571"/>
        <w:spacing w:after="0" w:line="237" w:lineRule="auto"/>
        <w:rPr>
          <w:sz w:val="20"/>
          <w:szCs w:val="20"/>
          <w:color w:val="auto"/>
        </w:rPr>
      </w:pPr>
      <w:r>
        <w:rPr>
          <w:rFonts w:ascii="Arial" w:cs="Arial" w:eastAsia="Arial" w:hAnsi="Arial"/>
          <w:sz w:val="18"/>
          <w:szCs w:val="18"/>
          <w:color w:val="auto"/>
        </w:rPr>
        <w:t>Mr. Baker served as our consultant under a consulting agreement effective January 1, 2006, by and between MagnaChip Korea and Mr. Baker. Under our agreement with Mr. Baker, we paid him $60,000 per year as fees for advisory services regarding business development, marketing, executive recruiting and strategic direction for our products and technology, which services we viewed to be in addition to his responsibilities as a director. The consulting agreement was terminated by us effective as of December 31,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120" w:firstLine="571"/>
        <w:spacing w:after="0" w:line="275" w:lineRule="auto"/>
        <w:rPr>
          <w:sz w:val="20"/>
          <w:szCs w:val="20"/>
          <w:color w:val="auto"/>
        </w:rPr>
      </w:pPr>
      <w:r>
        <w:rPr>
          <w:rFonts w:ascii="Arial" w:cs="Arial" w:eastAsia="Arial" w:hAnsi="Arial"/>
          <w:sz w:val="16"/>
          <w:szCs w:val="16"/>
          <w:color w:val="auto"/>
        </w:rPr>
        <w:t>The Committee is comprised of directors Dipanjan Deb, Paul C. Schorr IV, and David Thomas, none of whom has been an officer or employee of our company during the last fiscal year. Prior to the Original Acquisition, both Mr. Deb and Mr. Schorr served as officers of our company. None of our executive officers currently serves, or in the past has served, on the Committee or as a member of the board of directors or compensation committee of any entity that has one or more executive officers serving on the board or compensation committee of MagnaChip.</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AND SELLING STOCKHOLDERS</w:t>
      </w:r>
    </w:p>
    <w:p>
      <w:pPr>
        <w:spacing w:after="0" w:line="180"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each of the following persons based on the outstanding common units of MagnaChip Semiconductor LLC as of September 30, 2007 as adjusted to reflect the corporate reorganization and the repurchase of all of the shares of our Series B preferred stock:</w:t>
      </w:r>
    </w:p>
    <w:p>
      <w:pPr>
        <w:spacing w:after="0" w:line="73" w:lineRule="exact"/>
        <w:rPr>
          <w:sz w:val="20"/>
          <w:szCs w:val="20"/>
          <w:color w:val="auto"/>
        </w:rPr>
      </w:pPr>
    </w:p>
    <w:p>
      <w:pPr>
        <w:ind w:left="820" w:hanging="245"/>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person or entity known to us to beneficially own more than 5% of the common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member of our board of directors;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members of our board of directors and executive officers, as a group;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171" w:lineRule="exact"/>
        <w:rPr>
          <w:sz w:val="20"/>
          <w:szCs w:val="20"/>
          <w:color w:val="auto"/>
        </w:rPr>
      </w:pPr>
    </w:p>
    <w:p>
      <w:pPr>
        <w:ind w:right="240" w:firstLine="571"/>
        <w:spacing w:after="0" w:line="264" w:lineRule="auto"/>
        <w:rPr>
          <w:sz w:val="20"/>
          <w:szCs w:val="20"/>
          <w:color w:val="auto"/>
        </w:rPr>
      </w:pPr>
      <w:r>
        <w:rPr>
          <w:rFonts w:ascii="Arial" w:cs="Arial" w:eastAsia="Arial" w:hAnsi="Arial"/>
          <w:sz w:val="16"/>
          <w:szCs w:val="16"/>
          <w:color w:val="auto"/>
        </w:rPr>
        <w:t>As of September 30, 2007, MagnaChip Semiconductor LLC’s outstanding securities consisted of 52,831,722 common units and 93,997 Series B preferred units and, after giving pro forma effect to the corporate reorganization and the repurchase of all of the shares of our Series B</w:t>
      </w:r>
    </w:p>
    <w:p>
      <w:pPr>
        <w:spacing w:after="0"/>
        <w:tabs>
          <w:tab w:leader="none" w:pos="4600" w:val="left"/>
        </w:tabs>
        <w:rPr>
          <w:sz w:val="20"/>
          <w:szCs w:val="20"/>
          <w:color w:val="auto"/>
        </w:rPr>
      </w:pPr>
      <w:r>
        <w:rPr>
          <w:rFonts w:ascii="Arial" w:cs="Arial" w:eastAsia="Arial" w:hAnsi="Arial"/>
          <w:sz w:val="18"/>
          <w:szCs w:val="18"/>
          <w:color w:val="auto"/>
        </w:rPr>
        <w:t>preferred stock, we would have had outstanding</w:t>
      </w:r>
      <w:r>
        <w:rPr>
          <w:sz w:val="20"/>
          <w:szCs w:val="20"/>
          <w:color w:val="auto"/>
        </w:rPr>
        <w:tab/>
      </w:r>
      <w:r>
        <w:rPr>
          <w:rFonts w:ascii="Arial" w:cs="Arial" w:eastAsia="Arial" w:hAnsi="Arial"/>
          <w:sz w:val="16"/>
          <w:szCs w:val="16"/>
          <w:color w:val="auto"/>
        </w:rPr>
        <w:t>shares of common stock and no shares of preferred stock.</w:t>
      </w:r>
    </w:p>
    <w:p>
      <w:pPr>
        <w:spacing w:after="0" w:line="158"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1 Hyang jeong-dong, Hungduk-gu, Cheongju-si, 361-725, Korea.</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0359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Citigroup Venture Capital Equity Partners, L.P.</w:t>
      </w:r>
      <w:r>
        <w:rPr>
          <w:rFonts w:ascii="Arial" w:cs="Arial" w:eastAsia="Arial" w:hAnsi="Arial"/>
          <w:sz w:val="22"/>
          <w:szCs w:val="22"/>
          <w:color w:val="auto"/>
          <w:vertAlign w:val="superscript"/>
        </w:rPr>
        <w:t>(1)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Executive Fund LLC</w:t>
      </w:r>
      <w:r>
        <w:rPr>
          <w:rFonts w:ascii="Arial" w:cs="Arial" w:eastAsia="Arial" w:hAnsi="Arial"/>
          <w:sz w:val="22"/>
          <w:szCs w:val="22"/>
          <w:color w:val="auto"/>
          <w:vertAlign w:val="superscript"/>
        </w:rPr>
        <w:t>(2)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CVC/SSB Employee Fund, L.P.</w:t>
      </w:r>
      <w:r>
        <w:rPr>
          <w:rFonts w:ascii="Arial" w:cs="Arial" w:eastAsia="Arial" w:hAnsi="Arial"/>
          <w:sz w:val="22"/>
          <w:szCs w:val="22"/>
          <w:color w:val="auto"/>
          <w:vertAlign w:val="superscript"/>
        </w:rPr>
        <w:t>(3)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Francisco Partners, L.P.</w:t>
      </w:r>
      <w:r>
        <w:rPr>
          <w:rFonts w:ascii="Arial" w:cs="Arial" w:eastAsia="Arial" w:hAnsi="Arial"/>
          <w:sz w:val="22"/>
          <w:szCs w:val="22"/>
          <w:color w:val="auto"/>
          <w:vertAlign w:val="superscript"/>
        </w:rPr>
        <w:t>(4)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Francisco Partners Fund A, L.P.</w:t>
      </w:r>
      <w:r>
        <w:rPr>
          <w:rFonts w:ascii="Arial" w:cs="Arial" w:eastAsia="Arial" w:hAnsi="Arial"/>
          <w:sz w:val="22"/>
          <w:szCs w:val="22"/>
          <w:color w:val="auto"/>
          <w:vertAlign w:val="superscript"/>
        </w:rPr>
        <w:t>(5)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FP-MagnaChip Co-Invest, LLC</w:t>
      </w:r>
      <w:r>
        <w:rPr>
          <w:rFonts w:ascii="Arial" w:cs="Arial" w:eastAsia="Arial" w:hAnsi="Arial"/>
          <w:sz w:val="22"/>
          <w:szCs w:val="22"/>
          <w:color w:val="auto"/>
          <w:vertAlign w:val="superscript"/>
        </w:rPr>
        <w:t>(6)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FP Annual Fund Investors, LLC</w:t>
      </w:r>
      <w:r>
        <w:rPr>
          <w:rFonts w:ascii="Arial" w:cs="Arial" w:eastAsia="Arial" w:hAnsi="Arial"/>
          <w:sz w:val="22"/>
          <w:szCs w:val="22"/>
          <w:color w:val="auto"/>
          <w:vertAlign w:val="superscript"/>
        </w:rPr>
        <w:t>(7)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Capital Partners Asia Pacific L.P.</w:t>
      </w:r>
      <w:r>
        <w:rPr>
          <w:rFonts w:ascii="Arial" w:cs="Arial" w:eastAsia="Arial" w:hAnsi="Arial"/>
          <w:sz w:val="22"/>
          <w:szCs w:val="22"/>
          <w:color w:val="auto"/>
          <w:vertAlign w:val="superscript"/>
        </w:rPr>
        <w:t>(8)</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Capital Partners Asia Pacific II L.P.</w:t>
      </w:r>
      <w:r>
        <w:rPr>
          <w:rFonts w:ascii="Arial" w:cs="Arial" w:eastAsia="Arial" w:hAnsi="Arial"/>
          <w:sz w:val="22"/>
          <w:szCs w:val="22"/>
          <w:color w:val="auto"/>
          <w:vertAlign w:val="superscript"/>
        </w:rPr>
        <w:t>(9)</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Capital Partners Asia Pacific II Parallel Fund—A, L.P.</w:t>
      </w:r>
      <w:r>
        <w:rPr>
          <w:rFonts w:ascii="Arial" w:cs="Arial" w:eastAsia="Arial" w:hAnsi="Arial"/>
          <w:sz w:val="22"/>
          <w:szCs w:val="22"/>
          <w:color w:val="auto"/>
          <w:vertAlign w:val="superscript"/>
        </w:rPr>
        <w:t>(10)</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Asia Investors LLC</w:t>
      </w:r>
      <w:r>
        <w:rPr>
          <w:rFonts w:ascii="Arial" w:cs="Arial" w:eastAsia="Arial" w:hAnsi="Arial"/>
          <w:sz w:val="22"/>
          <w:szCs w:val="22"/>
          <w:color w:val="auto"/>
          <w:vertAlign w:val="superscript"/>
        </w:rPr>
        <w:t>(11)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Peninsula Investment Pte. Ltd.</w:t>
      </w:r>
      <w:r>
        <w:rPr>
          <w:rFonts w:ascii="Arial" w:cs="Arial" w:eastAsia="Arial" w:hAnsi="Arial"/>
          <w:sz w:val="22"/>
          <w:szCs w:val="22"/>
          <w:color w:val="auto"/>
          <w:vertAlign w:val="superscript"/>
        </w:rPr>
        <w:t>(12)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Jerry M. Baker</w:t>
      </w:r>
      <w:r>
        <w:rPr>
          <w:rFonts w:ascii="Arial" w:cs="Arial" w:eastAsia="Arial" w:hAnsi="Arial"/>
          <w:sz w:val="22"/>
          <w:szCs w:val="22"/>
          <w:color w:val="auto"/>
          <w:vertAlign w:val="superscript"/>
        </w:rPr>
        <w:t>(13)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Dipanjan Deb</w:t>
      </w:r>
      <w:r>
        <w:rPr>
          <w:rFonts w:ascii="Arial" w:cs="Arial" w:eastAsia="Arial" w:hAnsi="Arial"/>
          <w:sz w:val="22"/>
          <w:szCs w:val="22"/>
          <w:color w:val="auto"/>
          <w:vertAlign w:val="superscript"/>
        </w:rPr>
        <w:t>(14)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Armando Geday</w:t>
      </w:r>
      <w:r>
        <w:rPr>
          <w:rFonts w:ascii="Arial" w:cs="Arial" w:eastAsia="Arial" w:hAnsi="Arial"/>
          <w:sz w:val="22"/>
          <w:szCs w:val="22"/>
          <w:color w:val="auto"/>
          <w:vertAlign w:val="superscript"/>
        </w:rPr>
        <w:t>(15)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Tae Young Hwang</w:t>
      </w:r>
      <w:r>
        <w:rPr>
          <w:rFonts w:ascii="Arial" w:cs="Arial" w:eastAsia="Arial" w:hAnsi="Arial"/>
          <w:sz w:val="22"/>
          <w:szCs w:val="22"/>
          <w:color w:val="auto"/>
          <w:vertAlign w:val="superscript"/>
        </w:rPr>
        <w:t>(16)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Robert J. Krakauer</w:t>
      </w:r>
      <w:r>
        <w:rPr>
          <w:rFonts w:ascii="Arial" w:cs="Arial" w:eastAsia="Arial" w:hAnsi="Arial"/>
          <w:sz w:val="22"/>
          <w:szCs w:val="22"/>
          <w:color w:val="auto"/>
          <w:vertAlign w:val="superscript"/>
        </w:rPr>
        <w:t>(17)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Roy Kuan</w:t>
      </w:r>
      <w:r>
        <w:rPr>
          <w:rFonts w:ascii="Arial" w:cs="Arial" w:eastAsia="Arial" w:hAnsi="Arial"/>
          <w:sz w:val="22"/>
          <w:szCs w:val="22"/>
          <w:color w:val="auto"/>
          <w:vertAlign w:val="superscript"/>
        </w:rPr>
        <w:t>(18)</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Chan Hee Lee</w:t>
      </w:r>
      <w:r>
        <w:rPr>
          <w:rFonts w:ascii="Arial" w:cs="Arial" w:eastAsia="Arial" w:hAnsi="Arial"/>
          <w:sz w:val="22"/>
          <w:szCs w:val="22"/>
          <w:color w:val="auto"/>
          <w:vertAlign w:val="superscript"/>
        </w:rPr>
        <w:t>(19)</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Victoria Miller Nam</w:t>
      </w:r>
      <w:r>
        <w:rPr>
          <w:rFonts w:ascii="Arial" w:cs="Arial" w:eastAsia="Arial" w:hAnsi="Arial"/>
          <w:sz w:val="22"/>
          <w:szCs w:val="22"/>
          <w:color w:val="auto"/>
          <w:vertAlign w:val="superscript"/>
        </w:rPr>
        <w:t>(20)</w:t>
      </w:r>
    </w:p>
    <w:p>
      <w:pPr>
        <w:spacing w:after="0"/>
        <w:rPr>
          <w:sz w:val="20"/>
          <w:szCs w:val="20"/>
          <w:color w:val="auto"/>
        </w:rPr>
      </w:pPr>
      <w:r>
        <w:rPr>
          <w:rFonts w:ascii="Arial" w:cs="Arial" w:eastAsia="Arial" w:hAnsi="Arial"/>
          <w:sz w:val="14"/>
          <w:szCs w:val="14"/>
          <w:color w:val="auto"/>
        </w:rPr>
        <w:t>R. Douglas Norby</w:t>
      </w:r>
      <w:r>
        <w:rPr>
          <w:rFonts w:ascii="Arial" w:cs="Arial" w:eastAsia="Arial" w:hAnsi="Arial"/>
          <w:sz w:val="22"/>
          <w:szCs w:val="22"/>
          <w:color w:val="auto"/>
          <w:vertAlign w:val="superscript"/>
        </w:rPr>
        <w:t>(21)</w:t>
      </w:r>
    </w:p>
    <w:p>
      <w:pPr>
        <w:spacing w:after="0"/>
        <w:rPr>
          <w:sz w:val="20"/>
          <w:szCs w:val="20"/>
          <w:color w:val="auto"/>
        </w:rPr>
      </w:pPr>
      <w:r>
        <w:rPr>
          <w:rFonts w:ascii="Arial" w:cs="Arial" w:eastAsia="Arial" w:hAnsi="Arial"/>
          <w:sz w:val="14"/>
          <w:szCs w:val="14"/>
          <w:color w:val="auto"/>
        </w:rPr>
        <w:t>Sang Park</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Phokion Potamianos</w:t>
      </w:r>
      <w:r>
        <w:rPr>
          <w:rFonts w:ascii="Arial" w:cs="Arial" w:eastAsia="Arial" w:hAnsi="Arial"/>
          <w:sz w:val="22"/>
          <w:szCs w:val="22"/>
          <w:color w:val="auto"/>
          <w:vertAlign w:val="superscript"/>
        </w:rPr>
        <w:t>(14)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Paul C. Schorr IV</w:t>
      </w:r>
      <w:r>
        <w:rPr>
          <w:rFonts w:ascii="Arial" w:cs="Arial" w:eastAsia="Arial" w:hAnsi="Arial"/>
          <w:sz w:val="22"/>
          <w:szCs w:val="22"/>
          <w:color w:val="auto"/>
          <w:vertAlign w:val="superscript"/>
        </w:rPr>
        <w:t>(22)</w:t>
      </w:r>
    </w:p>
    <w:p>
      <w:pPr>
        <w:spacing w:after="0"/>
        <w:rPr>
          <w:sz w:val="20"/>
          <w:szCs w:val="20"/>
          <w:color w:val="auto"/>
        </w:rPr>
      </w:pPr>
      <w:r>
        <w:rPr>
          <w:rFonts w:ascii="Arial" w:cs="Arial" w:eastAsia="Arial" w:hAnsi="Arial"/>
          <w:sz w:val="14"/>
          <w:szCs w:val="14"/>
          <w:color w:val="auto"/>
        </w:rPr>
        <w:t>David F. Thomas</w:t>
      </w:r>
      <w:r>
        <w:rPr>
          <w:rFonts w:ascii="Arial" w:cs="Arial" w:eastAsia="Arial" w:hAnsi="Arial"/>
          <w:sz w:val="22"/>
          <w:szCs w:val="22"/>
          <w:color w:val="auto"/>
          <w:vertAlign w:val="superscript"/>
        </w:rPr>
        <w:t>(23)</w:t>
      </w:r>
    </w:p>
    <w:p>
      <w:pPr>
        <w:ind w:right="340"/>
        <w:spacing w:after="0" w:line="322" w:lineRule="auto"/>
        <w:rPr>
          <w:sz w:val="20"/>
          <w:szCs w:val="20"/>
          <w:color w:val="auto"/>
        </w:rPr>
      </w:pPr>
      <w:r>
        <w:rPr>
          <w:rFonts w:ascii="Arial" w:cs="Arial" w:eastAsia="Arial" w:hAnsi="Arial"/>
          <w:sz w:val="14"/>
          <w:szCs w:val="14"/>
          <w:color w:val="auto"/>
        </w:rPr>
        <w:t>Baker Family Revocable Trust [c/o Jerry &amp; Paula Baker, Trustees] Robert &amp; Theresa Krakauer JTWROS</w:t>
      </w:r>
    </w:p>
    <w:p>
      <w:pPr>
        <w:ind w:right="580"/>
        <w:spacing w:after="0" w:line="417" w:lineRule="auto"/>
        <w:rPr>
          <w:sz w:val="20"/>
          <w:szCs w:val="20"/>
          <w:color w:val="auto"/>
        </w:rPr>
      </w:pPr>
      <w:r>
        <w:rPr>
          <w:rFonts w:ascii="Arial" w:cs="Arial" w:eastAsia="Arial" w:hAnsi="Arial"/>
          <w:sz w:val="12"/>
          <w:szCs w:val="12"/>
          <w:color w:val="auto"/>
        </w:rPr>
        <w:t xml:space="preserve">Krakauer Family Partnership [c/o Robert &amp; Theresa Krakauer] </w:t>
      </w:r>
      <w:r>
        <w:rPr>
          <w:rFonts w:ascii="Arial" w:cs="Arial" w:eastAsia="Arial" w:hAnsi="Arial"/>
          <w:sz w:val="12"/>
          <w:szCs w:val="12"/>
          <w:b w:val="1"/>
          <w:bCs w:val="1"/>
          <w:color w:val="auto"/>
        </w:rPr>
        <w:t>Directors and executive officers as a group (16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461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5"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Shares of</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Shares of</w:t>
            </w:r>
          </w:p>
        </w:tc>
      </w:tr>
      <w:tr>
        <w:trPr>
          <w:trHeight w:val="152"/>
        </w:trPr>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3"/>
          </w:tcPr>
          <w:p>
            <w:pPr>
              <w:jc w:val="center"/>
              <w:spacing w:after="0" w:line="152" w:lineRule="exact"/>
              <w:rPr>
                <w:sz w:val="20"/>
                <w:szCs w:val="20"/>
                <w:color w:val="auto"/>
              </w:rPr>
            </w:pPr>
            <w:r>
              <w:rPr>
                <w:rFonts w:ascii="Arial" w:cs="Arial" w:eastAsia="Arial" w:hAnsi="Arial"/>
                <w:sz w:val="14"/>
                <w:szCs w:val="14"/>
                <w:b w:val="1"/>
                <w:bCs w:val="1"/>
                <w:color w:val="auto"/>
                <w:w w:val="95"/>
              </w:rPr>
              <w:t>Common Stock</w:t>
            </w:r>
          </w:p>
        </w:tc>
        <w:tc>
          <w:tcPr>
            <w:tcW w:w="22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Shares of</w:t>
            </w:r>
          </w:p>
        </w:tc>
        <w:tc>
          <w:tcPr>
            <w:tcW w:w="220" w:type="dxa"/>
            <w:vAlign w:val="bottom"/>
          </w:tcPr>
          <w:p>
            <w:pPr>
              <w:spacing w:after="0"/>
              <w:rPr>
                <w:sz w:val="13"/>
                <w:szCs w:val="13"/>
                <w:color w:val="auto"/>
              </w:rPr>
            </w:pPr>
          </w:p>
        </w:tc>
        <w:tc>
          <w:tcPr>
            <w:tcW w:w="1600" w:type="dxa"/>
            <w:vAlign w:val="bottom"/>
            <w:gridSpan w:val="3"/>
          </w:tcPr>
          <w:p>
            <w:pPr>
              <w:jc w:val="center"/>
              <w:spacing w:after="0" w:line="152" w:lineRule="exact"/>
              <w:rPr>
                <w:sz w:val="20"/>
                <w:szCs w:val="20"/>
                <w:color w:val="auto"/>
              </w:rPr>
            </w:pPr>
            <w:r>
              <w:rPr>
                <w:rFonts w:ascii="Arial" w:cs="Arial" w:eastAsia="Arial" w:hAnsi="Arial"/>
                <w:sz w:val="14"/>
                <w:szCs w:val="14"/>
                <w:b w:val="1"/>
                <w:bCs w:val="1"/>
                <w:color w:val="auto"/>
                <w:w w:val="97"/>
              </w:rPr>
              <w:t>Common Stock</w:t>
            </w:r>
          </w:p>
        </w:tc>
      </w:tr>
      <w:tr>
        <w:trPr>
          <w:trHeight w:val="149"/>
        </w:trPr>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 Following</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Owned Following</w:t>
            </w:r>
          </w:p>
        </w:tc>
      </w:tr>
      <w:tr>
        <w:trPr>
          <w:trHeight w:val="149"/>
        </w:trPr>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Shares of</w:t>
            </w: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Offering Assuming</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Stock to be</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Offering Assuming</w:t>
            </w:r>
          </w:p>
        </w:tc>
      </w:tr>
      <w:tr>
        <w:trPr>
          <w:trHeight w:val="149"/>
        </w:trPr>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No Exercise of</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Sold upon the</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Exercise of</w:t>
            </w:r>
          </w:p>
        </w:tc>
      </w:tr>
      <w:tr>
        <w:trPr>
          <w:trHeight w:val="149"/>
        </w:trPr>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Exercise of the</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Underwriters’</w:t>
            </w:r>
          </w:p>
        </w:tc>
      </w:tr>
      <w:tr>
        <w:trPr>
          <w:trHeight w:val="162"/>
        </w:trPr>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2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220" w:type="dxa"/>
            <w:vAlign w:val="bottom"/>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Option</w:t>
            </w:r>
          </w:p>
        </w:tc>
      </w:tr>
      <w:tr>
        <w:trPr>
          <w:trHeight w:val="142"/>
        </w:trPr>
        <w:tc>
          <w:tcPr>
            <w:tcW w:w="6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6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6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43180</wp:posOffset>
            </wp:positionV>
            <wp:extent cx="724662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368935</wp:posOffset>
            </wp:positionV>
            <wp:extent cx="724662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694690</wp:posOffset>
            </wp:positionV>
            <wp:extent cx="724662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1020445</wp:posOffset>
            </wp:positionV>
            <wp:extent cx="724662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1346200</wp:posOffset>
            </wp:positionV>
            <wp:extent cx="7246620"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1672590</wp:posOffset>
            </wp:positionV>
            <wp:extent cx="724662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1998345</wp:posOffset>
            </wp:positionV>
            <wp:extent cx="724662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2324100</wp:posOffset>
            </wp:positionV>
            <wp:extent cx="7246620"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2649855</wp:posOffset>
            </wp:positionV>
            <wp:extent cx="724662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2975610</wp:posOffset>
            </wp:positionV>
            <wp:extent cx="724662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3302000</wp:posOffset>
            </wp:positionV>
            <wp:extent cx="724662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3601720</wp:posOffset>
            </wp:positionV>
            <wp:extent cx="724662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3927475</wp:posOffset>
            </wp:positionV>
            <wp:extent cx="724662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4227830</wp:posOffset>
            </wp:positionV>
            <wp:extent cx="7246620"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4502150</wp:posOffset>
            </wp:positionV>
            <wp:extent cx="724662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95</w:t>
      </w:r>
    </w:p>
    <w:p>
      <w:pPr>
        <w:sectPr>
          <w:pgSz w:w="11900" w:h="16838" w:orient="portrait"/>
          <w:cols w:equalWidth="0" w:num="2">
            <w:col w:w="4280" w:space="720"/>
            <w:col w:w="642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jc w:val="right"/>
              <w:ind w:right="132"/>
              <w:spacing w:after="0"/>
              <w:rPr>
                <w:sz w:val="20"/>
                <w:szCs w:val="20"/>
                <w:color w:val="auto"/>
              </w:rPr>
            </w:pPr>
            <w:r>
              <w:rPr>
                <w:rFonts w:ascii="Arial" w:cs="Arial" w:eastAsia="Arial" w:hAnsi="Arial"/>
                <w:sz w:val="14"/>
                <w:szCs w:val="14"/>
                <w:color w:val="auto"/>
                <w:w w:val="93"/>
              </w:rPr>
              <w:t>(1)</w:t>
            </w:r>
          </w:p>
        </w:tc>
        <w:tc>
          <w:tcPr>
            <w:tcW w:w="5360" w:type="dxa"/>
            <w:vAlign w:val="bottom"/>
            <w:gridSpan w:val="3"/>
          </w:tcPr>
          <w:p>
            <w:pPr>
              <w:ind w:left="200"/>
              <w:spacing w:after="0"/>
              <w:rPr>
                <w:sz w:val="20"/>
                <w:szCs w:val="20"/>
                <w:color w:val="auto"/>
              </w:rPr>
            </w:pPr>
            <w:r>
              <w:rPr>
                <w:rFonts w:ascii="Arial" w:cs="Arial" w:eastAsia="Arial" w:hAnsi="Arial"/>
                <w:sz w:val="14"/>
                <w:szCs w:val="14"/>
                <w:color w:val="auto"/>
              </w:rPr>
              <w:t>Citigroup Venture Capital Equity Partners, L.P. may be deemed to beneficially own</w:t>
            </w:r>
          </w:p>
        </w:tc>
        <w:tc>
          <w:tcPr>
            <w:tcW w:w="4480" w:type="dxa"/>
            <w:vAlign w:val="bottom"/>
            <w:gridSpan w:val="2"/>
          </w:tcPr>
          <w:p>
            <w:pPr>
              <w:jc w:val="right"/>
              <w:ind w:right="372"/>
              <w:spacing w:after="0"/>
              <w:rPr>
                <w:sz w:val="20"/>
                <w:szCs w:val="20"/>
                <w:color w:val="auto"/>
              </w:rPr>
            </w:pPr>
            <w:r>
              <w:rPr>
                <w:rFonts w:ascii="Arial" w:cs="Arial" w:eastAsia="Arial" w:hAnsi="Arial"/>
                <w:sz w:val="14"/>
                <w:szCs w:val="14"/>
                <w:color w:val="auto"/>
              </w:rPr>
              <w:t>shares of common stock held by CVC Executive Fund LLC and</w:t>
            </w:r>
          </w:p>
        </w:tc>
        <w:tc>
          <w:tcPr>
            <w:tcW w:w="1200" w:type="dxa"/>
            <w:vAlign w:val="bottom"/>
          </w:tcPr>
          <w:p>
            <w:pPr>
              <w:ind w:left="80"/>
              <w:spacing w:after="0"/>
              <w:rPr>
                <w:sz w:val="20"/>
                <w:szCs w:val="20"/>
                <w:color w:val="auto"/>
              </w:rPr>
            </w:pPr>
            <w:r>
              <w:rPr>
                <w:rFonts w:ascii="Arial" w:cs="Arial" w:eastAsia="Arial" w:hAnsi="Arial"/>
                <w:sz w:val="14"/>
                <w:szCs w:val="14"/>
                <w:color w:val="auto"/>
                <w:w w:val="95"/>
              </w:rPr>
              <w:t>shares of common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040" w:type="dxa"/>
            <w:vAlign w:val="bottom"/>
            <w:gridSpan w:val="6"/>
          </w:tcPr>
          <w:p>
            <w:pPr>
              <w:ind w:left="200"/>
              <w:spacing w:after="0" w:line="216" w:lineRule="exact"/>
              <w:rPr>
                <w:sz w:val="20"/>
                <w:szCs w:val="20"/>
                <w:color w:val="auto"/>
              </w:rPr>
            </w:pPr>
            <w:r>
              <w:rPr>
                <w:rFonts w:ascii="Arial" w:cs="Arial" w:eastAsia="Arial" w:hAnsi="Arial"/>
                <w:sz w:val="14"/>
                <w:szCs w:val="14"/>
                <w:color w:val="auto"/>
                <w:w w:val="97"/>
              </w:rPr>
              <w:t>stock held by CVC/SSB Employee Fund, L.P. The address of Citigroup Venture Capital Equity Partners, L.P. is c/o Court Square Capital Partners, 55 East 52</w:t>
            </w:r>
            <w:r>
              <w:rPr>
                <w:rFonts w:ascii="Arial" w:cs="Arial" w:eastAsia="Arial" w:hAnsi="Arial"/>
                <w:sz w:val="22"/>
                <w:szCs w:val="22"/>
                <w:color w:val="auto"/>
                <w:w w:val="97"/>
                <w:vertAlign w:val="superscript"/>
              </w:rPr>
              <w:t>nd</w:t>
            </w:r>
            <w:r>
              <w:rPr>
                <w:rFonts w:ascii="Arial" w:cs="Arial" w:eastAsia="Arial" w:hAnsi="Arial"/>
                <w:sz w:val="14"/>
                <w:szCs w:val="14"/>
                <w:color w:val="auto"/>
                <w:w w:val="97"/>
              </w:rPr>
              <w:t xml:space="preserve"> Street, 34</w:t>
            </w:r>
            <w:r>
              <w:rPr>
                <w:rFonts w:ascii="Arial" w:cs="Arial" w:eastAsia="Arial" w:hAnsi="Arial"/>
                <w:sz w:val="22"/>
                <w:szCs w:val="22"/>
                <w:color w:val="auto"/>
                <w:w w:val="97"/>
                <w:vertAlign w:val="superscript"/>
              </w:rPr>
              <w:t>th</w:t>
            </w:r>
            <w:r>
              <w:rPr>
                <w:rFonts w:ascii="Arial" w:cs="Arial" w:eastAsia="Arial" w:hAnsi="Arial"/>
                <w:sz w:val="14"/>
                <w:szCs w:val="14"/>
                <w:color w:val="auto"/>
                <w:w w:val="97"/>
              </w:rPr>
              <w:t xml:space="preserve"> Floor,</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32"/>
              <w:spacing w:after="0"/>
              <w:rPr>
                <w:sz w:val="20"/>
                <w:szCs w:val="20"/>
                <w:color w:val="auto"/>
              </w:rPr>
            </w:pPr>
            <w:r>
              <w:rPr>
                <w:rFonts w:ascii="Arial" w:cs="Arial" w:eastAsia="Arial" w:hAnsi="Arial"/>
                <w:sz w:val="14"/>
                <w:szCs w:val="14"/>
                <w:color w:val="auto"/>
                <w:w w:val="93"/>
              </w:rPr>
              <w:t>(2)</w:t>
            </w:r>
          </w:p>
        </w:tc>
        <w:tc>
          <w:tcPr>
            <w:tcW w:w="2380" w:type="dxa"/>
            <w:vAlign w:val="bottom"/>
          </w:tcPr>
          <w:p>
            <w:pPr>
              <w:ind w:left="200"/>
              <w:spacing w:after="0" w:line="123" w:lineRule="exact"/>
              <w:rPr>
                <w:sz w:val="20"/>
                <w:szCs w:val="20"/>
                <w:color w:val="auto"/>
              </w:rPr>
            </w:pPr>
            <w:r>
              <w:rPr>
                <w:rFonts w:ascii="Arial" w:cs="Arial" w:eastAsia="Arial" w:hAnsi="Arial"/>
                <w:sz w:val="14"/>
                <w:szCs w:val="14"/>
                <w:color w:val="auto"/>
              </w:rPr>
              <w:t>New York, NY 10055.</w:t>
            </w:r>
          </w:p>
        </w:tc>
        <w:tc>
          <w:tcPr>
            <w:tcW w:w="1900" w:type="dxa"/>
            <w:vAlign w:val="bottom"/>
          </w:tcPr>
          <w:p>
            <w:pPr>
              <w:spacing w:after="0"/>
              <w:rPr>
                <w:sz w:val="10"/>
                <w:szCs w:val="10"/>
                <w:color w:val="auto"/>
              </w:rPr>
            </w:pPr>
          </w:p>
        </w:tc>
        <w:tc>
          <w:tcPr>
            <w:tcW w:w="5560" w:type="dxa"/>
            <w:vAlign w:val="bottom"/>
            <w:gridSpan w:val="3"/>
            <w:vMerge w:val="restart"/>
          </w:tcPr>
          <w:p>
            <w:pPr>
              <w:jc w:val="right"/>
              <w:ind w:right="372"/>
              <w:spacing w:after="0"/>
              <w:rPr>
                <w:sz w:val="20"/>
                <w:szCs w:val="20"/>
                <w:color w:val="auto"/>
              </w:rPr>
            </w:pPr>
            <w:r>
              <w:rPr>
                <w:rFonts w:ascii="Arial" w:cs="Arial" w:eastAsia="Arial" w:hAnsi="Arial"/>
                <w:sz w:val="14"/>
                <w:szCs w:val="14"/>
                <w:color w:val="auto"/>
                <w:w w:val="97"/>
              </w:rPr>
              <w:t>shares of common stock held by Citigroup Venture Capital Equity Partners, L.P. and</w:t>
            </w:r>
          </w:p>
        </w:tc>
        <w:tc>
          <w:tcPr>
            <w:tcW w:w="1200" w:type="dxa"/>
            <w:vAlign w:val="bottom"/>
            <w:vMerge w:val="restart"/>
          </w:tcPr>
          <w:p>
            <w:pPr>
              <w:ind w:left="80"/>
              <w:spacing w:after="0"/>
              <w:rPr>
                <w:sz w:val="20"/>
                <w:szCs w:val="20"/>
                <w:color w:val="auto"/>
              </w:rPr>
            </w:pPr>
            <w:r>
              <w:rPr>
                <w:rFonts w:ascii="Arial" w:cs="Arial" w:eastAsia="Arial" w:hAnsi="Arial"/>
                <w:sz w:val="14"/>
                <w:szCs w:val="14"/>
                <w:color w:val="auto"/>
                <w:w w:val="95"/>
              </w:rPr>
              <w:t>shares of common</w:t>
            </w: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4280" w:type="dxa"/>
            <w:vAlign w:val="bottom"/>
            <w:gridSpan w:val="2"/>
          </w:tcPr>
          <w:p>
            <w:pPr>
              <w:ind w:left="200"/>
              <w:spacing w:after="0"/>
              <w:rPr>
                <w:sz w:val="20"/>
                <w:szCs w:val="20"/>
                <w:color w:val="auto"/>
              </w:rPr>
            </w:pPr>
            <w:r>
              <w:rPr>
                <w:rFonts w:ascii="Arial" w:cs="Arial" w:eastAsia="Arial" w:hAnsi="Arial"/>
                <w:sz w:val="14"/>
                <w:szCs w:val="14"/>
                <w:color w:val="auto"/>
              </w:rPr>
              <w:t>CVC Executive Fund LLC may be deemed to beneficially own</w:t>
            </w:r>
          </w:p>
        </w:tc>
        <w:tc>
          <w:tcPr>
            <w:tcW w:w="556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 w:type="dxa"/>
            <w:vAlign w:val="bottom"/>
            <w:vMerge w:val="restart"/>
          </w:tcPr>
          <w:p>
            <w:pPr>
              <w:jc w:val="right"/>
              <w:ind w:right="132"/>
              <w:spacing w:after="0"/>
              <w:rPr>
                <w:sz w:val="20"/>
                <w:szCs w:val="20"/>
                <w:color w:val="auto"/>
              </w:rPr>
            </w:pPr>
            <w:r>
              <w:rPr>
                <w:rFonts w:ascii="Arial" w:cs="Arial" w:eastAsia="Arial" w:hAnsi="Arial"/>
                <w:sz w:val="14"/>
                <w:szCs w:val="14"/>
                <w:color w:val="auto"/>
                <w:w w:val="93"/>
              </w:rPr>
              <w:t>(3)</w:t>
            </w:r>
          </w:p>
        </w:tc>
        <w:tc>
          <w:tcPr>
            <w:tcW w:w="11040" w:type="dxa"/>
            <w:vAlign w:val="bottom"/>
            <w:gridSpan w:val="6"/>
          </w:tcPr>
          <w:p>
            <w:pPr>
              <w:ind w:left="200"/>
              <w:spacing w:after="0" w:line="176" w:lineRule="exact"/>
              <w:rPr>
                <w:sz w:val="20"/>
                <w:szCs w:val="20"/>
                <w:color w:val="auto"/>
              </w:rPr>
            </w:pPr>
            <w:r>
              <w:rPr>
                <w:rFonts w:ascii="Arial" w:cs="Arial" w:eastAsia="Arial" w:hAnsi="Arial"/>
                <w:sz w:val="13"/>
                <w:szCs w:val="13"/>
                <w:color w:val="auto"/>
              </w:rPr>
              <w:t>stock held by CVC/SSB Employee Fund, L.P. The address of CVC Executive Fund LLC is c/o Court Square Capital Partners, 55 East 52</w:t>
            </w:r>
            <w:r>
              <w:rPr>
                <w:rFonts w:ascii="Arial" w:cs="Arial" w:eastAsia="Arial" w:hAnsi="Arial"/>
                <w:sz w:val="20"/>
                <w:szCs w:val="20"/>
                <w:color w:val="auto"/>
                <w:vertAlign w:val="superscript"/>
              </w:rPr>
              <w:t>nd</w:t>
            </w:r>
            <w:r>
              <w:rPr>
                <w:rFonts w:ascii="Arial" w:cs="Arial" w:eastAsia="Arial" w:hAnsi="Arial"/>
                <w:sz w:val="13"/>
                <w:szCs w:val="13"/>
                <w:color w:val="auto"/>
              </w:rPr>
              <w:t xml:space="preserve"> Street, 34</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 New York, NY 10055.</w:t>
            </w: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4280" w:type="dxa"/>
            <w:vAlign w:val="bottom"/>
            <w:gridSpan w:val="2"/>
          </w:tcPr>
          <w:p>
            <w:pPr>
              <w:ind w:left="200"/>
              <w:spacing w:after="0"/>
              <w:rPr>
                <w:sz w:val="20"/>
                <w:szCs w:val="20"/>
                <w:color w:val="auto"/>
              </w:rPr>
            </w:pPr>
            <w:r>
              <w:rPr>
                <w:rFonts w:ascii="Arial" w:cs="Arial" w:eastAsia="Arial" w:hAnsi="Arial"/>
                <w:sz w:val="14"/>
                <w:szCs w:val="14"/>
                <w:color w:val="auto"/>
                <w:w w:val="96"/>
              </w:rPr>
              <w:t>CVC/SSB Employee Fund, L.P. may be deemed to beneficially own</w:t>
            </w:r>
          </w:p>
        </w:tc>
        <w:tc>
          <w:tcPr>
            <w:tcW w:w="5560" w:type="dxa"/>
            <w:vAlign w:val="bottom"/>
            <w:gridSpan w:val="3"/>
          </w:tcPr>
          <w:p>
            <w:pPr>
              <w:jc w:val="right"/>
              <w:ind w:right="32"/>
              <w:spacing w:after="0"/>
              <w:rPr>
                <w:sz w:val="20"/>
                <w:szCs w:val="20"/>
                <w:color w:val="auto"/>
              </w:rPr>
            </w:pPr>
            <w:r>
              <w:rPr>
                <w:rFonts w:ascii="Arial" w:cs="Arial" w:eastAsia="Arial" w:hAnsi="Arial"/>
                <w:sz w:val="14"/>
                <w:szCs w:val="14"/>
                <w:color w:val="auto"/>
              </w:rPr>
              <w:t>shares of common stock held by Citigroup Venture Capital Equity Partners, L.P. and</w:t>
            </w:r>
          </w:p>
        </w:tc>
        <w:tc>
          <w:tcPr>
            <w:tcW w:w="1200" w:type="dxa"/>
            <w:vAlign w:val="bottom"/>
          </w:tcPr>
          <w:p>
            <w:pPr>
              <w:ind w:left="420"/>
              <w:spacing w:after="0"/>
              <w:rPr>
                <w:sz w:val="20"/>
                <w:szCs w:val="20"/>
                <w:color w:val="auto"/>
              </w:rPr>
            </w:pPr>
            <w:r>
              <w:rPr>
                <w:rFonts w:ascii="Arial" w:cs="Arial" w:eastAsia="Arial" w:hAnsi="Arial"/>
                <w:sz w:val="14"/>
                <w:szCs w:val="14"/>
                <w:color w:val="auto"/>
              </w:rPr>
              <w:t>shares of</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1040" w:type="dxa"/>
            <w:vAlign w:val="bottom"/>
            <w:gridSpan w:val="6"/>
          </w:tcPr>
          <w:p>
            <w:pPr>
              <w:ind w:left="200"/>
              <w:spacing w:after="0" w:line="216" w:lineRule="exact"/>
              <w:rPr>
                <w:sz w:val="20"/>
                <w:szCs w:val="20"/>
                <w:color w:val="auto"/>
              </w:rPr>
            </w:pPr>
            <w:r>
              <w:rPr>
                <w:rFonts w:ascii="Arial" w:cs="Arial" w:eastAsia="Arial" w:hAnsi="Arial"/>
                <w:sz w:val="14"/>
                <w:szCs w:val="14"/>
                <w:color w:val="auto"/>
                <w:w w:val="95"/>
              </w:rPr>
              <w:t>common stock held by CVC Executive Fund LLC. The address of CVC/SSB Employee Fund, L.P. is c/o Court Square Capital Partners, 55 East 52</w:t>
            </w:r>
            <w:r>
              <w:rPr>
                <w:rFonts w:ascii="Arial" w:cs="Arial" w:eastAsia="Arial" w:hAnsi="Arial"/>
                <w:sz w:val="22"/>
                <w:szCs w:val="22"/>
                <w:color w:val="auto"/>
                <w:w w:val="95"/>
                <w:vertAlign w:val="superscript"/>
              </w:rPr>
              <w:t>nd</w:t>
            </w:r>
            <w:r>
              <w:rPr>
                <w:rFonts w:ascii="Arial" w:cs="Arial" w:eastAsia="Arial" w:hAnsi="Arial"/>
                <w:sz w:val="14"/>
                <w:szCs w:val="14"/>
                <w:color w:val="auto"/>
                <w:w w:val="95"/>
              </w:rPr>
              <w:t xml:space="preserve"> Street, 34</w:t>
            </w:r>
            <w:r>
              <w:rPr>
                <w:rFonts w:ascii="Arial" w:cs="Arial" w:eastAsia="Arial" w:hAnsi="Arial"/>
                <w:sz w:val="22"/>
                <w:szCs w:val="22"/>
                <w:color w:val="auto"/>
                <w:w w:val="95"/>
                <w:vertAlign w:val="superscript"/>
              </w:rPr>
              <w:t>th</w:t>
            </w:r>
            <w:r>
              <w:rPr>
                <w:rFonts w:ascii="Arial" w:cs="Arial" w:eastAsia="Arial" w:hAnsi="Arial"/>
                <w:sz w:val="14"/>
                <w:szCs w:val="14"/>
                <w:color w:val="auto"/>
                <w:w w:val="95"/>
              </w:rPr>
              <w:t xml:space="preserve"> Floor, New York, NY</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rPr>
              <w:t>10055.</w:t>
            </w: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3"/>
              </w:rPr>
              <w:t>(4)</w:t>
            </w:r>
          </w:p>
        </w:tc>
        <w:tc>
          <w:tcPr>
            <w:tcW w:w="4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Francisco Partners, L.P. may be deemed to beneficially own</w:t>
            </w:r>
          </w:p>
        </w:tc>
        <w:tc>
          <w:tcPr>
            <w:tcW w:w="41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w w:val="96"/>
              </w:rPr>
              <w:t>shares of common stock held by Francisco Partners Fund A, L.P.,</w:t>
            </w:r>
          </w:p>
        </w:tc>
        <w:tc>
          <w:tcPr>
            <w:tcW w:w="2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shares of common stock held by FP-</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tcPr>
          <w:p>
            <w:pPr>
              <w:ind w:left="200"/>
              <w:spacing w:after="0" w:line="149" w:lineRule="exact"/>
              <w:rPr>
                <w:sz w:val="20"/>
                <w:szCs w:val="20"/>
                <w:color w:val="auto"/>
              </w:rPr>
            </w:pPr>
            <w:r>
              <w:rPr>
                <w:rFonts w:ascii="Arial" w:cs="Arial" w:eastAsia="Arial" w:hAnsi="Arial"/>
                <w:sz w:val="14"/>
                <w:szCs w:val="14"/>
                <w:color w:val="auto"/>
              </w:rPr>
              <w:t>MagnaChip Co-Invest, LLC and</w:t>
            </w:r>
          </w:p>
        </w:tc>
        <w:tc>
          <w:tcPr>
            <w:tcW w:w="866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5"/>
              </w:rPr>
              <w:t>shares of common stock held by FP Annual Fund Investors, LLC. The address of Francisco Partners, L.P. is Letterman Digital Arts Center,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One Letterman Drive, Building C, Suite 410, San Francisco, CA 94129.</w:t>
            </w:r>
          </w:p>
        </w:tc>
        <w:tc>
          <w:tcPr>
            <w:tcW w:w="3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3"/>
              </w:rPr>
              <w:t>(5)</w:t>
            </w:r>
          </w:p>
        </w:tc>
        <w:tc>
          <w:tcPr>
            <w:tcW w:w="4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6"/>
              </w:rPr>
              <w:t>Francisco Partners Fund A, L.P. may be deemed to beneficially own</w:t>
            </w:r>
          </w:p>
        </w:tc>
        <w:tc>
          <w:tcPr>
            <w:tcW w:w="41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shares of common stock held by Francisco Partners, L.P.,</w:t>
            </w:r>
          </w:p>
        </w:tc>
        <w:tc>
          <w:tcPr>
            <w:tcW w:w="2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shares of common stock held by FP-</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tcPr>
          <w:p>
            <w:pPr>
              <w:ind w:left="200"/>
              <w:spacing w:after="0" w:line="149" w:lineRule="exact"/>
              <w:rPr>
                <w:sz w:val="20"/>
                <w:szCs w:val="20"/>
                <w:color w:val="auto"/>
              </w:rPr>
            </w:pPr>
            <w:r>
              <w:rPr>
                <w:rFonts w:ascii="Arial" w:cs="Arial" w:eastAsia="Arial" w:hAnsi="Arial"/>
                <w:sz w:val="14"/>
                <w:szCs w:val="14"/>
                <w:color w:val="auto"/>
              </w:rPr>
              <w:t>MagnaChip Co-Invest, LLC and</w:t>
            </w:r>
          </w:p>
        </w:tc>
        <w:tc>
          <w:tcPr>
            <w:tcW w:w="866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5"/>
              </w:rPr>
              <w:t>shares of common stock held by FP Annual Fund Investors, LLC. The address of Francisco Partners Fund A, L.P. is Letterman Digital Arts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Center, One Letterman Drive, Building C, Suite 410, San Francisco, CA 94129.</w:t>
            </w:r>
          </w:p>
        </w:tc>
        <w:tc>
          <w:tcPr>
            <w:tcW w:w="3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3"/>
              </w:rPr>
              <w:t>(6)</w:t>
            </w:r>
          </w:p>
        </w:tc>
        <w:tc>
          <w:tcPr>
            <w:tcW w:w="4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8"/>
              </w:rPr>
              <w:t>FP-MagnaChip Co-Invest, LLC may be deemed to beneficially own</w:t>
            </w:r>
          </w:p>
        </w:tc>
        <w:tc>
          <w:tcPr>
            <w:tcW w:w="41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shares of common stock held by Francisco Partners, L.P.,</w:t>
            </w:r>
          </w:p>
        </w:tc>
        <w:tc>
          <w:tcPr>
            <w:tcW w:w="2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shares of common stock held by FP</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tcPr>
          <w:p>
            <w:pPr>
              <w:ind w:left="200"/>
              <w:spacing w:after="0" w:line="149" w:lineRule="exact"/>
              <w:rPr>
                <w:sz w:val="20"/>
                <w:szCs w:val="20"/>
                <w:color w:val="auto"/>
              </w:rPr>
            </w:pPr>
            <w:r>
              <w:rPr>
                <w:rFonts w:ascii="Arial" w:cs="Arial" w:eastAsia="Arial" w:hAnsi="Arial"/>
                <w:sz w:val="14"/>
                <w:szCs w:val="14"/>
                <w:color w:val="auto"/>
              </w:rPr>
              <w:t>Annual Fund Investors, LLC and</w:t>
            </w:r>
          </w:p>
        </w:tc>
        <w:tc>
          <w:tcPr>
            <w:tcW w:w="866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6"/>
              </w:rPr>
              <w:t>shares of common stock held by Francisco Partners Fund A, L.P. The address of FP-MagnaChip Co-Invest LLC is Letterman Digital Arts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Center, One Letterman Drive, Building C, Suite 410, San Francisco, CA 94129.</w:t>
            </w:r>
          </w:p>
        </w:tc>
        <w:tc>
          <w:tcPr>
            <w:tcW w:w="3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3"/>
              </w:rPr>
              <w:t>(7)</w:t>
            </w:r>
          </w:p>
        </w:tc>
        <w:tc>
          <w:tcPr>
            <w:tcW w:w="4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FP Annual Fund Investors, LLC may be deemed to beneficially own</w:t>
            </w:r>
          </w:p>
        </w:tc>
        <w:tc>
          <w:tcPr>
            <w:tcW w:w="41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shares of common stock held by Francisco Partners, L.P.,</w:t>
            </w: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shares of common stock held by FP-</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rPr>
              <w:t>MagnaChip Co-Invest, LLC and</w:t>
            </w:r>
          </w:p>
        </w:tc>
        <w:tc>
          <w:tcPr>
            <w:tcW w:w="8660" w:type="dxa"/>
            <w:vAlign w:val="bottom"/>
            <w:gridSpan w:val="5"/>
          </w:tcPr>
          <w:p>
            <w:pPr>
              <w:jc w:val="center"/>
              <w:spacing w:after="0"/>
              <w:rPr>
                <w:sz w:val="20"/>
                <w:szCs w:val="20"/>
                <w:color w:val="auto"/>
              </w:rPr>
            </w:pPr>
            <w:r>
              <w:rPr>
                <w:rFonts w:ascii="Arial" w:cs="Arial" w:eastAsia="Arial" w:hAnsi="Arial"/>
                <w:sz w:val="14"/>
                <w:szCs w:val="14"/>
                <w:color w:val="auto"/>
                <w:w w:val="96"/>
              </w:rPr>
              <w:t>shares of common stock held by Francisco Partners Fund A, L.P. The address of FP Annual Fund Investors, LLC is Letterman Digital Arts</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CVC Capital Partners Asia Pacific L.P. (collectively with CVC Capital Partners Asia Pacific II L.P. and CVC Capital Partners Asia Pacific II Parallel Fund—A, L.P., “CVC Asia Pacific”)</w:t>
      </w:r>
    </w:p>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13"/>
                <w:szCs w:val="13"/>
                <w:color w:val="auto"/>
              </w:rPr>
            </w:pPr>
          </w:p>
        </w:tc>
        <w:tc>
          <w:tcPr>
            <w:tcW w:w="2680" w:type="dxa"/>
            <w:vAlign w:val="bottom"/>
          </w:tcPr>
          <w:p>
            <w:pPr>
              <w:ind w:left="160"/>
              <w:spacing w:after="0" w:line="159" w:lineRule="exact"/>
              <w:rPr>
                <w:sz w:val="20"/>
                <w:szCs w:val="20"/>
                <w:color w:val="auto"/>
              </w:rPr>
            </w:pPr>
            <w:r>
              <w:rPr>
                <w:rFonts w:ascii="Arial" w:cs="Arial" w:eastAsia="Arial" w:hAnsi="Arial"/>
                <w:sz w:val="14"/>
                <w:szCs w:val="14"/>
                <w:color w:val="auto"/>
              </w:rPr>
              <w:t>may be deemed to beneficially own</w:t>
            </w:r>
          </w:p>
        </w:tc>
        <w:tc>
          <w:tcPr>
            <w:tcW w:w="5040" w:type="dxa"/>
            <w:vAlign w:val="bottom"/>
            <w:gridSpan w:val="5"/>
          </w:tcPr>
          <w:p>
            <w:pPr>
              <w:ind w:left="120"/>
              <w:spacing w:after="0" w:line="159" w:lineRule="exact"/>
              <w:rPr>
                <w:sz w:val="20"/>
                <w:szCs w:val="20"/>
                <w:color w:val="auto"/>
              </w:rPr>
            </w:pPr>
            <w:r>
              <w:rPr>
                <w:rFonts w:ascii="Arial" w:cs="Arial" w:eastAsia="Arial" w:hAnsi="Arial"/>
                <w:sz w:val="14"/>
                <w:szCs w:val="14"/>
                <w:color w:val="auto"/>
              </w:rPr>
              <w:t>shares of common stock held by CVC Capital Partners Asia Pacific II L.P.,</w:t>
            </w:r>
          </w:p>
        </w:tc>
        <w:tc>
          <w:tcPr>
            <w:tcW w:w="3280" w:type="dxa"/>
            <w:vAlign w:val="bottom"/>
            <w:gridSpan w:val="3"/>
          </w:tcPr>
          <w:p>
            <w:pPr>
              <w:spacing w:after="0" w:line="159" w:lineRule="exact"/>
              <w:rPr>
                <w:sz w:val="20"/>
                <w:szCs w:val="20"/>
                <w:color w:val="auto"/>
              </w:rPr>
            </w:pPr>
            <w:r>
              <w:rPr>
                <w:rFonts w:ascii="Arial" w:cs="Arial" w:eastAsia="Arial" w:hAnsi="Arial"/>
                <w:sz w:val="14"/>
                <w:szCs w:val="14"/>
                <w:color w:val="auto"/>
                <w:w w:val="96"/>
              </w:rPr>
              <w:t>shares of common stock held by CVC Capital Partners</w:t>
            </w:r>
          </w:p>
        </w:tc>
      </w:tr>
      <w:tr>
        <w:trPr>
          <w:trHeight w:val="149"/>
        </w:trPr>
        <w:tc>
          <w:tcPr>
            <w:tcW w:w="420" w:type="dxa"/>
            <w:vAlign w:val="bottom"/>
          </w:tcPr>
          <w:p>
            <w:pPr>
              <w:spacing w:after="0"/>
              <w:rPr>
                <w:sz w:val="12"/>
                <w:szCs w:val="12"/>
                <w:color w:val="auto"/>
              </w:rPr>
            </w:pPr>
          </w:p>
        </w:tc>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w w:val="98"/>
              </w:rPr>
              <w:t>Asia Pacific II Parallel Fund—A, L.P. and</w:t>
            </w:r>
          </w:p>
        </w:tc>
        <w:tc>
          <w:tcPr>
            <w:tcW w:w="280" w:type="dxa"/>
            <w:vAlign w:val="bottom"/>
          </w:tcPr>
          <w:p>
            <w:pPr>
              <w:spacing w:after="0"/>
              <w:rPr>
                <w:sz w:val="12"/>
                <w:szCs w:val="12"/>
                <w:color w:val="auto"/>
              </w:rPr>
            </w:pPr>
          </w:p>
        </w:tc>
        <w:tc>
          <w:tcPr>
            <w:tcW w:w="804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shares of common stock of Asia Investors LLC. The address of CVC Capital Partners Asia Pacific L.P. is c/o CVC Capital Partners</w:t>
            </w:r>
          </w:p>
        </w:tc>
      </w:tr>
      <w:tr>
        <w:trPr>
          <w:trHeight w:val="149"/>
        </w:trPr>
        <w:tc>
          <w:tcPr>
            <w:tcW w:w="420" w:type="dxa"/>
            <w:vAlign w:val="bottom"/>
          </w:tcPr>
          <w:p>
            <w:pPr>
              <w:spacing w:after="0"/>
              <w:rPr>
                <w:sz w:val="12"/>
                <w:szCs w:val="12"/>
                <w:color w:val="auto"/>
              </w:rPr>
            </w:pPr>
          </w:p>
        </w:tc>
        <w:tc>
          <w:tcPr>
            <w:tcW w:w="5020" w:type="dxa"/>
            <w:vAlign w:val="bottom"/>
            <w:gridSpan w:val="4"/>
          </w:tcPr>
          <w:p>
            <w:pPr>
              <w:ind w:left="160"/>
              <w:spacing w:after="0" w:line="149" w:lineRule="exact"/>
              <w:rPr>
                <w:sz w:val="20"/>
                <w:szCs w:val="20"/>
                <w:color w:val="auto"/>
              </w:rPr>
            </w:pPr>
            <w:r>
              <w:rPr>
                <w:rFonts w:ascii="Arial" w:cs="Arial" w:eastAsia="Arial" w:hAnsi="Arial"/>
                <w:sz w:val="14"/>
                <w:szCs w:val="14"/>
                <w:color w:val="auto"/>
                <w:w w:val="99"/>
              </w:rPr>
              <w:t>Asia Limited, 18 Grenville Street, St. Helier, Jersey JE4 8PX, Channel Islands.</w:t>
            </w:r>
          </w:p>
        </w:tc>
        <w:tc>
          <w:tcPr>
            <w:tcW w:w="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420" w:type="dxa"/>
            <w:vAlign w:val="bottom"/>
          </w:tcPr>
          <w:p>
            <w:pPr>
              <w:spacing w:after="0" w:line="149" w:lineRule="exact"/>
              <w:rPr>
                <w:sz w:val="20"/>
                <w:szCs w:val="20"/>
                <w:color w:val="auto"/>
              </w:rPr>
            </w:pPr>
            <w:r>
              <w:rPr>
                <w:rFonts w:ascii="Arial" w:cs="Arial" w:eastAsia="Arial" w:hAnsi="Arial"/>
                <w:sz w:val="14"/>
                <w:szCs w:val="14"/>
                <w:color w:val="auto"/>
              </w:rPr>
              <w:t>(9)</w:t>
            </w:r>
          </w:p>
        </w:tc>
        <w:tc>
          <w:tcPr>
            <w:tcW w:w="502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CVC Capital Partners Asia Pacific II L.P. may be deemed to beneficially own</w:t>
            </w:r>
          </w:p>
        </w:tc>
        <w:tc>
          <w:tcPr>
            <w:tcW w:w="476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shares of common stock held by CVC Capital Partners Asia Pacific L.P.,</w:t>
            </w:r>
          </w:p>
        </w:tc>
        <w:tc>
          <w:tcPr>
            <w:tcW w:w="1220" w:type="dxa"/>
            <w:vAlign w:val="bottom"/>
          </w:tcPr>
          <w:p>
            <w:pPr>
              <w:ind w:left="280"/>
              <w:spacing w:after="0" w:line="149" w:lineRule="exact"/>
              <w:rPr>
                <w:sz w:val="20"/>
                <w:szCs w:val="20"/>
                <w:color w:val="auto"/>
              </w:rPr>
            </w:pPr>
            <w:r>
              <w:rPr>
                <w:rFonts w:ascii="Arial" w:cs="Arial" w:eastAsia="Arial" w:hAnsi="Arial"/>
                <w:sz w:val="14"/>
                <w:szCs w:val="14"/>
                <w:color w:val="auto"/>
              </w:rPr>
              <w:t>shares of</w:t>
            </w:r>
          </w:p>
        </w:tc>
      </w:tr>
      <w:tr>
        <w:trPr>
          <w:trHeight w:val="149"/>
        </w:trPr>
        <w:tc>
          <w:tcPr>
            <w:tcW w:w="420" w:type="dxa"/>
            <w:vAlign w:val="bottom"/>
          </w:tcPr>
          <w:p>
            <w:pPr>
              <w:spacing w:after="0"/>
              <w:rPr>
                <w:sz w:val="12"/>
                <w:szCs w:val="12"/>
                <w:color w:val="auto"/>
              </w:rPr>
            </w:pPr>
          </w:p>
        </w:tc>
        <w:tc>
          <w:tcPr>
            <w:tcW w:w="5800" w:type="dxa"/>
            <w:vAlign w:val="bottom"/>
            <w:gridSpan w:val="5"/>
          </w:tcPr>
          <w:p>
            <w:pPr>
              <w:ind w:left="160"/>
              <w:spacing w:after="0" w:line="149" w:lineRule="exact"/>
              <w:rPr>
                <w:sz w:val="20"/>
                <w:szCs w:val="20"/>
                <w:color w:val="auto"/>
              </w:rPr>
            </w:pPr>
            <w:r>
              <w:rPr>
                <w:rFonts w:ascii="Arial" w:cs="Arial" w:eastAsia="Arial" w:hAnsi="Arial"/>
                <w:sz w:val="14"/>
                <w:szCs w:val="14"/>
                <w:color w:val="auto"/>
              </w:rPr>
              <w:t>common stock held by CVC Capital Partners Asia Pacific II Parallel Fund—A, L.P. and</w:t>
            </w:r>
          </w:p>
        </w:tc>
        <w:tc>
          <w:tcPr>
            <w:tcW w:w="520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7"/>
              </w:rPr>
              <w:t>shares of common stock of Asia Investors LLC. The address of CVC Capital Partners</w:t>
            </w:r>
          </w:p>
        </w:tc>
      </w:tr>
      <w:tr>
        <w:trPr>
          <w:trHeight w:val="149"/>
        </w:trPr>
        <w:tc>
          <w:tcPr>
            <w:tcW w:w="420" w:type="dxa"/>
            <w:vAlign w:val="bottom"/>
          </w:tcPr>
          <w:p>
            <w:pPr>
              <w:spacing w:after="0"/>
              <w:rPr>
                <w:sz w:val="12"/>
                <w:szCs w:val="12"/>
                <w:color w:val="auto"/>
              </w:rPr>
            </w:pPr>
          </w:p>
        </w:tc>
        <w:tc>
          <w:tcPr>
            <w:tcW w:w="7720" w:type="dxa"/>
            <w:vAlign w:val="bottom"/>
            <w:gridSpan w:val="6"/>
          </w:tcPr>
          <w:p>
            <w:pPr>
              <w:ind w:left="160"/>
              <w:spacing w:after="0" w:line="149" w:lineRule="exact"/>
              <w:rPr>
                <w:sz w:val="20"/>
                <w:szCs w:val="20"/>
                <w:color w:val="auto"/>
              </w:rPr>
            </w:pPr>
            <w:r>
              <w:rPr>
                <w:rFonts w:ascii="Arial" w:cs="Arial" w:eastAsia="Arial" w:hAnsi="Arial"/>
                <w:sz w:val="14"/>
                <w:szCs w:val="14"/>
                <w:color w:val="auto"/>
                <w:w w:val="95"/>
              </w:rPr>
              <w:t>Asia Pacific II L.P. is c/o CVC Capital Partners Asia II Limited, 22 Grenville Street, St. Helier, Jersey JE4 8PX, Channel Islands.</w:t>
            </w:r>
          </w:p>
        </w:tc>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420" w:type="dxa"/>
            <w:vAlign w:val="bottom"/>
          </w:tcPr>
          <w:p>
            <w:pPr>
              <w:spacing w:after="0" w:line="149" w:lineRule="exact"/>
              <w:rPr>
                <w:sz w:val="20"/>
                <w:szCs w:val="20"/>
                <w:color w:val="auto"/>
              </w:rPr>
            </w:pPr>
            <w:r>
              <w:rPr>
                <w:rFonts w:ascii="Arial" w:cs="Arial" w:eastAsia="Arial" w:hAnsi="Arial"/>
                <w:sz w:val="14"/>
                <w:szCs w:val="14"/>
                <w:color w:val="auto"/>
              </w:rPr>
              <w:t>(10)</w:t>
            </w:r>
          </w:p>
        </w:tc>
        <w:tc>
          <w:tcPr>
            <w:tcW w:w="5800" w:type="dxa"/>
            <w:vAlign w:val="bottom"/>
            <w:gridSpan w:val="5"/>
          </w:tcPr>
          <w:p>
            <w:pPr>
              <w:ind w:left="160"/>
              <w:spacing w:after="0" w:line="149" w:lineRule="exact"/>
              <w:rPr>
                <w:sz w:val="20"/>
                <w:szCs w:val="20"/>
                <w:color w:val="auto"/>
              </w:rPr>
            </w:pPr>
            <w:r>
              <w:rPr>
                <w:rFonts w:ascii="Arial" w:cs="Arial" w:eastAsia="Arial" w:hAnsi="Arial"/>
                <w:sz w:val="14"/>
                <w:szCs w:val="14"/>
                <w:color w:val="auto"/>
                <w:w w:val="95"/>
              </w:rPr>
              <w:t>CVC Capital Partners Asia Pacific II Parallel Fund—A, L.P. may be deemed to beneficially own</w:t>
            </w:r>
          </w:p>
        </w:tc>
        <w:tc>
          <w:tcPr>
            <w:tcW w:w="5200" w:type="dxa"/>
            <w:vAlign w:val="bottom"/>
            <w:gridSpan w:val="4"/>
          </w:tcPr>
          <w:p>
            <w:pPr>
              <w:ind w:left="520"/>
              <w:spacing w:after="0" w:line="149" w:lineRule="exact"/>
              <w:rPr>
                <w:sz w:val="20"/>
                <w:szCs w:val="20"/>
                <w:color w:val="auto"/>
              </w:rPr>
            </w:pPr>
            <w:r>
              <w:rPr>
                <w:rFonts w:ascii="Arial" w:cs="Arial" w:eastAsia="Arial" w:hAnsi="Arial"/>
                <w:sz w:val="14"/>
                <w:szCs w:val="14"/>
                <w:color w:val="auto"/>
              </w:rPr>
              <w:t>shares of common stock held by CVC Capital Partners Asia Pacific L.P.,</w:t>
            </w:r>
          </w:p>
        </w:tc>
      </w:tr>
      <w:tr>
        <w:trPr>
          <w:trHeight w:val="149"/>
        </w:trPr>
        <w:tc>
          <w:tcPr>
            <w:tcW w:w="420" w:type="dxa"/>
            <w:vAlign w:val="bottom"/>
          </w:tcPr>
          <w:p>
            <w:pPr>
              <w:spacing w:after="0"/>
              <w:rPr>
                <w:sz w:val="12"/>
                <w:szCs w:val="12"/>
                <w:color w:val="auto"/>
              </w:rPr>
            </w:pPr>
          </w:p>
        </w:tc>
        <w:tc>
          <w:tcPr>
            <w:tcW w:w="5800" w:type="dxa"/>
            <w:vAlign w:val="bottom"/>
            <w:gridSpan w:val="5"/>
          </w:tcPr>
          <w:p>
            <w:pPr>
              <w:ind w:left="640"/>
              <w:spacing w:after="0" w:line="149" w:lineRule="exact"/>
              <w:rPr>
                <w:sz w:val="20"/>
                <w:szCs w:val="20"/>
                <w:color w:val="auto"/>
              </w:rPr>
            </w:pPr>
            <w:r>
              <w:rPr>
                <w:rFonts w:ascii="Arial" w:cs="Arial" w:eastAsia="Arial" w:hAnsi="Arial"/>
                <w:sz w:val="14"/>
                <w:szCs w:val="14"/>
                <w:color w:val="auto"/>
              </w:rPr>
              <w:t>shares of common stock held by CVC Capital Partners Asia Pacific II L.P. and</w:t>
            </w:r>
          </w:p>
        </w:tc>
        <w:tc>
          <w:tcPr>
            <w:tcW w:w="5200" w:type="dxa"/>
            <w:vAlign w:val="bottom"/>
            <w:gridSpan w:val="4"/>
          </w:tcPr>
          <w:p>
            <w:pPr>
              <w:spacing w:after="0" w:line="149" w:lineRule="exact"/>
              <w:rPr>
                <w:sz w:val="20"/>
                <w:szCs w:val="20"/>
                <w:color w:val="auto"/>
              </w:rPr>
            </w:pPr>
            <w:r>
              <w:rPr>
                <w:rFonts w:ascii="Arial" w:cs="Arial" w:eastAsia="Arial" w:hAnsi="Arial"/>
                <w:sz w:val="14"/>
                <w:szCs w:val="14"/>
                <w:color w:val="auto"/>
                <w:w w:val="98"/>
              </w:rPr>
              <w:t>shares of common stock of Asia Investors LLC. The address of CVC Capital Partners</w:t>
            </w:r>
          </w:p>
        </w:tc>
      </w:tr>
      <w:tr>
        <w:trPr>
          <w:trHeight w:val="149"/>
        </w:trPr>
        <w:tc>
          <w:tcPr>
            <w:tcW w:w="420" w:type="dxa"/>
            <w:vAlign w:val="bottom"/>
          </w:tcPr>
          <w:p>
            <w:pPr>
              <w:spacing w:after="0"/>
              <w:rPr>
                <w:sz w:val="12"/>
                <w:szCs w:val="12"/>
                <w:color w:val="auto"/>
              </w:rPr>
            </w:pPr>
          </w:p>
        </w:tc>
        <w:tc>
          <w:tcPr>
            <w:tcW w:w="9780" w:type="dxa"/>
            <w:vAlign w:val="bottom"/>
            <w:gridSpan w:val="8"/>
          </w:tcPr>
          <w:p>
            <w:pPr>
              <w:ind w:left="160"/>
              <w:spacing w:after="0" w:line="149" w:lineRule="exact"/>
              <w:rPr>
                <w:sz w:val="20"/>
                <w:szCs w:val="20"/>
                <w:color w:val="auto"/>
              </w:rPr>
            </w:pPr>
            <w:r>
              <w:rPr>
                <w:rFonts w:ascii="Arial" w:cs="Arial" w:eastAsia="Arial" w:hAnsi="Arial"/>
                <w:sz w:val="14"/>
                <w:szCs w:val="14"/>
                <w:color w:val="auto"/>
              </w:rPr>
              <w:t>Asia Pacific II Parallel Fund—A, L.P. is c/o CVC Capital Partners Asia II Limited, 22 Grenville Street, St. Helier, Jersey JE4 8PX, Channel Islands.</w:t>
            </w:r>
          </w:p>
        </w:tc>
        <w:tc>
          <w:tcPr>
            <w:tcW w:w="1220" w:type="dxa"/>
            <w:vAlign w:val="bottom"/>
          </w:tcPr>
          <w:p>
            <w:pPr>
              <w:spacing w:after="0"/>
              <w:rPr>
                <w:sz w:val="12"/>
                <w:szCs w:val="12"/>
                <w:color w:val="auto"/>
              </w:rPr>
            </w:pPr>
          </w:p>
        </w:tc>
      </w:tr>
      <w:tr>
        <w:trPr>
          <w:trHeight w:val="149"/>
        </w:trPr>
        <w:tc>
          <w:tcPr>
            <w:tcW w:w="420" w:type="dxa"/>
            <w:vAlign w:val="bottom"/>
          </w:tcPr>
          <w:p>
            <w:pPr>
              <w:spacing w:after="0" w:line="149" w:lineRule="exact"/>
              <w:rPr>
                <w:sz w:val="20"/>
                <w:szCs w:val="20"/>
                <w:color w:val="auto"/>
              </w:rPr>
            </w:pPr>
            <w:r>
              <w:rPr>
                <w:rFonts w:ascii="Arial" w:cs="Arial" w:eastAsia="Arial" w:hAnsi="Arial"/>
                <w:sz w:val="14"/>
                <w:szCs w:val="14"/>
                <w:color w:val="auto"/>
              </w:rPr>
              <w:t>(11)</w:t>
            </w:r>
          </w:p>
        </w:tc>
        <w:tc>
          <w:tcPr>
            <w:tcW w:w="37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Asia Investors LLC may be deemed to beneficially own</w:t>
            </w:r>
          </w:p>
        </w:tc>
        <w:tc>
          <w:tcPr>
            <w:tcW w:w="482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shares of common stock held by CVC Capital Partners Asia Pacific L.P.,</w:t>
            </w:r>
          </w:p>
        </w:tc>
        <w:tc>
          <w:tcPr>
            <w:tcW w:w="24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shares of common stock held by</w:t>
            </w:r>
          </w:p>
        </w:tc>
      </w:tr>
      <w:tr>
        <w:trPr>
          <w:trHeight w:val="149"/>
        </w:trPr>
        <w:tc>
          <w:tcPr>
            <w:tcW w:w="420" w:type="dxa"/>
            <w:vAlign w:val="bottom"/>
          </w:tcPr>
          <w:p>
            <w:pPr>
              <w:spacing w:after="0"/>
              <w:rPr>
                <w:sz w:val="12"/>
                <w:szCs w:val="12"/>
                <w:color w:val="auto"/>
              </w:rPr>
            </w:pPr>
          </w:p>
        </w:tc>
        <w:tc>
          <w:tcPr>
            <w:tcW w:w="2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CVC Capital Partners Asia Pacific II L.P. and</w:t>
            </w:r>
          </w:p>
        </w:tc>
        <w:tc>
          <w:tcPr>
            <w:tcW w:w="8040" w:type="dxa"/>
            <w:vAlign w:val="bottom"/>
            <w:gridSpan w:val="7"/>
          </w:tcPr>
          <w:p>
            <w:pPr>
              <w:ind w:left="380"/>
              <w:spacing w:after="0" w:line="149" w:lineRule="exact"/>
              <w:rPr>
                <w:sz w:val="20"/>
                <w:szCs w:val="20"/>
                <w:color w:val="auto"/>
              </w:rPr>
            </w:pPr>
            <w:r>
              <w:rPr>
                <w:rFonts w:ascii="Arial" w:cs="Arial" w:eastAsia="Arial" w:hAnsi="Arial"/>
                <w:sz w:val="14"/>
                <w:szCs w:val="14"/>
                <w:color w:val="auto"/>
                <w:w w:val="96"/>
              </w:rPr>
              <w:t>shares of common stock held by CVC Capital Partners Asia Pacific II Parallel Fund—A, L.P. Asia Investors LLC has co-invested</w:t>
            </w:r>
          </w:p>
        </w:tc>
      </w:tr>
    </w:tbl>
    <w:p>
      <w:pPr>
        <w:ind w:left="580" w:right="460"/>
        <w:spacing w:after="0" w:line="221" w:lineRule="auto"/>
        <w:rPr>
          <w:sz w:val="20"/>
          <w:szCs w:val="20"/>
          <w:color w:val="auto"/>
        </w:rPr>
      </w:pPr>
      <w:r>
        <w:rPr>
          <w:rFonts w:ascii="Arial" w:cs="Arial" w:eastAsia="Arial" w:hAnsi="Arial"/>
          <w:sz w:val="14"/>
          <w:szCs w:val="14"/>
          <w:color w:val="auto"/>
        </w:rPr>
        <w:t>alongside of CVC Capital Partners Asia Pacific L.P., but is not a subsidiary of the CVC Capital Partners group of companies. The address of Asia Investors, LLC is c/o Citicorp Securities Asia Pacific Limited, 50th floor, Citibank Tower, Citibank Plaza, 3 Garden Road, Hong Kong.</w:t>
      </w:r>
    </w:p>
    <w:p>
      <w:pPr>
        <w:ind w:left="580" w:hanging="572"/>
        <w:spacing w:after="0" w:line="222" w:lineRule="auto"/>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address of Peninsula Investment Pte. Ltd. is 255 Shoreline Drive, Suite 600, Redwood City, CA 94065.</w:t>
      </w:r>
    </w:p>
    <w:tbl>
      <w:tblPr>
        <w:tblLayout w:type="fixed"/>
        <w:tblInd w:w="0" w:type="dxa"/>
        <w:tblCellMar>
          <w:top w:w="0" w:type="dxa"/>
          <w:left w:w="0" w:type="dxa"/>
          <w:bottom w:w="0" w:type="dxa"/>
          <w:right w:w="0" w:type="dxa"/>
        </w:tblCellMar>
      </w:tblP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(13)</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70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shares of common stock held by the Baker Family Revocable Trust [c/o Jerry &amp; Paula Baker, Trustees] and</w:t>
            </w:r>
          </w:p>
        </w:tc>
        <w:tc>
          <w:tcPr>
            <w:tcW w:w="286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5"/>
              </w:rPr>
              <w:t>shares of restricted common stock held by</w:t>
            </w:r>
          </w:p>
        </w:tc>
      </w:tr>
      <w:tr>
        <w:trPr>
          <w:trHeight w:val="149"/>
        </w:trPr>
        <w:tc>
          <w:tcPr>
            <w:tcW w:w="420" w:type="dxa"/>
            <w:vAlign w:val="bottom"/>
          </w:tcPr>
          <w:p>
            <w:pPr>
              <w:spacing w:after="0"/>
              <w:rPr>
                <w:sz w:val="12"/>
                <w:szCs w:val="12"/>
                <w:color w:val="auto"/>
              </w:rPr>
            </w:pPr>
          </w:p>
        </w:tc>
        <w:tc>
          <w:tcPr>
            <w:tcW w:w="10920" w:type="dxa"/>
            <w:vAlign w:val="bottom"/>
            <w:gridSpan w:val="6"/>
          </w:tcPr>
          <w:p>
            <w:pPr>
              <w:ind w:left="160"/>
              <w:spacing w:after="0" w:line="149" w:lineRule="exact"/>
              <w:rPr>
                <w:sz w:val="20"/>
                <w:szCs w:val="20"/>
                <w:color w:val="auto"/>
              </w:rPr>
            </w:pPr>
            <w:r>
              <w:rPr>
                <w:rFonts w:ascii="Arial" w:cs="Arial" w:eastAsia="Arial" w:hAnsi="Arial"/>
                <w:sz w:val="14"/>
                <w:szCs w:val="14"/>
                <w:color w:val="auto"/>
              </w:rPr>
              <w:t>Mr. Baker. Restricted shares of common stock are subject to a right of repurchase by MagnaChip. The address of Mr. Baker is 3101 North First Street, San Jose, CA 95134.</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(14)</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41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shares of common stock held by Francisco Partners, L.P.,</w:t>
            </w:r>
          </w:p>
        </w:tc>
        <w:tc>
          <w:tcPr>
            <w:tcW w:w="45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shares of common stock held by Francisco Partners Fund A, L.P.,</w:t>
            </w:r>
          </w:p>
        </w:tc>
        <w:tc>
          <w:tcPr>
            <w:tcW w:w="1220" w:type="dxa"/>
            <w:vAlign w:val="bottom"/>
          </w:tcPr>
          <w:p>
            <w:pPr>
              <w:ind w:left="340"/>
              <w:spacing w:after="0" w:line="149" w:lineRule="exact"/>
              <w:rPr>
                <w:sz w:val="20"/>
                <w:szCs w:val="20"/>
                <w:color w:val="auto"/>
              </w:rPr>
            </w:pPr>
            <w:r>
              <w:rPr>
                <w:rFonts w:ascii="Arial" w:cs="Arial" w:eastAsia="Arial" w:hAnsi="Arial"/>
                <w:sz w:val="14"/>
                <w:szCs w:val="14"/>
                <w:color w:val="auto"/>
              </w:rPr>
              <w:t>shares of</w:t>
            </w:r>
          </w:p>
        </w:tc>
      </w:tr>
      <w:tr>
        <w:trPr>
          <w:trHeight w:val="149"/>
        </w:trPr>
        <w:tc>
          <w:tcPr>
            <w:tcW w:w="420" w:type="dxa"/>
            <w:vAlign w:val="bottom"/>
          </w:tcPr>
          <w:p>
            <w:pPr>
              <w:spacing w:after="0"/>
              <w:rPr>
                <w:sz w:val="12"/>
                <w:szCs w:val="12"/>
                <w:color w:val="auto"/>
              </w:rPr>
            </w:pPr>
          </w:p>
        </w:tc>
        <w:tc>
          <w:tcPr>
            <w:tcW w:w="3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common stock held by FP-MagnaChip Co-Invest, LLC and</w:t>
            </w:r>
          </w:p>
        </w:tc>
        <w:tc>
          <w:tcPr>
            <w:tcW w:w="6940" w:type="dxa"/>
            <w:vAlign w:val="bottom"/>
            <w:gridSpan w:val="4"/>
          </w:tcPr>
          <w:p>
            <w:pPr>
              <w:ind w:left="340"/>
              <w:spacing w:after="0" w:line="149" w:lineRule="exact"/>
              <w:rPr>
                <w:sz w:val="20"/>
                <w:szCs w:val="20"/>
                <w:color w:val="auto"/>
              </w:rPr>
            </w:pPr>
            <w:r>
              <w:rPr>
                <w:rFonts w:ascii="Arial" w:cs="Arial" w:eastAsia="Arial" w:hAnsi="Arial"/>
                <w:sz w:val="14"/>
                <w:szCs w:val="14"/>
                <w:color w:val="auto"/>
                <w:w w:val="99"/>
              </w:rPr>
              <w:t>shares of common stock held by FP Annual Fund Investors, LLC. Each of Mr. Deb and Mr. Potamianos is a</w:t>
            </w:r>
          </w:p>
        </w:tc>
      </w:tr>
      <w:tr>
        <w:trPr>
          <w:trHeight w:val="149"/>
        </w:trPr>
        <w:tc>
          <w:tcPr>
            <w:tcW w:w="420" w:type="dxa"/>
            <w:vAlign w:val="bottom"/>
          </w:tcPr>
          <w:p>
            <w:pPr>
              <w:spacing w:after="0"/>
              <w:rPr>
                <w:sz w:val="12"/>
                <w:szCs w:val="12"/>
                <w:color w:val="auto"/>
              </w:rPr>
            </w:pPr>
          </w:p>
        </w:tc>
        <w:tc>
          <w:tcPr>
            <w:tcW w:w="10920" w:type="dxa"/>
            <w:vAlign w:val="bottom"/>
            <w:gridSpan w:val="6"/>
          </w:tcPr>
          <w:p>
            <w:pPr>
              <w:ind w:left="160"/>
              <w:spacing w:after="0" w:line="149" w:lineRule="exact"/>
              <w:rPr>
                <w:sz w:val="20"/>
                <w:szCs w:val="20"/>
                <w:color w:val="auto"/>
              </w:rPr>
            </w:pPr>
            <w:r>
              <w:rPr>
                <w:rFonts w:ascii="Arial" w:cs="Arial" w:eastAsia="Arial" w:hAnsi="Arial"/>
                <w:sz w:val="14"/>
                <w:szCs w:val="14"/>
                <w:color w:val="auto"/>
                <w:w w:val="96"/>
              </w:rPr>
              <w:t>member of management of Francisco Partners, L.P. and disclaims beneficial ownership of the shares of common stock held by Francisco Partners, L.P., Francisco Partners Fund A,</w:t>
            </w:r>
          </w:p>
        </w:tc>
      </w:tr>
      <w:tr>
        <w:trPr>
          <w:trHeight w:val="149"/>
        </w:trPr>
        <w:tc>
          <w:tcPr>
            <w:tcW w:w="420" w:type="dxa"/>
            <w:vAlign w:val="bottom"/>
          </w:tcPr>
          <w:p>
            <w:pPr>
              <w:spacing w:after="0"/>
              <w:rPr>
                <w:sz w:val="12"/>
                <w:szCs w:val="12"/>
                <w:color w:val="auto"/>
              </w:rPr>
            </w:pPr>
          </w:p>
        </w:tc>
        <w:tc>
          <w:tcPr>
            <w:tcW w:w="10920" w:type="dxa"/>
            <w:vAlign w:val="bottom"/>
            <w:gridSpan w:val="6"/>
          </w:tcPr>
          <w:p>
            <w:pPr>
              <w:ind w:left="160"/>
              <w:spacing w:after="0" w:line="149" w:lineRule="exact"/>
              <w:rPr>
                <w:sz w:val="20"/>
                <w:szCs w:val="20"/>
                <w:color w:val="auto"/>
              </w:rPr>
            </w:pPr>
            <w:r>
              <w:rPr>
                <w:rFonts w:ascii="Arial" w:cs="Arial" w:eastAsia="Arial" w:hAnsi="Arial"/>
                <w:sz w:val="14"/>
                <w:szCs w:val="14"/>
                <w:color w:val="auto"/>
                <w:w w:val="96"/>
              </w:rPr>
              <w:t>L.P., FP-MagnaChip Co-Invest, LLC and FP Annual Fund Investors, LLC. The address of each of Mr. Deb and Mr. Potamianos is c/o Francisco Partners, L.P., Letterman Digital Arts</w:t>
            </w:r>
          </w:p>
        </w:tc>
      </w:tr>
      <w:tr>
        <w:trPr>
          <w:trHeight w:val="149"/>
        </w:trPr>
        <w:tc>
          <w:tcPr>
            <w:tcW w:w="420" w:type="dxa"/>
            <w:vAlign w:val="bottom"/>
          </w:tcPr>
          <w:p>
            <w:pPr>
              <w:spacing w:after="0"/>
              <w:rPr>
                <w:sz w:val="12"/>
                <w:szCs w:val="12"/>
                <w:color w:val="auto"/>
              </w:rPr>
            </w:pPr>
          </w:p>
        </w:tc>
        <w:tc>
          <w:tcPr>
            <w:tcW w:w="51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Center, One Letterman Drive, Building C, Suite 410, San Francisco, CA 94129.</w:t>
            </w:r>
          </w:p>
        </w:tc>
        <w:tc>
          <w:tcPr>
            <w:tcW w:w="2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(15)</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9920" w:type="dxa"/>
            <w:vAlign w:val="bottom"/>
            <w:gridSpan w:val="5"/>
          </w:tcPr>
          <w:p>
            <w:pPr>
              <w:ind w:left="340"/>
              <w:spacing w:after="0" w:line="149" w:lineRule="exact"/>
              <w:rPr>
                <w:sz w:val="20"/>
                <w:szCs w:val="20"/>
                <w:color w:val="auto"/>
              </w:rPr>
            </w:pPr>
            <w:r>
              <w:rPr>
                <w:rFonts w:ascii="Arial" w:cs="Arial" w:eastAsia="Arial" w:hAnsi="Arial"/>
                <w:sz w:val="14"/>
                <w:szCs w:val="14"/>
                <w:color w:val="auto"/>
                <w:w w:val="98"/>
              </w:rPr>
              <w:t>shares of common stock that Mr. Geday may purchase pursuant to the exercise of options vesting on April 19, 2007. The address of Mr. Geday is 16 Rue de</w:t>
            </w:r>
          </w:p>
        </w:tc>
      </w:tr>
    </w:tbl>
    <w:p>
      <w:pPr>
        <w:ind w:left="580"/>
        <w:spacing w:after="0"/>
        <w:rPr>
          <w:sz w:val="20"/>
          <w:szCs w:val="20"/>
          <w:color w:val="auto"/>
        </w:rPr>
      </w:pPr>
      <w:r>
        <w:rPr>
          <w:rFonts w:ascii="Arial" w:cs="Arial" w:eastAsia="Arial" w:hAnsi="Arial"/>
          <w:sz w:val="14"/>
          <w:szCs w:val="14"/>
          <w:color w:val="auto"/>
        </w:rPr>
        <w:t>Belzunce, 75010, Paris, France.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right"/>
              <w:ind w:right="112"/>
              <w:spacing w:after="0"/>
              <w:rPr>
                <w:sz w:val="20"/>
                <w:szCs w:val="20"/>
                <w:color w:val="auto"/>
              </w:rPr>
            </w:pPr>
            <w:r>
              <w:rPr>
                <w:rFonts w:ascii="Arial" w:cs="Arial" w:eastAsia="Arial" w:hAnsi="Arial"/>
                <w:sz w:val="14"/>
                <w:szCs w:val="14"/>
                <w:color w:val="auto"/>
                <w:w w:val="88"/>
              </w:rPr>
              <w:t>(16)</w:t>
            </w:r>
          </w:p>
        </w:tc>
        <w:tc>
          <w:tcPr>
            <w:tcW w:w="1040" w:type="dxa"/>
            <w:vAlign w:val="bottom"/>
          </w:tcPr>
          <w:p>
            <w:pPr>
              <w:ind w:left="160"/>
              <w:spacing w:after="0"/>
              <w:rPr>
                <w:sz w:val="20"/>
                <w:szCs w:val="20"/>
                <w:color w:val="auto"/>
              </w:rPr>
            </w:pPr>
            <w:r>
              <w:rPr>
                <w:rFonts w:ascii="Arial" w:cs="Arial" w:eastAsia="Arial" w:hAnsi="Arial"/>
                <w:sz w:val="14"/>
                <w:szCs w:val="14"/>
                <w:color w:val="auto"/>
              </w:rPr>
              <w:t>Includes</w:t>
            </w:r>
          </w:p>
        </w:tc>
        <w:tc>
          <w:tcPr>
            <w:tcW w:w="9880" w:type="dxa"/>
            <w:vAlign w:val="bottom"/>
            <w:gridSpan w:val="2"/>
          </w:tcPr>
          <w:p>
            <w:pPr>
              <w:ind w:left="300"/>
              <w:spacing w:after="0"/>
              <w:rPr>
                <w:sz w:val="20"/>
                <w:szCs w:val="20"/>
                <w:color w:val="auto"/>
              </w:rPr>
            </w:pPr>
            <w:r>
              <w:rPr>
                <w:rFonts w:ascii="Arial" w:cs="Arial" w:eastAsia="Arial" w:hAnsi="Arial"/>
                <w:sz w:val="14"/>
                <w:szCs w:val="14"/>
                <w:color w:val="auto"/>
              </w:rPr>
              <w:t>shares of common stock that Mr. Hwang may purchase pursuant to the exercise of options vesting on March 31, 2007.</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(17)</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98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8"/>
              </w:rPr>
              <w:t>shares of common stock held by Robert &amp; Theresa Krakauer JTWROS, for which Mr. Krakauer shares voting and investment power with his spouse, Theresa</w:t>
            </w:r>
          </w:p>
        </w:tc>
      </w:tr>
      <w:tr>
        <w:trPr>
          <w:trHeight w:val="149"/>
        </w:trPr>
        <w:tc>
          <w:tcPr>
            <w:tcW w:w="420" w:type="dxa"/>
            <w:vAlign w:val="bottom"/>
          </w:tcPr>
          <w:p>
            <w:pPr>
              <w:spacing w:after="0"/>
              <w:rPr>
                <w:sz w:val="12"/>
                <w:szCs w:val="12"/>
                <w:color w:val="auto"/>
              </w:rPr>
            </w:pP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Krakauer,</w:t>
            </w:r>
          </w:p>
        </w:tc>
        <w:tc>
          <w:tcPr>
            <w:tcW w:w="988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6"/>
              </w:rPr>
              <w:t>shares of common stock held by the Krakauer Family Partnership [c/o Robert &amp; Theresa Krakauer], for which Mr. Krakauer shares voting and investment power</w:t>
            </w:r>
          </w:p>
        </w:tc>
      </w:tr>
      <w:tr>
        <w:trPr>
          <w:trHeight w:val="149"/>
        </w:trPr>
        <w:tc>
          <w:tcPr>
            <w:tcW w:w="420" w:type="dxa"/>
            <w:vAlign w:val="bottom"/>
          </w:tcPr>
          <w:p>
            <w:pPr>
              <w:spacing w:after="0"/>
              <w:rPr>
                <w:sz w:val="12"/>
                <w:szCs w:val="12"/>
                <w:color w:val="auto"/>
              </w:rPr>
            </w:pPr>
          </w:p>
        </w:tc>
        <w:tc>
          <w:tcPr>
            <w:tcW w:w="2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with Theresa Krakauer and</w:t>
            </w:r>
          </w:p>
        </w:tc>
        <w:tc>
          <w:tcPr>
            <w:tcW w:w="8800" w:type="dxa"/>
            <w:vAlign w:val="bottom"/>
          </w:tcPr>
          <w:p>
            <w:pPr>
              <w:ind w:left="340"/>
              <w:spacing w:after="0" w:line="149" w:lineRule="exact"/>
              <w:rPr>
                <w:sz w:val="20"/>
                <w:szCs w:val="20"/>
                <w:color w:val="auto"/>
              </w:rPr>
            </w:pPr>
            <w:r>
              <w:rPr>
                <w:rFonts w:ascii="Arial" w:cs="Arial" w:eastAsia="Arial" w:hAnsi="Arial"/>
                <w:sz w:val="14"/>
                <w:szCs w:val="14"/>
                <w:color w:val="auto"/>
              </w:rPr>
              <w:t>restricted shares of common stock. Restricted shares of common stock are subject to a right of repurchase by MagnaChip.</w:t>
            </w:r>
          </w:p>
        </w:tc>
      </w:tr>
    </w:tbl>
    <w:p>
      <w:pPr>
        <w:ind w:left="580" w:hanging="572"/>
        <w:spacing w:after="0"/>
        <w:tabs>
          <w:tab w:leader="none" w:pos="5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Mr Kuan is a member of management of CVC Asia Pacific Limited, an investment advisor to the general partners of CVC Capital Partners Asia Pacific L.P., CVC Capital Partners</w:t>
      </w:r>
    </w:p>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13"/>
                <w:szCs w:val="13"/>
                <w:color w:val="auto"/>
              </w:rPr>
            </w:pPr>
          </w:p>
        </w:tc>
        <w:tc>
          <w:tcPr>
            <w:tcW w:w="10940" w:type="dxa"/>
            <w:vAlign w:val="bottom"/>
            <w:gridSpan w:val="2"/>
          </w:tcPr>
          <w:p>
            <w:pPr>
              <w:ind w:left="160"/>
              <w:spacing w:after="0" w:line="159" w:lineRule="exact"/>
              <w:rPr>
                <w:sz w:val="20"/>
                <w:szCs w:val="20"/>
                <w:color w:val="auto"/>
              </w:rPr>
            </w:pPr>
            <w:r>
              <w:rPr>
                <w:rFonts w:ascii="Arial" w:cs="Arial" w:eastAsia="Arial" w:hAnsi="Arial"/>
                <w:sz w:val="14"/>
                <w:szCs w:val="14"/>
                <w:color w:val="auto"/>
                <w:w w:val="96"/>
              </w:rPr>
              <w:t>Asia Pacific II L.P. and CVC Partners Asia Pacific II Parallel Fund - A, L.P., as well as to Asia Investors LLC. The address of Mr. Kuan is CVC Asia Pacific Limited, Suite 901-3, ICBC</w:t>
            </w:r>
          </w:p>
        </w:tc>
      </w:tr>
      <w:tr>
        <w:trPr>
          <w:trHeight w:val="149"/>
        </w:trPr>
        <w:tc>
          <w:tcPr>
            <w:tcW w:w="420" w:type="dxa"/>
            <w:vAlign w:val="bottom"/>
          </w:tcPr>
          <w:p>
            <w:pPr>
              <w:spacing w:after="0"/>
              <w:rPr>
                <w:sz w:val="12"/>
                <w:szCs w:val="12"/>
                <w:color w:val="auto"/>
              </w:rPr>
            </w:pPr>
          </w:p>
        </w:tc>
        <w:tc>
          <w:tcPr>
            <w:tcW w:w="109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Tower, Citibank Plaza, 3 Garden Road, Central, Hong Kong. Because he has no direct or indirect voting or investment power over the shares of common stock held by such entities,</w:t>
            </w:r>
          </w:p>
        </w:tc>
      </w:tr>
      <w:tr>
        <w:trPr>
          <w:trHeight w:val="149"/>
        </w:trPr>
        <w:tc>
          <w:tcPr>
            <w:tcW w:w="420" w:type="dxa"/>
            <w:vAlign w:val="bottom"/>
          </w:tcPr>
          <w:p>
            <w:pPr>
              <w:spacing w:after="0"/>
              <w:rPr>
                <w:sz w:val="12"/>
                <w:szCs w:val="12"/>
                <w:color w:val="auto"/>
              </w:rPr>
            </w:pPr>
          </w:p>
        </w:tc>
        <w:tc>
          <w:tcPr>
            <w:tcW w:w="109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Mr. Kuan disclaims beneficial ownership of all of the shares of common stock held by such entities. Asia Investors LLC has previously co-invested alongside of CVC Capital Partners</w:t>
            </w:r>
          </w:p>
        </w:tc>
      </w:tr>
      <w:tr>
        <w:trPr>
          <w:trHeight w:val="149"/>
        </w:trPr>
        <w:tc>
          <w:tcPr>
            <w:tcW w:w="420" w:type="dxa"/>
            <w:vAlign w:val="bottom"/>
          </w:tcPr>
          <w:p>
            <w:pPr>
              <w:spacing w:after="0"/>
              <w:rPr>
                <w:sz w:val="12"/>
                <w:szCs w:val="12"/>
                <w:color w:val="auto"/>
              </w:rPr>
            </w:pPr>
          </w:p>
        </w:tc>
        <w:tc>
          <w:tcPr>
            <w:tcW w:w="10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Asia Pacific L.P. but is not a subsidiary of the CVC Capital Partners group of companies.</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(19)</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9940" w:type="dxa"/>
            <w:vAlign w:val="bottom"/>
          </w:tcPr>
          <w:p>
            <w:pPr>
              <w:ind w:left="340"/>
              <w:spacing w:after="0" w:line="149" w:lineRule="exact"/>
              <w:rPr>
                <w:sz w:val="20"/>
                <w:szCs w:val="20"/>
                <w:color w:val="auto"/>
              </w:rPr>
            </w:pPr>
            <w:r>
              <w:rPr>
                <w:rFonts w:ascii="Arial" w:cs="Arial" w:eastAsia="Arial" w:hAnsi="Arial"/>
                <w:sz w:val="14"/>
                <w:szCs w:val="14"/>
                <w:color w:val="auto"/>
              </w:rPr>
              <w:t>shares of common stock that Mr. Lee may purchase pursuant to an option vesting on March 31, 2007.</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(20)</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9940" w:type="dxa"/>
            <w:vAlign w:val="bottom"/>
          </w:tcPr>
          <w:p>
            <w:pPr>
              <w:ind w:left="340"/>
              <w:spacing w:after="0" w:line="149" w:lineRule="exact"/>
              <w:rPr>
                <w:sz w:val="20"/>
                <w:szCs w:val="20"/>
                <w:color w:val="auto"/>
              </w:rPr>
            </w:pPr>
            <w:r>
              <w:rPr>
                <w:rFonts w:ascii="Arial" w:cs="Arial" w:eastAsia="Arial" w:hAnsi="Arial"/>
                <w:sz w:val="14"/>
                <w:szCs w:val="14"/>
                <w:color w:val="auto"/>
              </w:rPr>
              <w:t>shares of restricted common stock that are subject to a right of repurchase by MagnaChip.</w:t>
            </w:r>
          </w:p>
        </w:tc>
      </w:tr>
    </w:tbl>
    <w:p>
      <w:pPr>
        <w:ind w:left="580" w:hanging="572"/>
        <w:spacing w:after="0" w:line="221" w:lineRule="auto"/>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address of Mr. Norby is 12169 Hilltop Drive, Los Altos Hills, CA 94024.</w:t>
      </w:r>
    </w:p>
    <w:tbl>
      <w:tblPr>
        <w:tblLayout w:type="fixed"/>
        <w:tblInd w:w="0" w:type="dxa"/>
        <w:tblCellMar>
          <w:top w:w="0" w:type="dxa"/>
          <w:left w:w="0" w:type="dxa"/>
          <w:bottom w:w="0" w:type="dxa"/>
          <w:right w:w="0" w:type="dxa"/>
        </w:tblCellMar>
      </w:tblP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(22)</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3860" w:type="dxa"/>
            <w:vAlign w:val="bottom"/>
          </w:tcPr>
          <w:p>
            <w:pPr>
              <w:ind w:left="340"/>
              <w:spacing w:after="0" w:line="149" w:lineRule="exact"/>
              <w:rPr>
                <w:sz w:val="20"/>
                <w:szCs w:val="20"/>
                <w:color w:val="auto"/>
              </w:rPr>
            </w:pPr>
            <w:r>
              <w:rPr>
                <w:rFonts w:ascii="Arial" w:cs="Arial" w:eastAsia="Arial" w:hAnsi="Arial"/>
                <w:sz w:val="14"/>
                <w:szCs w:val="14"/>
                <w:color w:val="auto"/>
              </w:rPr>
              <w:t>shares of common stock held by BG Partners LP and</w:t>
            </w:r>
          </w:p>
        </w:tc>
        <w:tc>
          <w:tcPr>
            <w:tcW w:w="590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5"/>
              </w:rPr>
              <w:t>shares of common stock held by BG/CVC-1. The address of Mr. Schorr is c/o The Blackstone</w:t>
            </w:r>
          </w:p>
        </w:tc>
      </w:tr>
      <w:tr>
        <w:trPr>
          <w:trHeight w:val="149"/>
        </w:trPr>
        <w:tc>
          <w:tcPr>
            <w:tcW w:w="420" w:type="dxa"/>
            <w:vAlign w:val="bottom"/>
          </w:tcPr>
          <w:p>
            <w:pPr>
              <w:spacing w:after="0"/>
              <w:rPr>
                <w:sz w:val="12"/>
                <w:szCs w:val="12"/>
                <w:color w:val="auto"/>
              </w:rPr>
            </w:pPr>
          </w:p>
        </w:tc>
        <w:tc>
          <w:tcPr>
            <w:tcW w:w="4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Group, 345 Park Avenue, New York, NY 10154.</w:t>
            </w:r>
          </w:p>
        </w:tc>
        <w:tc>
          <w:tcPr>
            <w:tcW w:w="1580" w:type="dxa"/>
            <w:vAlign w:val="bottom"/>
          </w:tcPr>
          <w:p>
            <w:pPr>
              <w:spacing w:after="0"/>
              <w:rPr>
                <w:sz w:val="12"/>
                <w:szCs w:val="12"/>
                <w:color w:val="auto"/>
              </w:rPr>
            </w:pPr>
          </w:p>
        </w:tc>
        <w:tc>
          <w:tcPr>
            <w:tcW w:w="43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(23)</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54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shares of common stock held by Citigroup Venture Capital Equity Partners, L.P.,</w:t>
            </w:r>
          </w:p>
        </w:tc>
        <w:tc>
          <w:tcPr>
            <w:tcW w:w="4320" w:type="dxa"/>
            <w:vAlign w:val="bottom"/>
          </w:tcPr>
          <w:p>
            <w:pPr>
              <w:ind w:left="340"/>
              <w:spacing w:after="0" w:line="149" w:lineRule="exact"/>
              <w:rPr>
                <w:sz w:val="20"/>
                <w:szCs w:val="20"/>
                <w:color w:val="auto"/>
              </w:rPr>
            </w:pPr>
            <w:r>
              <w:rPr>
                <w:rFonts w:ascii="Arial" w:cs="Arial" w:eastAsia="Arial" w:hAnsi="Arial"/>
                <w:sz w:val="14"/>
                <w:szCs w:val="14"/>
                <w:color w:val="auto"/>
              </w:rPr>
              <w:t>shares of common stock held by CVC Executive Fund LLC and</w:t>
            </w:r>
          </w:p>
        </w:tc>
      </w:tr>
    </w:tbl>
    <w:p>
      <w:pPr>
        <w:ind w:left="580" w:right="220" w:firstLine="638"/>
        <w:spacing w:after="0" w:line="228" w:lineRule="auto"/>
        <w:rPr>
          <w:sz w:val="20"/>
          <w:szCs w:val="20"/>
          <w:color w:val="auto"/>
        </w:rPr>
      </w:pPr>
      <w:r>
        <w:rPr>
          <w:rFonts w:ascii="Arial" w:cs="Arial" w:eastAsia="Arial" w:hAnsi="Arial"/>
          <w:sz w:val="14"/>
          <w:szCs w:val="14"/>
          <w:color w:val="auto"/>
        </w:rPr>
        <w:t>shares of common stock held by CVC/SSB Employee Fund, L.P. Mr. Thomas is a member of management of Court Square and disclaims beneficial ownership of the shares of common stock held by Citigroup Venture Capital Equity Partners, L.P., CVC Executive Fund LLC and CVC/SSB Employee Fund, L.P. The address of Mr. Thomas is c/o Court Square Capital Partners, 55 E. 52nd Street, 34th Floor, New York, NY 10055.</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The following table sets forth information regarding the beneficial ownership of the outstanding equity interests of MagnaChip Semiconductor LLC as of September 30, 2007 by: (1) each person or entity known to us to beneficially own more than 5% of any class of our outstanding securities; (2) each member of our board of directors; (3) each of our named executive officers; (4) all of the members of our board of directors and executive officers, as a group; and (5) each selling stockholder. As of September 30, 2007, MagnaChip Semiconductor LLC’s outstanding securities consisted of 52,831,722 common units and 93,997 Series B preferred units.</w:t>
      </w:r>
    </w:p>
    <w:p>
      <w:pPr>
        <w:spacing w:after="0" w:line="157" w:lineRule="exact"/>
        <w:rPr>
          <w:sz w:val="20"/>
          <w:szCs w:val="20"/>
          <w:color w:val="auto"/>
        </w:rPr>
      </w:pPr>
    </w:p>
    <w:p>
      <w:pPr>
        <w:ind w:right="60" w:firstLine="571"/>
        <w:spacing w:after="0" w:line="271" w:lineRule="auto"/>
        <w:rPr>
          <w:sz w:val="20"/>
          <w:szCs w:val="20"/>
          <w:color w:val="auto"/>
        </w:rPr>
      </w:pPr>
      <w:r>
        <w:rPr>
          <w:rFonts w:ascii="Arial" w:cs="Arial" w:eastAsia="Arial" w:hAnsi="Arial"/>
          <w:sz w:val="16"/>
          <w:szCs w:val="16"/>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31" w:lineRule="exact"/>
        <w:rPr>
          <w:sz w:val="20"/>
          <w:szCs w:val="20"/>
          <w:color w:val="auto"/>
        </w:rPr>
      </w:pPr>
    </w:p>
    <w:p>
      <w:pPr>
        <w:ind w:right="480" w:firstLine="571"/>
        <w:spacing w:after="0" w:line="238"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units shown as beneficially owned by them. Unless otherwise indicated, the address of each person listed in the table below is c/o MagnaChip Semiconductor Ltd., 1 Hyang jeong-dong, Hungduk-gu, Cheongju-si, 361-725, Korea.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Amount and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Name and Address of Beneficial Owner</w:t>
            </w: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59"/>
        </w:trPr>
        <w:tc>
          <w:tcPr>
            <w:tcW w:w="650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Title of Class</w:t>
            </w:r>
          </w:p>
        </w:tc>
        <w:tc>
          <w:tcPr>
            <w:tcW w:w="34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Ownership</w:t>
            </w:r>
          </w:p>
        </w:tc>
        <w:tc>
          <w:tcPr>
            <w:tcW w:w="34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Class</w:t>
            </w:r>
          </w:p>
        </w:tc>
        <w:tc>
          <w:tcPr>
            <w:tcW w:w="0" w:type="dxa"/>
            <w:vAlign w:val="bottom"/>
          </w:tcPr>
          <w:p>
            <w:pPr>
              <w:spacing w:after="0"/>
              <w:rPr>
                <w:sz w:val="1"/>
                <w:szCs w:val="1"/>
                <w:color w:val="auto"/>
              </w:rPr>
            </w:pPr>
          </w:p>
        </w:tc>
      </w:tr>
      <w:tr>
        <w:trPr>
          <w:trHeight w:val="68"/>
        </w:trPr>
        <w:tc>
          <w:tcPr>
            <w:tcW w:w="6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Citigroup Venture Capital Equity Partners, L.P.</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17,630,628.4200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33,093.7702</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CVC Executive Fund LLC</w:t>
            </w:r>
            <w:r>
              <w:rPr>
                <w:rFonts w:ascii="Arial" w:cs="Arial" w:eastAsia="Arial" w:hAnsi="Arial"/>
                <w:sz w:val="22"/>
                <w:szCs w:val="22"/>
                <w:color w:val="auto"/>
                <w:vertAlign w:val="superscript"/>
              </w:rPr>
              <w:t>(2)</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156,381.7100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293.5380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CVC/SSB Employee Fund, L.P.</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175,511.8000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329.4464</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Francisco Partners, L.P.</w:t>
            </w:r>
            <w:r>
              <w:rPr>
                <w:rFonts w:ascii="Arial" w:cs="Arial" w:eastAsia="Arial" w:hAnsi="Arial"/>
                <w:sz w:val="22"/>
                <w:szCs w:val="22"/>
                <w:color w:val="auto"/>
                <w:vertAlign w:val="superscript"/>
              </w:rPr>
              <w:t>(4)</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16,941,762.2000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31,800.7261</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Francisco Partners Fund A, L.P.</w:t>
            </w:r>
            <w:r>
              <w:rPr>
                <w:rFonts w:ascii="Arial" w:cs="Arial" w:eastAsia="Arial" w:hAnsi="Arial"/>
                <w:sz w:val="22"/>
                <w:szCs w:val="22"/>
                <w:color w:val="auto"/>
                <w:vertAlign w:val="superscript"/>
              </w:rPr>
              <w:t>(5)</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83,423.4000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156.5909</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FP-MagnaChip Co-Invest, LLC</w:t>
            </w:r>
            <w:r>
              <w:rPr>
                <w:rFonts w:ascii="Arial" w:cs="Arial" w:eastAsia="Arial" w:hAnsi="Arial"/>
                <w:sz w:val="22"/>
                <w:szCs w:val="22"/>
                <w:color w:val="auto"/>
                <w:vertAlign w:val="superscript"/>
              </w:rPr>
              <w:t>(6)</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909,076.7600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1,706.3760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FP Annual Fund Investors, LLC</w:t>
            </w:r>
            <w:r>
              <w:rPr>
                <w:rFonts w:ascii="Arial" w:cs="Arial" w:eastAsia="Arial" w:hAnsi="Arial"/>
                <w:sz w:val="22"/>
                <w:szCs w:val="22"/>
                <w:color w:val="auto"/>
                <w:vertAlign w:val="superscript"/>
              </w:rPr>
              <w:t>(7)</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28,268.5600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53.0617</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CVC Capital Partners Asia Pacific L.P.</w:t>
            </w:r>
            <w:r>
              <w:rPr>
                <w:rFonts w:ascii="Arial" w:cs="Arial" w:eastAsia="Arial" w:hAnsi="Arial"/>
                <w:sz w:val="22"/>
                <w:szCs w:val="22"/>
                <w:color w:val="auto"/>
                <w:vertAlign w:val="superscript"/>
              </w:rPr>
              <w:t>(8)</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3,219,903.5200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6,043.9566</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CVC Capital Partners Asia Pacific II L.P.</w:t>
            </w:r>
            <w:r>
              <w:rPr>
                <w:rFonts w:ascii="Arial" w:cs="Arial" w:eastAsia="Arial" w:hAnsi="Arial"/>
                <w:sz w:val="22"/>
                <w:szCs w:val="22"/>
                <w:color w:val="auto"/>
                <w:vertAlign w:val="superscript"/>
              </w:rPr>
              <w:t>(9)</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4,048,152.3700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7,598.6306</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CVC Capital Partners Asia Pacific II Parallel Fund—A, L.P.</w:t>
            </w:r>
            <w:r>
              <w:rPr>
                <w:rFonts w:ascii="Arial" w:cs="Arial" w:eastAsia="Arial" w:hAnsi="Arial"/>
                <w:sz w:val="22"/>
                <w:szCs w:val="22"/>
                <w:color w:val="auto"/>
                <w:vertAlign w:val="superscript"/>
              </w:rPr>
              <w:t>(10)</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781,702.9100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1,467.3043</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Asia Investors LLC</w:t>
            </w:r>
            <w:r>
              <w:rPr>
                <w:rFonts w:ascii="Arial" w:cs="Arial" w:eastAsia="Arial" w:hAnsi="Arial"/>
                <w:sz w:val="22"/>
                <w:szCs w:val="22"/>
                <w:color w:val="auto"/>
                <w:vertAlign w:val="superscript"/>
              </w:rPr>
              <w:t>(11)</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1,609,951.7600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3,021.9784</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30"/>
        </w:trPr>
        <w:tc>
          <w:tcPr>
            <w:tcW w:w="6500" w:type="dxa"/>
            <w:vAlign w:val="bottom"/>
          </w:tcPr>
          <w:p>
            <w:pPr>
              <w:spacing w:after="0" w:line="229" w:lineRule="exact"/>
              <w:rPr>
                <w:sz w:val="20"/>
                <w:szCs w:val="20"/>
                <w:color w:val="auto"/>
              </w:rPr>
            </w:pPr>
            <w:r>
              <w:rPr>
                <w:rFonts w:ascii="Arial" w:cs="Arial" w:eastAsia="Arial" w:hAnsi="Arial"/>
                <w:sz w:val="14"/>
                <w:szCs w:val="14"/>
                <w:color w:val="auto"/>
              </w:rPr>
              <w:t>Peninsula Investment Pte. Ltd.</w:t>
            </w:r>
            <w:r>
              <w:rPr>
                <w:rFonts w:ascii="Arial" w:cs="Arial" w:eastAsia="Arial" w:hAnsi="Arial"/>
                <w:sz w:val="22"/>
                <w:szCs w:val="22"/>
                <w:color w:val="auto"/>
                <w:vertAlign w:val="superscript"/>
              </w:rPr>
              <w:t>(12)</w:t>
            </w:r>
          </w:p>
        </w:tc>
        <w:tc>
          <w:tcPr>
            <w:tcW w:w="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3,636,271.0700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6,825.5041</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5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Jerry M. Baker</w:t>
            </w:r>
            <w:r>
              <w:rPr>
                <w:rFonts w:ascii="Arial" w:cs="Arial" w:eastAsia="Arial" w:hAnsi="Arial"/>
                <w:sz w:val="21"/>
                <w:szCs w:val="21"/>
                <w:color w:val="auto"/>
                <w:vertAlign w:val="superscript"/>
              </w:rPr>
              <w:t>(13)</w:t>
            </w: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682,158.1600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255.9564</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56"/>
        </w:trPr>
        <w:tc>
          <w:tcPr>
            <w:tcW w:w="6500" w:type="dxa"/>
            <w:vAlign w:val="bottom"/>
          </w:tcPr>
          <w:p>
            <w:pPr>
              <w:spacing w:after="0"/>
              <w:rPr>
                <w:sz w:val="20"/>
                <w:szCs w:val="20"/>
                <w:color w:val="auto"/>
              </w:rPr>
            </w:pPr>
            <w:r>
              <w:rPr>
                <w:rFonts w:ascii="Arial" w:cs="Arial" w:eastAsia="Arial" w:hAnsi="Arial"/>
                <w:sz w:val="14"/>
                <w:szCs w:val="14"/>
                <w:color w:val="auto"/>
              </w:rPr>
              <w:t>Dipanjan Deb</w:t>
            </w:r>
            <w:r>
              <w:rPr>
                <w:rFonts w:ascii="Arial" w:cs="Arial" w:eastAsia="Arial" w:hAnsi="Arial"/>
                <w:sz w:val="22"/>
                <w:szCs w:val="22"/>
                <w:color w:val="auto"/>
                <w:vertAlign w:val="superscript"/>
              </w:rPr>
              <w:t>(14)</w:t>
            </w:r>
          </w:p>
        </w:tc>
        <w:tc>
          <w:tcPr>
            <w:tcW w:w="34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17,962,521.9200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33,716.7547</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Amount and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Nature of</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1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 and Address of Beneficial Owner</w:t>
            </w: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Beneficial</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Title of Class</w:t>
            </w:r>
          </w:p>
        </w:tc>
        <w:tc>
          <w:tcPr>
            <w:tcW w:w="440" w:type="dxa"/>
            <w:vAlign w:val="bottom"/>
          </w:tcPr>
          <w:p>
            <w:pPr>
              <w:spacing w:after="0"/>
              <w:rPr>
                <w:sz w:val="13"/>
                <w:szCs w:val="13"/>
                <w:color w:val="auto"/>
              </w:rPr>
            </w:pPr>
          </w:p>
        </w:tc>
        <w:tc>
          <w:tcPr>
            <w:tcW w:w="1740" w:type="dxa"/>
            <w:vAlign w:val="bottom"/>
            <w:gridSpan w:val="2"/>
          </w:tcPr>
          <w:p>
            <w:pPr>
              <w:jc w:val="center"/>
              <w:ind w:right="520"/>
              <w:spacing w:after="0" w:line="152" w:lineRule="exact"/>
              <w:rPr>
                <w:sz w:val="20"/>
                <w:szCs w:val="20"/>
                <w:color w:val="auto"/>
              </w:rPr>
            </w:pPr>
            <w:r>
              <w:rPr>
                <w:rFonts w:ascii="Arial" w:cs="Arial" w:eastAsia="Arial" w:hAnsi="Arial"/>
                <w:sz w:val="14"/>
                <w:szCs w:val="14"/>
                <w:b w:val="1"/>
                <w:bCs w:val="1"/>
                <w:color w:val="auto"/>
                <w:w w:val="96"/>
              </w:rPr>
              <w:t>Ownership</w:t>
            </w:r>
          </w:p>
        </w:tc>
        <w:tc>
          <w:tcPr>
            <w:tcW w:w="800" w:type="dxa"/>
            <w:vAlign w:val="bottom"/>
          </w:tcPr>
          <w:p>
            <w:pPr>
              <w:ind w:left="220"/>
              <w:spacing w:after="0" w:line="152"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510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72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Armando Geday</w:t>
            </w:r>
            <w:r>
              <w:rPr>
                <w:rFonts w:ascii="Arial" w:cs="Arial" w:eastAsia="Arial" w:hAnsi="Arial"/>
                <w:sz w:val="21"/>
                <w:szCs w:val="21"/>
                <w:color w:val="auto"/>
                <w:vertAlign w:val="superscript"/>
              </w:rPr>
              <w:t>(15)</w:t>
            </w:r>
          </w:p>
        </w:tc>
        <w:tc>
          <w:tcPr>
            <w:tcW w:w="44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76,562.5000</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4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280" w:type="dxa"/>
            <w:vAlign w:val="bottom"/>
            <w:gridSpan w:val="3"/>
          </w:tcPr>
          <w:p>
            <w:pPr>
              <w:spacing w:after="0"/>
              <w:rPr>
                <w:sz w:val="20"/>
                <w:szCs w:val="20"/>
                <w:color w:val="auto"/>
              </w:rPr>
            </w:pPr>
            <w:r>
              <w:rPr>
                <w:rFonts w:ascii="Arial" w:cs="Arial" w:eastAsia="Arial" w:hAnsi="Arial"/>
                <w:sz w:val="14"/>
                <w:szCs w:val="14"/>
                <w:color w:val="auto"/>
              </w:rPr>
              <w:t>Tae Young Hwang</w:t>
            </w:r>
            <w:r>
              <w:rPr>
                <w:rFonts w:ascii="Arial" w:cs="Arial" w:eastAsia="Arial" w:hAnsi="Arial"/>
                <w:sz w:val="22"/>
                <w:szCs w:val="22"/>
                <w:color w:val="auto"/>
                <w:vertAlign w:val="superscript"/>
              </w:rPr>
              <w:t>(16)</w:t>
            </w:r>
          </w:p>
        </w:tc>
        <w:tc>
          <w:tcPr>
            <w:tcW w:w="4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204,674.2500</w:t>
            </w:r>
          </w:p>
        </w:tc>
        <w:tc>
          <w:tcPr>
            <w:tcW w:w="5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440" w:type="dxa"/>
            <w:vAlign w:val="bottom"/>
          </w:tcPr>
          <w:p>
            <w:pPr>
              <w:spacing w:after="0"/>
              <w:rPr>
                <w:sz w:val="14"/>
                <w:szCs w:val="1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1180" w:type="dxa"/>
            <w:vAlign w:val="bottom"/>
            <w:gridSpan w:val="2"/>
          </w:tcPr>
          <w:p>
            <w:pPr>
              <w:spacing w:after="0"/>
              <w:rPr>
                <w:sz w:val="4"/>
                <w:szCs w:val="4"/>
                <w:color w:val="auto"/>
              </w:rPr>
            </w:pPr>
          </w:p>
        </w:tc>
        <w:tc>
          <w:tcPr>
            <w:tcW w:w="5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Robert J. Krakauer</w:t>
            </w:r>
            <w:r>
              <w:rPr>
                <w:rFonts w:ascii="Arial" w:cs="Arial" w:eastAsia="Arial" w:hAnsi="Arial"/>
                <w:sz w:val="21"/>
                <w:szCs w:val="21"/>
                <w:color w:val="auto"/>
                <w:vertAlign w:val="superscript"/>
              </w:rPr>
              <w:t>(17)</w:t>
            </w:r>
          </w:p>
        </w:tc>
        <w:tc>
          <w:tcPr>
            <w:tcW w:w="44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773,153.7700</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170.6375</w:t>
            </w: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56"/>
        </w:trPr>
        <w:tc>
          <w:tcPr>
            <w:tcW w:w="6280" w:type="dxa"/>
            <w:vAlign w:val="bottom"/>
            <w:gridSpan w:val="3"/>
          </w:tcPr>
          <w:p>
            <w:pPr>
              <w:spacing w:after="0"/>
              <w:rPr>
                <w:sz w:val="20"/>
                <w:szCs w:val="20"/>
                <w:color w:val="auto"/>
              </w:rPr>
            </w:pPr>
            <w:r>
              <w:rPr>
                <w:rFonts w:ascii="Arial" w:cs="Arial" w:eastAsia="Arial" w:hAnsi="Arial"/>
                <w:sz w:val="14"/>
                <w:szCs w:val="14"/>
                <w:color w:val="auto"/>
              </w:rPr>
              <w:t>Roy Kuan</w:t>
            </w:r>
            <w:r>
              <w:rPr>
                <w:rFonts w:ascii="Arial" w:cs="Arial" w:eastAsia="Arial" w:hAnsi="Arial"/>
                <w:sz w:val="22"/>
                <w:szCs w:val="22"/>
                <w:color w:val="auto"/>
                <w:vertAlign w:val="superscript"/>
              </w:rPr>
              <w:t>(18)</w:t>
            </w:r>
          </w:p>
        </w:tc>
        <w:tc>
          <w:tcPr>
            <w:tcW w:w="4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440" w:type="dxa"/>
            <w:vAlign w:val="bottom"/>
          </w:tcPr>
          <w:p>
            <w:pPr>
              <w:spacing w:after="0"/>
              <w:rPr>
                <w:sz w:val="22"/>
                <w:szCs w:val="22"/>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440" w:type="dxa"/>
            <w:vAlign w:val="bottom"/>
          </w:tcPr>
          <w:p>
            <w:pPr>
              <w:spacing w:after="0"/>
              <w:rPr>
                <w:sz w:val="14"/>
                <w:szCs w:val="1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55"/>
        </w:trPr>
        <w:tc>
          <w:tcPr>
            <w:tcW w:w="1180" w:type="dxa"/>
            <w:vAlign w:val="bottom"/>
            <w:gridSpan w:val="2"/>
          </w:tcPr>
          <w:p>
            <w:pPr>
              <w:spacing w:after="0"/>
              <w:rPr>
                <w:sz w:val="4"/>
                <w:szCs w:val="4"/>
                <w:color w:val="auto"/>
              </w:rPr>
            </w:pPr>
          </w:p>
        </w:tc>
        <w:tc>
          <w:tcPr>
            <w:tcW w:w="5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Chan Hee Lee</w:t>
            </w:r>
            <w:r>
              <w:rPr>
                <w:rFonts w:ascii="Arial" w:cs="Arial" w:eastAsia="Arial" w:hAnsi="Arial"/>
                <w:sz w:val="21"/>
                <w:szCs w:val="21"/>
                <w:color w:val="auto"/>
                <w:vertAlign w:val="superscript"/>
              </w:rPr>
              <w:t>(19)</w:t>
            </w:r>
          </w:p>
        </w:tc>
        <w:tc>
          <w:tcPr>
            <w:tcW w:w="44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204,674.2500</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4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280" w:type="dxa"/>
            <w:vAlign w:val="bottom"/>
            <w:gridSpan w:val="3"/>
          </w:tcPr>
          <w:p>
            <w:pPr>
              <w:spacing w:after="0"/>
              <w:rPr>
                <w:sz w:val="20"/>
                <w:szCs w:val="20"/>
                <w:color w:val="auto"/>
              </w:rPr>
            </w:pPr>
            <w:r>
              <w:rPr>
                <w:rFonts w:ascii="Arial" w:cs="Arial" w:eastAsia="Arial" w:hAnsi="Arial"/>
                <w:sz w:val="14"/>
                <w:szCs w:val="14"/>
                <w:color w:val="auto"/>
              </w:rPr>
              <w:t>Victoria Miller Nam</w:t>
            </w:r>
            <w:r>
              <w:rPr>
                <w:rFonts w:ascii="Arial" w:cs="Arial" w:eastAsia="Arial" w:hAnsi="Arial"/>
                <w:sz w:val="22"/>
                <w:szCs w:val="22"/>
                <w:color w:val="auto"/>
                <w:vertAlign w:val="superscript"/>
              </w:rPr>
              <w:t>(20)</w:t>
            </w:r>
          </w:p>
        </w:tc>
        <w:tc>
          <w:tcPr>
            <w:tcW w:w="4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181,903.3800</w:t>
            </w:r>
          </w:p>
        </w:tc>
        <w:tc>
          <w:tcPr>
            <w:tcW w:w="5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2180" w:type="dxa"/>
            <w:vAlign w:val="bottom"/>
            <w:gridSpan w:val="3"/>
          </w:tcPr>
          <w:p>
            <w:pPr>
              <w:jc w:val="right"/>
              <w:ind w:right="540"/>
              <w:spacing w:after="0"/>
              <w:rPr>
                <w:sz w:val="20"/>
                <w:szCs w:val="20"/>
                <w:color w:val="auto"/>
              </w:rPr>
            </w:pPr>
            <w:r>
              <w:rPr>
                <w:rFonts w:ascii="Arial" w:cs="Arial" w:eastAsia="Arial" w:hAnsi="Arial"/>
                <w:sz w:val="14"/>
                <w:szCs w:val="14"/>
                <w:color w:val="auto"/>
              </w:rPr>
              <w:t>85.3188</w:t>
            </w: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5"/>
        </w:trPr>
        <w:tc>
          <w:tcPr>
            <w:tcW w:w="1180" w:type="dxa"/>
            <w:vAlign w:val="bottom"/>
            <w:gridSpan w:val="2"/>
          </w:tcPr>
          <w:p>
            <w:pPr>
              <w:spacing w:after="0"/>
              <w:rPr>
                <w:sz w:val="4"/>
                <w:szCs w:val="4"/>
                <w:color w:val="auto"/>
              </w:rPr>
            </w:pPr>
          </w:p>
        </w:tc>
        <w:tc>
          <w:tcPr>
            <w:tcW w:w="5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R. Douglas Norby</w:t>
            </w:r>
            <w:r>
              <w:rPr>
                <w:rFonts w:ascii="Arial" w:cs="Arial" w:eastAsia="Arial" w:hAnsi="Arial"/>
                <w:sz w:val="21"/>
                <w:szCs w:val="21"/>
                <w:color w:val="auto"/>
                <w:vertAlign w:val="superscript"/>
              </w:rPr>
              <w:t>(21)</w:t>
            </w:r>
          </w:p>
        </w:tc>
        <w:tc>
          <w:tcPr>
            <w:tcW w:w="44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15,000</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4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280" w:type="dxa"/>
            <w:vAlign w:val="bottom"/>
            <w:gridSpan w:val="3"/>
          </w:tcPr>
          <w:p>
            <w:pPr>
              <w:spacing w:after="0"/>
              <w:rPr>
                <w:sz w:val="20"/>
                <w:szCs w:val="20"/>
                <w:color w:val="auto"/>
              </w:rPr>
            </w:pPr>
            <w:r>
              <w:rPr>
                <w:rFonts w:ascii="Arial" w:cs="Arial" w:eastAsia="Arial" w:hAnsi="Arial"/>
                <w:sz w:val="14"/>
                <w:szCs w:val="14"/>
                <w:color w:val="auto"/>
              </w:rPr>
              <w:t>Sang Park</w:t>
            </w:r>
            <w:r>
              <w:rPr>
                <w:rFonts w:ascii="Arial" w:cs="Arial" w:eastAsia="Arial" w:hAnsi="Arial"/>
                <w:sz w:val="22"/>
                <w:szCs w:val="22"/>
                <w:color w:val="auto"/>
                <w:vertAlign w:val="superscript"/>
              </w:rPr>
              <w:t>(22)</w:t>
            </w:r>
          </w:p>
        </w:tc>
        <w:tc>
          <w:tcPr>
            <w:tcW w:w="4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2180" w:type="dxa"/>
            <w:vAlign w:val="bottom"/>
            <w:gridSpan w:val="3"/>
          </w:tcPr>
          <w:p>
            <w:pPr>
              <w:jc w:val="right"/>
              <w:ind w:right="540"/>
              <w:spacing w:after="0"/>
              <w:rPr>
                <w:sz w:val="20"/>
                <w:szCs w:val="20"/>
                <w:color w:val="auto"/>
              </w:rPr>
            </w:pPr>
            <w:r>
              <w:rPr>
                <w:rFonts w:ascii="Arial" w:cs="Arial" w:eastAsia="Arial" w:hAnsi="Arial"/>
                <w:sz w:val="14"/>
                <w:szCs w:val="14"/>
                <w:color w:val="auto"/>
              </w:rPr>
              <w:t>300,000</w:t>
            </w: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440" w:type="dxa"/>
            <w:vAlign w:val="bottom"/>
          </w:tcPr>
          <w:p>
            <w:pPr>
              <w:spacing w:after="0"/>
              <w:rPr>
                <w:sz w:val="14"/>
                <w:szCs w:val="1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1180" w:type="dxa"/>
            <w:vAlign w:val="bottom"/>
            <w:gridSpan w:val="2"/>
          </w:tcPr>
          <w:p>
            <w:pPr>
              <w:spacing w:after="0"/>
              <w:rPr>
                <w:sz w:val="4"/>
                <w:szCs w:val="4"/>
                <w:color w:val="auto"/>
              </w:rPr>
            </w:pPr>
          </w:p>
        </w:tc>
        <w:tc>
          <w:tcPr>
            <w:tcW w:w="5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Phokion Potamianos</w:t>
            </w:r>
            <w:r>
              <w:rPr>
                <w:rFonts w:ascii="Arial" w:cs="Arial" w:eastAsia="Arial" w:hAnsi="Arial"/>
                <w:sz w:val="21"/>
                <w:szCs w:val="21"/>
                <w:color w:val="auto"/>
                <w:vertAlign w:val="superscript"/>
              </w:rPr>
              <w:t>(14)</w:t>
            </w:r>
          </w:p>
        </w:tc>
        <w:tc>
          <w:tcPr>
            <w:tcW w:w="44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17,962,521.9200</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33,716.7547</w:t>
            </w: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35.9</w:t>
            </w:r>
          </w:p>
        </w:tc>
        <w:tc>
          <w:tcPr>
            <w:tcW w:w="0" w:type="dxa"/>
            <w:vAlign w:val="bottom"/>
          </w:tcPr>
          <w:p>
            <w:pPr>
              <w:spacing w:after="0"/>
              <w:rPr>
                <w:sz w:val="1"/>
                <w:szCs w:val="1"/>
                <w:color w:val="auto"/>
              </w:rPr>
            </w:pPr>
          </w:p>
        </w:tc>
      </w:tr>
      <w:tr>
        <w:trPr>
          <w:trHeight w:val="256"/>
        </w:trPr>
        <w:tc>
          <w:tcPr>
            <w:tcW w:w="6280" w:type="dxa"/>
            <w:vAlign w:val="bottom"/>
            <w:gridSpan w:val="3"/>
          </w:tcPr>
          <w:p>
            <w:pPr>
              <w:spacing w:after="0"/>
              <w:rPr>
                <w:sz w:val="20"/>
                <w:szCs w:val="20"/>
                <w:color w:val="auto"/>
              </w:rPr>
            </w:pPr>
            <w:r>
              <w:rPr>
                <w:rFonts w:ascii="Arial" w:cs="Arial" w:eastAsia="Arial" w:hAnsi="Arial"/>
                <w:sz w:val="14"/>
                <w:szCs w:val="14"/>
                <w:color w:val="auto"/>
              </w:rPr>
              <w:t>Paul C. Schorr IV</w:t>
            </w:r>
            <w:r>
              <w:rPr>
                <w:rFonts w:ascii="Arial" w:cs="Arial" w:eastAsia="Arial" w:hAnsi="Arial"/>
                <w:sz w:val="22"/>
                <w:szCs w:val="22"/>
                <w:color w:val="auto"/>
                <w:vertAlign w:val="superscript"/>
              </w:rPr>
              <w:t>(23)</w:t>
            </w:r>
          </w:p>
        </w:tc>
        <w:tc>
          <w:tcPr>
            <w:tcW w:w="4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36,362.7200</w:t>
            </w:r>
          </w:p>
        </w:tc>
        <w:tc>
          <w:tcPr>
            <w:tcW w:w="5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2180" w:type="dxa"/>
            <w:vAlign w:val="bottom"/>
            <w:gridSpan w:val="3"/>
          </w:tcPr>
          <w:p>
            <w:pPr>
              <w:jc w:val="right"/>
              <w:ind w:right="540"/>
              <w:spacing w:after="0"/>
              <w:rPr>
                <w:sz w:val="20"/>
                <w:szCs w:val="20"/>
                <w:color w:val="auto"/>
              </w:rPr>
            </w:pPr>
            <w:r>
              <w:rPr>
                <w:rFonts w:ascii="Arial" w:cs="Arial" w:eastAsia="Arial" w:hAnsi="Arial"/>
                <w:sz w:val="14"/>
                <w:szCs w:val="14"/>
                <w:color w:val="auto"/>
              </w:rPr>
              <w:t>68.2551</w:t>
            </w: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5"/>
        </w:trPr>
        <w:tc>
          <w:tcPr>
            <w:tcW w:w="1180" w:type="dxa"/>
            <w:vAlign w:val="bottom"/>
            <w:gridSpan w:val="2"/>
          </w:tcPr>
          <w:p>
            <w:pPr>
              <w:spacing w:after="0"/>
              <w:rPr>
                <w:sz w:val="4"/>
                <w:szCs w:val="4"/>
                <w:color w:val="auto"/>
              </w:rPr>
            </w:pPr>
          </w:p>
        </w:tc>
        <w:tc>
          <w:tcPr>
            <w:tcW w:w="5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David F. Thomas</w:t>
            </w:r>
            <w:r>
              <w:rPr>
                <w:rFonts w:ascii="Arial" w:cs="Arial" w:eastAsia="Arial" w:hAnsi="Arial"/>
                <w:sz w:val="21"/>
                <w:szCs w:val="21"/>
                <w:color w:val="auto"/>
                <w:vertAlign w:val="superscript"/>
              </w:rPr>
              <w:t>(24)</w:t>
            </w:r>
          </w:p>
        </w:tc>
        <w:tc>
          <w:tcPr>
            <w:tcW w:w="44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18,035,247.3400</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33,853.2646</w:t>
            </w: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36.0</w:t>
            </w:r>
          </w:p>
        </w:tc>
        <w:tc>
          <w:tcPr>
            <w:tcW w:w="0" w:type="dxa"/>
            <w:vAlign w:val="bottom"/>
          </w:tcPr>
          <w:p>
            <w:pPr>
              <w:spacing w:after="0"/>
              <w:rPr>
                <w:sz w:val="1"/>
                <w:szCs w:val="1"/>
                <w:color w:val="auto"/>
              </w:rPr>
            </w:pPr>
          </w:p>
        </w:tc>
      </w:tr>
      <w:tr>
        <w:trPr>
          <w:trHeight w:val="229"/>
        </w:trPr>
        <w:tc>
          <w:tcPr>
            <w:tcW w:w="6280" w:type="dxa"/>
            <w:vAlign w:val="bottom"/>
            <w:gridSpan w:val="3"/>
          </w:tcPr>
          <w:p>
            <w:pPr>
              <w:spacing w:after="0"/>
              <w:rPr>
                <w:sz w:val="20"/>
                <w:szCs w:val="20"/>
                <w:color w:val="auto"/>
              </w:rPr>
            </w:pPr>
            <w:r>
              <w:rPr>
                <w:rFonts w:ascii="Arial" w:cs="Arial" w:eastAsia="Arial" w:hAnsi="Arial"/>
                <w:sz w:val="14"/>
                <w:szCs w:val="14"/>
                <w:color w:val="auto"/>
              </w:rPr>
              <w:t>Baker Family Revocable Trust [c/o Jerry &amp; Paula Baker, Trustees]</w:t>
            </w:r>
          </w:p>
        </w:tc>
        <w:tc>
          <w:tcPr>
            <w:tcW w:w="4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13,360.1600</w:t>
            </w:r>
          </w:p>
        </w:tc>
        <w:tc>
          <w:tcPr>
            <w:tcW w:w="5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255.9564</w:t>
            </w: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Robert &amp; Theresa Krakauer JTWROS</w:t>
            </w:r>
          </w:p>
        </w:tc>
        <w:tc>
          <w:tcPr>
            <w:tcW w:w="440" w:type="dxa"/>
            <w:vAlign w:val="bottom"/>
            <w:shd w:val="clear" w:color="auto" w:fill="CCEEFF"/>
          </w:tcPr>
          <w:p>
            <w:pPr>
              <w:spacing w:after="0"/>
              <w:rPr>
                <w:sz w:val="14"/>
                <w:szCs w:val="1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54,544.0600</w:t>
            </w: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102.3825</w:t>
            </w: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29"/>
        </w:trPr>
        <w:tc>
          <w:tcPr>
            <w:tcW w:w="6280" w:type="dxa"/>
            <w:vAlign w:val="bottom"/>
            <w:gridSpan w:val="3"/>
          </w:tcPr>
          <w:p>
            <w:pPr>
              <w:spacing w:after="0"/>
              <w:rPr>
                <w:sz w:val="20"/>
                <w:szCs w:val="20"/>
                <w:color w:val="auto"/>
              </w:rPr>
            </w:pPr>
            <w:r>
              <w:rPr>
                <w:rFonts w:ascii="Arial" w:cs="Arial" w:eastAsia="Arial" w:hAnsi="Arial"/>
                <w:sz w:val="14"/>
                <w:szCs w:val="14"/>
                <w:color w:val="auto"/>
              </w:rPr>
              <w:t>Krakauer Family Partnership [c/o Robert &amp; Theresa Krakauer]</w:t>
            </w:r>
          </w:p>
        </w:tc>
        <w:tc>
          <w:tcPr>
            <w:tcW w:w="4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36,362.7100</w:t>
            </w:r>
          </w:p>
        </w:tc>
        <w:tc>
          <w:tcPr>
            <w:tcW w:w="5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2180" w:type="dxa"/>
            <w:vAlign w:val="bottom"/>
            <w:gridSpan w:val="3"/>
          </w:tcPr>
          <w:p>
            <w:pPr>
              <w:jc w:val="right"/>
              <w:ind w:right="540"/>
              <w:spacing w:after="0"/>
              <w:rPr>
                <w:sz w:val="20"/>
                <w:szCs w:val="20"/>
                <w:color w:val="auto"/>
              </w:rPr>
            </w:pPr>
            <w:r>
              <w:rPr>
                <w:rFonts w:ascii="Arial" w:cs="Arial" w:eastAsia="Arial" w:hAnsi="Arial"/>
                <w:sz w:val="14"/>
                <w:szCs w:val="14"/>
                <w:color w:val="auto"/>
              </w:rPr>
              <w:t>68.2550</w:t>
            </w:r>
          </w:p>
        </w:tc>
        <w:tc>
          <w:tcPr>
            <w:tcW w:w="80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Directors and executive officers as a group (16 persons)</w:t>
            </w: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Common Units</w:t>
            </w:r>
          </w:p>
        </w:tc>
        <w:tc>
          <w:tcPr>
            <w:tcW w:w="2180" w:type="dxa"/>
            <w:vAlign w:val="bottom"/>
            <w:gridSpan w:val="3"/>
            <w:shd w:val="clear" w:color="auto" w:fill="CCEEFF"/>
          </w:tcPr>
          <w:p>
            <w:pPr>
              <w:jc w:val="right"/>
              <w:ind w:right="540"/>
              <w:spacing w:after="0" w:line="148" w:lineRule="exact"/>
              <w:rPr>
                <w:sz w:val="20"/>
                <w:szCs w:val="20"/>
                <w:color w:val="auto"/>
              </w:rPr>
            </w:pPr>
            <w:r>
              <w:rPr>
                <w:rFonts w:ascii="Arial" w:cs="Arial" w:eastAsia="Arial" w:hAnsi="Arial"/>
                <w:sz w:val="14"/>
                <w:szCs w:val="14"/>
                <w:color w:val="auto"/>
              </w:rPr>
              <w:t>38,588,508.2900</w:t>
            </w:r>
          </w:p>
        </w:tc>
        <w:tc>
          <w:tcPr>
            <w:tcW w:w="8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68,150.1871</w:t>
            </w: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72.5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28" w:lineRule="exact"/>
        <w:rPr>
          <w:sz w:val="20"/>
          <w:szCs w:val="20"/>
          <w:color w:val="auto"/>
        </w:rPr>
      </w:pPr>
    </w:p>
    <w:p>
      <w:pPr>
        <w:ind w:left="580" w:right="180" w:hanging="572"/>
        <w:spacing w:after="0" w:line="221" w:lineRule="auto"/>
        <w:tabs>
          <w:tab w:leader="none" w:pos="5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Citigroup Venture Capital Equity Partners, L.P. may be deemed to beneficially own (a) 156,381.7100 common units held by CVC Executive Fund LLC and 175,511.8000 common units held by CVC/SSB Employee Fund, L.P. and (b) 293.5380 Series B preferred units held by CVC Executive Fund LLC and 329.4464 Series B preferred units held by CVC/SSB Employee Fund, L.P. The address of Citigroup Venture Capital Equity Partners, L.P. is c/o Court Square Capital Partners,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34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10055.</w:t>
      </w:r>
    </w:p>
    <w:p>
      <w:pPr>
        <w:spacing w:after="0" w:line="2" w:lineRule="exact"/>
        <w:rPr>
          <w:rFonts w:ascii="Arial" w:cs="Arial" w:eastAsia="Arial" w:hAnsi="Arial"/>
          <w:sz w:val="13"/>
          <w:szCs w:val="13"/>
          <w:color w:val="auto"/>
        </w:rPr>
      </w:pPr>
    </w:p>
    <w:p>
      <w:pPr>
        <w:ind w:left="580" w:right="80" w:hanging="572"/>
        <w:spacing w:after="0" w:line="221" w:lineRule="auto"/>
        <w:tabs>
          <w:tab w:leader="none" w:pos="5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CVC Executive Fund LLC may be deemed to beneficially own (a) 17,630,628.4200 common units held by Citigroup Venture Capital Equity Partners, L.P. and 175,511.8000 common units held by CVC/SSB Employee Fund, L.P. and (b) 33,093.7702 Series B preferred units held by Citigroup Venture Capital Equity Partners, L.P. and 329.4464 Series B preferred units held by CVC/SSB Employee Fund, L.P. The address of CVC Executive Fund LLC is c/o Court Square Capital Partners,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34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10055.</w:t>
      </w:r>
    </w:p>
    <w:p>
      <w:pPr>
        <w:spacing w:after="0" w:line="2" w:lineRule="exact"/>
        <w:rPr>
          <w:rFonts w:ascii="Arial" w:cs="Arial" w:eastAsia="Arial" w:hAnsi="Arial"/>
          <w:sz w:val="13"/>
          <w:szCs w:val="13"/>
          <w:color w:val="auto"/>
        </w:rPr>
      </w:pPr>
    </w:p>
    <w:p>
      <w:pPr>
        <w:ind w:left="580" w:right="160" w:hanging="572"/>
        <w:spacing w:after="0" w:line="239" w:lineRule="auto"/>
        <w:tabs>
          <w:tab w:leader="none" w:pos="5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CVC/SSB Employee Fund, L.P. may be deemed to beneficially own (a) 17,630,628.4200 common units held by Citigroup Venture Capital Equity Partners, L.P. and 156,381.7100 common units by CVC Executive Fund LLC and (b) 33,093.7702 Series B preferred units held by Citigroup Venture Capital Equity Partners, L.P. and 293.5380 Series B preferred units held by CVC Executive Fund LLC. The address of CVC/SSB Employee Fund, L.P. is c/o Court Square Capital Partners,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34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10055.</w:t>
      </w:r>
    </w:p>
    <w:p>
      <w:pPr>
        <w:spacing w:after="0" w:line="1" w:lineRule="exact"/>
        <w:rPr>
          <w:rFonts w:ascii="Arial" w:cs="Arial" w:eastAsia="Arial" w:hAnsi="Arial"/>
          <w:sz w:val="13"/>
          <w:szCs w:val="13"/>
          <w:color w:val="auto"/>
        </w:rPr>
      </w:pPr>
    </w:p>
    <w:p>
      <w:pPr>
        <w:ind w:left="580" w:right="220" w:hanging="572"/>
        <w:spacing w:after="0" w:line="226"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Francisco Partners, L.P. may be deemed to beneficially own (a) 83,423.4000 common units held by Francisco Partners Fund A, L.P., 909,067.7600 common units held by FP-MagnaChip Co-Invest, LLC and 28,268.5600 common units held by FP Annual Fund Investors, LLC and (b) 156.5909 Series B preferred units held by Francisco Partners Fund A, L.P., 1,706.3760 Series B preferred units held by FP-MagnaChip Co-Invest, LLC and 53.0617 Series B preferred units held by FP Annual Fund Investors, LLC. The address of Francisco Partners, L.P. is Letterman Digital Arts Center, One Letterman Drive, Building C, Suite 410, San Francisco, CA 94129.</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 w:right="100" w:hanging="572"/>
        <w:spacing w:after="0" w:line="221"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Francisco Partners Fund A, L.P. may be deemed to beneficially own (a) 16,941,762.2000 common units held by Francisco Partners, L.P., 909,067.7600 common units held by FP-MagnaChip Co-Invest, LLC and 28,268.5600 common units held by FP Annual Fund Investors, LLC and (b) 31,800.7261 Series B preferred units held by Francisco Partners, L.P., 1,706.3760 Series B preferred units held by FP-MagnaChip Co-Invest, LLC and 53.0617 Series B preferred units held by FP Annual Fund Investors, LLC. The address of Francisco Partners Fund A, L.P. is Letterman Digital Arts Center, One Letterman Drive, Building C, Suite 410, San Francisco, CA 94129.</w:t>
      </w:r>
    </w:p>
    <w:p>
      <w:pPr>
        <w:spacing w:after="0" w:line="1" w:lineRule="exact"/>
        <w:rPr>
          <w:rFonts w:ascii="Arial" w:cs="Arial" w:eastAsia="Arial" w:hAnsi="Arial"/>
          <w:sz w:val="14"/>
          <w:szCs w:val="14"/>
          <w:color w:val="auto"/>
        </w:rPr>
      </w:pPr>
    </w:p>
    <w:p>
      <w:pPr>
        <w:ind w:left="580" w:right="260" w:hanging="572"/>
        <w:spacing w:after="0" w:line="221"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FP-MagnaChip Co-Invest, LLC may be deemed to beneficially own (a) 16,941,762.2000 common units held by Francisco Partners, L.P. , 83,423.4000 common units held by Francisco Partners Fund A, L.P. and 28,268.5600 common units held by FP Annual Investors, LLC and (b) 31,800.7261 Series B preferred units held by Francisco Partners, L.P., 156.5909 Series B preferred units held by Francisco Partners Fund A, L.P. and 53.0617 Series B preferred units held by FP Annual Fund Investors, LLC. The address of FP-MagnaChip Co-Invest, LLC is Letterman Digital Arts Center, One Letterman Drive, Building C, Suite 410, San Francisco, CA 94129.</w:t>
      </w:r>
    </w:p>
    <w:p>
      <w:pPr>
        <w:spacing w:after="0" w:line="1" w:lineRule="exact"/>
        <w:rPr>
          <w:rFonts w:ascii="Arial" w:cs="Arial" w:eastAsia="Arial" w:hAnsi="Arial"/>
          <w:sz w:val="14"/>
          <w:szCs w:val="14"/>
          <w:color w:val="auto"/>
        </w:rPr>
      </w:pPr>
    </w:p>
    <w:p>
      <w:pPr>
        <w:ind w:left="580" w:right="260" w:hanging="572"/>
        <w:spacing w:after="0" w:line="258" w:lineRule="auto"/>
        <w:tabs>
          <w:tab w:leader="none" w:pos="5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FP Annual Investors, LLC may be deemed to beneficially own (a) 16,941,762.2000 common units held by Francisco Partners, L.P., 83,423.4000 common units held by Francisco Partners Fund A, L.P. and 909,067.7600 common units held by FP-MagnaChip Co-Invest, LLC and (b) 31,800.7261 Series B preferred units held by Francisco Partners, L.P.,</w:t>
      </w:r>
    </w:p>
    <w:p>
      <w:pPr>
        <w:ind w:left="580" w:right="420"/>
        <w:spacing w:after="0" w:line="221" w:lineRule="auto"/>
        <w:rPr>
          <w:rFonts w:ascii="Arial" w:cs="Arial" w:eastAsia="Arial" w:hAnsi="Arial"/>
          <w:sz w:val="12"/>
          <w:szCs w:val="12"/>
          <w:color w:val="auto"/>
        </w:rPr>
      </w:pPr>
      <w:r>
        <w:rPr>
          <w:rFonts w:ascii="Arial" w:cs="Arial" w:eastAsia="Arial" w:hAnsi="Arial"/>
          <w:sz w:val="14"/>
          <w:szCs w:val="14"/>
          <w:color w:val="auto"/>
        </w:rPr>
        <w:t>156.5909 Series B preferred units held by Francisco Partners Fund A, L.P. and 1,706.3760 Series B preferred units held by FP-MagnaChip Co-Invest, LLC. The address of FP Annual Investors, LLC is Letterman Digital Arts Center, One Letterman Drive, Building C, Suite 410, San Francisco, CA 94129.</w:t>
      </w:r>
    </w:p>
    <w:p>
      <w:pPr>
        <w:ind w:left="580" w:right="20" w:hanging="572"/>
        <w:spacing w:after="0" w:line="258" w:lineRule="auto"/>
        <w:tabs>
          <w:tab w:leader="none" w:pos="5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CVC Capital Partners Asia Pacific L.P. may be deemed to beneficially own (a) 4,048,152.3700 common units held by CVC Capital Partners Asia Pacific II L.P., 781,702.9100 common units held by CVC Capital Partners Asia Pacific II Parallel Fund—A, L.P. and 1,609,951.7600 common units of Asia Investors LLC and (b) 7,598.6306 Series B preferred units held by CVC Capital Partners Asia Pacific II L.P., 1,467.3043 Series B preferred units held by CVC Capital Partners Asia Pacific II Parallel Fund—A, L.P. and 3,021.9784 Series B preferred units of Asia Investors LLC. The address of CVC Capital Partners Asia Pacific L.P. is c/o CVC Capital Partners Asia Limited, 18 Grenville Street, St. Helier, Jersey</w:t>
      </w:r>
    </w:p>
    <w:p>
      <w:pPr>
        <w:ind w:left="580"/>
        <w:spacing w:after="0" w:line="221" w:lineRule="auto"/>
        <w:rPr>
          <w:rFonts w:ascii="Arial" w:cs="Arial" w:eastAsia="Arial" w:hAnsi="Arial"/>
          <w:sz w:val="12"/>
          <w:szCs w:val="12"/>
          <w:color w:val="auto"/>
        </w:rPr>
      </w:pPr>
      <w:r>
        <w:rPr>
          <w:rFonts w:ascii="Arial" w:cs="Arial" w:eastAsia="Arial" w:hAnsi="Arial"/>
          <w:sz w:val="14"/>
          <w:szCs w:val="14"/>
          <w:color w:val="auto"/>
        </w:rPr>
        <w:t>JE4 8PX, Channel Islands.</w:t>
      </w:r>
    </w:p>
    <w:p>
      <w:pPr>
        <w:ind w:left="580" w:hanging="572"/>
        <w:spacing w:after="0" w:line="221"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CVC Capital Partners Asia Pacific II L.P. may be deemed to beneficially own (a) 3,219,903.5200 common units held by CVC Capital Partners Asia Pacific L.P., 781,702.9100 common units held by CVC Capital Partners Asia Pacific II Parallel Fund—A, L.P. and 1,609,951.7600 common units of Asia Investors LLC and (b) 6,043.9566 Series B preferred units held by CVC Capital Partners Asia Pacific L.P., 1,467.3043 Series B preferred units held by CVC Capital Partners Asia Pacific II Parallel Fund—A, L.P. and 3,021.9784 Series B preferred units of Asia Investors LLC. The address of CVC Capital Partners Asia Pacific II L.P. is c/o CVC Capital Partners Asia II Limited, 22 Grenville Street, St. Helier, Jersey JE4 8PX, Channel Islands.</w:t>
      </w:r>
    </w:p>
    <w:p>
      <w:pPr>
        <w:spacing w:after="0" w:line="1" w:lineRule="exact"/>
        <w:rPr>
          <w:rFonts w:ascii="Arial" w:cs="Arial" w:eastAsia="Arial" w:hAnsi="Arial"/>
          <w:sz w:val="14"/>
          <w:szCs w:val="14"/>
          <w:color w:val="auto"/>
        </w:rPr>
      </w:pPr>
    </w:p>
    <w:p>
      <w:pPr>
        <w:ind w:left="580" w:right="20" w:hanging="572"/>
        <w:spacing w:after="0" w:line="221"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CVC Capital Partners Asia Pacific II Parallel Fund—A, L.P. may be deemed to beneficially own (a) 3,219,903.5200 common units held by CVC Capital Partners Asia Pacific L.P., 4,048,152.3700 common units held by CVC Capital Partners Asia Pacific II L.P. and 1,609,951.7600 common units of Asia Investors LLC and (b) 6,043.9566 Series B preferred units held by CVC Capital Partners Asia Pacific L.P., 7,598.6306 Series B preferred units held by CVC Capital Partners Asia Pacific II L.P. and 3,021.9784 Series B preferred units of Asia Investors LLC. The address of CVC Capital Partners Asia Pacific II Parallel Fund—A, L.P. is c/o CVC Capital Partners Asia II Limited, 22 Grenville Street, St. Helier, Jersey JE4 8PX, Channel Islands.</w:t>
      </w:r>
    </w:p>
    <w:p>
      <w:pPr>
        <w:spacing w:after="0" w:line="1"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Asia Investors LLC may be deemed to beneficially own (a) 3,219,903.5200 common units held by CVC Capital Partners Asia Pacific L.P., 4,048,152.3700 common units held by CVC Capital Partners Asia Pacific II L.P. and 781,702.9100 common units held by CVC Capital Partners Asia Pacific II Parallel Fund—A, L.P. and (b) 6,043.9566 Series B preferred units held by CVC Capital Partners Asia Pacific L.P., 7,598.6306 Series B preferred units held by CVC Capital Partners Asia Pacific II L.P. and 1,467.3043 Series B preferred units held by CVC Capital Partners Asia Pacific II Parallel Fund—A, L.P. Asia Investors LLC has co-invested alongside of CVC Capital Partners Asia Pacific L.P., but is not a subsidiary of the CVC Capital Partners group of companies. The address of Asia Investors, LLC is c/o Citicorp Securities Asia Pacific Limited, 50th floor, Citibank Tower, Citibank Plaza, 3 Garden Road, Hong Kong.</w:t>
      </w:r>
    </w:p>
    <w:p>
      <w:pPr>
        <w:spacing w:after="0" w:line="1"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address of Peninsula Investment Pte. Ltd. is 255 Shoreline Drive, Suite 600, Redwood City, CA 94065.</w:t>
      </w:r>
    </w:p>
    <w:p>
      <w:pPr>
        <w:ind w:left="580" w:right="40" w:hanging="572"/>
        <w:spacing w:after="0" w:line="221"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 136,449.5000 common units held by the Baker Family Revocable Trust [c/o Jerry &amp; Paula Baker, Trustees] and 204,674.2500 restricted common units held by Mr. Baker and (b) 255.9564 Series B preferred units held by the Baker Family Revocable Trust. Restricted common units are subject to a right of repurchase by MagnaChip. The address of Mr. Baker is 3101 North First Street, San Jose, CA 95134.</w:t>
      </w:r>
    </w:p>
    <w:p>
      <w:pPr>
        <w:ind w:left="580" w:right="20" w:hanging="572"/>
        <w:spacing w:after="0" w:line="224"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 16,941,762.2000 common units held by Francisco Partners, L.P., 83,423.4000 common units held by Francisco Partners Fund A, L.P., 909,067.7600 common units held by FP-MagnaChip Co-Invest, LLC and 28,268.5600 common units held by FP Annual Fund Investors, LLC and (b) 31,800.7261 Series B preferred units held by Francisco Partners, L.P., 156.5909 Series B preferred units held by Francisco Partners Fund A, L.P., 1,706.3760 Series B preferred units held by FP-MagnaChip Co-Invest, LLC and 53.0617 Series B preferred units held by FP Annual Fund Investors, LLC. Each of Mr. Deb and Mr. Potamianos is a member of management of Francisco Partners, L.P. and disclaims beneficial ownership of the units held by Francisco Partners, L.P., Francisco Partners Fund A, L.P., FP-MagnaChip Co-Invest, LLC and FP Annual Fund Investors, LLC. The address of each of Mr. Deb and Mr. Potamianos is c/o Francisco Partners, L.P., 2882 Sand Hill Road, Suite 280, Menlo Park, CA 94025.</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 w:right="40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76,562.5000 common units that Mr. Geday may purchase pursuant to the exercise of options vesting on September 30, 2007. The address of Mr. Geday is 16 Rue de Belzunce, 75010, Paris, France.</w:t>
      </w:r>
    </w:p>
    <w:p>
      <w:pPr>
        <w:ind w:left="58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204,674.2500 common units that Mr. Hwang may purchase pursuant to the exercise of options vesting on September 30, 2007.</w:t>
      </w:r>
    </w:p>
    <w:p>
      <w:pPr>
        <w:ind w:left="580" w:right="4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(a) 54,544.0600 common units held by Robert &amp; Theresa Krakauer JTWROS, for which Mr. Krakauer shares voting and investment power with his spouse, Theresa Krakauer, (b) 36,362.7100 common units held by the Krakauer Family Partnership [c/o Robert &amp; Theresa Krakauer], for which Mr. Krakauer shares voting and investment power with Theresa Krakauer and (c) 170,561.7500 restricted common units. Restricted common units are subject to a right of repurchase by MagnaChip.</w:t>
      </w:r>
    </w:p>
    <w:p>
      <w:pPr>
        <w:ind w:left="580" w:right="8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Kuan is a member of management of CVC Asia Pacific Limited, an investment advisor to the general partners of CVC Capital Partners Asia Pacific L.P., CVC Capital Partners Asia Pacific II L.P. and CVC Capital Partners Asia Pacific II Parallel Fund - A, L.P., as well as to Asia Investors LLC. The address of Mr. Kuan is CVC Asia Pacific Limited, Suite 901-3, ICBC Tower, Citibank Plaza, 3 Garden Road, Central, Hong Kong. Because he has no direct or indirect voting or investment power over the units held by such entities, Mr. Kuan disclaims beneficial ownership of all the units held by such entities. Asia Investors LLC has previously co-invested alongside of CVC Capital Partners Asia Pacific L.P. but is not a subsidiary of the CVC Capital Partners group of companies.</w:t>
      </w:r>
    </w:p>
    <w:p>
      <w:pPr>
        <w:spacing w:after="0" w:line="1"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204,674.2500 common units that Mr. Lee may purchase pursuant to an option vesting on September 30, 2007.</w:t>
      </w:r>
    </w:p>
    <w:p>
      <w:pPr>
        <w:ind w:left="58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34,112.5000 restricted common units that are subject to a right of repurchase by MagnaChip.</w:t>
      </w:r>
    </w:p>
    <w:p>
      <w:pPr>
        <w:ind w:left="580" w:right="4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15,000 common units that Mr. Norby may purchase pursuant to the exercise of options vesting on November 27, 2007. The address of Mr. Norby is 12169 Hilltop Drive, Los Altos Hills, CA 94024.</w:t>
      </w:r>
    </w:p>
    <w:p>
      <w:pPr>
        <w:ind w:left="58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300,000 common units that Mr. Park may purchase pursuant to the exercise of options vesting on November 27, 2007.</w:t>
      </w:r>
    </w:p>
    <w:p>
      <w:pPr>
        <w:ind w:left="580" w:right="10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(a) 29,544.7100 common units held by BG Partners LP and 6,818.0100 common units held by BG/CVC-1 and (b) 55.4573 Series B preferred units held by BG Partners LP and 12.7978 Series B preferred units held by BG/CVC-1. The address of Mr. Schorr is c/o The Blackstone Group, 345 Park Avenue, New York, NY 10154.</w:t>
      </w:r>
    </w:p>
    <w:p>
      <w:pPr>
        <w:ind w:left="580" w:hanging="572"/>
        <w:spacing w:after="0" w:line="22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(a) 17,630,628.4200 common units held by Citigroup Venture Capital Equity Partners, L.P., 156,381.7100 common units held by CVC Executive Fund LLC and</w:t>
      </w:r>
    </w:p>
    <w:p>
      <w:pPr>
        <w:ind w:left="580"/>
        <w:spacing w:after="0" w:line="272" w:lineRule="auto"/>
        <w:rPr>
          <w:rFonts w:ascii="Arial" w:cs="Arial" w:eastAsia="Arial" w:hAnsi="Arial"/>
          <w:sz w:val="14"/>
          <w:szCs w:val="14"/>
          <w:color w:val="auto"/>
        </w:rPr>
      </w:pPr>
      <w:r>
        <w:rPr>
          <w:rFonts w:ascii="Arial" w:cs="Arial" w:eastAsia="Arial" w:hAnsi="Arial"/>
          <w:sz w:val="12"/>
          <w:szCs w:val="12"/>
          <w:color w:val="auto"/>
        </w:rPr>
        <w:t>175,511.8000 common units held by CVC/SSB Employee Fund, L.P. and (b) 33,093.7702 Series B preferred units held by Citigroup Venture Capital Equity Partners, L.P., 293.5380 Series B preferred units held by CVC Executive Fund LLC and 329.4464 Series B preferred units held by CVC/SSB Employee Fund, L.P. Mr. Thomas is a member of management of Citigroup Venture Capital Equity Partners, L.P. and disclaims beneficial ownership of the units held by Citigroup Venture Capital Equity Partners, L.P., CVC Executive Fund LLC and CVC/SSB Employee Fund, L.P. The address of Mr. Thomas is c/o Court Square Capital Partners, 55 E. 52nd Street, 34th Floor, New York, NY 10055.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Agreements</w:t>
      </w:r>
    </w:p>
    <w:p>
      <w:pPr>
        <w:spacing w:after="0" w:line="99"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connection with the Original Acquisition and the related equity financing, MagnaChip Korea and MagnaChip Semiconductor LLC entered into advisory agreements with each of Court Square Advisor, LLC (successor in interest to CVC Management LLC), Francisco Partners Management, LLC and CVC Capital Partners Asia Limited, which are related to Court Square, Francisco Partners and CVC Asia Pacific, respectively, pursuant to which agreements such entities may provide financial, advisory and consulting services to MagnaChip Korea and MagnaChip Semiconductor LLC. Each advisory agreement has an initial term of ten years from the date of the Original Acquisition, subject to termination by either party upon written notice 90 days prior to the expiration of the initial term or any extension thereof. Each advisory agreement includes customary indemnification provisions in favor of each of Court Square Advisor, Francisco Partners Management and CVC Capital Partners Asia Limited. Pursuant to the advisory agreements, we will pay to the sponsors an aggregate of $9.75 million for services provided prior to the completion of this offering. Following such payment, the sponsors will no longer be required to provide advisory services under the advisory agreements, and all future annual advisory fees under the advisory agreements will cease. However, we may pay future services fees to the sponsors in exchange for any acquisition, financing or other advisory services as we and the sponsors may agree.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Securityholders’ Agreement</w:t>
      </w:r>
    </w:p>
    <w:p>
      <w:pPr>
        <w:spacing w:after="0" w:line="99" w:lineRule="exact"/>
        <w:rPr>
          <w:sz w:val="20"/>
          <w:szCs w:val="20"/>
          <w:color w:val="auto"/>
        </w:rPr>
      </w:pPr>
    </w:p>
    <w:p>
      <w:pPr>
        <w:ind w:right="40" w:firstLine="571"/>
        <w:spacing w:after="0" w:line="281" w:lineRule="auto"/>
        <w:rPr>
          <w:sz w:val="20"/>
          <w:szCs w:val="20"/>
          <w:color w:val="auto"/>
        </w:rPr>
      </w:pPr>
      <w:r>
        <w:rPr>
          <w:rFonts w:ascii="Arial" w:cs="Arial" w:eastAsia="Arial" w:hAnsi="Arial"/>
          <w:sz w:val="16"/>
          <w:szCs w:val="16"/>
          <w:color w:val="auto"/>
        </w:rPr>
        <w:t>We and certain of our stockholders, including the sponsors, are parties to the securityholders’ agreement that will be amended and restated upon the completion of this offering. The amended and restated securityholders’ agreement covers matters of corporate governance, restrictions on transfer of our securities, tag-along rights, rights to compel a sale, registration rights and information rights, all as described below.</w:t>
      </w:r>
    </w:p>
    <w:p>
      <w:pPr>
        <w:spacing w:after="0" w:line="106" w:lineRule="exact"/>
        <w:rPr>
          <w:sz w:val="20"/>
          <w:szCs w:val="20"/>
          <w:color w:val="auto"/>
        </w:rPr>
      </w:pPr>
    </w:p>
    <w:p>
      <w:pPr>
        <w:ind w:right="40" w:firstLine="571"/>
        <w:spacing w:after="0" w:line="270" w:lineRule="auto"/>
        <w:rPr>
          <w:sz w:val="20"/>
          <w:szCs w:val="20"/>
          <w:color w:val="auto"/>
        </w:rPr>
      </w:pPr>
      <w:r>
        <w:rPr>
          <w:rFonts w:ascii="Arial" w:cs="Arial" w:eastAsia="Arial" w:hAnsi="Arial"/>
          <w:sz w:val="16"/>
          <w:szCs w:val="16"/>
          <w:i w:val="1"/>
          <w:iCs w:val="1"/>
          <w:color w:val="auto"/>
        </w:rPr>
        <w:t xml:space="preserve">Corporate Governance. </w:t>
      </w:r>
      <w:r>
        <w:rPr>
          <w:rFonts w:ascii="Arial" w:cs="Arial" w:eastAsia="Arial" w:hAnsi="Arial"/>
          <w:sz w:val="16"/>
          <w:szCs w:val="16"/>
          <w:color w:val="auto"/>
        </w:rPr>
        <w:t>Our securityholders’ agreement provides that our board of directors will consist of ten members. Court Square,</w:t>
      </w:r>
      <w:r>
        <w:rPr>
          <w:rFonts w:ascii="Arial" w:cs="Arial" w:eastAsia="Arial" w:hAnsi="Arial"/>
          <w:sz w:val="16"/>
          <w:szCs w:val="16"/>
          <w:i w:val="1"/>
          <w:iCs w:val="1"/>
          <w:color w:val="auto"/>
        </w:rPr>
        <w:t xml:space="preserve"> </w:t>
      </w:r>
      <w:r>
        <w:rPr>
          <w:rFonts w:ascii="Arial" w:cs="Arial" w:eastAsia="Arial" w:hAnsi="Arial"/>
          <w:sz w:val="16"/>
          <w:szCs w:val="16"/>
          <w:color w:val="auto"/>
        </w:rPr>
        <w:t>Francisco Partners, CVC Asia Pacific and Peninsula and we have agreed that the nominees to our board of directors will include three representatives of Court Square, three representatives of Francisco Partners, one representative of CVC Asia Pacific, our chief executive officer, our chief financial officer and one independent director chosen by Court Square, Francisco Partners and our chief executive officer. Until such time as we no longer qualify for the “controlled company exception,” the board of directors may not take certain significant actions without the approval of the board designees of Court Square or Francisco Partners. These actions include, among others: mergers, acquisitions or sales of assets; the declaration of dividends or other distributions; any liquidation, dissolution or bankruptcy; any incurrence or refinancing of indebtedness in excess of $2.0 million; issuances of securities; appointment, dismissal and compensation and benefits for our chief executive officer and chief financial officer; approval of our business plan, budget and strategy; amendments to the securityholders’ agreement and our certificate of incorporation and bylaws; and any increase or decrease in the number of directors that comprise the board. See “Management—Board Composition.”</w:t>
      </w:r>
    </w:p>
    <w:p>
      <w:pPr>
        <w:spacing w:after="0" w:line="118"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i w:val="1"/>
          <w:iCs w:val="1"/>
          <w:color w:val="auto"/>
        </w:rPr>
        <w:t xml:space="preserve">Restrictions on Transfer. </w:t>
      </w:r>
      <w:r>
        <w:rPr>
          <w:rFonts w:ascii="Arial" w:cs="Arial" w:eastAsia="Arial" w:hAnsi="Arial"/>
          <w:sz w:val="18"/>
          <w:szCs w:val="18"/>
          <w:color w:val="auto"/>
        </w:rPr>
        <w:t>Generally, the parties to the amended and restated securityholders’ agreement are prohibited from transferring</w:t>
      </w:r>
      <w:r>
        <w:rPr>
          <w:rFonts w:ascii="Arial" w:cs="Arial" w:eastAsia="Arial" w:hAnsi="Arial"/>
          <w:sz w:val="18"/>
          <w:szCs w:val="18"/>
          <w:i w:val="1"/>
          <w:iCs w:val="1"/>
          <w:color w:val="auto"/>
        </w:rPr>
        <w:t xml:space="preserve"> </w:t>
      </w:r>
      <w:r>
        <w:rPr>
          <w:rFonts w:ascii="Arial" w:cs="Arial" w:eastAsia="Arial" w:hAnsi="Arial"/>
          <w:sz w:val="18"/>
          <w:szCs w:val="18"/>
          <w:color w:val="auto"/>
        </w:rPr>
        <w:t>their MagnaChip securities without complying with restrictions relating to the timing of the transfer, the number of securities subject to the transfer and the transferee of such securities. Subject to certain exceptions reflected in the securityholders’ agreement, each transfer of securities by a party to the securityholders’ agreement is subject to the following provisions:</w:t>
      </w:r>
    </w:p>
    <w:p>
      <w:pPr>
        <w:spacing w:after="0" w:line="53" w:lineRule="exact"/>
        <w:rPr>
          <w:sz w:val="20"/>
          <w:szCs w:val="20"/>
          <w:color w:val="auto"/>
        </w:rPr>
      </w:pPr>
    </w:p>
    <w:p>
      <w:pPr>
        <w:ind w:right="80" w:firstLine="571"/>
        <w:spacing w:after="0" w:line="247" w:lineRule="auto"/>
        <w:rPr>
          <w:sz w:val="20"/>
          <w:szCs w:val="20"/>
          <w:color w:val="auto"/>
        </w:rPr>
      </w:pPr>
      <w:r>
        <w:rPr>
          <w:rFonts w:ascii="Arial" w:cs="Arial" w:eastAsia="Arial" w:hAnsi="Arial"/>
          <w:sz w:val="18"/>
          <w:szCs w:val="18"/>
          <w:i w:val="1"/>
          <w:iCs w:val="1"/>
          <w:color w:val="auto"/>
        </w:rPr>
        <w:t>Tag-Along Sale</w:t>
      </w:r>
      <w:r>
        <w:rPr>
          <w:rFonts w:ascii="Arial" w:cs="Arial" w:eastAsia="Arial" w:hAnsi="Arial"/>
          <w:sz w:val="18"/>
          <w:szCs w:val="18"/>
          <w:color w:val="auto"/>
        </w:rPr>
        <w:t>. Neither Court Square nor Francisco Partners shall transfer its securities, subject to limited exceptions, without permitting</w:t>
      </w:r>
      <w:r>
        <w:rPr>
          <w:rFonts w:ascii="Arial" w:cs="Arial" w:eastAsia="Arial" w:hAnsi="Arial"/>
          <w:sz w:val="18"/>
          <w:szCs w:val="18"/>
          <w:i w:val="1"/>
          <w:iCs w:val="1"/>
          <w:color w:val="auto"/>
        </w:rPr>
        <w:t xml:space="preserve"> </w:t>
      </w:r>
      <w:r>
        <w:rPr>
          <w:rFonts w:ascii="Arial" w:cs="Arial" w:eastAsia="Arial" w:hAnsi="Arial"/>
          <w:sz w:val="18"/>
          <w:szCs w:val="18"/>
          <w:color w:val="auto"/>
        </w:rPr>
        <w:t>each other stockholder that is party to the securityholders’ agreement to participate ratably in the sale as a tagging person on the basis of the tagging person’s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percentage ownership of the common shares being transferred. The tag-along provisions expire on the date on which Court Square and Francisco Partners together cease to own an aggregate of 35% or more of their initial ownership of common shares. The tag-along provisions do not apply to sales in a public offering, pursuant to Rule 144 of the Securities Act or in a compelled sale, as described below.</w:t>
      </w:r>
    </w:p>
    <w:p>
      <w:pPr>
        <w:spacing w:after="0" w:line="136" w:lineRule="exact"/>
        <w:rPr>
          <w:sz w:val="20"/>
          <w:szCs w:val="20"/>
          <w:color w:val="auto"/>
        </w:rPr>
      </w:pPr>
    </w:p>
    <w:p>
      <w:pPr>
        <w:ind w:right="340" w:firstLine="571"/>
        <w:spacing w:after="0" w:line="293" w:lineRule="auto"/>
        <w:rPr>
          <w:sz w:val="20"/>
          <w:szCs w:val="20"/>
          <w:color w:val="auto"/>
        </w:rPr>
      </w:pPr>
      <w:r>
        <w:rPr>
          <w:rFonts w:ascii="Arial" w:cs="Arial" w:eastAsia="Arial" w:hAnsi="Arial"/>
          <w:sz w:val="16"/>
          <w:szCs w:val="16"/>
          <w:i w:val="1"/>
          <w:iCs w:val="1"/>
          <w:color w:val="auto"/>
        </w:rPr>
        <w:t xml:space="preserve">Compelled Sale. </w:t>
      </w:r>
      <w:r>
        <w:rPr>
          <w:rFonts w:ascii="Arial" w:cs="Arial" w:eastAsia="Arial" w:hAnsi="Arial"/>
          <w:sz w:val="16"/>
          <w:szCs w:val="16"/>
          <w:color w:val="auto"/>
        </w:rPr>
        <w:t>Court Square and Francisco Partners together have the right to effect a compelled sale, which means that if they</w:t>
      </w:r>
      <w:r>
        <w:rPr>
          <w:rFonts w:ascii="Arial" w:cs="Arial" w:eastAsia="Arial" w:hAnsi="Arial"/>
          <w:sz w:val="16"/>
          <w:szCs w:val="16"/>
          <w:i w:val="1"/>
          <w:iCs w:val="1"/>
          <w:color w:val="auto"/>
        </w:rPr>
        <w:t xml:space="preserve"> </w:t>
      </w:r>
      <w:r>
        <w:rPr>
          <w:rFonts w:ascii="Arial" w:cs="Arial" w:eastAsia="Arial" w:hAnsi="Arial"/>
          <w:sz w:val="16"/>
          <w:szCs w:val="16"/>
          <w:color w:val="auto"/>
        </w:rPr>
        <w:t>negotiate a transfer of a significant percentage of their MagnaChip securities, they can require the other stockholders party to the agreement to participate ratably in that transfer. The compelled sale provision terminates on the third anniversary of the closing of this offering.</w:t>
      </w:r>
    </w:p>
    <w:p>
      <w:pPr>
        <w:spacing w:after="0" w:line="96" w:lineRule="exact"/>
        <w:rPr>
          <w:sz w:val="20"/>
          <w:szCs w:val="20"/>
          <w:color w:val="auto"/>
        </w:rPr>
      </w:pPr>
    </w:p>
    <w:p>
      <w:pPr>
        <w:ind w:right="340" w:firstLine="571"/>
        <w:spacing w:after="0" w:line="260"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Court Square, Francisco Partners, CVC Asia Pacific and the other parties to the securityholders’ agreement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rights with respect to our common stock. See “Description of Capital Stock—Registration Rights.”</w:t>
      </w:r>
    </w:p>
    <w:p>
      <w:pPr>
        <w:spacing w:after="0" w:line="119" w:lineRule="exact"/>
        <w:rPr>
          <w:sz w:val="20"/>
          <w:szCs w:val="20"/>
          <w:color w:val="auto"/>
        </w:rPr>
      </w:pPr>
    </w:p>
    <w:p>
      <w:pPr>
        <w:ind w:right="20" w:firstLine="571"/>
        <w:spacing w:after="0" w:line="283" w:lineRule="auto"/>
        <w:rPr>
          <w:sz w:val="20"/>
          <w:szCs w:val="20"/>
          <w:color w:val="auto"/>
        </w:rPr>
      </w:pPr>
      <w:r>
        <w:rPr>
          <w:rFonts w:ascii="Arial" w:cs="Arial" w:eastAsia="Arial" w:hAnsi="Arial"/>
          <w:sz w:val="16"/>
          <w:szCs w:val="16"/>
          <w:i w:val="1"/>
          <w:iCs w:val="1"/>
          <w:color w:val="auto"/>
        </w:rPr>
        <w:t xml:space="preserve">Information Rights. </w:t>
      </w:r>
      <w:r>
        <w:rPr>
          <w:rFonts w:ascii="Arial" w:cs="Arial" w:eastAsia="Arial" w:hAnsi="Arial"/>
          <w:sz w:val="16"/>
          <w:szCs w:val="16"/>
          <w:color w:val="auto"/>
        </w:rPr>
        <w:t>Pursuant to the securityholders’ agreement we are obligated to deliver to the parties to the agreement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management reports, reports from our independent public accountants, information related to our indebtedness and any additional information regarding our financial position or business that they reasonably request, subject to the confidentiality obligations under the agreement. Each party’s information rights terminate at the time the party ceases to be the beneficial owner of 5% or more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Under our Code of Business Conduct and Ethics, all conflicts of interest and related party transactions that are determined to be material by the Chief Financial Officer must be reviewed and approved in writing by our audit committee. All conflicts of interest and related party transactions involving our directors or executive officers must be reviewed and approved in writing by our full board of directors. In the approval process, the approving authority will review all aspects of the conflict of interest or related party transaction, including but not limited to: (1) compliance with laws, rules and regulations, (2) the adverse affect on our business and results of operations, (3) the adverse affect on our relationships with third parties such as customers, vendors and potential investors, (4) the benefit to the director, officer or employee at issue, and (5) the creation of morale problems among other employees.</w:t>
      </w:r>
    </w:p>
    <w:p>
      <w:pPr>
        <w:spacing w:after="0" w:line="155"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In addition, the securityholders’ agreement provides that, until such time as we no longer qualify for the “controlled company exception,” our board of directors, and the director designees of Court Square or Francisco Partners, must approve any contract with, obligation to or transaction or series of transactions between, us and one or more of our securityholders or their affiliates.</w:t>
      </w:r>
    </w:p>
    <w:p>
      <w:pPr>
        <w:spacing w:after="0" w:line="154" w:lineRule="exact"/>
        <w:rPr>
          <w:sz w:val="20"/>
          <w:szCs w:val="20"/>
          <w:color w:val="auto"/>
        </w:rPr>
      </w:pPr>
    </w:p>
    <w:p>
      <w:pPr>
        <w:ind w:right="80" w:firstLine="571"/>
        <w:spacing w:after="0" w:line="235" w:lineRule="auto"/>
        <w:rPr>
          <w:sz w:val="20"/>
          <w:szCs w:val="20"/>
          <w:color w:val="auto"/>
        </w:rPr>
      </w:pPr>
      <w:r>
        <w:rPr>
          <w:rFonts w:ascii="Arial" w:cs="Arial" w:eastAsia="Arial" w:hAnsi="Arial"/>
          <w:sz w:val="18"/>
          <w:szCs w:val="18"/>
          <w:color w:val="auto"/>
        </w:rPr>
        <w:t>In November 2006, Sang Park, our Chief Executive Officer and Chairman, purchased in the open market $69,000 aggregate principal amount of our 8% senior subordinated notes due 2014, which we refer to as the 8% Notes, at a price of approximately $50,000 (which includes approximately $2,500 paid with respect to accrued interest), and Robert J. Krakauer, our President and Chief Financial Officer and a director, purchased in the open market $138,000 aggregate principal amount of the 8% Notes at a price of approximately $100,000 (which includes approximately $5,000 paid with respect to accrued interest). Mr. Park and Mr. Krakauer received interest on the 8% notes which they purchased at the stated interest rate throughout 2006 and the first nine months of 2007. Additionally, Paul C. Schorr IV, a director, purchased $175,000 in aggregate principal amount of the 8% notes in the open market in February 2007 at a price of approximately $127,000 and an additional $280,000 in aggregate principal amount of the 8% notes in August 2007 at a price of approximately $178,000. Mr. Schorr received interest on these 8% notes at the stated interest rate throughout 2006 and the first nine months of 2007. None of the foregoing purchases of the 8% Notes was subject to our related party transaction or conflict of interest approval process set forth in our Code of Business Conduct and Ethics or the securityholders’ agreement because the 8% Notes were not purchased from us.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The following description of our capital stock and provisions of our amended and restated certificate of incorporation and our amended and restated bylaws are summaries and are qualified by reference to the amended and restated certificate of incorporation and the amended and restated bylaws that will be in effect upon the closing of this offering. We have filed copies of these documents with the SEC as exhibits to our registration statement of which this prospectus forms a part. The descriptions of the common stock and preferred stock reflect changes to our capital structure that will occur immediately prior to and upon the closing of this offering.</w:t>
      </w:r>
    </w:p>
    <w:p>
      <w:pPr>
        <w:spacing w:after="0" w:line="154" w:lineRule="exact"/>
        <w:rPr>
          <w:sz w:val="20"/>
          <w:szCs w:val="20"/>
          <w:color w:val="auto"/>
        </w:rPr>
      </w:pPr>
    </w:p>
    <w:p>
      <w:pPr>
        <w:ind w:right="140" w:firstLine="571"/>
        <w:spacing w:after="0" w:line="234" w:lineRule="auto"/>
        <w:rPr>
          <w:sz w:val="20"/>
          <w:szCs w:val="20"/>
          <w:color w:val="auto"/>
        </w:rPr>
      </w:pPr>
      <w:r>
        <w:rPr>
          <w:rFonts w:ascii="Arial" w:cs="Arial" w:eastAsia="Arial" w:hAnsi="Arial"/>
          <w:sz w:val="18"/>
          <w:szCs w:val="18"/>
          <w:color w:val="auto"/>
        </w:rPr>
        <w:t>Upon the closing of this offering, our authorized capital stock will consist of shares of common stock, par value $0.01 per share, 0 shares of Series B preferred stock, stated value $1,000 per share and shares of our preferred stock, par value $0.01 per share,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rights and preferences of which may be established from time to time by our board of directors.</w:t>
      </w:r>
    </w:p>
    <w:p>
      <w:pPr>
        <w:spacing w:after="0" w:line="158" w:lineRule="exact"/>
        <w:rPr>
          <w:sz w:val="20"/>
          <w:szCs w:val="20"/>
          <w:color w:val="auto"/>
        </w:rPr>
      </w:pPr>
    </w:p>
    <w:p>
      <w:pPr>
        <w:jc w:val="both"/>
        <w:ind w:right="180" w:firstLine="571"/>
        <w:spacing w:after="0" w:line="281" w:lineRule="auto"/>
        <w:rPr>
          <w:sz w:val="20"/>
          <w:szCs w:val="20"/>
          <w:color w:val="auto"/>
        </w:rPr>
      </w:pPr>
      <w:r>
        <w:rPr>
          <w:rFonts w:ascii="Arial" w:cs="Arial" w:eastAsia="Arial" w:hAnsi="Arial"/>
          <w:sz w:val="16"/>
          <w:szCs w:val="16"/>
          <w:color w:val="auto"/>
        </w:rPr>
        <w:t>As of September 30, 2007, MagnaChip Semiconductor LLC had issued and outstanding 52,831,722 common units held by 208 holders of record and 450,692 issued and 93,997 outstanding Series B preferred units held by 39 holders of record. As of September 30, 2007, MagnaChip Semiconductor LLC also had outstanding options to purchase 4,956,434 common units at a weighted average exercise price of $1.80 per unit.</w:t>
      </w:r>
    </w:p>
    <w:p>
      <w:pPr>
        <w:spacing w:after="0" w:line="124" w:lineRule="exact"/>
        <w:rPr>
          <w:sz w:val="20"/>
          <w:szCs w:val="20"/>
          <w:color w:val="auto"/>
        </w:rPr>
      </w:pPr>
    </w:p>
    <w:p>
      <w:pPr>
        <w:jc w:val="both"/>
        <w:ind w:firstLine="571"/>
        <w:spacing w:after="0" w:line="281" w:lineRule="auto"/>
        <w:rPr>
          <w:sz w:val="20"/>
          <w:szCs w:val="20"/>
          <w:color w:val="auto"/>
        </w:rPr>
      </w:pPr>
      <w:r>
        <w:rPr>
          <w:rFonts w:ascii="Arial" w:cs="Arial" w:eastAsia="Arial" w:hAnsi="Arial"/>
          <w:sz w:val="16"/>
          <w:szCs w:val="16"/>
          <w:color w:val="auto"/>
        </w:rPr>
        <w:t>Prior to the closing of this offering, we will consummate the corporate reorganization. As part of the corporate reorganization, a subsidiary of MagnaChip Semiconductor Corporation will be merged with and into MagnaChip Semiconductor LLC, after which MagnaChip Semiconductor LLC will become a wholly owned subsidiary of MagnaChip Semiconductor Corporation. Pursuant to the corporate reorganization:</w:t>
      </w:r>
    </w:p>
    <w:p>
      <w:pPr>
        <w:spacing w:after="0" w:line="43" w:lineRule="exact"/>
        <w:rPr>
          <w:sz w:val="20"/>
          <w:szCs w:val="20"/>
          <w:color w:val="auto"/>
        </w:rPr>
      </w:pPr>
    </w:p>
    <w:p>
      <w:pPr>
        <w:ind w:left="820" w:hanging="245"/>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of the outstanding common units of MagnaChip Semiconductor LLC will be exchanged for shares of our common stock at a ratio of</w:t>
      </w:r>
    </w:p>
    <w:p>
      <w:pPr>
        <w:spacing w:after="0" w:line="18"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6" w:lineRule="exact"/>
        <w:rPr>
          <w:rFonts w:ascii="Arial" w:cs="Arial" w:eastAsia="Arial" w:hAnsi="Arial"/>
          <w:sz w:val="16"/>
          <w:szCs w:val="16"/>
          <w:color w:val="auto"/>
        </w:rPr>
      </w:pPr>
    </w:p>
    <w:p>
      <w:pPr>
        <w:ind w:left="820" w:right="80" w:hanging="245"/>
        <w:spacing w:after="0" w:line="239"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the Series B preferred units of MagnaChip Semiconductor LLC which are being repurchased by us will be exchanged for shares of our Series B preferred stock at a ratio of 1:1;</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of the Series B preferred units of MagnaChip Semiconductor LLC which are not being repurchased by us, if any, will be exchanged</w:t>
      </w:r>
    </w:p>
    <w:p>
      <w:pPr>
        <w:spacing w:after="0" w:line="19" w:lineRule="exact"/>
        <w:rPr>
          <w:sz w:val="20"/>
          <w:szCs w:val="20"/>
          <w:color w:val="auto"/>
        </w:rPr>
      </w:pPr>
    </w:p>
    <w:p>
      <w:pPr>
        <w:ind w:left="820"/>
        <w:spacing w:after="0"/>
        <w:tabs>
          <w:tab w:leader="none" w:pos="4820" w:val="left"/>
        </w:tabs>
        <w:rPr>
          <w:sz w:val="20"/>
          <w:szCs w:val="20"/>
          <w:color w:val="auto"/>
        </w:rPr>
      </w:pPr>
      <w:r>
        <w:rPr>
          <w:rFonts w:ascii="Arial" w:cs="Arial" w:eastAsia="Arial" w:hAnsi="Arial"/>
          <w:sz w:val="18"/>
          <w:szCs w:val="18"/>
          <w:color w:val="auto"/>
        </w:rPr>
        <w:t>for shares of our common stock at a ratio of</w:t>
      </w:r>
      <w:r>
        <w:rPr>
          <w:sz w:val="20"/>
          <w:szCs w:val="20"/>
          <w:color w:val="auto"/>
        </w:rPr>
        <w:tab/>
      </w:r>
      <w:r>
        <w:rPr>
          <w:rFonts w:ascii="Arial" w:cs="Arial" w:eastAsia="Arial" w:hAnsi="Arial"/>
          <w:sz w:val="16"/>
          <w:szCs w:val="16"/>
          <w:color w:val="auto"/>
        </w:rPr>
        <w:t>; and</w:t>
      </w:r>
    </w:p>
    <w:p>
      <w:pPr>
        <w:spacing w:after="0" w:line="72" w:lineRule="exact"/>
        <w:rPr>
          <w:sz w:val="20"/>
          <w:szCs w:val="20"/>
          <w:color w:val="auto"/>
        </w:rPr>
      </w:pPr>
    </w:p>
    <w:p>
      <w:pPr>
        <w:ind w:left="820" w:hanging="245"/>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outstanding option to purchase common units of MagnaChip Semiconductor LLC will be exchanged into an option to purchase</w:t>
      </w:r>
    </w:p>
    <w:p>
      <w:pPr>
        <w:ind w:left="1460"/>
        <w:spacing w:after="0"/>
        <w:tabs>
          <w:tab w:leader="none" w:pos="6180" w:val="left"/>
        </w:tabs>
        <w:rPr>
          <w:sz w:val="20"/>
          <w:szCs w:val="20"/>
          <w:color w:val="auto"/>
        </w:rPr>
      </w:pPr>
      <w:r>
        <w:rPr>
          <w:rFonts w:ascii="Arial" w:cs="Arial" w:eastAsia="Arial" w:hAnsi="Arial"/>
          <w:sz w:val="18"/>
          <w:szCs w:val="18"/>
          <w:color w:val="auto"/>
        </w:rPr>
        <w:t>shares of our common stock at an exercise price of $</w:t>
      </w:r>
      <w:r>
        <w:rPr>
          <w:sz w:val="20"/>
          <w:szCs w:val="20"/>
          <w:color w:val="auto"/>
        </w:rPr>
        <w:tab/>
      </w:r>
      <w:r>
        <w:rPr>
          <w:rFonts w:ascii="Arial" w:cs="Arial" w:eastAsia="Arial" w:hAnsi="Arial"/>
          <w:sz w:val="16"/>
          <w:szCs w:val="16"/>
          <w:color w:val="auto"/>
        </w:rPr>
        <w:t>per share.</w:t>
      </w:r>
    </w:p>
    <w:p>
      <w:pPr>
        <w:spacing w:after="0" w:line="158" w:lineRule="exact"/>
        <w:rPr>
          <w:sz w:val="20"/>
          <w:szCs w:val="20"/>
          <w:color w:val="auto"/>
        </w:rPr>
      </w:pPr>
    </w:p>
    <w:p>
      <w:pPr>
        <w:ind w:right="960" w:firstLine="571"/>
        <w:spacing w:after="0" w:line="239" w:lineRule="auto"/>
        <w:rPr>
          <w:sz w:val="20"/>
          <w:szCs w:val="20"/>
          <w:color w:val="auto"/>
        </w:rPr>
      </w:pPr>
      <w:r>
        <w:rPr>
          <w:rFonts w:ascii="Arial" w:cs="Arial" w:eastAsia="Arial" w:hAnsi="Arial"/>
          <w:sz w:val="18"/>
          <w:szCs w:val="18"/>
          <w:color w:val="auto"/>
        </w:rPr>
        <w:t>On our about the closing of this offering, all of the Series B preferred stock issued as part of the corporate reorganization will be repurchased by us using a portion of the proceeds of this offering.</w:t>
      </w:r>
    </w:p>
    <w:p>
      <w:pPr>
        <w:spacing w:after="0" w:line="155"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The following description summarizes the terms of our capital stock. Because it is only a summary, it does not contain all the information that may be important to you. For a complete description, you should refer to our amended and restated certificate of incorporation and amended and restated bylaws, as in effect immediately following the closing of this offering, copies of which have been filed as exhibits to the registration statement of which this prospectus is a part.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Assuming the exchange of all of the common units of MagnaChip Semiconductor LLC for our common stock immediately prior to the</w:t>
      </w:r>
    </w:p>
    <w:p>
      <w:pPr>
        <w:ind w:right="1180"/>
        <w:spacing w:after="0" w:line="239" w:lineRule="auto"/>
        <w:rPr>
          <w:sz w:val="20"/>
          <w:szCs w:val="20"/>
          <w:color w:val="auto"/>
        </w:rPr>
      </w:pPr>
      <w:r>
        <w:rPr>
          <w:rFonts w:ascii="Arial" w:cs="Arial" w:eastAsia="Arial" w:hAnsi="Arial"/>
          <w:sz w:val="18"/>
          <w:szCs w:val="18"/>
          <w:color w:val="auto"/>
        </w:rPr>
        <w:t>closing of this offering, there will be shares of our common stock outstanding upon the closing of this offering. MagnaChip Semiconductor LLC has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reserved an aggregate of 7,890,864 common units for issuance to current and future directors, employees and consultants of MagnaChip Semiconductor LLC and its subsidiaries pursuant to the MagnaChip Semiconductor LLC California Equity Incentive Plan and the MagnaChip Semiconductor LLC Equity Incentive Plans. Of this amount, at September 30, 2007, 4,956,434 common units were subject to outstanding options, 676,438 of which were available for future issuance and 2,257,992 had been purchased in connection with the exercise of previously issued</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options. In connection with the corporate reorganization, the existing options will be converted into options to acquire shares of our common stock and we have reserved shares of our common stock for future issuance. In addition, our board of directors may issue options exercisable for up to shares of our common stock under our 2008 Equity Incentive Plan and 2008 Employee Stock Purchase Plan.</w:t>
      </w:r>
    </w:p>
    <w:p>
      <w:pPr>
        <w:spacing w:after="0" w:line="351"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Holders of our common stock are entitled to one vote for each share held of record on all matters submitted to a vote of the stockholders. Our stockholders do not have cumulative voting rights in the election of directors. Except as required by law or our amended and restated certificate of incorporation and bylaws, the vote of a majority of the shares represented in person or by proxy at any meeting at which a quorum is present will be sufficient for the transition of any business at a meeting. 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See “Dividend Policy.” In the event of our liquidation, dissolution or winding up, holders of our common stock are entitled to share ratably in all of our assets remaining after we pay our liabilities and distribute the liquidation preference to holders of our outstanding shares of preferred stock. Holders of our common stock have no preemptive or other subscription or conversion rights. See “Certain Relationships and Related Party Transactions – Securityholders’ Agreement.” There are no redemption or sinking fund provisions applicable to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9" w:lineRule="exact"/>
        <w:rPr>
          <w:sz w:val="20"/>
          <w:szCs w:val="20"/>
          <w:color w:val="auto"/>
        </w:rPr>
      </w:pPr>
    </w:p>
    <w:p>
      <w:pPr>
        <w:ind w:firstLine="571"/>
        <w:spacing w:after="0" w:line="264" w:lineRule="auto"/>
        <w:rPr>
          <w:sz w:val="20"/>
          <w:szCs w:val="20"/>
          <w:color w:val="auto"/>
        </w:rPr>
      </w:pPr>
      <w:r>
        <w:rPr>
          <w:rFonts w:ascii="Arial" w:cs="Arial" w:eastAsia="Arial" w:hAnsi="Arial"/>
          <w:sz w:val="16"/>
          <w:szCs w:val="16"/>
          <w:color w:val="auto"/>
        </w:rPr>
        <w:t>Pursuant to the corporate reorganization, holders of the Series B preferred units of MagnaChip Semiconductor LLC who decide, prior to the time of the corporate reorganization, to sell us their Series B preferred stock (following the exchange of the Series B preferred units for Series B preferred stock pursuant to the corporate reorganization) will receive shares of our Series B preferred stock in exchange for such Series B preferred units at a ratio of 1:1. Holders of Series B preferred units who decide not to sell us their Series B preferred stock will receive shares of</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our common stock in exchange for such Series B preferred units at a ratio of . After the closing of this offering, we intend to use a portion of the proceeds of this offering to repurchase all of the outstanding shares of the Series B preferred stock from the holders thereof at an aggregate</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purchase price of approximately $ million which is equal to the original issue price of such shares plus an amount equal to the full cumulative dividends accrued and unpaid thereon to the date of repurchase. As of the date of this prospectus, holders of approximately % of</w:t>
      </w:r>
    </w:p>
    <w:p>
      <w:pPr>
        <w:spacing w:after="0" w:line="2" w:lineRule="exact"/>
        <w:rPr>
          <w:sz w:val="20"/>
          <w:szCs w:val="20"/>
          <w:color w:val="auto"/>
        </w:rPr>
      </w:pPr>
    </w:p>
    <w:p>
      <w:pPr>
        <w:ind w:left="640" w:right="160" w:hanging="634"/>
        <w:spacing w:after="0" w:line="239" w:lineRule="auto"/>
        <w:rPr>
          <w:sz w:val="20"/>
          <w:szCs w:val="20"/>
          <w:color w:val="auto"/>
        </w:rPr>
      </w:pPr>
      <w:r>
        <w:rPr>
          <w:rFonts w:ascii="Arial" w:cs="Arial" w:eastAsia="Arial" w:hAnsi="Arial"/>
          <w:sz w:val="18"/>
          <w:szCs w:val="18"/>
          <w:color w:val="auto"/>
        </w:rPr>
        <w:t>the outstanding Series B preferred stock following this offering have agreed to sell us their shares of Series B preferred stock for approximately $ million.</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addition, our amended and restated certificate of incorporation authorizes the issuance of shares of blank check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Although we do not currently intend to issue any shares of preferred stock, there can be no assurance that we will not do so in the future.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ectPr>
          <w:pgSz w:w="11900" w:h="16838" w:orient="portrait"/>
          <w:cols w:equalWidth="0" w:num="1">
            <w:col w:w="11400"/>
          </w:cols>
          <w:pgMar w:left="240" w:top="459" w:right="259" w:bottom="1440" w:gutter="0" w:footer="0" w:header="0"/>
        </w:sectPr>
      </w:pPr>
    </w:p>
    <w:p>
      <w:pPr>
        <w:spacing w:after="0" w:line="122" w:lineRule="exact"/>
        <w:rPr>
          <w:sz w:val="20"/>
          <w:szCs w:val="20"/>
          <w:color w:val="auto"/>
        </w:rPr>
      </w:pPr>
    </w:p>
    <w:p>
      <w:pPr>
        <w:ind w:right="60" w:firstLine="571"/>
        <w:spacing w:after="0" w:line="299" w:lineRule="auto"/>
        <w:rPr>
          <w:sz w:val="20"/>
          <w:szCs w:val="20"/>
          <w:color w:val="auto"/>
        </w:rPr>
      </w:pPr>
      <w:r>
        <w:rPr>
          <w:rFonts w:ascii="Arial" w:cs="Arial" w:eastAsia="Arial" w:hAnsi="Arial"/>
          <w:sz w:val="16"/>
          <w:szCs w:val="16"/>
          <w:color w:val="auto"/>
        </w:rPr>
        <w:t>Upon the closing of this offering, holders of registration of their shares under the Securities Act.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will be entitled to certain rights with respect to the</w:t>
      </w:r>
    </w:p>
    <w:p>
      <w:pPr>
        <w:spacing w:after="0" w:line="383" w:lineRule="exact"/>
        <w:rPr>
          <w:sz w:val="20"/>
          <w:szCs w:val="20"/>
          <w:color w:val="auto"/>
        </w:rPr>
      </w:pPr>
    </w:p>
    <w:p>
      <w:pPr>
        <w:sectPr>
          <w:pgSz w:w="11900" w:h="16838" w:orient="portrait"/>
          <w:cols w:equalWidth="0" w:num="2">
            <w:col w:w="4060" w:space="720"/>
            <w:col w:w="6620"/>
          </w:cols>
          <w:pgMar w:left="240" w:top="459" w:right="259" w:bottom="1440" w:gutter="0" w:footer="0" w:header="0"/>
          <w:type w:val="continuous"/>
        </w:sectPr>
      </w:pPr>
    </w:p>
    <w:p>
      <w:pPr>
        <w:ind w:right="20" w:firstLine="571"/>
        <w:spacing w:after="0" w:line="271" w:lineRule="auto"/>
        <w:rPr>
          <w:sz w:val="20"/>
          <w:szCs w:val="20"/>
          <w:color w:val="auto"/>
        </w:rPr>
      </w:pPr>
      <w:r>
        <w:rPr>
          <w:rFonts w:ascii="Arial" w:cs="Arial" w:eastAsia="Arial" w:hAnsi="Arial"/>
          <w:sz w:val="16"/>
          <w:szCs w:val="16"/>
          <w:color w:val="auto"/>
        </w:rPr>
        <w:t>Under our securityholders’ agreement, after 180 days following the effective date of the registration statement relating to this prospectus (or such lesser period of time as may be agreed to by us and the lead managing underwriter), the representative of Court Square, together with the representative of Francisco Partners, may demand that we file a registration statement under the Securities Act covering some or all of such holders’ shares of our common stock. In addition, after the first anniversary of our initial public offering, the representative of any of Court Square, Francisco Partners or CVC Asia Pacific also may demand that we file a registration statement under the Securities Act, subject to the limitation described below, provided that the representative of CVC Asia Pacific is not entitled to make more than two requests for demand registration.</w:t>
      </w:r>
    </w:p>
    <w:p>
      <w:pPr>
        <w:spacing w:after="0" w:line="13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 xml:space="preserve">We are required to pay the registration expenses in connection with each demand registration. If a demand registration is underwritten by an investment banking firm that advises us that the number of securities offered to the public needs to be reduced, priority of inclusion in the demand registration shall be allocated first to Court Square, Francisco Partners, CVC Asia Pacific and Peninsula Investments Pte. Ltd.,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 relative number of securities requested to be registered by such stockholder, and second to any other participating person (including us), on such basis as we determine.</w:t>
      </w:r>
    </w:p>
    <w:p>
      <w:pPr>
        <w:spacing w:after="0" w:line="157"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In no event will we be required to effect more than one demand registration under the securityholders’ agreement within any four-month period, and we will not be obligated to effect any demand registration unless the aggregate gross proceeds to be received from the sale of common stock equals or exceeds $25 million (or $5 million, in the case of any registration under Form S-3 or any similar “short-form” registration statement).</w:t>
      </w:r>
    </w:p>
    <w:p>
      <w:pPr>
        <w:spacing w:after="0" w:line="155" w:lineRule="exact"/>
        <w:rPr>
          <w:sz w:val="20"/>
          <w:szCs w:val="20"/>
          <w:color w:val="auto"/>
        </w:rPr>
      </w:pPr>
    </w:p>
    <w:p>
      <w:pPr>
        <w:ind w:right="20" w:firstLine="571"/>
        <w:spacing w:after="0" w:line="268" w:lineRule="auto"/>
        <w:rPr>
          <w:sz w:val="20"/>
          <w:szCs w:val="20"/>
          <w:color w:val="auto"/>
        </w:rPr>
      </w:pPr>
      <w:r>
        <w:rPr>
          <w:rFonts w:ascii="Arial" w:cs="Arial" w:eastAsia="Arial" w:hAnsi="Arial"/>
          <w:sz w:val="16"/>
          <w:szCs w:val="16"/>
          <w:color w:val="auto"/>
        </w:rPr>
        <w:t xml:space="preserve">In addition, following our initial public offering, all holders party to the securityholders’ agreement will have certain “incidental” registration rights. If we propose to register any of our equity securities under the Securities Act other than pursuant to specified excluded registrations (such as on Forms S-4 or S-8, or any successor or similar forms), holders may require us to include all or a portion of their registrable securities in the registration. Expenses relating to these “incidental registrations” are required to be paid by us. If an incidental registration, other than a demand registration, is underwritten by an investment banking firm that advises us that the number of securities offered to the public needs to be reduced, priority of inclusion in the incidental registration shall be given first to us, second to Court Square, Francisco Partners, CVC Asia Pacific and Peninsula Investments Pte. Ltd.,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relative number of securities requested to be registered by such stockholder, and third to any other participating person on such basis as we determine. We and the stockholders selling securities under a registration statement are required to enter into customary indemnification and contribution arrangements with respect to each registration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amended and restated certificate of incorporation and amended and restated bylaws contain certain provisions that are intended to enhance the likelihood of continuity and stability in the composition of the board of directors and which may have the effect of delaying, deferring or preventing a future takeover or change in control of our company unless such takeover or change in control is approved by the board of directors, including:</w:t>
      </w:r>
    </w:p>
    <w:p>
      <w:pPr>
        <w:spacing w:after="0" w:line="54" w:lineRule="exact"/>
        <w:rPr>
          <w:sz w:val="20"/>
          <w:szCs w:val="20"/>
          <w:color w:val="auto"/>
        </w:rPr>
      </w:pPr>
    </w:p>
    <w:p>
      <w:pPr>
        <w:ind w:left="820" w:right="360" w:hanging="245"/>
        <w:spacing w:after="0" w:line="248"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Authorized but Unissued Preferred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is authorized to issue, without stockholder approval,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with such terms as the board of directors may determine. For more information, see “Description of Capital Stock—Preferred Stock.”</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820" w:right="60" w:hanging="245"/>
        <w:spacing w:after="0" w:line="262"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Calling Special Stockholder Meetings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provide that special meetings of our stockholders may be called only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resolution approved by the majority of the members of our board of directors or by the chairman of our board of directors.</w:t>
      </w:r>
    </w:p>
    <w:p>
      <w:pPr>
        <w:spacing w:after="0" w:line="34" w:lineRule="exact"/>
        <w:rPr>
          <w:rFonts w:ascii="Arial" w:cs="Arial" w:eastAsia="Arial" w:hAnsi="Arial"/>
          <w:sz w:val="18"/>
          <w:szCs w:val="18"/>
          <w:color w:val="auto"/>
        </w:rPr>
      </w:pPr>
    </w:p>
    <w:p>
      <w:pPr>
        <w:ind w:left="820" w:hanging="245"/>
        <w:spacing w:after="0" w:line="271" w:lineRule="auto"/>
        <w:tabs>
          <w:tab w:leader="none" w:pos="82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Advanced Notice Procedures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bylaws provide that, in order for stockholder proposals and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nominations to be properly brought before an annual meeting of our stockholders, stockholders must deliver a notice of such proposals or nominations to our secretary within ninety to one hundred and twenty days prior to the first anniversary of the preceding year’s annual meeting (or if the annual meeting is advanced by more than thirty days or delayed by more than seventy days from such anniversary date, notice must be delivered not earlier than one hundred and twenty days prior to such annual meeting and not later than the later of ninety days prior to such annual meeting or the tenth day following the day on which public announcement of the date of such meeting is first made). In order for a stockholder’s director nominations to be considered before a special meeting of stockholders, notice of such nominations must be given to our secretary not earlier than one hundred twenty days prior to such special meeting and not later than the later of ninety days prior to such special meeting or the tenth day following the day on which public announcement is first made of the date of the special meeting and of the nominees proposed by our board of directors to be elected at such meeting.</w:t>
      </w:r>
    </w:p>
    <w:p>
      <w:pPr>
        <w:spacing w:after="0" w:line="29" w:lineRule="exact"/>
        <w:rPr>
          <w:rFonts w:ascii="Arial" w:cs="Arial" w:eastAsia="Arial" w:hAnsi="Arial"/>
          <w:sz w:val="16"/>
          <w:szCs w:val="16"/>
          <w:color w:val="auto"/>
        </w:rPr>
      </w:pPr>
    </w:p>
    <w:p>
      <w:pPr>
        <w:ind w:left="820" w:right="100" w:hanging="245"/>
        <w:spacing w:after="0" w:line="234"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Supermajority Voting Requirements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the holders of at least 66</w:t>
      </w:r>
      <w:r>
        <w:rPr>
          <w:rFonts w:ascii="Arial" w:cs="Arial" w:eastAsia="Arial" w:hAnsi="Arial"/>
          <w:sz w:val="18"/>
          <w:szCs w:val="18"/>
          <w:b w:val="1"/>
          <w:bCs w:val="1"/>
          <w:i w:val="1"/>
          <w:iCs w:val="1"/>
          <w:color w:val="auto"/>
        </w:rPr>
        <w:t xml:space="preserve">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voting power of all shares of our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vote generally in the election of directors, voting together as a single class, is required in order for our stockholders to alter, amend or repeal the provisions of our bylaws relating to the advance notice requirements and the ability to call special stockholder meetings.</w:t>
      </w:r>
    </w:p>
    <w:p>
      <w:pPr>
        <w:spacing w:after="0" w:line="154"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In addition, pursuant to the securityholders’ agreement, Court Square, Francisco Partners and CVC Asia Pacific, or their affiliates, have agreed to elect their respective designees to serve as members of our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apply to have our common stock quoted on the New York Stock Exchange under the symbol “MX”.</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9" w:lineRule="exact"/>
        <w:rPr>
          <w:sz w:val="20"/>
          <w:szCs w:val="20"/>
          <w:color w:val="auto"/>
        </w:rPr>
      </w:pPr>
    </w:p>
    <w:p>
      <w:pPr>
        <w:ind w:right="640" w:firstLine="571"/>
        <w:spacing w:after="0" w:line="239" w:lineRule="auto"/>
        <w:rPr>
          <w:sz w:val="20"/>
          <w:szCs w:val="20"/>
          <w:color w:val="auto"/>
        </w:rPr>
      </w:pPr>
      <w:r>
        <w:rPr>
          <w:rFonts w:ascii="Arial" w:cs="Arial" w:eastAsia="Arial" w:hAnsi="Arial"/>
          <w:sz w:val="18"/>
          <w:szCs w:val="18"/>
          <w:color w:val="auto"/>
        </w:rPr>
        <w:t>The transfer agent and registrar for our common stock is American Stock Transfer and Trust Company, and its telephone number is (800) 937-5449.</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80" w:lineRule="exact"/>
        <w:rPr>
          <w:sz w:val="20"/>
          <w:szCs w:val="20"/>
          <w:color w:val="auto"/>
        </w:rPr>
      </w:pPr>
    </w:p>
    <w:p>
      <w:pPr>
        <w:ind w:right="740" w:firstLine="571"/>
        <w:spacing w:after="0" w:line="239" w:lineRule="auto"/>
        <w:rPr>
          <w:sz w:val="20"/>
          <w:szCs w:val="20"/>
          <w:color w:val="auto"/>
        </w:rPr>
      </w:pPr>
      <w:r>
        <w:rPr>
          <w:rFonts w:ascii="Arial" w:cs="Arial" w:eastAsia="Arial" w:hAnsi="Arial"/>
          <w:sz w:val="18"/>
          <w:szCs w:val="18"/>
          <w:color w:val="auto"/>
        </w:rPr>
        <w:t>The following discussion is a summary and is not complete and is subject in its entirety by reference to the actual provisions of the documents referred to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On December 23, 2004, MagnaChip Semiconductor LLC and its subsidiaries entered into a senior secured credit agreement with a syndicate of banks, financial institutions and other entities, as lenders, UBS Securities LLC, as arranger, and UBS AG, Stamford Branch, as administrative agent and priority lien collateral agent, providing for a $100 million senior secured revolving credit facility which will mature on December 22, 2009. The borrowers under the senior secured credit facility are MagnaChip Semiconductor S.A. and MagnaChip Semiconductor Finance Company, two of our wholly owned subsidiaries. We intend to use a portion of the proceeds of this offering to repay amounts drawn under our senior secured credit facility.</w:t>
      </w:r>
    </w:p>
    <w:p>
      <w:pPr>
        <w:spacing w:after="0" w:line="156"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Subject to compliance with customary conditions precedent, revolving loans, swing line loans and letters of credit are available at any time prior to the final maturity of the senior secured credit facility. Standby letters of credit of up to $40 million have an expiry date of no later than one year after issuance and, in any case, no later than 15 days prior to the final maturity of the senior secured credit facility.</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MagnaChip Semiconductor LLC and each of its current direct and indirect subsidiaries are (and each future direct and indirect subsidiary (to the extent legally permissible) will be) guarantors of the senior secured credit facility (except for MagnaChip Semiconductor (Shanghai) Company Limited). The senior secured credit facility is secured on a first-priority basis, directly or through one or more secured guarantees, by collateral that principally consists of (1) substantially all of the owned real property and equipment of MagnaChip Korea, (2) substantially all of the assets of each of the other guarantors, (3) material patents and trademarks owned by MagnaChip Korea (exclusive of any jointly owned intellectual property) and (4) the intercompany loans owing by and among MagnaChip Semiconductor LLC and its subsidiaries, in each case subject to certain exceptions. The senior secured credit facility is also secured by pledges of the equity interests of the subsidiaries of MagnaChip Semiconductor LLC that are guarantors.</w:t>
      </w:r>
    </w:p>
    <w:p>
      <w:pPr>
        <w:spacing w:after="0" w:line="154"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Loans made under the senior secured credit facility bear interest equal to a margin based on the ratio of consolidated indebtedness of MagnaChip Semiconductor LLC to its consolidated EBITDA plus, at the option of the borrowers, either LIBOR or the greater of the corporate base rate of the administrative agent or the federal funds rate plus 0.50%. As of September 30, 2007, this margin was 4.75% per annum for LIBOR-based loans and 3.75% per annum for base rate-based loans.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at any time an event of default has occurred and is continuing, interest will accrue at 5.75% plus the greater of the corporate base rate of</w:t>
      </w:r>
    </w:p>
    <w:p>
      <w:pPr>
        <w:spacing w:after="0" w:line="4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administrative agent or the federal funds rate plus 0.50%. Default interest is payable on demand. All other interest on all loans under the senior secured credit facility are payable at maturity and, with respect to LIBOR-rate loans, at the end of the applicable interest periods (which may be 1, 2, 3, 6 or 9 months), and with respect to the base rate loans, on the last business day of each calendar quarter. In addition, the borrowers are required to pay an unused facility fee to the senior lenders equal to 0.5% per annum of the average unused daily balance of the senior secured credit facility, commencing on the execution and delivery of the senior secured credit facility and payable quarterly in arrears, based upon the actual number of days elapsed in a 360-day year.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borrowers also pay a participation fee and fronting fees with respect to the letters of credit issued under the credit facility.</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Other than with respect to mandatory prepayments, outstanding amounts under the senior secured credit facility may be reborrowed and repaid from time to time without premium or penalty, provided that availability requirements are met. In addition, under certain circumstances, loans outstanding under the senior secured credit facility must be prepaid with the proceeds of asset sales and casualty and condemnation proceeds. In the event proceeds of asset sales and casualty and condemnation proceeds are not reinvested into the business within a certain specified period of time, the amount of such uninvested proceeds will reduce permanently the outstanding commitments available under the senior secured credit facility.</w:t>
      </w:r>
    </w:p>
    <w:p>
      <w:pPr>
        <w:spacing w:after="0" w:line="156"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senior secured credit facility agreement contains certain customary covenants and restrictions for a facility of this type, including those with respect to the future maintenance and conduct of the business, the incurrence of debt or liens, the making of certain investments, and the consummation of sale/leaseback transactions, affiliate transactions, mergers and consolidations, asset sales, distributions and dividends on capital stock, and certain acquisitions.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senior secured credit facility also contains financial covenants including, but not limited to:</w:t>
      </w:r>
    </w:p>
    <w:p>
      <w:pPr>
        <w:spacing w:after="0" w:line="77" w:lineRule="exact"/>
        <w:rPr>
          <w:sz w:val="20"/>
          <w:szCs w:val="20"/>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maintaining a minimum coverage of interest expense;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maintaining debt leverage below specified levels;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maintaining a minimum level of consolidated EBITDA;</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maintaining a minimum level of liquidity;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limiting capital expenditures under specified thresholds.</w:t>
      </w:r>
    </w:p>
    <w:p>
      <w:pPr>
        <w:spacing w:after="0" w:line="171" w:lineRule="exact"/>
        <w:rPr>
          <w:sz w:val="20"/>
          <w:szCs w:val="20"/>
          <w:color w:val="auto"/>
        </w:rPr>
      </w:pPr>
    </w:p>
    <w:p>
      <w:pPr>
        <w:jc w:val="both"/>
        <w:ind w:right="280" w:firstLine="571"/>
        <w:spacing w:after="0" w:line="238" w:lineRule="auto"/>
        <w:rPr>
          <w:sz w:val="20"/>
          <w:szCs w:val="20"/>
          <w:color w:val="auto"/>
        </w:rPr>
      </w:pPr>
      <w:r>
        <w:rPr>
          <w:rFonts w:ascii="Arial" w:cs="Arial" w:eastAsia="Arial" w:hAnsi="Arial"/>
          <w:sz w:val="18"/>
          <w:szCs w:val="18"/>
          <w:color w:val="auto"/>
        </w:rPr>
        <w:t>Borrowings under the senior secured credit facility are subject to the satisfaction of certain conditions, including the representations and warranties being true in all material respects, compliance with the covenants included in the senior secured credit facility (including the financial covenants) and no default occurring or continuing on the date of the borrowing.</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senior secured credit facility includes certain customary events of default, including payment defaults, breaches of representations and warranties, covenant defaults, cross-defaults to certain indebtedness, including the notes, certain events of bankruptcy, material judgments, the invalidity of the documentation with respect to the senior secured credit facility in any material respect, the failure of the security interests in any material collateral created under the security documents for the senior secured credit facility to be enforceable or to have the purported priority thereunder or the occurrence of a change of control. If an event of default occurs (other than as a result of bankruptcy or a similar proceeding, in which case acceleration of the indebtedness will be automatic), the senior lenders will be entitled to take certain actions, including the acceleration of all amounts due under the senior secured credit facility and all actions permitted to be taken by a secured creditor.</w:t>
      </w:r>
    </w:p>
    <w:p>
      <w:pPr>
        <w:spacing w:after="0" w:line="155"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In November 2007, the lenders under the senior secured credit facility waived certain provisions of the credit agreement to permit us to consummate the corporate reorganization and this offering and to use the proceeds from the offering as described in this prospectus. Upon consummation of the corporate reorganization, we will become a guarantor and grant a security interest with respect to the obligations under the senior secured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Second Priority Senior Secured Notes</w:t>
      </w:r>
    </w:p>
    <w:p>
      <w:pPr>
        <w:spacing w:after="0" w:line="97" w:lineRule="exact"/>
        <w:rPr>
          <w:sz w:val="20"/>
          <w:szCs w:val="20"/>
          <w:color w:val="auto"/>
        </w:rPr>
      </w:pPr>
    </w:p>
    <w:p>
      <w:pPr>
        <w:ind w:right="40" w:firstLine="571"/>
        <w:spacing w:after="0" w:line="281" w:lineRule="auto"/>
        <w:rPr>
          <w:sz w:val="20"/>
          <w:szCs w:val="20"/>
          <w:color w:val="auto"/>
        </w:rPr>
      </w:pPr>
      <w:r>
        <w:rPr>
          <w:rFonts w:ascii="Arial" w:cs="Arial" w:eastAsia="Arial" w:hAnsi="Arial"/>
          <w:sz w:val="16"/>
          <w:szCs w:val="16"/>
          <w:color w:val="auto"/>
        </w:rPr>
        <w:t>On December 23, 2004, MagnaChip Semiconductor S.A. and MagnaChip Semiconductor Finance Company, two of our wholly owned subsidiaries, issued $500 million aggregate principal amount of second priority senior secured notes, consisting of $300 million aggregate principal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 xml:space="preserve">amount of floating rate second priority senior secured notes due 2011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As of September 30, 2007, we had $500 million aggregate principal amount of the second priority senior secured notes outstanding.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notes issuers’ obligations under the second priority senior secured notes are jointly and severally guaranteed on a senior secured basis by MagnaChip Semiconductor LLC and its current direct and indirect subsidiaries (except for MagnaChip Semiconductor (Shanghai) Company Limited) and future direct and indirect subsidiaries (to the extent legally permissible). The obligations of the issuers and guarantors under the indenture governing the second priority senior secured notes are secured by second priority liens on substantially all of the collateral owned by such entities (other than any equity interests owned by such entities). These security interests are junior in priority to the security interests securing the obligations under the senior secured credit facility and all other permitted prior liens under the indenture.</w:t>
      </w:r>
    </w:p>
    <w:p>
      <w:pPr>
        <w:spacing w:after="0" w:line="156"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If there is a change of control, the issuers must give the holders of the second priority senior secured notes the opportunity to sell their notes to the issuers at a purchase price equal to 101% of their principal amount plus accrued and unpaid interest (plus liquidated damages, if any). A change of control means the occurrence of any of the following events: (1) the direct or indirect disposition (other than by way of merger or consolidation) of all or substantially all of the properties or assets of MagnaChip Semiconductor LLC and its subsidiaries taken as a whole to any “person” (as defined in Section 13(d) of the Exchange Act) other than a principal stockholder, officer or director or any of their respective related parties; (2) the adoption of a plan of liquidation of MagnaChip Semiconductor S.A.; (3) the consummation of any transaction, the result of which is that any person, other than the principal stockholders, officers or directors or any of their respective related parties, becomes the beneficial owner, directly or indirectly, of more than 50% of the voting stock of MagnaChip Semiconductor S.A.; or (4) after the closing of this offering, the first day on which a majority of the members of the board of directors are not continuing directors. A continuing director means any director who: (1) was a member of the board on December 23, 2004; (2) was nominated for election or elected to such board with the approval of a majority of the continuing directors who were members of such board at the time of such nomination or election; or (3) was elected to the board under our securityholders’ agreement.</w:t>
      </w:r>
    </w:p>
    <w:p>
      <w:pPr>
        <w:spacing w:after="0" w:line="161" w:lineRule="exact"/>
        <w:rPr>
          <w:sz w:val="20"/>
          <w:szCs w:val="20"/>
          <w:color w:val="auto"/>
        </w:rPr>
      </w:pPr>
    </w:p>
    <w:p>
      <w:pPr>
        <w:ind w:right="100" w:firstLine="571"/>
        <w:spacing w:after="0" w:line="234" w:lineRule="auto"/>
        <w:rPr>
          <w:sz w:val="20"/>
          <w:szCs w:val="20"/>
          <w:color w:val="auto"/>
        </w:rPr>
      </w:pPr>
      <w:r>
        <w:rPr>
          <w:rFonts w:ascii="Arial" w:cs="Arial" w:eastAsia="Arial" w:hAnsi="Arial"/>
          <w:sz w:val="18"/>
          <w:szCs w:val="18"/>
          <w:color w:val="auto"/>
        </w:rPr>
        <w:t>Interest on the floating rate second priority senior secured notes accrues at a rate equal to the LIBOR rate plus 3.25%. The LIBOR interest rate resets quarterly. Interest on the floating rate second priority senior secured notes is payable quarterly in arrears on</w:t>
      </w:r>
    </w:p>
    <w:p>
      <w:pPr>
        <w:spacing w:after="0" w:line="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March 15, June 15, September 15 and December 15, to holders of record as of March 1, June 1, September 1 and December 1, respectively. Interest on the floating rate second priority senior secured notes accrues from the date of original issuance or, if interest has already been paid, from the date it was most recently paid. Interest on overdue principal and interest, and liquidated damages, if any, accrues at a rate that is 1% higher than the then applicable interest rate on the floating rate second priority senior secured notes.</w:t>
      </w:r>
    </w:p>
    <w:p>
      <w:pPr>
        <w:spacing w:after="0" w:line="182" w:lineRule="exact"/>
        <w:rPr>
          <w:sz w:val="20"/>
          <w:szCs w:val="20"/>
          <w:color w:val="auto"/>
        </w:rPr>
      </w:pPr>
    </w:p>
    <w:p>
      <w:pPr>
        <w:jc w:val="both"/>
        <w:ind w:right="360" w:firstLine="571"/>
        <w:spacing w:after="0" w:line="235" w:lineRule="auto"/>
        <w:rPr>
          <w:sz w:val="20"/>
          <w:szCs w:val="20"/>
          <w:color w:val="auto"/>
        </w:rPr>
      </w:pPr>
      <w:r>
        <w:rPr>
          <w:rFonts w:ascii="Arial" w:cs="Arial" w:eastAsia="Arial" w:hAnsi="Arial"/>
          <w:sz w:val="17"/>
          <w:szCs w:val="17"/>
          <w:color w:val="auto"/>
        </w:rPr>
        <w:t xml:space="preserve">Interest on the fixed rate second priority senior secured notes accrues at the rate of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per annum and is payable semi-annually in arrears on June 15 and December 15 to holders of record as of June 1 and December 1, respectively. Interest on the fixed rate second priority senior secured notes accrues from the date of original issuance or, if interest has already been paid, from the date it was most recently paid.</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Interest on overdue principal and interest, and liquidated damages, if any, accrues at a rate that is 1% higher than the then applicable interest rate on the fixed rate second priority senior secured notes.</w:t>
      </w:r>
    </w:p>
    <w:p>
      <w:pPr>
        <w:spacing w:after="0" w:line="195"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indenture governing the second priority senior secured notes contains covenants that limit the ability of MagnaChip Semiconductor LLC and the restricted subsidiaries to do the following (subject to certain specified exceptions):</w:t>
      </w:r>
    </w:p>
    <w:p>
      <w:pPr>
        <w:spacing w:after="0" w:line="74" w:lineRule="exact"/>
        <w:rPr>
          <w:sz w:val="20"/>
          <w:szCs w:val="20"/>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issue certain types of preferred equity interests;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 dividends or make other equity distributions or restricted payments;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purchase or redeem capital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7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indenture governing the second priority senior secured notes contains certain events of default, including payment defaults, covenant defaults, cross-defaults to certain indebtedness, including the other notes and the credit facility, certain events of bankruptcy, material judgments against us, the invalidity of the documentation with respect to the second priority senior secured indenture or the failure of the security interests in any material collateral created under the indenture to be enforceable or to have the purported priority thereunder. If an event of default occurs (other than as a result of bankruptcy or a similar proceeding, in which case acceleration of the indebtedness will be automatic), the trustee or the holders of 25% or more of the aggregate principal amount of the second priority senior secured notes will be entitled to take certain actions, including the acceleration of all amounts due under the second priority senior secured indenture.</w:t>
      </w:r>
    </w:p>
    <w:p>
      <w:pPr>
        <w:spacing w:after="0" w:line="155" w:lineRule="exact"/>
        <w:rPr>
          <w:sz w:val="20"/>
          <w:szCs w:val="20"/>
          <w:color w:val="auto"/>
        </w:rPr>
      </w:pPr>
    </w:p>
    <w:p>
      <w:pPr>
        <w:ind w:right="180" w:firstLine="571"/>
        <w:spacing w:after="0" w:line="275" w:lineRule="auto"/>
        <w:rPr>
          <w:sz w:val="20"/>
          <w:szCs w:val="20"/>
          <w:color w:val="auto"/>
        </w:rPr>
      </w:pPr>
      <w:r>
        <w:rPr>
          <w:rFonts w:ascii="Arial" w:cs="Arial" w:eastAsia="Arial" w:hAnsi="Arial"/>
          <w:sz w:val="16"/>
          <w:szCs w:val="16"/>
          <w:color w:val="auto"/>
        </w:rPr>
        <w:t>MagnaChip Semiconductor S.A. may redeem all or a part of the floating rate second priority senior notes at the redemption prices (expressed as percentages of principal amount) set forth below plus accrued and unpaid interest and liquidated damages, if any, thereon to the applicable redemption date, if redeemed during the twelve-month period beginning on December 15 of the years indicated below, subject to the rights of holders of floating rate second priority senior notes on the relevant record date to receive interest on the relevant interest payment date:</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0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Percentage</w:t>
            </w:r>
          </w:p>
        </w:tc>
      </w:tr>
      <w:tr>
        <w:trPr>
          <w:trHeight w:val="27"/>
        </w:trPr>
        <w:tc>
          <w:tcPr>
            <w:tcW w:w="7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5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101.000%</w:t>
            </w:r>
          </w:p>
        </w:tc>
      </w:tr>
      <w:tr>
        <w:trPr>
          <w:trHeight w:val="214"/>
        </w:trPr>
        <w:tc>
          <w:tcPr>
            <w:tcW w:w="7080" w:type="dxa"/>
            <w:vAlign w:val="bottom"/>
          </w:tcPr>
          <w:p>
            <w:pPr>
              <w:spacing w:after="0"/>
              <w:rPr>
                <w:sz w:val="20"/>
                <w:szCs w:val="20"/>
                <w:color w:val="auto"/>
              </w:rPr>
            </w:pPr>
            <w:r>
              <w:rPr>
                <w:rFonts w:ascii="Arial" w:cs="Arial" w:eastAsia="Arial" w:hAnsi="Arial"/>
                <w:sz w:val="18"/>
                <w:szCs w:val="18"/>
                <w:color w:val="auto"/>
              </w:rPr>
              <w:t>2008 and thereafter</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100.000%</w:t>
            </w:r>
          </w:p>
        </w:tc>
      </w:tr>
    </w:tbl>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or after December 15, 2008, MagnaChip Semiconductor S.A. may redeem all or a part of the fixed rate second priority senior notes at the redemption prices (expressed as percentages of principal amount) set forth below plus accrued and unpaid interest and liquidated damages, if any, on such notes to be redeemed, to the applicable redemption date, if redeemed during the twelve-month period beginning December 15, 2008, subject to the rights of holders of fixed rate second priority senior notes on the relevant record date to receive interest due on the relevant interest payment date.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0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Percentage</w:t>
            </w:r>
          </w:p>
        </w:tc>
      </w:tr>
      <w:tr>
        <w:trPr>
          <w:trHeight w:val="27"/>
        </w:trPr>
        <w:tc>
          <w:tcPr>
            <w:tcW w:w="7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5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103.438%</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1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101.719%</w:t>
            </w: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 and thereafter</w:t>
            </w:r>
          </w:p>
        </w:tc>
        <w:tc>
          <w:tcPr>
            <w:tcW w:w="1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r>
    </w:tbl>
    <w:p>
      <w:pPr>
        <w:spacing w:after="0" w:line="165" w:lineRule="exact"/>
        <w:rPr>
          <w:sz w:val="20"/>
          <w:szCs w:val="20"/>
          <w:color w:val="auto"/>
        </w:rPr>
      </w:pPr>
    </w:p>
    <w:p>
      <w:pPr>
        <w:ind w:right="160" w:firstLine="571"/>
        <w:spacing w:after="0" w:line="264" w:lineRule="auto"/>
        <w:rPr>
          <w:sz w:val="20"/>
          <w:szCs w:val="20"/>
          <w:color w:val="auto"/>
        </w:rPr>
      </w:pPr>
      <w:r>
        <w:rPr>
          <w:rFonts w:ascii="Arial" w:cs="Arial" w:eastAsia="Arial" w:hAnsi="Arial"/>
          <w:sz w:val="16"/>
          <w:szCs w:val="16"/>
          <w:color w:val="auto"/>
        </w:rPr>
        <w:t>Notwithstanding the foregoing, at any time prior to December 15, 2008, MagnaChip Semiconductor S.A. may also redeem all or a part of the fixed rate second priority senior notes at a redemption price equal to 100% of the principal amount of notes redeemed plus the premium described below as of, and accrued and unpaid interest and liquidated damages, if any, to the redemption date, subject to the rights of holders of notes on the relevant record date to receive interest due on the relevant interest payment date. The foregoing premium means the greater of</w:t>
      </w:r>
    </w:p>
    <w:p>
      <w:pPr>
        <w:spacing w:after="0" w:line="1" w:lineRule="exact"/>
        <w:rPr>
          <w:sz w:val="20"/>
          <w:szCs w:val="20"/>
          <w:color w:val="auto"/>
        </w:rPr>
      </w:pPr>
    </w:p>
    <w:p>
      <w:pPr>
        <w:jc w:val="both"/>
        <w:ind w:right="280" w:firstLine="8"/>
        <w:spacing w:after="0" w:line="237" w:lineRule="auto"/>
        <w:tabs>
          <w:tab w:leader="none" w:pos="2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 of the principal amount of the note; or (2) the excess of (a) the present value at such redemption date of (i) the redemption price of the note at December 15, 2008, plus (ii) all required interest payments due on the note through December 15, 2008, (excluding accrued but unpaid interest to the redemption date), computed using a discount rate equal to the treasury rate (as defined in the second priority senior secured indenture) as of such redemption date plus 50 basis points; over (b) the principal amount of the note, if greater.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firstLine="571"/>
        <w:spacing w:after="0" w:line="239" w:lineRule="auto"/>
        <w:rPr>
          <w:sz w:val="20"/>
          <w:szCs w:val="20"/>
          <w:color w:val="auto"/>
        </w:rPr>
      </w:pPr>
      <w:r>
        <w:rPr>
          <w:rFonts w:ascii="Arial" w:cs="Arial" w:eastAsia="Arial" w:hAnsi="Arial"/>
          <w:sz w:val="18"/>
          <w:szCs w:val="18"/>
          <w:color w:val="auto"/>
        </w:rPr>
        <w:t>Unless MagnaChip Semiconductor S.A. defaults in the payment of the redemption price, interest will cease to accrue on the notes or portions thereof called for redemption on the applicable redemption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Senior Subordinated Notes</w:t>
      </w:r>
    </w:p>
    <w:p>
      <w:pPr>
        <w:spacing w:after="0" w:line="97" w:lineRule="exact"/>
        <w:rPr>
          <w:sz w:val="20"/>
          <w:szCs w:val="20"/>
          <w:color w:val="auto"/>
        </w:rPr>
      </w:pPr>
    </w:p>
    <w:p>
      <w:pPr>
        <w:ind w:right="280" w:firstLine="571"/>
        <w:spacing w:after="0" w:line="238" w:lineRule="auto"/>
        <w:rPr>
          <w:sz w:val="20"/>
          <w:szCs w:val="20"/>
          <w:color w:val="auto"/>
        </w:rPr>
      </w:pPr>
      <w:r>
        <w:rPr>
          <w:rFonts w:ascii="Arial" w:cs="Arial" w:eastAsia="Arial" w:hAnsi="Arial"/>
          <w:sz w:val="18"/>
          <w:szCs w:val="18"/>
          <w:color w:val="auto"/>
        </w:rPr>
        <w:t>On December 23, 2004, MagnaChip Semiconductor S.A. and MagnaChip Semiconductor Finance Company also issued $250 million aggregate principal amount of our 8% senior subordinated notes due 2014. As of September 30, 2007, we had $250 million aggregate principal amount of the senior subordinated notes outstanding.</w:t>
      </w:r>
    </w:p>
    <w:p>
      <w:pPr>
        <w:spacing w:after="0" w:line="154"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The notes issuers’ obligations under the senior subordinated notes are jointly and severally guaranteed by MagnaChip Semiconductor LLC and its current direct and indirect subsidiaries (except for MagnaChip Korea and MagnaChip Semiconductor (Shanghai) Company Limited) and future direct and indirect subsidiaries (to the extent legally permissible). Each guarantee is subordinated to the prior payment in full of all senior debt of that guarantor.</w:t>
      </w:r>
    </w:p>
    <w:p>
      <w:pPr>
        <w:spacing w:after="0" w:line="155" w:lineRule="exact"/>
        <w:rPr>
          <w:sz w:val="20"/>
          <w:szCs w:val="20"/>
          <w:color w:val="auto"/>
        </w:rPr>
      </w:pPr>
    </w:p>
    <w:p>
      <w:pPr>
        <w:ind w:right="380" w:firstLine="571"/>
        <w:spacing w:after="0" w:line="281" w:lineRule="auto"/>
        <w:rPr>
          <w:sz w:val="20"/>
          <w:szCs w:val="20"/>
          <w:color w:val="auto"/>
        </w:rPr>
      </w:pPr>
      <w:r>
        <w:rPr>
          <w:rFonts w:ascii="Arial" w:cs="Arial" w:eastAsia="Arial" w:hAnsi="Arial"/>
          <w:sz w:val="16"/>
          <w:szCs w:val="16"/>
          <w:color w:val="auto"/>
        </w:rPr>
        <w:t>Interest on the senior subordinated notes accrues at the rate of 8% per annum and is payable semi-annually in arrears on June 15 and December 15, commencing on June 15, 2005, to the holders of record on the June 1 and December 1, respectively. Interest on the senior subordinated notes accrues from the date of original issuance or, if interest has already been paid, from the date it was most recently paid.</w:t>
      </w:r>
    </w:p>
    <w:p>
      <w:pPr>
        <w:spacing w:after="0" w:line="12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payment of principal, interest and premium, if any, on the senior subordinated notes is subordinated to the extent provided for in the senior subordinated indenture to the prior payment in full of all senior debt of the notes issuers (including the amounts owing under the senior secured credit facility and the second priority senior secured notes, and other senior debt incurred after the date of the indenture). Except under specified limited circumstances, the holders of senior debt are entitled to receive payment in full of all obligations due in respect of such senior debt before the holders of the senior subordinated notes are entitled to receive any payment with respect to the senior subordinated notes in the event of:</w:t>
      </w:r>
    </w:p>
    <w:p>
      <w:pPr>
        <w:spacing w:after="0" w:line="75" w:lineRule="exact"/>
        <w:rPr>
          <w:sz w:val="20"/>
          <w:szCs w:val="20"/>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liquidation, dissolution, bankruptcy, insolvency or similar proceeding of the notes issuers; or</w:t>
      </w:r>
    </w:p>
    <w:p>
      <w:pPr>
        <w:spacing w:after="0" w:line="90" w:lineRule="exact"/>
        <w:rPr>
          <w:rFonts w:ascii="Arial" w:cs="Arial" w:eastAsia="Arial" w:hAnsi="Arial"/>
          <w:sz w:val="18"/>
          <w:szCs w:val="18"/>
          <w:color w:val="auto"/>
        </w:rPr>
      </w:pPr>
    </w:p>
    <w:p>
      <w:pPr>
        <w:ind w:left="820" w:right="240" w:hanging="245"/>
        <w:spacing w:after="0" w:line="239"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there is a payment default (or other default which permits the holder of the senior debt to accelerate maturity) with respect to certain designated senior debt.</w:t>
      </w:r>
    </w:p>
    <w:p>
      <w:pPr>
        <w:spacing w:after="0" w:line="155" w:lineRule="exact"/>
        <w:rPr>
          <w:sz w:val="20"/>
          <w:szCs w:val="20"/>
          <w:color w:val="auto"/>
        </w:rPr>
      </w:pPr>
    </w:p>
    <w:p>
      <w:pPr>
        <w:jc w:val="both"/>
        <w:ind w:right="100" w:firstLine="571"/>
        <w:spacing w:after="0" w:line="238" w:lineRule="auto"/>
        <w:rPr>
          <w:sz w:val="20"/>
          <w:szCs w:val="20"/>
          <w:color w:val="auto"/>
        </w:rPr>
      </w:pPr>
      <w:r>
        <w:rPr>
          <w:rFonts w:ascii="Arial" w:cs="Arial" w:eastAsia="Arial" w:hAnsi="Arial"/>
          <w:sz w:val="18"/>
          <w:szCs w:val="18"/>
          <w:color w:val="auto"/>
        </w:rPr>
        <w:t>If the trustee or any holder of the senior subordinated notes receives a payment on or for the senior subordinated notes when the payment is prohibited by these subordination provisions and the trustee or the holder has actual knowledge that the payment is prohibited, then the trustee or the holder, as the case may be, will hold the payment in trust for the benefit of the holders of senior debt.</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If there is a change of control, the issuers must give the holders of the senior subordinated notes the opportunity to sell their notes to the issuers at a purchase price equal to 101% of their principal amount plus accrued and unpaid interest (plus liquidated damages, if any). A change of control means the occurrence of any of the following events: (1) the direct or indirect disposition (other than by way of merger or consolidation) of all or substantially all of the properties or assets of MagnaChip Semiconductor LLC and its subsidiaries taken as a whole to any “person” (as defined in Section 13(d) of the Exchange Act) other than a principal stockholder, officer or director, or any of their related parties; (2) the adoption of a plan of liquidation of MagnaChip Semiconductor S.A.; (3) the consummation of any transaction, the result of which is that any person, other than the any of the principal stockholders, officers, directors or any of their respective related parties, becomes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beneficial owner, directly or indirectly, of more than 50% of the voting stock of MagnaChip Semiconductor S.A.; or (4) after the closing of this offering, the first day on which a majority of the members of the board of directors of such company are not continuing directors. A continuing director means any director who: (1) was a member of the board on December 23, 2004; (2) was nominated for election or elected to such board with the approval of a majority of the continuing directors who were members of such board at the time of such nomination or election; or (3) was elected to the board under our securityholders’ agreement.</w:t>
      </w:r>
    </w:p>
    <w:p>
      <w:pPr>
        <w:spacing w:after="0" w:line="157"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indenture governing the senior subordinated notes contains covenants that limit the ability of MagnaChip Semiconductor LLC and the restricted subsidiaries to do the following (subject to certain specified exceptions):</w:t>
      </w:r>
    </w:p>
    <w:p>
      <w:pPr>
        <w:spacing w:after="0" w:line="74" w:lineRule="exact"/>
        <w:rPr>
          <w:sz w:val="20"/>
          <w:szCs w:val="20"/>
          <w:color w:val="auto"/>
        </w:rPr>
      </w:pPr>
    </w:p>
    <w:p>
      <w:pPr>
        <w:ind w:left="820" w:hanging="24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issue certain types of preferred equity interests;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 dividends or make other equity distributions;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purchase or redeem capital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7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indenture governing the senior subordinated notes contains certain events of default, including payment defaults, covenant defaults, cross-defaults to certain indebtedness, including the senior secured credit facility and other notes, certain events of bankruptcy, material judgments against us or the invalidity of the documentation with respect to the senior subordinated indenture. If an event of default occurs (other than as a result of bankruptcy or a similar proceeding, in which case acceleration of the indebtedness will be automatic), the trustee or the holders of 25% or more of the aggregate principal amount of the senior subordinated notes will be entitled to take certain actions, including the acceleration of all amounts due under the senior subordinated indenture.</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or after December 15, 2009, MagnaChip Semiconductor S.A. may redeem all or a part of the senior subordinated notes at the redemption prices (expressed as percentages of principal amount) set forth below plus accrued and unpaid interest and liquidated damages, if any, on such notes to be redeemed, to the applicable redemption date, if redeemed during the twelve-month period beginning December 15, 2009, subject to the rights of holders of senior subordinated notes on the relevant record date to receive interest due on the relevant interest payment date.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0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Percentage</w:t>
            </w:r>
          </w:p>
        </w:tc>
      </w:tr>
      <w:tr>
        <w:trPr>
          <w:trHeight w:val="27"/>
        </w:trPr>
        <w:tc>
          <w:tcPr>
            <w:tcW w:w="7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5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104.000%</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1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102.667%</w:t>
            </w: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1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101.333%</w:t>
            </w:r>
          </w:p>
        </w:tc>
      </w:tr>
      <w:tr>
        <w:trPr>
          <w:trHeight w:val="214"/>
        </w:trPr>
        <w:tc>
          <w:tcPr>
            <w:tcW w:w="7080" w:type="dxa"/>
            <w:vAlign w:val="bottom"/>
          </w:tcPr>
          <w:p>
            <w:pPr>
              <w:spacing w:after="0"/>
              <w:rPr>
                <w:sz w:val="20"/>
                <w:szCs w:val="20"/>
                <w:color w:val="auto"/>
              </w:rPr>
            </w:pPr>
            <w:r>
              <w:rPr>
                <w:rFonts w:ascii="Arial" w:cs="Arial" w:eastAsia="Arial" w:hAnsi="Arial"/>
                <w:sz w:val="18"/>
                <w:szCs w:val="18"/>
                <w:color w:val="auto"/>
              </w:rPr>
              <w:t>2012 and thereafter</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100.000%</w:t>
            </w:r>
          </w:p>
        </w:tc>
      </w:tr>
    </w:tbl>
    <w:p>
      <w:pPr>
        <w:spacing w:after="0" w:line="154" w:lineRule="exact"/>
        <w:rPr>
          <w:sz w:val="20"/>
          <w:szCs w:val="20"/>
          <w:color w:val="auto"/>
        </w:rPr>
      </w:pPr>
    </w:p>
    <w:p>
      <w:pPr>
        <w:ind w:right="200" w:firstLine="571"/>
        <w:spacing w:after="0" w:line="236" w:lineRule="auto"/>
        <w:rPr>
          <w:sz w:val="20"/>
          <w:szCs w:val="20"/>
          <w:color w:val="auto"/>
        </w:rPr>
      </w:pPr>
      <w:r>
        <w:rPr>
          <w:rFonts w:ascii="Arial" w:cs="Arial" w:eastAsia="Arial" w:hAnsi="Arial"/>
          <w:sz w:val="18"/>
          <w:szCs w:val="18"/>
          <w:color w:val="auto"/>
        </w:rPr>
        <w:t>Notwithstanding the foregoing, at any time prior to December 15, 2009, MagnaChip Semiconductor S.A. may also redeem all or a part of the senior subordinated notes, at a redemption price equal to 100% of the principal amount of senior subordinated notes redeemed plus the premium described below as of, and accrued and unpaid interest and liquidated damages, if any, to the redemption date, subject to the rights of holders of the senior subordinated notes on the relevant record date to receive interest due on the relevant interest payment date. The foregoing premium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means the greater of: (1) 1.0% of the principal amount of the note; or (2) the excess of (a) the present value at such redemption date of (i) the redemption price of the note at December 15, 2009, plus (ii) all required interest payments due on the note through December 15, 2009, (excluding accrued but unpaid interest to the redemption date), computed using a discount rate equal to the treasury rate (as defined in the senior subordinated indenture) as of such redemption date plus 50 basis points; over (b) the principal amount of the note, if greater.</w:t>
      </w:r>
    </w:p>
    <w:p>
      <w:pPr>
        <w:spacing w:after="0" w:line="155" w:lineRule="exact"/>
        <w:rPr>
          <w:sz w:val="20"/>
          <w:szCs w:val="20"/>
          <w:color w:val="auto"/>
        </w:rPr>
      </w:pPr>
    </w:p>
    <w:p>
      <w:pPr>
        <w:ind w:right="560" w:firstLine="571"/>
        <w:spacing w:after="0" w:line="239" w:lineRule="auto"/>
        <w:rPr>
          <w:sz w:val="20"/>
          <w:szCs w:val="20"/>
          <w:color w:val="auto"/>
        </w:rPr>
      </w:pPr>
      <w:r>
        <w:rPr>
          <w:rFonts w:ascii="Arial" w:cs="Arial" w:eastAsia="Arial" w:hAnsi="Arial"/>
          <w:sz w:val="18"/>
          <w:szCs w:val="18"/>
          <w:color w:val="auto"/>
        </w:rPr>
        <w:t>Unless MagnaChip Semiconductor S.A. defaults in the payment of the redemption price, interest will cease to accrue on the notes or portions thereof called for redemption on the applicable redemption date.</w:t>
      </w:r>
    </w:p>
    <w:p>
      <w:pPr>
        <w:spacing w:after="0" w:line="155"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 xml:space="preserve">We intend to use a portion of the proceeds of this offering to reduce our indebtedness including by repurchasing certain of our floating rate second priority senior secured notes due 2011,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and/or 8% senior subordinated notes due 2014.</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180" w:lineRule="exact"/>
        <w:rPr>
          <w:sz w:val="20"/>
          <w:szCs w:val="20"/>
          <w:color w:val="auto"/>
        </w:rPr>
      </w:pPr>
    </w:p>
    <w:p>
      <w:pPr>
        <w:ind w:right="100" w:firstLine="571"/>
        <w:spacing w:after="0" w:line="275" w:lineRule="auto"/>
        <w:rPr>
          <w:sz w:val="20"/>
          <w:szCs w:val="20"/>
          <w:color w:val="auto"/>
        </w:rPr>
      </w:pPr>
      <w:r>
        <w:rPr>
          <w:rFonts w:ascii="Arial" w:cs="Arial" w:eastAsia="Arial" w:hAnsi="Arial"/>
          <w:sz w:val="16"/>
          <w:szCs w:val="16"/>
          <w:color w:val="auto"/>
        </w:rPr>
        <w:t>Prior to this offering, there has been no public market for our common stock, and a significant public market for our common stock may not develop or be sustained after this offering. Future sales of significant amounts of our common stock, including shares of our outstanding common stock and shares of our common stock issued upon exercise of outstanding options, in the public market after this offering could adversely affect the prevailing market price of our common stock and could impair our future ability to raise capital through the sale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 and Lock-Up Agreements</w:t>
      </w:r>
    </w:p>
    <w:p>
      <w:pPr>
        <w:spacing w:after="0" w:line="94" w:lineRule="exact"/>
        <w:rPr>
          <w:sz w:val="20"/>
          <w:szCs w:val="20"/>
          <w:color w:val="auto"/>
        </w:rPr>
      </w:pPr>
    </w:p>
    <w:p>
      <w:pPr>
        <w:ind w:left="580"/>
        <w:spacing w:after="0"/>
        <w:tabs>
          <w:tab w:leader="none" w:pos="5700" w:val="left"/>
        </w:tabs>
        <w:rPr>
          <w:sz w:val="20"/>
          <w:szCs w:val="20"/>
          <w:color w:val="auto"/>
        </w:rPr>
      </w:pPr>
      <w:r>
        <w:rPr>
          <w:rFonts w:ascii="Arial" w:cs="Arial" w:eastAsia="Arial" w:hAnsi="Arial"/>
          <w:sz w:val="18"/>
          <w:szCs w:val="18"/>
          <w:color w:val="auto"/>
        </w:rPr>
        <w:t>Upon the closing of this offering, we will have outstanding</w:t>
      </w:r>
      <w:r>
        <w:rPr>
          <w:sz w:val="20"/>
          <w:szCs w:val="20"/>
          <w:color w:val="auto"/>
        </w:rPr>
        <w:tab/>
      </w:r>
      <w:r>
        <w:rPr>
          <w:rFonts w:ascii="Arial" w:cs="Arial" w:eastAsia="Arial" w:hAnsi="Arial"/>
          <w:sz w:val="16"/>
          <w:szCs w:val="16"/>
          <w:color w:val="auto"/>
        </w:rPr>
        <w:t>shares of common stock, based upon the common units of MagnaChip</w:t>
      </w:r>
    </w:p>
    <w:p>
      <w:pPr>
        <w:spacing w:after="0"/>
        <w:rPr>
          <w:sz w:val="20"/>
          <w:szCs w:val="20"/>
          <w:color w:val="auto"/>
        </w:rPr>
      </w:pPr>
      <w:r>
        <w:rPr>
          <w:rFonts w:ascii="Arial" w:cs="Arial" w:eastAsia="Arial" w:hAnsi="Arial"/>
          <w:sz w:val="16"/>
          <w:szCs w:val="16"/>
          <w:color w:val="auto"/>
        </w:rPr>
        <w:t>Semiconductor LLC outstanding as of September 30, 2007 after giving pro forma effect to the corporate reorganization and the repurchase of all of</w:t>
      </w:r>
    </w:p>
    <w:p>
      <w:pPr>
        <w:spacing w:after="0" w:line="387" w:lineRule="exact"/>
        <w:rPr>
          <w:sz w:val="20"/>
          <w:szCs w:val="20"/>
          <w:color w:val="auto"/>
        </w:rPr>
      </w:pPr>
    </w:p>
    <w:p>
      <w:pPr>
        <w:spacing w:after="0"/>
        <w:tabs>
          <w:tab w:leader="none" w:pos="10540" w:val="left"/>
        </w:tabs>
        <w:rPr>
          <w:sz w:val="20"/>
          <w:szCs w:val="20"/>
          <w:color w:val="auto"/>
        </w:rPr>
      </w:pPr>
      <w:r>
        <w:rPr>
          <w:rFonts w:ascii="Arial" w:cs="Arial" w:eastAsia="Arial" w:hAnsi="Arial"/>
          <w:sz w:val="18"/>
          <w:szCs w:val="18"/>
          <w:color w:val="auto"/>
        </w:rPr>
        <w:t>the Series B preferred units pursuant to which each common unit will be exchanged for shares of our common stock at a ratio of</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ind w:left="580"/>
        <w:spacing w:after="0"/>
        <w:tabs>
          <w:tab w:leader="none" w:pos="2820" w:val="left"/>
          <w:tab w:leader="none" w:pos="7180" w:val="left"/>
        </w:tabs>
        <w:rPr>
          <w:sz w:val="20"/>
          <w:szCs w:val="20"/>
          <w:color w:val="auto"/>
        </w:rPr>
      </w:pPr>
      <w:r>
        <w:rPr>
          <w:rFonts w:ascii="Arial" w:cs="Arial" w:eastAsia="Arial" w:hAnsi="Arial"/>
          <w:sz w:val="18"/>
          <w:szCs w:val="18"/>
          <w:color w:val="auto"/>
        </w:rPr>
        <w:t>Of these shares, the</w:t>
      </w:r>
      <w:r>
        <w:rPr>
          <w:sz w:val="20"/>
          <w:szCs w:val="20"/>
          <w:color w:val="auto"/>
        </w:rPr>
        <w:tab/>
      </w:r>
      <w:r>
        <w:rPr>
          <w:rFonts w:ascii="Arial" w:cs="Arial" w:eastAsia="Arial" w:hAnsi="Arial"/>
          <w:sz w:val="18"/>
          <w:szCs w:val="18"/>
          <w:color w:val="auto"/>
        </w:rPr>
        <w:t>shares of common stock sold in this offering, or</w:t>
      </w:r>
      <w:r>
        <w:rPr>
          <w:sz w:val="20"/>
          <w:szCs w:val="20"/>
          <w:color w:val="auto"/>
        </w:rPr>
        <w:tab/>
      </w:r>
      <w:r>
        <w:rPr>
          <w:rFonts w:ascii="Arial" w:cs="Arial" w:eastAsia="Arial" w:hAnsi="Arial"/>
          <w:sz w:val="16"/>
          <w:szCs w:val="16"/>
          <w:color w:val="auto"/>
        </w:rPr>
        <w:t>shares if the underwriters exercise their option to</w:t>
      </w:r>
    </w:p>
    <w:p>
      <w:pPr>
        <w:ind w:right="60"/>
        <w:spacing w:after="0" w:line="239" w:lineRule="auto"/>
        <w:rPr>
          <w:sz w:val="20"/>
          <w:szCs w:val="20"/>
          <w:color w:val="auto"/>
        </w:rPr>
      </w:pPr>
      <w:r>
        <w:rPr>
          <w:rFonts w:ascii="Arial" w:cs="Arial" w:eastAsia="Arial" w:hAnsi="Arial"/>
          <w:sz w:val="18"/>
          <w:szCs w:val="18"/>
          <w:color w:val="auto"/>
        </w:rPr>
        <w:t>purchase additional shares in full, will be freely tradable without restriction under the Securities Act, unless purchased by affiliates of our company, as that term is defined in Rule 144 under the Securities Act.</w:t>
      </w:r>
    </w:p>
    <w:p>
      <w:pPr>
        <w:spacing w:after="0" w:line="155" w:lineRule="exact"/>
        <w:rPr>
          <w:sz w:val="20"/>
          <w:szCs w:val="20"/>
          <w:color w:val="auto"/>
        </w:rPr>
      </w:pPr>
    </w:p>
    <w:p>
      <w:pPr>
        <w:ind w:firstLine="571"/>
        <w:spacing w:after="0" w:line="234" w:lineRule="auto"/>
        <w:rPr>
          <w:sz w:val="20"/>
          <w:szCs w:val="20"/>
          <w:color w:val="auto"/>
        </w:rPr>
      </w:pPr>
      <w:r>
        <w:rPr>
          <w:rFonts w:ascii="Arial" w:cs="Arial" w:eastAsia="Arial" w:hAnsi="Arial"/>
          <w:sz w:val="18"/>
          <w:szCs w:val="18"/>
          <w:color w:val="auto"/>
        </w:rPr>
        <w:t>The remaining shares of common stock were issued and sold by us in private transactions pursuant to the corporate reorganization, and are eligible for public sale if registered under the Securities Act or sold in accordance with Rules 144 or 144(k) of the Securities Act. These shares are subject to a securityholders’ agreement that restricts their sale for 180 days after the date of this prospectus unless we and</w:t>
      </w:r>
    </w:p>
    <w:p>
      <w:pPr>
        <w:spacing w:after="0" w:line="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managing underwriters, agree to a lesser period. Furthermore, of these remaining shares of common stock are held by officers, directors and existing stockholders who are subject to lock-up agreements and other trading restrictions for a period of 180 days after the date of this prospectus.</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Goldman, Sachs &amp; Co., UBS Securities LLC and Credit Suisse Securities (USA) LLC, as joint book-running underwriters, may, at any time without notice, release all or any portion of the securities subject to the lock-up agreements. We have been advised by the joint book-running underwriters that, when determining whether or not to release shares from the lock-up agreements, the joint book-running underwriters will consider, among other factors, the stockholder’s reasons for requesting the release, the number of shares for which the release is being requested and market conditions at the time. The joint book-running underwriters have advised us that they have no present intention to release any of the shares subject to the lock-up agreements prior to the expiration of the lock-up period.</w:t>
      </w:r>
    </w:p>
    <w:p>
      <w:pPr>
        <w:spacing w:after="0" w:line="152" w:lineRule="exact"/>
        <w:rPr>
          <w:sz w:val="20"/>
          <w:szCs w:val="20"/>
          <w:color w:val="auto"/>
        </w:rPr>
      </w:pPr>
    </w:p>
    <w:p>
      <w:pPr>
        <w:ind w:left="580"/>
        <w:spacing w:after="0"/>
        <w:tabs>
          <w:tab w:leader="none" w:pos="3800" w:val="left"/>
        </w:tabs>
        <w:rPr>
          <w:sz w:val="20"/>
          <w:szCs w:val="20"/>
          <w:color w:val="auto"/>
        </w:rPr>
      </w:pPr>
      <w:r>
        <w:rPr>
          <w:rFonts w:ascii="Arial" w:cs="Arial" w:eastAsia="Arial" w:hAnsi="Arial"/>
          <w:sz w:val="18"/>
          <w:szCs w:val="18"/>
          <w:color w:val="auto"/>
        </w:rPr>
        <w:t>As of the date of this prospectus,</w:t>
      </w:r>
      <w:r>
        <w:rPr>
          <w:sz w:val="20"/>
          <w:szCs w:val="20"/>
          <w:color w:val="auto"/>
        </w:rPr>
        <w:tab/>
      </w:r>
      <w:r>
        <w:rPr>
          <w:rFonts w:ascii="Arial" w:cs="Arial" w:eastAsia="Arial" w:hAnsi="Arial"/>
          <w:sz w:val="16"/>
          <w:szCs w:val="16"/>
          <w:color w:val="auto"/>
        </w:rPr>
        <w:t>of the remaining shares may be eligible for immediate sale in the public market, absent</w:t>
      </w:r>
    </w:p>
    <w:p>
      <w:pPr>
        <w:spacing w:after="0" w:line="234" w:lineRule="auto"/>
        <w:rPr>
          <w:sz w:val="20"/>
          <w:szCs w:val="20"/>
          <w:color w:val="auto"/>
        </w:rPr>
      </w:pPr>
      <w:r>
        <w:rPr>
          <w:rFonts w:ascii="Arial" w:cs="Arial" w:eastAsia="Arial" w:hAnsi="Arial"/>
          <w:sz w:val="18"/>
          <w:szCs w:val="18"/>
          <w:color w:val="auto"/>
        </w:rPr>
        <w:t>registration, subject to certain time and volume limitations under Rules 144 and 144(k). Notwithstanding the securityholders’ agreement and the</w:t>
      </w:r>
    </w:p>
    <w:p>
      <w:pPr>
        <w:spacing w:after="0" w:line="1"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lock-up agreements, beginning one year after the date of the corporate reorganization, the rest of the additional shares will be eligible for sale in the public market, although all of these shares will be subject initially, absent registration, to the restrictions under Rule 144 and 144(k) as described in more detail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In general, Rule 144 allows a stockholder (or stockholders where shares of common stock are aggregated) who has beneficially owned shares of our common stock for at least one year and who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files a Form 144 with the SEC to sell within any three-month period commencing 90 days after the date of this prospectus a number of those shares that does not exceed the greater of:</w:t>
      </w:r>
    </w:p>
    <w:p>
      <w:pPr>
        <w:sectPr>
          <w:pgSz w:w="11900" w:h="16838" w:orient="portrait"/>
          <w:cols w:equalWidth="0" w:num="1">
            <w:col w:w="11400"/>
          </w:cols>
          <w:pgMar w:left="240" w:top="459" w:right="259" w:bottom="1440" w:gutter="0" w:footer="0" w:header="0"/>
        </w:sectPr>
      </w:pPr>
    </w:p>
    <w:p>
      <w:pPr>
        <w:spacing w:after="0" w:line="62" w:lineRule="exact"/>
        <w:rPr>
          <w:sz w:val="20"/>
          <w:szCs w:val="20"/>
          <w:color w:val="auto"/>
        </w:rPr>
      </w:pPr>
    </w:p>
    <w:p>
      <w:pPr>
        <w:ind w:left="820" w:hanging="239"/>
        <w:spacing w:after="0" w:line="239" w:lineRule="auto"/>
        <w:tabs>
          <w:tab w:leader="none" w:pos="80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one percent of the number of shares of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01" w:lineRule="exact"/>
        <w:rPr>
          <w:sz w:val="20"/>
          <w:szCs w:val="20"/>
          <w:color w:val="auto"/>
        </w:rPr>
      </w:pPr>
    </w:p>
    <w:p>
      <w:pPr>
        <w:sectPr>
          <w:pgSz w:w="11900" w:h="16838" w:orient="portrait"/>
          <w:cols w:equalWidth="0" w:num="2">
            <w:col w:w="8820" w:space="700"/>
            <w:col w:w="1880"/>
          </w:cols>
          <w:pgMar w:left="240" w:top="459" w:right="259" w:bottom="1440" w:gutter="0" w:footer="0" w:header="0"/>
          <w:type w:val="continuous"/>
        </w:sectPr>
      </w:pPr>
    </w:p>
    <w:p>
      <w:pPr>
        <w:ind w:left="820" w:right="320" w:hanging="245"/>
        <w:spacing w:after="0" w:line="239"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on all national securities exchanges and/or reported through the automated quotation system of a registered securities association during the four calendar weeks preceding the sale.</w:t>
      </w:r>
    </w:p>
    <w:p>
      <w:pPr>
        <w:spacing w:after="0" w:line="155"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Sales under Rule 144, however, are subject to specific manner of sales provisions, notice requirements and the availability of current information about us. We cannot estimate the number of shares of common stock our existing stockholders will sell under Rule 144, as this will depend on the market price for our common stock, the personal circumstances of the stockholders and other factors.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99"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color w:val="auto"/>
        </w:rPr>
        <w:t>Under Rule 144(k), in general, a stockholder who has beneficially owned shares of our common stock for at least two years and who is not deemed to have been an affiliate of our company at any time during the immediately preceding 90 days may sell shares without complying with the manner of sale provisions, notice requirements, public information requirements or volume limitations of Rule 144. Affiliates of our company, however, must always sell pursuant to Rule 144, even after the otherwise applicable Rule 144(k) holding periods have been satisfied.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4" w:lineRule="exact"/>
        <w:rPr>
          <w:sz w:val="20"/>
          <w:szCs w:val="20"/>
          <w:color w:val="auto"/>
        </w:rPr>
      </w:pPr>
    </w:p>
    <w:p>
      <w:pPr>
        <w:ind w:left="580"/>
        <w:spacing w:after="0"/>
        <w:tabs>
          <w:tab w:leader="none" w:pos="2540" w:val="left"/>
        </w:tabs>
        <w:rPr>
          <w:sz w:val="20"/>
          <w:szCs w:val="20"/>
          <w:color w:val="auto"/>
        </w:rPr>
      </w:pPr>
      <w:r>
        <w:rPr>
          <w:rFonts w:ascii="Arial" w:cs="Arial" w:eastAsia="Arial" w:hAnsi="Arial"/>
          <w:sz w:val="18"/>
          <w:szCs w:val="18"/>
          <w:color w:val="auto"/>
        </w:rPr>
        <w:t>In addition to the</w:t>
      </w:r>
      <w:r>
        <w:rPr>
          <w:sz w:val="20"/>
          <w:szCs w:val="20"/>
          <w:color w:val="auto"/>
        </w:rPr>
        <w:tab/>
      </w:r>
      <w:r>
        <w:rPr>
          <w:rFonts w:ascii="Arial" w:cs="Arial" w:eastAsia="Arial" w:hAnsi="Arial"/>
          <w:sz w:val="16"/>
          <w:szCs w:val="16"/>
          <w:color w:val="auto"/>
        </w:rPr>
        <w:t>shares of common stock outstanding immediately after this offering, based upon the common units of MagnaChip</w:t>
      </w:r>
    </w:p>
    <w:p>
      <w:pPr>
        <w:spacing w:after="0" w:line="234" w:lineRule="auto"/>
        <w:rPr>
          <w:sz w:val="20"/>
          <w:szCs w:val="20"/>
          <w:color w:val="auto"/>
        </w:rPr>
      </w:pPr>
      <w:r>
        <w:rPr>
          <w:rFonts w:ascii="Arial" w:cs="Arial" w:eastAsia="Arial" w:hAnsi="Arial"/>
          <w:sz w:val="18"/>
          <w:szCs w:val="18"/>
          <w:color w:val="auto"/>
        </w:rPr>
        <w:t>Semiconductor LLC outstanding as of September 30, 2007 after giving pro forma effect to the corporate reorganization pursuant to which each</w:t>
      </w:r>
    </w:p>
    <w:p>
      <w:pPr>
        <w:spacing w:after="0" w:line="200" w:lineRule="exact"/>
        <w:rPr>
          <w:sz w:val="20"/>
          <w:szCs w:val="20"/>
          <w:color w:val="auto"/>
        </w:rPr>
      </w:pP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common unit will be exchanged for shares of our common stock at a ratio of , there were outstanding options to purchase shares of our common stock. As soon as practicable after the closing of this offering, we intend to file a registration statement on Form S-8 under the Securities Act covering shares of our common stock reserved for issuance upon exercise of stock options outstanding as of at a weighted average exercise price of per share and shares of our common stock reserved as of for issuance pursuant to future grants</w:t>
      </w:r>
    </w:p>
    <w:p>
      <w:pPr>
        <w:spacing w:after="0" w:line="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our 2008 Equity Incentive Plan and 2008 Employee Stock Purchase Plan. Accordingly, shares of our common stock registered under such registration statement will be available for sale in the open market upon exercise by the holders, subject to vesting restrictions with us, contractual lock-up restrictions, our securities trading policy and/or market stand-off provisions applicable to each other agreement that prohibit the sale or other disposition of the shares of common stock underlying the options for a period of 180 days after the date of this prospectus without the prior written consent from us or Goldman, Sachs &amp; Co., UBS Securities LLC and Credit Suisse Securities (USA) LLC.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9"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Upon the closing of this offerings, certain holders of our shares of common stock will have the right to register their remaining shares of common stock pursuant to a securityholders’ agreement. In addition, some holders will have certain “incidental” registration rights, pursuant to that agreement. See “Description of Capital Stock.”</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80"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following is a summary of the material U.S. federal income and estate tax consequences of the ownership and disposition of shares of our common stock to a non-U.S. holder who purchases our common stock in this offering. For purposes of this discussion, a non-U.S. holder is any beneficial owner of our common stock that for U.S. federal income tax purposes is not a U.S. person (other than a partnership, as discussed below); the term U.S. person means:</w:t>
      </w:r>
    </w:p>
    <w:p>
      <w:pPr>
        <w:spacing w:after="0" w:line="74" w:lineRule="exact"/>
        <w:rPr>
          <w:sz w:val="20"/>
          <w:szCs w:val="20"/>
          <w:color w:val="auto"/>
        </w:rPr>
      </w:pPr>
    </w:p>
    <w:p>
      <w:pPr>
        <w:ind w:left="820" w:hanging="245"/>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820" w:right="100" w:hanging="245"/>
        <w:spacing w:after="0" w:line="239"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90" w:lineRule="exact"/>
        <w:rPr>
          <w:rFonts w:ascii="Arial" w:cs="Arial" w:eastAsia="Arial" w:hAnsi="Arial"/>
          <w:sz w:val="18"/>
          <w:szCs w:val="18"/>
          <w:color w:val="auto"/>
        </w:rPr>
      </w:pPr>
    </w:p>
    <w:p>
      <w:pPr>
        <w:ind w:left="820" w:right="120" w:hanging="245"/>
        <w:spacing w:after="0" w:line="299" w:lineRule="auto"/>
        <w:tabs>
          <w:tab w:leader="none" w:pos="8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which has one or more U.S. persons who have the authority to control all substantial decisions of the trust or (y) which has made a valid election to be treated as a U.S. person.</w:t>
      </w:r>
    </w:p>
    <w:p>
      <w:pPr>
        <w:spacing w:after="0" w:line="109"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If a partnership or other pass-through entity holds common stock, the tax treatment of a partner or member in the partnership or other entity will generally depend on the status of the partner or member and upon the activities of the partnership or other entity. Accordingly, we urge partnerships or other pass-through entities which hold shares of our common stock and partners or members in these partnerships or other entities to consult their tax advisors.</w:t>
      </w:r>
    </w:p>
    <w:p>
      <w:pPr>
        <w:spacing w:after="0" w:line="155" w:lineRule="exact"/>
        <w:rPr>
          <w:sz w:val="20"/>
          <w:szCs w:val="20"/>
          <w:color w:val="auto"/>
        </w:rPr>
      </w:pPr>
    </w:p>
    <w:p>
      <w:pPr>
        <w:ind w:right="20" w:firstLine="571"/>
        <w:spacing w:after="0" w:line="267" w:lineRule="auto"/>
        <w:rPr>
          <w:sz w:val="20"/>
          <w:szCs w:val="20"/>
          <w:color w:val="auto"/>
        </w:rPr>
      </w:pPr>
      <w:r>
        <w:rPr>
          <w:rFonts w:ascii="Arial" w:cs="Arial" w:eastAsia="Arial" w:hAnsi="Arial"/>
          <w:sz w:val="16"/>
          <w:szCs w:val="16"/>
          <w:color w:val="auto"/>
        </w:rPr>
        <w:t>This discussion assumes that non-U.S. holders will hold shares of our common stock issued pursuant to the offering as a capital asset (generally, property held for investment). This discussion does not address all aspects of U.S. federal income taxation that may be relevant in light of a non-U.S. holder’s special tax status or special tax situations. U.S. expatriates, life insurance companies, tax-exempt organizations, dealers in securities or currency, banks or other financial institutions, pension funds and investors that hold shares of common stock as part of a hedge, straddle or conversion transaction are among those categories of potential investors that are subject to special rules not covered in this discussion. This discussion does not address any non-income tax consequences except as noted under “Federal Estate Tax” or any income tax consequences arising under the laws of any state, local or non-U.S. taxing jurisdiction. Furthermore, the following discussion is based on current provisions of the Internal Revenue Code, Treasury Regulations and administrative and judicial interpretations thereof, all as in effect on the date hereof, and all of which are subject to change, possibly with retroactive effect. Additionally, we have not sought any ruling from the Internal Revenue Service or IRS, with respect to statements made and conclusions reached in this discussion, and there can be no assurance that the IRS will agree with these statements and conclusions. We urge each prospective purchaser to consult a tax advisor regarding the U.S. federal, state, local and non-U.S. income and other tax consequences of acquiring, holding and disposing of shares of our common stock.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9" w:lineRule="exact"/>
        <w:rPr>
          <w:sz w:val="20"/>
          <w:szCs w:val="20"/>
          <w:color w:val="auto"/>
        </w:rPr>
      </w:pPr>
    </w:p>
    <w:p>
      <w:pPr>
        <w:ind w:right="100" w:firstLine="571"/>
        <w:spacing w:after="0" w:line="275" w:lineRule="auto"/>
        <w:rPr>
          <w:sz w:val="20"/>
          <w:szCs w:val="20"/>
          <w:color w:val="auto"/>
        </w:rPr>
      </w:pPr>
      <w:r>
        <w:rPr>
          <w:rFonts w:ascii="Arial" w:cs="Arial" w:eastAsia="Arial" w:hAnsi="Arial"/>
          <w:sz w:val="16"/>
          <w:szCs w:val="16"/>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our current and accumulated earnings and profits, the distributions will constitute a return of capital and will first reduce a holder’s basis, but not below zero, and then will be treated as gain from the sale of shares and may be subject to U.S. federal income tax as described below.</w:t>
      </w:r>
    </w:p>
    <w:p>
      <w:pPr>
        <w:spacing w:after="0" w:line="129"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Any distribution that is a dividend, as defined above, paid to a non-U.S. holder of common shares generally will be subject to U.S. withholding tax either at a rate of 30% of the gross amount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dividend or such lower rate as may be specified by an applicable tax treaty. In order to receive a reduced treaty rate, a non-U.S. holder must provide us with an IRS Form W-8BEN or other appropriate version of IRS Form W-8 certifying qualification for the reduced rate.</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dividends attributable to a non-U.S. holder’s permanent establishment in the United States if a tax treaty applies) are exempt from this withholding tax. In order to obtain this exemption, a non-U.S. holder must provide us with an IRS Form W-8ECI properly certifying this exemption. Effectively connected dividends (and dividends attributable to a permanent establishment), although not subject to withholding tax, are taxed at the same graduated rates applicable to U.S. persons, net of specified deductions and credits. In addition, dividends received by a corporate non-U.S. holder that are effectively connected with a U.S. trade or business of the corporate non-U.S. holder (and dividends attributable to a corporate non-U.S. holder’s permanent establishment in the United States if a tax treaty applies) may also be subject to a branch profits tax at a rate of 30% (or such lower rate as may be specified in a tax treaty).</w:t>
      </w:r>
    </w:p>
    <w:p>
      <w:pPr>
        <w:spacing w:after="0" w:line="154"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A non-U.S. holder of common shares that is eligible for a reduced rate of withholding tax pursuant to a tax treaty may obtain a refund of any excess amounts withheld if an appropriate claim for refund is filed with the IRS.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Common Stock</w:t>
      </w:r>
    </w:p>
    <w:p>
      <w:pPr>
        <w:spacing w:after="0" w:line="99"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A non-U.S. holder generally will not be subject to United States federal income tax on gain realized upon the sale or other disposition of shares of our common stock unless:</w:t>
      </w:r>
    </w:p>
    <w:p>
      <w:pPr>
        <w:spacing w:after="0" w:line="74" w:lineRule="exact"/>
        <w:rPr>
          <w:sz w:val="20"/>
          <w:szCs w:val="20"/>
          <w:color w:val="auto"/>
        </w:rPr>
      </w:pPr>
    </w:p>
    <w:p>
      <w:pPr>
        <w:ind w:left="820" w:right="20" w:hanging="245"/>
        <w:spacing w:after="0" w:line="238"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gain is effectively connected with a U.S. trade or business of the non-U.S. holder (or attributable to a permanent establishment in the United States if a tax treaty applies), which gain, in the case of a corporate non-U.S. holder, must also be taken into account for branch profits tax purposes;</w:t>
      </w:r>
    </w:p>
    <w:p>
      <w:pPr>
        <w:spacing w:after="0" w:line="72" w:lineRule="exact"/>
        <w:rPr>
          <w:rFonts w:ascii="Arial" w:cs="Arial" w:eastAsia="Arial" w:hAnsi="Arial"/>
          <w:sz w:val="18"/>
          <w:szCs w:val="18"/>
          <w:color w:val="auto"/>
        </w:rPr>
      </w:pPr>
    </w:p>
    <w:p>
      <w:pPr>
        <w:ind w:left="820" w:right="120" w:hanging="245"/>
        <w:spacing w:after="0" w:line="239"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in which the sale or disposition occurs and certain other conditions are met; or</w:t>
      </w:r>
    </w:p>
    <w:p>
      <w:pPr>
        <w:spacing w:after="0" w:line="73" w:lineRule="exact"/>
        <w:rPr>
          <w:rFonts w:ascii="Arial" w:cs="Arial" w:eastAsia="Arial" w:hAnsi="Arial"/>
          <w:sz w:val="18"/>
          <w:szCs w:val="18"/>
          <w:color w:val="auto"/>
        </w:rPr>
      </w:pPr>
    </w:p>
    <w:p>
      <w:pPr>
        <w:ind w:left="820" w:right="20" w:hanging="245"/>
        <w:spacing w:after="0" w:line="236"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common shares constitute a U.S. real property interest by reason of our status as a “United States real property holding corporation” for U.S. federal income tax purposes at any time within the shorter of the five-year period preceding the date of disposition or the holder’s holding period for shares of our common stock. We believe that we are not currently, and we believe that we will not become, a “United States real property holding corporation” for U.S. federal income tax purposes. If we are or become a “United States real property holding corporation,” so long as our common stock continues to be regularly traded on an established securities market, only a non-U.S. holder who, actually or constructively, holds or held (at any time during the shorter of the five year period preceding the date of disposition or the holder’s holding period) more than 5% of shares of our common stock will be subject to U.S. federal income tax on the disposition of shares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9"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the name and address of the recipient, and the amount, if any, of tax withheld. A similar report is sent to the holder. Pursuant to tax treaties or other agreements, the IRS may make its reports available to tax authorities in the recipient’s country of residence.</w:t>
      </w:r>
    </w:p>
    <w:p>
      <w:pPr>
        <w:spacing w:after="0" w:line="154"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Payments of dividends or of proceeds on the disposition of shares made to a non-U.S. holder may be subject to information reporting and backup withholding at the then effective rate unless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non-U.S. holder establishes an exemption, for example, by properly certifying its non-U.S. status on a Form W-8BEN or another appropriate version of Form W-8. Notwithstanding the foregoing, information reporting and backup withholding may apply if either we or our paying agent has actual knowledge, or reason to know, that the holder is a U.S. person.</w:t>
      </w:r>
    </w:p>
    <w:p>
      <w:pPr>
        <w:spacing w:after="0" w:line="154"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be obtained, so long as the required information is furnished to the IRS in a timely manner.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9"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An individual non-U.S. holder who is treated as the owner, or has made certain lifetime transfers, of an interest in our common stock will be required to include the value thereof in his or her gross estate for U.S. federal estate tax purposes, and may be subject to U.S. federal estate tax unless an applicable estate tax treaty provides otherwise. Under current law, the U.S. federal estate tax has been repealed for the estates of decedents dying in the year 2010, but is in force for all prior and subsequent years.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UBS Securities LLC, Credit Suisse Securities (USA) LLC, Citigroup Global Markets Inc. and Lehman Brothers Inc. are the representatives of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vMerge w:val="restart"/>
          </w:tcPr>
          <w:p>
            <w:pPr>
              <w:spacing w:after="0"/>
              <w:rPr>
                <w:sz w:val="20"/>
                <w:szCs w:val="20"/>
                <w:color w:val="auto"/>
              </w:rPr>
            </w:pPr>
            <w:r>
              <w:rPr>
                <w:rFonts w:ascii="Arial" w:cs="Arial" w:eastAsia="Arial" w:hAnsi="Arial"/>
                <w:sz w:val="14"/>
                <w:szCs w:val="14"/>
                <w:color w:val="auto"/>
              </w:rPr>
              <w:t>Underwriters</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3"/>
        </w:trPr>
        <w:tc>
          <w:tcPr>
            <w:tcW w:w="102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4"/>
                <w:szCs w:val="14"/>
                <w:color w:val="auto"/>
                <w:w w:val="94"/>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12065</wp:posOffset>
            </wp:positionV>
            <wp:extent cx="5918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92" w:lineRule="exact"/>
        <w:rPr>
          <w:sz w:val="20"/>
          <w:szCs w:val="20"/>
          <w:color w:val="auto"/>
        </w:rPr>
      </w:pPr>
    </w:p>
    <w:p>
      <w:pPr>
        <w:jc w:val="both"/>
        <w:ind w:right="240" w:firstLine="571"/>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underwriters sell more shares than the total number set forth in the table above, the underwriters have an option to buy up to an</w:t>
      </w:r>
    </w:p>
    <w:p>
      <w:pPr>
        <w:jc w:val="both"/>
        <w:ind w:right="60"/>
        <w:spacing w:after="0" w:line="238" w:lineRule="auto"/>
        <w:rPr>
          <w:sz w:val="20"/>
          <w:szCs w:val="20"/>
          <w:color w:val="auto"/>
        </w:rPr>
      </w:pPr>
      <w:r>
        <w:rPr>
          <w:rFonts w:ascii="Arial" w:cs="Arial" w:eastAsia="Arial" w:hAnsi="Arial"/>
          <w:sz w:val="18"/>
          <w:szCs w:val="18"/>
          <w:color w:val="auto"/>
        </w:rPr>
        <w:t>additional shares from the selling stockholders, including certain of our executive officers and other members of senior management. They may exercise that option in whole or in part and from time to time for 30 days. If any shares are purchased pursuant to this option, the underwriters will severally purchase shares in approximately the same proportion as set forth in the table above.</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shows the per share and total underwriting discount to be paid to the underwriters by MagnaChip and the selling</w:t>
      </w:r>
    </w:p>
    <w:p>
      <w:pPr>
        <w:ind w:right="420"/>
        <w:spacing w:after="0" w:line="239" w:lineRule="auto"/>
        <w:rPr>
          <w:sz w:val="20"/>
          <w:szCs w:val="20"/>
          <w:color w:val="auto"/>
        </w:rPr>
      </w:pPr>
      <w:r>
        <w:rPr>
          <w:rFonts w:ascii="Arial" w:cs="Arial" w:eastAsia="Arial" w:hAnsi="Arial"/>
          <w:sz w:val="18"/>
          <w:szCs w:val="18"/>
          <w:color w:val="auto"/>
        </w:rPr>
        <w:t>stockholders. Such amounts are shown assuming both no exercise and full exercise of the underwriters’ option to purchase additional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8140" w:type="dxa"/>
            <w:vAlign w:val="bottom"/>
            <w:gridSpan w:val="3"/>
          </w:tcPr>
          <w:p>
            <w:pPr>
              <w:jc w:val="right"/>
              <w:ind w:right="5052"/>
              <w:spacing w:after="0"/>
              <w:rPr>
                <w:sz w:val="20"/>
                <w:szCs w:val="20"/>
                <w:color w:val="auto"/>
              </w:rPr>
            </w:pPr>
            <w:r>
              <w:rPr>
                <w:rFonts w:ascii="Arial" w:cs="Arial" w:eastAsia="Arial" w:hAnsi="Arial"/>
                <w:sz w:val="14"/>
                <w:szCs w:val="14"/>
                <w:color w:val="auto"/>
              </w:rPr>
              <w:t>Paid by MagnaChip</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9"/>
        </w:trPr>
        <w:tc>
          <w:tcPr>
            <w:tcW w:w="2240" w:type="dxa"/>
            <w:vAlign w:val="bottom"/>
            <w:tcBorders>
              <w:top w:val="single" w:sz="8" w:color="auto"/>
            </w:tcBorders>
          </w:tcPr>
          <w:p>
            <w:pPr>
              <w:spacing w:after="0"/>
              <w:rPr>
                <w:sz w:val="12"/>
                <w:szCs w:val="12"/>
                <w:color w:val="auto"/>
              </w:rPr>
            </w:pPr>
          </w:p>
        </w:tc>
        <w:tc>
          <w:tcPr>
            <w:tcW w:w="71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No</w:t>
            </w:r>
          </w:p>
        </w:tc>
        <w:tc>
          <w:tcPr>
            <w:tcW w:w="3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Full</w:t>
            </w:r>
          </w:p>
        </w:tc>
      </w:tr>
      <w:tr>
        <w:trPr>
          <w:trHeight w:val="165"/>
        </w:trPr>
        <w:tc>
          <w:tcPr>
            <w:tcW w:w="22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Exercise</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Exercise</w:t>
            </w:r>
          </w:p>
        </w:tc>
      </w:tr>
      <w:tr>
        <w:trPr>
          <w:trHeight w:val="196"/>
        </w:trPr>
        <w:tc>
          <w:tcPr>
            <w:tcW w:w="2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8140" w:type="dxa"/>
            <w:vAlign w:val="bottom"/>
            <w:gridSpan w:val="3"/>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r>
      <w:tr>
        <w:trPr>
          <w:trHeight w:val="214"/>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8140" w:type="dxa"/>
            <w:vAlign w:val="bottom"/>
            <w:gridSpan w:val="3"/>
          </w:tcPr>
          <w:p>
            <w:pPr>
              <w:jc w:val="right"/>
              <w:ind w:right="53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r>
      <w:tr>
        <w:trPr>
          <w:trHeight w:val="340"/>
        </w:trPr>
        <w:tc>
          <w:tcPr>
            <w:tcW w:w="2240" w:type="dxa"/>
            <w:vAlign w:val="bottom"/>
          </w:tcPr>
          <w:p>
            <w:pPr>
              <w:spacing w:after="0"/>
              <w:rPr>
                <w:sz w:val="24"/>
                <w:szCs w:val="24"/>
                <w:color w:val="auto"/>
              </w:rPr>
            </w:pPr>
          </w:p>
        </w:tc>
        <w:tc>
          <w:tcPr>
            <w:tcW w:w="8140" w:type="dxa"/>
            <w:vAlign w:val="bottom"/>
            <w:gridSpan w:val="3"/>
          </w:tcPr>
          <w:p>
            <w:pPr>
              <w:jc w:val="right"/>
              <w:ind w:right="4672"/>
              <w:spacing w:after="0"/>
              <w:rPr>
                <w:sz w:val="20"/>
                <w:szCs w:val="20"/>
                <w:color w:val="auto"/>
              </w:rPr>
            </w:pPr>
            <w:r>
              <w:rPr>
                <w:rFonts w:ascii="Arial" w:cs="Arial" w:eastAsia="Arial" w:hAnsi="Arial"/>
                <w:sz w:val="14"/>
                <w:szCs w:val="14"/>
                <w:color w:val="auto"/>
              </w:rPr>
              <w:t>Paid by the Selling Stockholders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9"/>
        </w:trPr>
        <w:tc>
          <w:tcPr>
            <w:tcW w:w="2240" w:type="dxa"/>
            <w:vAlign w:val="bottom"/>
            <w:tcBorders>
              <w:top w:val="single" w:sz="8" w:color="auto"/>
            </w:tcBorders>
          </w:tcPr>
          <w:p>
            <w:pPr>
              <w:spacing w:after="0"/>
              <w:rPr>
                <w:sz w:val="12"/>
                <w:szCs w:val="12"/>
                <w:color w:val="auto"/>
              </w:rPr>
            </w:pPr>
          </w:p>
        </w:tc>
        <w:tc>
          <w:tcPr>
            <w:tcW w:w="71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No</w:t>
            </w:r>
          </w:p>
        </w:tc>
        <w:tc>
          <w:tcPr>
            <w:tcW w:w="3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Full</w:t>
            </w:r>
          </w:p>
        </w:tc>
      </w:tr>
      <w:tr>
        <w:trPr>
          <w:trHeight w:val="165"/>
        </w:trPr>
        <w:tc>
          <w:tcPr>
            <w:tcW w:w="22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Exercise</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Exercise</w:t>
            </w:r>
          </w:p>
        </w:tc>
      </w:tr>
      <w:tr>
        <w:trPr>
          <w:trHeight w:val="196"/>
        </w:trPr>
        <w:tc>
          <w:tcPr>
            <w:tcW w:w="2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8140" w:type="dxa"/>
            <w:vAlign w:val="bottom"/>
            <w:gridSpan w:val="3"/>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r>
      <w:tr>
        <w:trPr>
          <w:trHeight w:val="214"/>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8140" w:type="dxa"/>
            <w:vAlign w:val="bottom"/>
            <w:gridSpan w:val="3"/>
          </w:tcPr>
          <w:p>
            <w:pPr>
              <w:jc w:val="right"/>
              <w:ind w:right="53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r>
    </w:tbl>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ind w:right="200"/>
        <w:spacing w:after="0" w:line="239"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If all the shares are not sold at the initial public offering price, the representatives may change the offering price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and the other selling terms. The offering of the shares by the underwriters is subject to receipt and acceptance and subject to the underwriters’ right to reject any order in whole or in part.</w:t>
      </w:r>
    </w:p>
    <w:p>
      <w:pPr>
        <w:spacing w:after="0" w:line="236"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We and our officers, directors, selling stockholders and certain other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180-days after the date of this prospectus, except with the prior written consent of the representatives. See “Shares Available for Future Sale” for a discussion of certain transfer restrictions.</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180-day restricted period described in the preceding paragraph will be automatically extended if: (1) during the last 17 days of the 180-day restricted period MagnaChip issues an earnings release or announces material news or a material event; or (2) prior to the expiration of the 180-day restricted period, MagnaChip announces that it will release earnings results during the 15-day period following the last day of the 180-day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MagnaChip and the representatives. Among the factors to be considered in determining the initial public offering price of the shares, in addition to prevailing market conditions, will be MagnaChip’s historical performance, estimates of the business potential and earnings prospects of MagnaChip, an assessment of MagnaChip’s management and the consideration of the above factors in relation to market valuation of companies in related businesses.</w:t>
      </w:r>
    </w:p>
    <w:p>
      <w:pPr>
        <w:spacing w:after="0" w:line="157"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An application has been made to list the common stock on the New York Stock Exchange under the symbol “MX”. In order to meet one of the requirements for listing the common stock on the NYSE, the underwriters have undertaken to sell lots of 100 or more shares to a minimum of 2,000 beneficial holders.</w:t>
      </w:r>
    </w:p>
    <w:p>
      <w:pPr>
        <w:spacing w:after="0" w:line="1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selling stockholders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61" w:lineRule="exact"/>
        <w:rPr>
          <w:sz w:val="20"/>
          <w:szCs w:val="20"/>
          <w:color w:val="auto"/>
        </w:rPr>
      </w:pPr>
    </w:p>
    <w:p>
      <w:pPr>
        <w:ind w:right="480" w:firstLine="571"/>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MagnaChip’s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New York Stock Exchange, in the over-the-counter market or otherwise.</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74" w:lineRule="exact"/>
        <w:rPr>
          <w:sz w:val="20"/>
          <w:szCs w:val="20"/>
          <w:color w:val="auto"/>
        </w:rPr>
      </w:pPr>
    </w:p>
    <w:p>
      <w:pPr>
        <w:ind w:left="1140" w:right="400" w:hanging="565"/>
        <w:spacing w:after="0" w:line="239"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73" w:lineRule="exact"/>
        <w:rPr>
          <w:rFonts w:ascii="Arial" w:cs="Arial" w:eastAsia="Arial" w:hAnsi="Arial"/>
          <w:sz w:val="18"/>
          <w:szCs w:val="18"/>
          <w:color w:val="auto"/>
        </w:rPr>
      </w:pPr>
    </w:p>
    <w:p>
      <w:pPr>
        <w:jc w:val="both"/>
        <w:ind w:left="1140" w:right="580" w:hanging="565"/>
        <w:spacing w:after="0" w:line="238"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 million and (3) an annual net turnover of more than €50 million, as shown in its last annual or consolidated accounts;</w:t>
      </w:r>
    </w:p>
    <w:p>
      <w:pPr>
        <w:spacing w:after="0" w:line="72" w:lineRule="exact"/>
        <w:rPr>
          <w:rFonts w:ascii="Arial" w:cs="Arial" w:eastAsia="Arial" w:hAnsi="Arial"/>
          <w:sz w:val="18"/>
          <w:szCs w:val="18"/>
          <w:color w:val="auto"/>
        </w:rPr>
      </w:pPr>
    </w:p>
    <w:p>
      <w:pPr>
        <w:ind w:left="1140" w:right="80" w:hanging="565"/>
        <w:spacing w:after="0" w:line="239"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73" w:lineRule="exact"/>
        <w:rPr>
          <w:rFonts w:ascii="Arial" w:cs="Arial" w:eastAsia="Arial" w:hAnsi="Arial"/>
          <w:sz w:val="18"/>
          <w:szCs w:val="18"/>
          <w:color w:val="auto"/>
        </w:rPr>
      </w:pPr>
    </w:p>
    <w:p>
      <w:pPr>
        <w:ind w:left="1140" w:right="60" w:hanging="565"/>
        <w:spacing w:after="0" w:line="239"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155"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underwriter has represented and agreed that:</w:t>
      </w:r>
    </w:p>
    <w:p>
      <w:pPr>
        <w:spacing w:after="0" w:line="77" w:lineRule="exact"/>
        <w:rPr>
          <w:sz w:val="20"/>
          <w:szCs w:val="20"/>
          <w:color w:val="auto"/>
        </w:rPr>
      </w:pPr>
    </w:p>
    <w:p>
      <w:pPr>
        <w:ind w:left="1140" w:right="200" w:hanging="565"/>
        <w:spacing w:after="0" w:line="237"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would not, if the Issuer was not an authorised person, apply to the Issuer; and</w:t>
      </w:r>
    </w:p>
    <w:p>
      <w:pPr>
        <w:spacing w:after="0" w:line="73" w:lineRule="exact"/>
        <w:rPr>
          <w:rFonts w:ascii="Arial" w:cs="Arial" w:eastAsia="Arial" w:hAnsi="Arial"/>
          <w:sz w:val="18"/>
          <w:szCs w:val="18"/>
          <w:color w:val="auto"/>
        </w:rPr>
      </w:pPr>
    </w:p>
    <w:p>
      <w:pPr>
        <w:ind w:left="1140" w:hanging="565"/>
        <w:spacing w:after="0" w:line="239"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55"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shares may not be offered or sold by means of any document other than (i) in circumstances which do not constitute an offer to the public within the meaning of the Companies Ordinance (Cap.32,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31"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1" w:lineRule="exact"/>
        <w:rPr>
          <w:sz w:val="20"/>
          <w:szCs w:val="20"/>
          <w:color w:val="auto"/>
        </w:rPr>
      </w:pPr>
    </w:p>
    <w:p>
      <w:pPr>
        <w:ind w:right="100" w:firstLine="571"/>
        <w:spacing w:after="0" w:line="27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3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56"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A prospectus in electronic format will be available on the websites maintained by one or more of the underwriters participating in this offering. The representatives may agree to allocate a number of shares to underwriters for sale to their online brokerage account holders. Internet distributions will be allocated by the underwriters that make internet distributions on the same basis as other allocations.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MagnaChip estimates that its share of the total expenses of the offering, excluding underwriting discount but including the expenses of the</w:t>
      </w:r>
    </w:p>
    <w:p>
      <w:pPr>
        <w:spacing w:after="0" w:line="1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selling stockholders, will be approximately $</w:t>
      </w:r>
      <w:r>
        <w:rPr>
          <w:sz w:val="20"/>
          <w:szCs w:val="20"/>
          <w:color w:val="auto"/>
        </w:rPr>
        <w:tab/>
      </w:r>
      <w:r>
        <w:rPr>
          <w:rFonts w:ascii="Arial" w:cs="Arial" w:eastAsia="Arial" w:hAnsi="Arial"/>
          <w:sz w:val="14"/>
          <w:szCs w:val="14"/>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firstLine="571"/>
        <w:spacing w:after="0" w:line="299" w:lineRule="auto"/>
        <w:rPr>
          <w:sz w:val="20"/>
          <w:szCs w:val="20"/>
          <w:color w:val="auto"/>
        </w:rPr>
      </w:pPr>
      <w:r>
        <w:rPr>
          <w:rFonts w:ascii="Arial" w:cs="Arial" w:eastAsia="Arial" w:hAnsi="Arial"/>
          <w:sz w:val="16"/>
          <w:szCs w:val="16"/>
          <w:color w:val="auto"/>
        </w:rPr>
        <w:t>MagnaChip and the selling stockholders have agreed to indemnify the several underwriters against certain liabilities, including liabilities under the Securities Act of 1933, and to contribute to payments that the underwriters may be required to make for any such liabilities.</w:t>
      </w:r>
    </w:p>
    <w:p>
      <w:pPr>
        <w:spacing w:after="0" w:line="109"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55" w:lineRule="exact"/>
        <w:rPr>
          <w:sz w:val="20"/>
          <w:szCs w:val="20"/>
          <w:color w:val="auto"/>
        </w:rPr>
      </w:pPr>
    </w:p>
    <w:p>
      <w:pPr>
        <w:ind w:right="140" w:firstLine="571"/>
        <w:spacing w:after="0" w:line="270" w:lineRule="auto"/>
        <w:rPr>
          <w:sz w:val="20"/>
          <w:szCs w:val="20"/>
          <w:color w:val="auto"/>
        </w:rPr>
      </w:pPr>
      <w:r>
        <w:rPr>
          <w:rFonts w:ascii="Arial" w:cs="Arial" w:eastAsia="Arial" w:hAnsi="Arial"/>
          <w:sz w:val="16"/>
          <w:szCs w:val="16"/>
          <w:color w:val="auto"/>
        </w:rPr>
        <w:t>Certain of the underwriters and their respective affiliates have, from time to time, performed various financial advisory and investment banking services for us for which they received customary fees and expenses. UBS Securities LLC and UBS AG, Stamford Branch, an affiliate of UBS Securities LLC, serve as arranger, and as administrative agent and priority lien collateral agent, respectively, under our senior secured credit facility for which they receive customary fees and expenses. In addition, UBS Loan Finance (an affiliate of UBS Securities LLC), Goldman Sachs Credit Partners LP (an affiliate of Goldman, Sachs &amp; Co.) and Citicorp North America LLC (an affiliate of Citigroup Global Markets Inc.) serve as lenders under our senior secured credit facility for which they receive customary fees and expenses. Affiliates of Credit Suisse Securities (USA)</w:t>
      </w:r>
    </w:p>
    <w:p>
      <w:pPr>
        <w:spacing w:after="0" w:line="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 xml:space="preserve">LLC hold a portion of our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Goldman, Sachs &amp; Co., UBS Securities LLC, Credit Suisse Securities (USA) LLC and Citigroup Global Markets Inc. are managing underwriters in this offering. Certain of the underwriters and their respective affiliates may in the future perform various financial advisory and/or investment banking services for us, for which they will receive customary fees and expenses.</w:t>
      </w:r>
    </w:p>
    <w:p>
      <w:pPr>
        <w:spacing w:after="0" w:line="196"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Because affiliates of Citigroup Global Markets Inc. hold in excess of 10% of the outstanding equity of Court Square and CVC Asia Pacific, Citigroup Global Markets Inc. is deemed to be an affiliate of ours under Rule 2720(b)(1) of the FINRA Conduct Rules and, therefore, Citigroup Global Markets Inc. is also deemed to have a conflict of interest under Rule 2720 of the FINRA Conduct Rules. Affiliates of Citigroup Global Markets, Inc. also hold shares of our common stock and Class B preferred stock. Accordingly, this offering will be made in compliance with the applicable provisions of Rule 2720 of the FINRA Conduct Rules which requires that the initial public offering price can be no higher than that recommended by a “qualified independent underwriter,” as defined by FINRA. Lehman Brothers Inc. has served in that capacity and performed due diligence investigations and reviewed and participated in the preparation of the registration statement of which this prospectus forms a part.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$9.75 million of the net proceeds of this offering to pay Court Square, Francisco Partners and CVC Asia Pacific certain</w:t>
      </w:r>
    </w:p>
    <w:p>
      <w:pPr>
        <w:ind w:right="60"/>
        <w:spacing w:after="0" w:line="281" w:lineRule="auto"/>
        <w:rPr>
          <w:sz w:val="20"/>
          <w:szCs w:val="20"/>
          <w:color w:val="auto"/>
        </w:rPr>
      </w:pPr>
      <w:r>
        <w:rPr>
          <w:rFonts w:ascii="Arial" w:cs="Arial" w:eastAsia="Arial" w:hAnsi="Arial"/>
          <w:sz w:val="16"/>
          <w:szCs w:val="16"/>
          <w:color w:val="auto"/>
        </w:rPr>
        <w:t>amounts in connection with the termination of our sponsors’ advisory agreements. We intend to use $ of the net proceeds of this offering to repurchase all of the outstanding shares of our Series B preferred stock held by Court Square, Francisco Partners and CVC Asia Pacific. We may</w:t>
      </w:r>
    </w:p>
    <w:p>
      <w:pPr>
        <w:spacing w:after="0" w:line="1" w:lineRule="exact"/>
        <w:rPr>
          <w:sz w:val="20"/>
          <w:szCs w:val="20"/>
          <w:color w:val="auto"/>
        </w:rPr>
      </w:pPr>
    </w:p>
    <w:p>
      <w:pPr>
        <w:ind w:right="300"/>
        <w:spacing w:after="0" w:line="222" w:lineRule="auto"/>
        <w:rPr>
          <w:sz w:val="20"/>
          <w:szCs w:val="20"/>
          <w:color w:val="auto"/>
        </w:rPr>
      </w:pPr>
      <w:r>
        <w:rPr>
          <w:rFonts w:ascii="Arial" w:cs="Arial" w:eastAsia="Arial" w:hAnsi="Arial"/>
          <w:sz w:val="18"/>
          <w:szCs w:val="18"/>
          <w:color w:val="auto"/>
        </w:rPr>
        <w:t xml:space="preserve">use a portion of the net proceeds of this offering to repurchase some of our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to reduce amounts drawn under our senior secured credit facility.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The validity of our common stock offered hereby will be passed on for us by Dechert LLP, New York, New York. Certain legal matters in connection with this offering will be passed on for the underwriters by Kirkland &amp; Ellis LLP, Los Angeles, California.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consolidated financial statements as of December 31, 2006 and 2005 and for the years ended December 31, 2006 and 2005, the three months ended December 31, 2004 (successor company) and the nine months ended September 30, 2004 (predecessor company), included in this prospectus have been so included in reliance on the reports of Samil PricewaterhouseCoopers, an independent registered public accounting firm, given on the authority of said firm as experts in accounting and auditing. The address of Samil PricewaterhouseCoopers is Kukje Center Building, 191 Hangangro 2ga, Yongsan-gu, Seoul 140-702, Korea. Samil PricewaterhouseCoopers is a member of the Korean Institute of Certified Public Accountants, and the Korean member firm of PricewaterhouseCoopers. PricewaterhouseCoopers refers to the network of member firms of PricewaterhouseCoopers International Limited, each of which is a separate and independent legal entity.</w:t>
      </w:r>
    </w:p>
    <w:p>
      <w:pPr>
        <w:spacing w:after="0" w:line="29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filed with the SEC a registration statement on Form S-1 under the Securities Act of 1933, covering our common stock to be issued</w:t>
      </w:r>
    </w:p>
    <w:p>
      <w:pPr>
        <w:spacing w:after="0" w:line="1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this offering (Registration No. 333- ).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MagnaChip and the shares of common stock to be issued in the offering, please refer to the registration statement, including its exhibits. If we have filed any contract, agreement or other document as an exhibit to the registration statement, you should read the exhibit for a more complete understanding of the documents or matter involved.</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are subject to the periodic reporting and other informational requirements of the Securities Exchange Act of 1934, as amended. You may read and copy any reports or other information filed by us at the SEC’s public reference room at 450 Fifth Street, N.W.,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 site at “www.sec.gov.” In addition, you may request a copy of any of these filings, at no cost, by writing or telephoning us at the following address or phone number: c/o MagnaChip Semiconductor, Ltd., 891 Daechi-dong, Gangnam-gu, Seoul 135-738, Korea, Attention: Senior Vice President, General Counsel and Secretary; the telephone number at that address is 011-82-2-3459-3376.</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Gartner report described herein represents data, research opinion or viewpoints published, as part of a syndicated subscription service available only to clients, by Gartner, Inc., a corporation organized under the laws of the State of Delaware, USA, and its subsidiaries, and is not a representation of fact. The Gartner report does not constitute a specific guide to action and the reader of this prospectus assumes sole responsibility for his or her selection of, or reliance on, the Gartner report or any excerpts thereof in making any decision, including any investment decision. Each Gartner report speaks as of its original publication date (and not as of the date of this prospectus) and the opinions expressed in the Gartner report are subject to change without notice. Gartner is not responsible, nor shall it have any liability, to us or to any reader of this prospectus for errors, omissions or inadequacies in, or for any interpretations of, or calculations based upon, data contained in the Gartner report or any excerpts thereof.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40" w:type="dxa"/>
            <w:vAlign w:val="bottom"/>
            <w:gridSpan w:val="13"/>
          </w:tcPr>
          <w:p>
            <w:pPr>
              <w:jc w:val="center"/>
              <w:ind w:right="2800"/>
              <w:spacing w:after="0"/>
              <w:rPr>
                <w:sz w:val="20"/>
                <w:szCs w:val="20"/>
                <w:color w:val="auto"/>
              </w:rPr>
            </w:pPr>
            <w:r>
              <w:rPr>
                <w:rFonts w:ascii="Arial" w:cs="Arial" w:eastAsia="Arial" w:hAnsi="Arial"/>
                <w:sz w:val="18"/>
                <w:szCs w:val="18"/>
                <w:b w:val="1"/>
                <w:bCs w:val="1"/>
                <w:color w:val="auto"/>
                <w:w w:val="96"/>
              </w:rPr>
              <w:t>INDEX TO FINANCIAL STATEMENTS</w:t>
            </w:r>
          </w:p>
        </w:tc>
        <w:tc>
          <w:tcPr>
            <w:tcW w:w="880" w:type="dxa"/>
            <w:vAlign w:val="bottom"/>
          </w:tcPr>
          <w:p>
            <w:pPr>
              <w:spacing w:after="0"/>
              <w:rPr>
                <w:sz w:val="20"/>
                <w:szCs w:val="20"/>
                <w:color w:val="auto"/>
              </w:rPr>
            </w:pPr>
          </w:p>
        </w:tc>
      </w:tr>
      <w:tr>
        <w:trPr>
          <w:trHeight w:val="367"/>
        </w:trPr>
        <w:tc>
          <w:tcPr>
            <w:tcW w:w="45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31">
              <w:r>
                <w:rPr>
                  <w:rFonts w:ascii="Arial" w:cs="Arial" w:eastAsia="Arial" w:hAnsi="Arial"/>
                  <w:sz w:val="18"/>
                  <w:szCs w:val="18"/>
                  <w:color w:val="0000EE"/>
                  <w:w w:val="97"/>
                </w:rPr>
                <w:t>Report of Independent Registered Public Accounting Firm</w:t>
              </w:r>
            </w:hyperlink>
          </w:p>
        </w:tc>
        <w:tc>
          <w:tcPr>
            <w:tcW w:w="604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83"/>
        </w:trPr>
        <w:tc>
          <w:tcPr>
            <w:tcW w:w="10540" w:type="dxa"/>
            <w:vAlign w:val="bottom"/>
            <w:gridSpan w:val="17"/>
          </w:tcPr>
          <w:p>
            <w:pPr>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MagnaChip Semiconductor LLC Consolidated Balance Sheets As of December 31, 2006 and 2005 (successor company)</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r>
      <w:tr>
        <w:trPr>
          <w:trHeight w:val="20"/>
        </w:trPr>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540" w:type="dxa"/>
            <w:vAlign w:val="bottom"/>
            <w:gridSpan w:val="17"/>
          </w:tcPr>
          <w:p>
            <w:pPr>
              <w:spacing w:after="0" w:line="182" w:lineRule="exact"/>
              <w:rPr>
                <w:rFonts w:ascii="Arial" w:cs="Arial" w:eastAsia="Arial" w:hAnsi="Arial"/>
                <w:sz w:val="18"/>
                <w:szCs w:val="18"/>
                <w:color w:val="0000EE"/>
                <w:w w:val="97"/>
              </w:rPr>
            </w:pPr>
            <w:hyperlink w:anchor="page134">
              <w:r>
                <w:rPr>
                  <w:rFonts w:ascii="Arial" w:cs="Arial" w:eastAsia="Arial" w:hAnsi="Arial"/>
                  <w:sz w:val="18"/>
                  <w:szCs w:val="18"/>
                  <w:color w:val="0000EE"/>
                  <w:w w:val="97"/>
                </w:rPr>
                <w:t>MagnaChip Semiconductor LLC Consolidated Statements of Operations For the Years Ended December 31, 2006 and 2005, the Three</w:t>
              </w:r>
            </w:hyperlink>
          </w:p>
        </w:tc>
        <w:tc>
          <w:tcPr>
            <w:tcW w:w="880" w:type="dxa"/>
            <w:vAlign w:val="bottom"/>
          </w:tcPr>
          <w:p>
            <w:pPr>
              <w:spacing w:after="0"/>
              <w:rPr>
                <w:sz w:val="15"/>
                <w:szCs w:val="15"/>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10260" w:type="dxa"/>
            <w:vAlign w:val="bottom"/>
            <w:tcBorders>
              <w:top w:val="single" w:sz="8" w:color="0000EE"/>
            </w:tcBorders>
            <w:gridSpan w:val="15"/>
          </w:tcPr>
          <w:p>
            <w:pPr>
              <w:spacing w:after="0" w:line="182" w:lineRule="exact"/>
              <w:rPr>
                <w:rFonts w:ascii="Arial" w:cs="Arial" w:eastAsia="Arial" w:hAnsi="Arial"/>
                <w:sz w:val="18"/>
                <w:szCs w:val="18"/>
                <w:color w:val="0000EE"/>
                <w:w w:val="97"/>
              </w:rPr>
            </w:pPr>
            <w:hyperlink w:anchor="page134">
              <w:r>
                <w:rPr>
                  <w:rFonts w:ascii="Arial" w:cs="Arial" w:eastAsia="Arial" w:hAnsi="Arial"/>
                  <w:sz w:val="18"/>
                  <w:szCs w:val="18"/>
                  <w:color w:val="0000EE"/>
                  <w:w w:val="97"/>
                </w:rPr>
                <w:t>Months Ended December 31, 2004 (successor company) and the Nine Months Ended September 30, 2004 (predecessor company)</w:t>
              </w:r>
            </w:hyperlink>
          </w:p>
        </w:tc>
        <w:tc>
          <w:tcPr>
            <w:tcW w:w="6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r>
      <w:tr>
        <w:trPr>
          <w:trHeight w:val="20"/>
        </w:trPr>
        <w:tc>
          <w:tcPr>
            <w:tcW w:w="2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38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MagnaChip Semiconductor LLC Consolidated Statements of Changes in Unitholders’ Equity and Owners’ Equity For the Years Ended</w:t>
              </w:r>
            </w:hyperlink>
          </w:p>
        </w:tc>
        <w:tc>
          <w:tcPr>
            <w:tcW w:w="160" w:type="dxa"/>
            <w:vAlign w:val="bottom"/>
            <w:gridSpan w:val="4"/>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90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December 31, 2006 and 2005, the Three Months Ended December 31, 2004 (successor company) and the Nine Months Ended</w:t>
              </w:r>
            </w:hyperlink>
          </w:p>
        </w:tc>
        <w:tc>
          <w:tcPr>
            <w:tcW w:w="420" w:type="dxa"/>
            <w:vAlign w:val="bottom"/>
            <w:gridSpan w:val="6"/>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rPr>
            </w:pPr>
            <w:hyperlink w:anchor="page135">
              <w:r>
                <w:rPr>
                  <w:rFonts w:ascii="Arial" w:cs="Arial" w:eastAsia="Arial" w:hAnsi="Arial"/>
                  <w:sz w:val="18"/>
                  <w:szCs w:val="18"/>
                  <w:color w:val="0000EE"/>
                </w:rPr>
                <w:t>September 30, 2004 (predecessor company)</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r>
      <w:tr>
        <w:trPr>
          <w:trHeight w:val="20"/>
        </w:trPr>
        <w:tc>
          <w:tcPr>
            <w:tcW w:w="2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54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MagnaChip Semiconductor LLC Consolidated Statements of Cash Flows For the Years Ended December 31, 2006 and 2005, the Three</w:t>
              </w:r>
            </w:hyperlink>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w w:val="98"/>
              </w:rPr>
            </w:pPr>
            <w:hyperlink w:anchor="page136">
              <w:r>
                <w:rPr>
                  <w:rFonts w:ascii="Arial" w:cs="Arial" w:eastAsia="Arial" w:hAnsi="Arial"/>
                  <w:sz w:val="18"/>
                  <w:szCs w:val="18"/>
                  <w:color w:val="0000EE"/>
                  <w:w w:val="98"/>
                </w:rPr>
                <w:t>Months Ended December 31, 2004 (successor company) and the Nine Months Ended September 30, 2004 (predecessor company)</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540" w:type="dxa"/>
            <w:vAlign w:val="bottom"/>
            <w:gridSpan w:val="17"/>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MagnaChip Semiconductor LLC Notes to Consolidated Financial Statements</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F-8</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982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175">
              <w:r>
                <w:rPr>
                  <w:rFonts w:ascii="Arial" w:cs="Arial" w:eastAsia="Arial" w:hAnsi="Arial"/>
                  <w:sz w:val="18"/>
                  <w:szCs w:val="18"/>
                  <w:color w:val="0000EE"/>
                  <w:w w:val="97"/>
                </w:rPr>
                <w:t>MagnaChip Semiconductor LLC Condensed Consolidated Balance Sheets As of September 30, 2007 and December 31, 2006</w:t>
              </w:r>
            </w:hyperlink>
          </w:p>
        </w:tc>
        <w:tc>
          <w:tcPr>
            <w:tcW w:w="720" w:type="dxa"/>
            <w:vAlign w:val="bottom"/>
            <w:gridSpan w:val="7"/>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175">
              <w:r>
                <w:rPr>
                  <w:rFonts w:ascii="Arial" w:cs="Arial" w:eastAsia="Arial" w:hAnsi="Arial"/>
                  <w:sz w:val="18"/>
                  <w:szCs w:val="18"/>
                  <w:color w:val="0000EE"/>
                  <w:w w:val="96"/>
                </w:rPr>
                <w:t>(unaudited)</w:t>
              </w:r>
            </w:hyperlink>
          </w:p>
        </w:tc>
        <w:tc>
          <w:tcPr>
            <w:tcW w:w="9420" w:type="dxa"/>
            <w:vAlign w:val="bottom"/>
            <w:gridSpan w:val="15"/>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F-46</w:t>
            </w:r>
          </w:p>
        </w:tc>
      </w:tr>
      <w:tr>
        <w:trPr>
          <w:trHeight w:val="183"/>
        </w:trPr>
        <w:tc>
          <w:tcPr>
            <w:tcW w:w="1042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176">
              <w:r>
                <w:rPr>
                  <w:rFonts w:ascii="Arial" w:cs="Arial" w:eastAsia="Arial" w:hAnsi="Arial"/>
                  <w:sz w:val="18"/>
                  <w:szCs w:val="18"/>
                  <w:color w:val="0000EE"/>
                  <w:w w:val="97"/>
                </w:rPr>
                <w:t>MagnaChip Semiconductor LLC Condensed Consolidated Statements of Operations For the Nine Months Ended September 30, 2007</w:t>
              </w:r>
            </w:hyperlink>
          </w:p>
        </w:tc>
        <w:tc>
          <w:tcPr>
            <w:tcW w:w="120" w:type="dxa"/>
            <w:vAlign w:val="bottom"/>
            <w:gridSpan w:val="3"/>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rPr>
            </w:pPr>
            <w:hyperlink w:anchor="page176">
              <w:r>
                <w:rPr>
                  <w:rFonts w:ascii="Arial" w:cs="Arial" w:eastAsia="Arial" w:hAnsi="Arial"/>
                  <w:sz w:val="18"/>
                  <w:szCs w:val="18"/>
                  <w:color w:val="0000EE"/>
                </w:rPr>
                <w:t>and October 1, 2006 (unaudited)</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F-47</w:t>
            </w:r>
          </w:p>
        </w:tc>
      </w:tr>
      <w:tr>
        <w:trPr>
          <w:trHeight w:val="20"/>
        </w:trPr>
        <w:tc>
          <w:tcPr>
            <w:tcW w:w="22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30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177">
              <w:r>
                <w:rPr>
                  <w:rFonts w:ascii="Arial" w:cs="Arial" w:eastAsia="Arial" w:hAnsi="Arial"/>
                  <w:sz w:val="18"/>
                  <w:szCs w:val="18"/>
                  <w:color w:val="0000EE"/>
                  <w:w w:val="97"/>
                </w:rPr>
                <w:t>MagnaChip Semiconductor LLC Condensed Consolidated Statements of Changes in Unitholders’ Equity For the Nine Months Ended</w:t>
              </w:r>
            </w:hyperlink>
          </w:p>
        </w:tc>
        <w:tc>
          <w:tcPr>
            <w:tcW w:w="240" w:type="dxa"/>
            <w:vAlign w:val="bottom"/>
            <w:gridSpan w:val="5"/>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September 30, 2007 and October 1, 2006 (unaudited)</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F-48</w:t>
            </w:r>
          </w:p>
        </w:tc>
      </w:tr>
      <w:tr>
        <w:trPr>
          <w:trHeight w:val="20"/>
        </w:trPr>
        <w:tc>
          <w:tcPr>
            <w:tcW w:w="220" w:type="dxa"/>
            <w:vAlign w:val="bottom"/>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46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179">
              <w:r>
                <w:rPr>
                  <w:rFonts w:ascii="Arial" w:cs="Arial" w:eastAsia="Arial" w:hAnsi="Arial"/>
                  <w:sz w:val="18"/>
                  <w:szCs w:val="18"/>
                  <w:color w:val="0000EE"/>
                  <w:w w:val="97"/>
                </w:rPr>
                <w:t>MagnaChip Semiconductor LLC Condensed Consolidated Statements of Cash Flows For the Nine Months Ended September 30, 2007</w:t>
              </w:r>
            </w:hyperlink>
          </w:p>
        </w:tc>
        <w:tc>
          <w:tcPr>
            <w:tcW w:w="8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rPr>
            </w:pPr>
            <w:hyperlink w:anchor="page179">
              <w:r>
                <w:rPr>
                  <w:rFonts w:ascii="Arial" w:cs="Arial" w:eastAsia="Arial" w:hAnsi="Arial"/>
                  <w:sz w:val="18"/>
                  <w:szCs w:val="18"/>
                  <w:color w:val="0000EE"/>
                </w:rPr>
                <w:t>and October 1, 2006 (unaudited)</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F-50</w:t>
            </w:r>
          </w:p>
        </w:tc>
      </w:tr>
      <w:tr>
        <w:trPr>
          <w:trHeight w:val="20"/>
        </w:trPr>
        <w:tc>
          <w:tcPr>
            <w:tcW w:w="22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270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540" w:type="dxa"/>
            <w:vAlign w:val="bottom"/>
            <w:gridSpan w:val="17"/>
          </w:tcPr>
          <w:p>
            <w:pPr>
              <w:spacing w:after="0" w:line="182" w:lineRule="exact"/>
              <w:rPr>
                <w:rFonts w:ascii="Arial" w:cs="Arial" w:eastAsia="Arial" w:hAnsi="Arial"/>
                <w:sz w:val="18"/>
                <w:szCs w:val="18"/>
                <w:color w:val="0000EE"/>
              </w:rPr>
            </w:pPr>
            <w:hyperlink w:anchor="page180">
              <w:r>
                <w:rPr>
                  <w:rFonts w:ascii="Arial" w:cs="Arial" w:eastAsia="Arial" w:hAnsi="Arial"/>
                  <w:sz w:val="18"/>
                  <w:szCs w:val="18"/>
                  <w:color w:val="0000EE"/>
                </w:rPr>
                <w:t>MagnaChip Semiconductor LLC Notes to Condensed Consolidated Financial Statements (unaudited)</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F-51</w:t>
            </w:r>
          </w:p>
        </w:tc>
      </w:tr>
      <w:tr>
        <w:trPr>
          <w:trHeight w:val="370"/>
        </w:trPr>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340" w:type="dxa"/>
            <w:vAlign w:val="bottom"/>
            <w:tcBorders>
              <w:top w:val="single" w:sz="8" w:color="0000EE"/>
            </w:tcBorders>
            <w:gridSpan w:val="2"/>
          </w:tcPr>
          <w:p>
            <w:pPr>
              <w:jc w:val="center"/>
              <w:ind w:right="920"/>
              <w:spacing w:after="0"/>
              <w:rPr>
                <w:sz w:val="20"/>
                <w:szCs w:val="20"/>
                <w:color w:val="auto"/>
              </w:rPr>
            </w:pPr>
            <w:r>
              <w:rPr>
                <w:rFonts w:ascii="Arial" w:cs="Arial" w:eastAsia="Arial" w:hAnsi="Arial"/>
                <w:sz w:val="18"/>
                <w:szCs w:val="18"/>
                <w:color w:val="auto"/>
                <w:w w:val="96"/>
              </w:rPr>
              <w:t>F-1</w:t>
            </w:r>
          </w:p>
        </w:tc>
        <w:tc>
          <w:tcPr>
            <w:tcW w:w="2700" w:type="dxa"/>
            <w:vAlign w:val="bottom"/>
            <w:gridSpan w:val="9"/>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rPr>
          <w:sz w:val="20"/>
          <w:szCs w:val="20"/>
          <w:color w:val="auto"/>
        </w:rPr>
      </w:pPr>
      <w:r>
        <w:rPr>
          <w:rFonts w:ascii="Arial" w:cs="Arial" w:eastAsia="Arial" w:hAnsi="Arial"/>
          <w:sz w:val="18"/>
          <w:szCs w:val="18"/>
          <w:color w:val="auto"/>
        </w:rPr>
        <w:t>MagnaChip Semiconductor LLC (Successor Company)</w:t>
      </w:r>
    </w:p>
    <w:p>
      <w:pPr>
        <w:spacing w:after="0" w:line="158"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our opinion, the accompanying consolidated balance sheets and the related consolidated statements of operations, of changes in unitholders’ equity and of cash flows present fairly, in all material respects, the financial position of MagnaChip Semiconductor LLC and its subsidiaries (the “Company”) at December 31, 2006 and 2005, and the results of their operations and their cash flows for the years ended December 31, 2006 and 2005 and for the three-month period ended December 31, 2004 (successor basis),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Samil PricewaterhouseCoopers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Seoul, Korea</w:t>
      </w:r>
    </w:p>
    <w:p>
      <w:pPr>
        <w:ind w:left="20"/>
        <w:spacing w:after="0"/>
        <w:rPr>
          <w:sz w:val="20"/>
          <w:szCs w:val="20"/>
          <w:color w:val="auto"/>
        </w:rPr>
      </w:pPr>
      <w:r>
        <w:rPr>
          <w:rFonts w:ascii="Arial" w:cs="Arial" w:eastAsia="Arial" w:hAnsi="Arial"/>
          <w:sz w:val="18"/>
          <w:szCs w:val="18"/>
          <w:color w:val="auto"/>
        </w:rPr>
        <w:t>March 26, 2007</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rPr>
          <w:sz w:val="20"/>
          <w:szCs w:val="20"/>
          <w:color w:val="auto"/>
        </w:rPr>
      </w:pPr>
      <w:r>
        <w:rPr>
          <w:rFonts w:ascii="Arial" w:cs="Arial" w:eastAsia="Arial" w:hAnsi="Arial"/>
          <w:sz w:val="18"/>
          <w:szCs w:val="18"/>
          <w:color w:val="auto"/>
        </w:rPr>
        <w:t>MagnaChip Semiconductor LLC (Predecessor Company)</w:t>
      </w:r>
    </w:p>
    <w:p>
      <w:pPr>
        <w:spacing w:after="0" w:line="158"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our opinion, the accompanying consolidated (carve-out) statements of operations, of changes in owners’ equity and of cash flows present fairly, in all material respects, the results of operations and cash flows of MagnaChip Semiconductor LLC and its subsidiaries (Predecessor Company) (the “Company”) for the nine-month period ended September 30, 2004 (predecessor basis),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rPr>
          <w:sz w:val="20"/>
          <w:szCs w:val="20"/>
          <w:color w:val="auto"/>
        </w:rPr>
      </w:pPr>
      <w:r>
        <w:rPr>
          <w:rFonts w:ascii="Arial" w:cs="Arial" w:eastAsia="Arial" w:hAnsi="Arial"/>
          <w:sz w:val="18"/>
          <w:szCs w:val="18"/>
          <w:color w:val="auto"/>
        </w:rPr>
        <w:t>June 15, 2005</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89,173</w:t>
            </w:r>
          </w:p>
        </w:tc>
        <w:tc>
          <w:tcPr>
            <w:tcW w:w="3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86,574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76,665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112,053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57,846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88,677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6,754</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13,626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244,064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336,279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485,077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139,729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191,389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49,981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770,053</w:t>
            </w:r>
          </w:p>
        </w:tc>
        <w:tc>
          <w:tcPr>
            <w:tcW w:w="380" w:type="dxa"/>
            <w:vAlign w:val="bottom"/>
            <w:gridSpan w:val="2"/>
          </w:tcPr>
          <w:p>
            <w:pPr>
              <w:ind w:left="28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1,040,647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62,399</w:t>
            </w:r>
          </w:p>
        </w:tc>
        <w:tc>
          <w:tcPr>
            <w:tcW w:w="3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93,911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accounts payable</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32,423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23,647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28,968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2,980</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4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121,449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borrowings</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Accrued severance benefits, net</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62,836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55,124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2,935</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4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937,220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40" w:type="dxa"/>
            <w:vAlign w:val="bottom"/>
          </w:tcPr>
          <w:p>
            <w:pPr>
              <w:ind w:left="440"/>
              <w:spacing w:after="0" w:line="206" w:lineRule="exact"/>
              <w:rPr>
                <w:sz w:val="20"/>
                <w:szCs w:val="20"/>
                <w:color w:val="auto"/>
              </w:rPr>
            </w:pPr>
            <w:r>
              <w:rPr>
                <w:rFonts w:ascii="Arial" w:cs="Arial" w:eastAsia="Arial" w:hAnsi="Arial"/>
                <w:sz w:val="18"/>
                <w:szCs w:val="18"/>
                <w:color w:val="auto"/>
              </w:rPr>
              <w:t>Series A redeemable convertible preferred units; 60,000 units authorized, 50,091 units issued and 0</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tcPr>
          <w:p>
            <w:pPr>
              <w:ind w:left="660"/>
              <w:spacing w:after="0" w:line="200" w:lineRule="exact"/>
              <w:rPr>
                <w:sz w:val="20"/>
                <w:szCs w:val="20"/>
                <w:color w:val="auto"/>
              </w:rPr>
            </w:pPr>
            <w:r>
              <w:rPr>
                <w:rFonts w:ascii="Arial" w:cs="Arial" w:eastAsia="Arial" w:hAnsi="Arial"/>
                <w:sz w:val="18"/>
                <w:szCs w:val="18"/>
                <w:color w:val="auto"/>
              </w:rPr>
              <w:t>unit outstanding at December 31, 2006 and 2005</w:t>
            </w:r>
          </w:p>
        </w:tc>
        <w:tc>
          <w:tcPr>
            <w:tcW w:w="140" w:type="dxa"/>
            <w:vAlign w:val="bottom"/>
          </w:tcPr>
          <w:p>
            <w:pPr>
              <w:spacing w:after="0"/>
              <w:rPr>
                <w:sz w:val="17"/>
                <w:szCs w:val="17"/>
                <w:color w:val="auto"/>
              </w:rPr>
            </w:pPr>
          </w:p>
        </w:tc>
        <w:tc>
          <w:tcPr>
            <w:tcW w:w="1100" w:type="dxa"/>
            <w:vAlign w:val="bottom"/>
            <w:gridSpan w:val="2"/>
          </w:tcPr>
          <w:p>
            <w:pPr>
              <w:jc w:val="right"/>
              <w:ind w:right="46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Series B redeemable convertible preferred units; 550,000 units authorized, 450,692 units issued and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93,997 units outstanding at December 31, 2006 and 2005</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117,374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40" w:type="dxa"/>
            <w:vAlign w:val="bottom"/>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117,374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Unitholders’ equity</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40" w:type="dxa"/>
            <w:vAlign w:val="bottom"/>
          </w:tcPr>
          <w:p>
            <w:pPr>
              <w:ind w:left="440"/>
              <w:spacing w:after="0" w:line="206" w:lineRule="exact"/>
              <w:rPr>
                <w:sz w:val="20"/>
                <w:szCs w:val="20"/>
                <w:color w:val="auto"/>
              </w:rPr>
            </w:pPr>
            <w:r>
              <w:rPr>
                <w:rFonts w:ascii="Arial" w:cs="Arial" w:eastAsia="Arial" w:hAnsi="Arial"/>
                <w:sz w:val="18"/>
                <w:szCs w:val="18"/>
                <w:color w:val="auto"/>
              </w:rPr>
              <w:t>Common units; 65,000,000 units authorized, 52,720,784 and 53,091,570 units issued and outstanding</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tcPr>
          <w:p>
            <w:pPr>
              <w:ind w:left="660"/>
              <w:spacing w:after="0" w:line="200" w:lineRule="exact"/>
              <w:rPr>
                <w:sz w:val="20"/>
                <w:szCs w:val="20"/>
                <w:color w:val="auto"/>
              </w:rPr>
            </w:pPr>
            <w:r>
              <w:rPr>
                <w:rFonts w:ascii="Arial" w:cs="Arial" w:eastAsia="Arial" w:hAnsi="Arial"/>
                <w:sz w:val="18"/>
                <w:szCs w:val="18"/>
                <w:color w:val="auto"/>
              </w:rPr>
              <w:t>at December 31, 2006 and 2005, respectively</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rPr>
              <w:t>52,721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53,092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2,451</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(370,314)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(130,092)</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30,601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tcPr>
          <w:p>
            <w:pPr>
              <w:ind w:left="880"/>
              <w:spacing w:after="0"/>
              <w:rPr>
                <w:sz w:val="20"/>
                <w:szCs w:val="20"/>
                <w:color w:val="auto"/>
              </w:rPr>
            </w:pPr>
            <w:r>
              <w:rPr>
                <w:rFonts w:ascii="Arial" w:cs="Arial" w:eastAsia="Arial" w:hAnsi="Arial"/>
                <w:sz w:val="18"/>
                <w:szCs w:val="18"/>
                <w:color w:val="auto"/>
              </w:rPr>
              <w:t>Total unitholders’ equity</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(284,541)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liabilities, redeemable convertible preferred units and unitholders’ equity</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770,053</w:t>
            </w:r>
          </w:p>
        </w:tc>
        <w:tc>
          <w:tcPr>
            <w:tcW w:w="3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1,040,647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97"/>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gridSpan w:val="3"/>
            <w:vMerge w:val="restart"/>
          </w:tcPr>
          <w:p>
            <w:pPr>
              <w:jc w:val="center"/>
              <w:ind w:right="1300"/>
              <w:spacing w:after="0" w:line="118" w:lineRule="exact"/>
              <w:rPr>
                <w:sz w:val="20"/>
                <w:szCs w:val="20"/>
                <w:color w:val="auto"/>
              </w:rPr>
            </w:pPr>
            <w:r>
              <w:rPr>
                <w:rFonts w:ascii="Arial" w:cs="Arial" w:eastAsia="Arial" w:hAnsi="Arial"/>
                <w:sz w:val="12"/>
                <w:szCs w:val="12"/>
                <w:b w:val="1"/>
                <w:bCs w:val="1"/>
                <w:color w:val="auto"/>
              </w:rPr>
              <w:t>ended</w:t>
            </w:r>
          </w:p>
        </w:tc>
        <w:tc>
          <w:tcPr>
            <w:tcW w:w="120" w:type="dxa"/>
            <w:vAlign w:val="bottom"/>
          </w:tcPr>
          <w:p>
            <w:pPr>
              <w:spacing w:after="0"/>
              <w:rPr>
                <w:sz w:val="2"/>
                <w:szCs w:val="2"/>
                <w:color w:val="auto"/>
              </w:rPr>
            </w:pPr>
          </w:p>
        </w:tc>
        <w:tc>
          <w:tcPr>
            <w:tcW w:w="880" w:type="dxa"/>
            <w:vAlign w:val="bottom"/>
            <w:gridSpan w:val="2"/>
            <w:vMerge w:val="restart"/>
          </w:tcPr>
          <w:p>
            <w:pPr>
              <w:jc w:val="center"/>
              <w:ind w:right="200"/>
              <w:spacing w:after="0" w:line="118"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71"/>
        </w:trPr>
        <w:tc>
          <w:tcPr>
            <w:tcW w:w="4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2"/>
                <w:szCs w:val="12"/>
                <w:color w:val="auto"/>
              </w:rPr>
            </w:pPr>
          </w:p>
        </w:tc>
        <w:tc>
          <w:tcPr>
            <w:tcW w:w="2180" w:type="dxa"/>
            <w:vAlign w:val="bottom"/>
            <w:gridSpan w:val="4"/>
          </w:tcPr>
          <w:p>
            <w:pPr>
              <w:jc w:val="center"/>
              <w:ind w:right="11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2005</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2004</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gridSpan w:val="4"/>
          </w:tcPr>
          <w:p>
            <w:pPr>
              <w:jc w:val="center"/>
              <w:ind w:right="40"/>
              <w:spacing w:after="0" w:line="125" w:lineRule="exact"/>
              <w:rPr>
                <w:sz w:val="20"/>
                <w:szCs w:val="20"/>
                <w:color w:val="auto"/>
              </w:rPr>
            </w:pPr>
            <w:r>
              <w:rPr>
                <w:rFonts w:ascii="Arial" w:cs="Arial" w:eastAsia="Arial" w:hAnsi="Arial"/>
                <w:sz w:val="14"/>
                <w:szCs w:val="14"/>
                <w:b w:val="1"/>
                <w:bCs w:val="1"/>
                <w:color w:val="auto"/>
                <w:w w:val="96"/>
              </w:rPr>
              <w:t>(Successor Company)</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40"/>
              <w:spacing w:after="0" w:line="202" w:lineRule="exact"/>
              <w:rPr>
                <w:sz w:val="20"/>
                <w:szCs w:val="20"/>
                <w:color w:val="auto"/>
              </w:rPr>
            </w:pPr>
            <w:r>
              <w:rPr>
                <w:rFonts w:ascii="Arial" w:cs="Arial" w:eastAsia="Arial" w:hAnsi="Arial"/>
                <w:sz w:val="18"/>
                <w:szCs w:val="18"/>
                <w:color w:val="auto"/>
              </w:rPr>
              <w:t>Related party</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163,760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744,352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937,656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243,582</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677,828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744,352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937,656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243,582</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644,911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728,999</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204,461</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654,569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208,657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39,121</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87,677</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123,211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29,784</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131,252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107,590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22,058</w:t>
            </w:r>
          </w:p>
        </w:tc>
        <w:tc>
          <w:tcPr>
            <w:tcW w:w="6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75,657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94,266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36,234</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(213,754)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(58,378)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(12,721)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(expenses)</w:t>
            </w:r>
          </w:p>
        </w:tc>
        <w:tc>
          <w:tcPr>
            <w:tcW w:w="8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(57,159)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(57,236)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(16,816)</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(17,749)</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 currency gain, net</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50,861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16,532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30,437</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(6,298)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(40,704)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13,621</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(220,052)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(99,082)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8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9,258</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6,725</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(229,310)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(100,898)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(5,825)</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10,912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9,928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13,428</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Net loss attributable to common units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(240,222)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(110,826)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(19,253)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loss per common unit</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 Basic and diluted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Weighted average number of units</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8"/>
                <w:szCs w:val="18"/>
                <w:color w:val="auto"/>
              </w:rPr>
              <w:t>— Basic and diluted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52,911,734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52,898,497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50,061,910</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CONSOLIDATED STATEMENTS OF CHANGES IN UNITHOLDERS’ EQUITY AND OWNER’S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Common Units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720" w:type="dxa"/>
            <w:vAlign w:val="bottom"/>
            <w:gridSpan w:val="4"/>
            <w:vMerge w:val="continue"/>
          </w:tcPr>
          <w:p>
            <w:pPr>
              <w:spacing w:after="0"/>
              <w:rPr>
                <w:sz w:val="13"/>
                <w:szCs w:val="13"/>
                <w:color w:val="auto"/>
              </w:rPr>
            </w:pPr>
          </w:p>
        </w:tc>
        <w:tc>
          <w:tcPr>
            <w:tcW w:w="90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Additional</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40"/>
              <w:spacing w:after="0" w:line="152" w:lineRule="exact"/>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00"/>
              <w:spacing w:after="0" w:line="152"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360"/>
              <w:spacing w:after="0" w:line="125" w:lineRule="exact"/>
              <w:rPr>
                <w:sz w:val="20"/>
                <w:szCs w:val="20"/>
                <w:color w:val="auto"/>
              </w:rPr>
            </w:pPr>
            <w:r>
              <w:rPr>
                <w:rFonts w:ascii="Arial" w:cs="Arial" w:eastAsia="Arial" w:hAnsi="Arial"/>
                <w:sz w:val="14"/>
                <w:szCs w:val="14"/>
                <w:b w:val="1"/>
                <w:bCs w:val="1"/>
                <w:color w:val="auto"/>
                <w:w w:val="94"/>
              </w:rPr>
              <w:t>Paid-In</w:t>
            </w:r>
          </w:p>
        </w:tc>
        <w:tc>
          <w:tcPr>
            <w:tcW w:w="6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97"/>
              </w:rPr>
              <w:t>Owner’s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Stock</w:t>
            </w:r>
          </w:p>
        </w:tc>
        <w:tc>
          <w:tcPr>
            <w:tcW w:w="110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Accumulated</w:t>
            </w:r>
          </w:p>
        </w:tc>
        <w:tc>
          <w:tcPr>
            <w:tcW w:w="120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 Company)</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Units</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Capital</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Compensation</w:t>
            </w:r>
          </w:p>
        </w:tc>
        <w:tc>
          <w:tcPr>
            <w:tcW w:w="16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1, 2004</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$ 135,781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2,350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17,183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Comprehensive income :</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43,237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48,079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Deferred stock compensation</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30, 2004</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 xml:space="preserve"> 179,018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5,674</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22,025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206,717</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 Company)</w:t>
            </w: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October 1, 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49,713,286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$ 49,713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units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363,627</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364</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unit options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2,456,090</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2,456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200"/>
              <w:spacing w:after="0" w:line="148" w:lineRule="exact"/>
              <w:rPr>
                <w:sz w:val="20"/>
                <w:szCs w:val="20"/>
                <w:color w:val="auto"/>
              </w:rPr>
            </w:pPr>
            <w:r>
              <w:rPr>
                <w:rFonts w:ascii="Arial" w:cs="Arial" w:eastAsia="Arial" w:hAnsi="Arial"/>
                <w:sz w:val="14"/>
                <w:szCs w:val="14"/>
                <w:color w:val="auto"/>
              </w:rPr>
              <w:t>Issuance of warrants in connection with Original</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Acquisition</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2,100</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accumulated accrued dividends</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(10,891)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Dividends accrued on preferred units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(2,537)</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(5,825)</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20,621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ind w:left="200"/>
              <w:spacing w:after="0" w:line="155" w:lineRule="exact"/>
              <w:rPr>
                <w:sz w:val="20"/>
                <w:szCs w:val="20"/>
                <w:color w:val="auto"/>
              </w:rPr>
            </w:pPr>
            <w:r>
              <w:rPr>
                <w:rFonts w:ascii="Arial" w:cs="Arial" w:eastAsia="Arial" w:hAnsi="Arial"/>
                <w:sz w:val="14"/>
                <w:szCs w:val="14"/>
                <w:color w:val="auto"/>
              </w:rPr>
              <w:t>Total comprehensive income</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52,533,003</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$ 52,533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(19,266)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20,505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units</w:t>
            </w:r>
          </w:p>
        </w:tc>
        <w:tc>
          <w:tcPr>
            <w:tcW w:w="94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504,317</w:t>
            </w:r>
          </w:p>
        </w:tc>
        <w:tc>
          <w:tcPr>
            <w:tcW w:w="78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504</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10</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unit options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54,250</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Dividends accrued on preferred units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(9,928)</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(100,898)</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(100,898)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Fair valuation of derivatives</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(93,056)</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2005</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gridSpan w:val="2"/>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53,091,570</w:t>
            </w:r>
          </w:p>
        </w:tc>
        <w:tc>
          <w:tcPr>
            <w:tcW w:w="2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1"/>
              </w:rPr>
              <w:t>$ 53,092</w:t>
            </w:r>
          </w:p>
        </w:tc>
        <w:tc>
          <w:tcPr>
            <w:tcW w:w="2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2,169</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(130,092)</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28,347</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Exercise of unit options</w:t>
            </w:r>
          </w:p>
        </w:tc>
        <w:tc>
          <w:tcPr>
            <w:tcW w:w="9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46,062</w:t>
            </w:r>
          </w:p>
        </w:tc>
        <w:tc>
          <w:tcPr>
            <w:tcW w:w="78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42</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Repurchase of common units</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(416,848)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(417)</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Unit-based compensation</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243</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Dividends accrued on preferred units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(10,912)</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(229,310)</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(229,310)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Fair valuation of derivatives</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(227,056)</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2006</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gridSpan w:val="2"/>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52,720,784</w:t>
            </w:r>
          </w:p>
        </w:tc>
        <w:tc>
          <w:tcPr>
            <w:tcW w:w="2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1"/>
              </w:rPr>
              <w:t>$ 52,721</w:t>
            </w:r>
          </w:p>
        </w:tc>
        <w:tc>
          <w:tcPr>
            <w:tcW w:w="2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2,451</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(370,314)</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30,601</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6"/>
              </w:rPr>
              <w:t>(284,541)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3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Nine months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restart"/>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8"/>
                <w:szCs w:val="8"/>
                <w:color w:val="auto"/>
              </w:rPr>
            </w:pPr>
          </w:p>
        </w:tc>
        <w:tc>
          <w:tcPr>
            <w:tcW w:w="98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gridSpan w:val="8"/>
          </w:tcPr>
          <w:p>
            <w:pPr>
              <w:jc w:val="right"/>
              <w:ind w:right="552"/>
              <w:spacing w:after="0" w:line="125" w:lineRule="exact"/>
              <w:rPr>
                <w:sz w:val="20"/>
                <w:szCs w:val="20"/>
                <w:color w:val="auto"/>
              </w:rPr>
            </w:pPr>
            <w:r>
              <w:rPr>
                <w:rFonts w:ascii="Arial" w:cs="Arial" w:eastAsia="Arial" w:hAnsi="Arial"/>
                <w:sz w:val="14"/>
                <w:szCs w:val="14"/>
                <w:b w:val="1"/>
                <w:bCs w:val="1"/>
                <w:color w:val="auto"/>
              </w:rPr>
              <w:t>(Successor Company)</w:t>
            </w:r>
          </w:p>
        </w:tc>
        <w:tc>
          <w:tcPr>
            <w:tcW w:w="3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4"/>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Company)</w:t>
            </w:r>
          </w:p>
        </w:tc>
        <w:tc>
          <w:tcPr>
            <w:tcW w:w="0" w:type="dxa"/>
            <w:vAlign w:val="bottom"/>
          </w:tcPr>
          <w:p>
            <w:pPr>
              <w:spacing w:after="0"/>
              <w:rPr>
                <w:sz w:val="1"/>
                <w:szCs w:val="1"/>
                <w:color w:val="auto"/>
              </w:rPr>
            </w:pPr>
          </w:p>
        </w:tc>
      </w:tr>
      <w:tr>
        <w:trPr>
          <w:trHeight w:val="136"/>
        </w:trPr>
        <w:tc>
          <w:tcPr>
            <w:tcW w:w="7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(229,310)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(100,898)</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(5,825)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188,560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45,855</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11,497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16,583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3,397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4,411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Gain on foreign currency translation, net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(54,188)</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(15,880)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(33,263)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92,858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33,576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Unit/stock-based compensation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3,023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494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44,091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(25,812)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(43,270)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36,513</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3,180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62,821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(56,917)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(38,423)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24,928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(33,061)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(15,897)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(66,069)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81,509</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(7,453)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17,711</w:t>
            </w:r>
          </w:p>
        </w:tc>
        <w:tc>
          <w:tcPr>
            <w:tcW w:w="3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(6,009)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(7,329)</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9,842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(8,589)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(2,898)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(1,065)</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(1,011)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30,470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103,647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17,285</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312,171</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(39,196)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(62,334)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(23,346)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w w:val="99"/>
              </w:rPr>
              <w:t>Acquisition of business, net of cash acquired of $4,620 and $0 for the year ended December 31, 2005 and for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three months ended December 31, 2004, respectively</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(488,152)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restricted cash</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10,307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(12,350)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(2,027)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(33,385)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(64,072)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color w:val="auto"/>
              </w:rPr>
              <w:t>(525,983)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(85,331)</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Senior Secured and Subordinated Notes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45,867</w:t>
            </w:r>
          </w:p>
        </w:tc>
        <w:tc>
          <w:tcPr>
            <w:tcW w:w="3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88</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2,820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redeemable convertible preferred units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3,636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long-term borrowings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(347,718)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(420)</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Redemption of redeemable convertible preferred units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(406,786)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Payment of preferred dividends</w:t>
            </w: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(10,891)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issuance costs paid</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(27,635)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9,997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(226,840)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5,846</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10,217</w:t>
            </w: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(488,484)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86,574</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58,396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546,880</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89,173</w:t>
            </w:r>
          </w:p>
        </w:tc>
        <w:tc>
          <w:tcPr>
            <w:tcW w:w="2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86,574</w:t>
            </w:r>
          </w:p>
        </w:tc>
        <w:tc>
          <w:tcPr>
            <w:tcW w:w="160" w:type="dxa"/>
            <w:vAlign w:val="bottom"/>
          </w:tcPr>
          <w:p>
            <w:pPr>
              <w:spacing w:after="0"/>
              <w:rPr>
                <w:sz w:val="13"/>
                <w:szCs w:val="13"/>
                <w:color w:val="auto"/>
              </w:rPr>
            </w:pPr>
          </w:p>
        </w:tc>
        <w:tc>
          <w:tcPr>
            <w:tcW w:w="2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58,396</w:t>
            </w:r>
          </w:p>
        </w:tc>
        <w:tc>
          <w:tcPr>
            <w:tcW w:w="380" w:type="dxa"/>
            <w:vAlign w:val="bottom"/>
            <w:tcBorders>
              <w:right w:val="single" w:sz="8" w:color="auto"/>
            </w:tcBorders>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11,862</w:t>
            </w:r>
          </w:p>
        </w:tc>
        <w:tc>
          <w:tcPr>
            <w:tcW w:w="380" w:type="dxa"/>
            <w:vAlign w:val="bottom"/>
            <w:tcBorders>
              <w:right w:val="single" w:sz="8" w:color="auto"/>
            </w:tcBorders>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17,791</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gridSpan w:val="2"/>
          </w:tcPr>
          <w:p>
            <w:pPr>
              <w:spacing w:after="0" w:line="143" w:lineRule="exact"/>
              <w:rPr>
                <w:sz w:val="20"/>
                <w:szCs w:val="20"/>
                <w:color w:val="auto"/>
              </w:rPr>
            </w:pPr>
            <w:r>
              <w:rPr>
                <w:rFonts w:ascii="Arial" w:cs="Arial" w:eastAsia="Arial" w:hAnsi="Arial"/>
                <w:sz w:val="14"/>
                <w:szCs w:val="14"/>
                <w:color w:val="auto"/>
              </w:rPr>
              <w:t>Cash paid for income taxes</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12,685</w:t>
            </w:r>
          </w:p>
        </w:tc>
        <w:tc>
          <w:tcPr>
            <w:tcW w:w="2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15,370</w:t>
            </w:r>
          </w:p>
        </w:tc>
        <w:tc>
          <w:tcPr>
            <w:tcW w:w="160" w:type="dxa"/>
            <w:vAlign w:val="bottom"/>
          </w:tcPr>
          <w:p>
            <w:pPr>
              <w:spacing w:after="0"/>
              <w:rPr>
                <w:sz w:val="12"/>
                <w:szCs w:val="12"/>
                <w:color w:val="auto"/>
              </w:rPr>
            </w:pPr>
          </w:p>
        </w:tc>
        <w:tc>
          <w:tcPr>
            <w:tcW w:w="26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tcPr>
          <w:p>
            <w:pPr>
              <w:jc w:val="right"/>
              <w:ind w:right="380"/>
              <w:spacing w:after="0" w:line="143" w:lineRule="exact"/>
              <w:rPr>
                <w:sz w:val="20"/>
                <w:szCs w:val="20"/>
                <w:color w:val="auto"/>
              </w:rPr>
            </w:pPr>
            <w:r>
              <w:rPr>
                <w:rFonts w:ascii="Arial" w:cs="Arial" w:eastAsia="Arial" w:hAnsi="Arial"/>
                <w:sz w:val="14"/>
                <w:szCs w:val="14"/>
                <w:color w:val="auto"/>
              </w:rPr>
              <w:t>76</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36" w:lineRule="exact"/>
        <w:rPr>
          <w:sz w:val="20"/>
          <w:szCs w:val="20"/>
          <w:color w:val="auto"/>
        </w:rPr>
      </w:pPr>
    </w:p>
    <w:p>
      <w:pPr>
        <w:ind w:right="10180" w:firstLine="8"/>
        <w:spacing w:after="0" w:line="384" w:lineRule="auto"/>
        <w:tabs>
          <w:tab w:leader="none" w:pos="195"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b w:val="1"/>
          <w:bCs w:val="1"/>
          <w:i w:val="1"/>
          <w:iCs w:val="1"/>
          <w:color w:val="auto"/>
        </w:rPr>
        <w:t>The Company</w:t>
      </w:r>
    </w:p>
    <w:p>
      <w:pPr>
        <w:ind w:right="320" w:firstLine="571"/>
        <w:spacing w:after="0" w:line="238" w:lineRule="auto"/>
        <w:rPr>
          <w:sz w:val="20"/>
          <w:szCs w:val="20"/>
          <w:color w:val="auto"/>
        </w:rPr>
      </w:pPr>
      <w:r>
        <w:rPr>
          <w:rFonts w:ascii="Arial" w:cs="Arial" w:eastAsia="Arial" w:hAnsi="Arial"/>
          <w:sz w:val="18"/>
          <w:szCs w:val="18"/>
          <w:color w:val="auto"/>
        </w:rPr>
        <w:t>MagnaChip Semiconductor LLC and its subsidiaries (successor company) (the “Company”) is a leading designer, developer and manufacturer of mixed-signal and digital multimedia semiconductors addressing the convergence of consumer electronics and communication devices.</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operates in three segments—Display Solutions, Imaging Solutions and Semiconductor Manufacturing Services. The Display Solutions segment offers flat panel display drivers for the entire product range of small to large panel displays, including mobile phones, digital cameras, photo printers, games, monitors, and LCD TVs. The Imaging Solutions segment addresses a broad spectrum of consumer electronics products ranging from camera-equipped mobile handsets to personal computer webcams, offering VGA, 1.3, 2.1 and 3.1 megapixel CMOS image sensors. The Semiconductor Manufacturing Services segment uses the Company’s process technology and manufacturing facilities to manufacture semiconductor wafers for third parties based on their designs. The Company has five wafer fabrication facilities located in Cheongju and Gumi in the Republic of Korea.</w:t>
      </w:r>
    </w:p>
    <w:p>
      <w:pPr>
        <w:spacing w:after="0" w:line="155"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MagnaChip Semiconductor LLC was created on November 26, 2003 and was capitalized on September 10, 2004 under the laws of the State of Delaware. It was created with the sole purpose of acquiring the non-memory business (the “Business”) of Hynix Semiconductor Inc. (“Hynix”), which acquisition was completed with effect from October 1, 2004 (the “Original Acquisition”).</w:t>
      </w:r>
    </w:p>
    <w:p>
      <w:pPr>
        <w:spacing w:after="0" w:line="213" w:lineRule="exact"/>
        <w:rPr>
          <w:sz w:val="20"/>
          <w:szCs w:val="20"/>
          <w:color w:val="auto"/>
        </w:rPr>
      </w:pPr>
    </w:p>
    <w:p>
      <w:pPr>
        <w:ind w:right="7440" w:firstLine="8"/>
        <w:spacing w:after="0" w:line="341" w:lineRule="auto"/>
        <w:tabs>
          <w:tab w:leader="none" w:pos="19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 Significant accounting policies followed by the Company in the preparation of the accompanying financial statements are summarized below.</w:t>
      </w:r>
    </w:p>
    <w:p>
      <w:pPr>
        <w:spacing w:after="0" w:line="154"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For the periods as of and prior to September 30, 2004, the accompanying consolidated financial statements are presented on a carve-out basis reflecting the assets, liabilities, revenues, expenses and changes in owner’s equity and cash flows that were directly attributable to the Business of Hynix (predecessor company), which was purchased on October 6, 2004. The Company has used October 1, 2004, as the effective date of the Original Acquisition since the financial results from October 1, 2004 onwards accrue to its benefit.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7" w:lineRule="exact"/>
        <w:rPr>
          <w:sz w:val="20"/>
          <w:szCs w:val="20"/>
          <w:color w:val="auto"/>
        </w:rPr>
      </w:pPr>
    </w:p>
    <w:p>
      <w:pPr>
        <w:ind w:right="720" w:firstLine="571"/>
        <w:spacing w:after="0" w:line="239"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significant intercompany transactions and balances are eliminated in consolidation.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40"/>
          </w:cols>
          <w:pgMar w:left="240" w:top="459" w:right="3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financial statements and disclosures. The most significant estimates and assumptions relate to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9" w:lineRule="exact"/>
        <w:rPr>
          <w:sz w:val="20"/>
          <w:szCs w:val="20"/>
          <w:color w:val="auto"/>
        </w:rPr>
      </w:pPr>
    </w:p>
    <w:p>
      <w:pPr>
        <w:ind w:right="20" w:firstLine="571"/>
        <w:spacing w:after="0" w:line="271" w:lineRule="auto"/>
        <w:rPr>
          <w:sz w:val="20"/>
          <w:szCs w:val="20"/>
          <w:color w:val="auto"/>
        </w:rPr>
      </w:pPr>
      <w:r>
        <w:rPr>
          <w:rFonts w:ascii="Arial" w:cs="Arial" w:eastAsia="Arial" w:hAnsi="Arial"/>
          <w:sz w:val="16"/>
          <w:szCs w:val="16"/>
          <w:color w:val="auto"/>
        </w:rPr>
        <w:t xml:space="preserve">The Company has assessed in accordance with Statements of Financial Accounting Standards (“SFAS”) No. 52, </w:t>
      </w:r>
      <w:r>
        <w:rPr>
          <w:rFonts w:ascii="Arial" w:cs="Arial" w:eastAsia="Arial" w:hAnsi="Arial"/>
          <w:sz w:val="16"/>
          <w:szCs w:val="16"/>
          <w:i w:val="1"/>
          <w:iCs w:val="1"/>
          <w:color w:val="auto"/>
        </w:rPr>
        <w:t>Foreign Currency</w:t>
      </w:r>
      <w:r>
        <w:rPr>
          <w:rFonts w:ascii="Arial" w:cs="Arial" w:eastAsia="Arial" w:hAnsi="Arial"/>
          <w:sz w:val="16"/>
          <w:szCs w:val="16"/>
          <w:color w:val="auto"/>
        </w:rPr>
        <w:t xml:space="preserve"> </w:t>
      </w:r>
      <w:r>
        <w:rPr>
          <w:rFonts w:ascii="Arial" w:cs="Arial" w:eastAsia="Arial" w:hAnsi="Arial"/>
          <w:sz w:val="16"/>
          <w:szCs w:val="16"/>
          <w:i w:val="1"/>
          <w:iCs w:val="1"/>
          <w:color w:val="auto"/>
        </w:rPr>
        <w:t>Translation</w:t>
      </w:r>
      <w:r>
        <w:rPr>
          <w:rFonts w:ascii="Arial" w:cs="Arial" w:eastAsia="Arial" w:hAnsi="Arial"/>
          <w:sz w:val="16"/>
          <w:szCs w:val="16"/>
          <w:color w:val="auto"/>
        </w:rPr>
        <w:t>, the functional currency of each of its subsidiaries in Luxembourg, the Netherlands and the United Kingdom and has designated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SFAS No. 52.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unitholders’ equity. Transactions in currencies other than the functional currency are included as a component of other income (expense) in the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An allowance for doubtful accounts is provided based on the aggregate estimated collectibility of their accounts receivable. The Company records an allowance for cash returns, presented within accounts receivable,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7"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obsolescence, changes in price levels, or other causes. Reserves are also established for excess inventory based on inventory levels in excess of six months of projected demand, as judged by management, for each specific product.</w:t>
      </w:r>
    </w:p>
    <w:p>
      <w:pPr>
        <w:spacing w:after="0" w:line="15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In addition, as prescribed in SFAS No. 151, the cost of inventories is determined based on the normal capacity of each fabrication facility. In case the capacity utilization is lower than a certain level, that the management believes to be normal, the fixed overhead costs per production unit which exceeds those under normal capacity, are charged to cost of sales rather than capitalized as inventories.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7"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- 40 years</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Building related structures</w:t>
            </w:r>
          </w:p>
        </w:tc>
        <w:tc>
          <w:tcPr>
            <w:tcW w:w="29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- 20 years</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2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- 10 years</w:t>
            </w:r>
          </w:p>
        </w:tc>
      </w:tr>
      <w:tr>
        <w:trPr>
          <w:trHeight w:val="214"/>
        </w:trPr>
        <w:tc>
          <w:tcPr>
            <w:tcW w:w="4780" w:type="dxa"/>
            <w:vAlign w:val="bottom"/>
          </w:tcPr>
          <w:p>
            <w:pPr>
              <w:spacing w:after="0"/>
              <w:rPr>
                <w:sz w:val="20"/>
                <w:szCs w:val="20"/>
                <w:color w:val="auto"/>
              </w:rPr>
            </w:pPr>
            <w:r>
              <w:rPr>
                <w:rFonts w:ascii="Arial" w:cs="Arial" w:eastAsia="Arial" w:hAnsi="Arial"/>
                <w:sz w:val="18"/>
                <w:szCs w:val="18"/>
                <w:color w:val="auto"/>
              </w:rPr>
              <w:t>Vehicles and others</w:t>
            </w:r>
          </w:p>
        </w:tc>
        <w:tc>
          <w:tcPr>
            <w:tcW w:w="2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54"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impairment is measured as the difference between the carrying value of the assets and the fair value of assets using the present value of the future net cash flows generated by the respective long-lived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79"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color w:val="auto"/>
        </w:rPr>
        <w:t xml:space="preserve">The Company recognizes restructuring charges in accordance with SFAS No. 146, </w:t>
      </w:r>
      <w:r>
        <w:rPr>
          <w:rFonts w:ascii="Arial" w:cs="Arial" w:eastAsia="Arial" w:hAnsi="Arial"/>
          <w:sz w:val="18"/>
          <w:szCs w:val="18"/>
          <w:i w:val="1"/>
          <w:iCs w:val="1"/>
          <w:color w:val="auto"/>
        </w:rPr>
        <w:t>Accounting for Costs Associated with Exit or Disposal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Certain costs and expenses related to exit or disposal activities are recorded as restructuring charges when liabilities for those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are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Transactions</w:t>
      </w:r>
    </w:p>
    <w:p>
      <w:pPr>
        <w:spacing w:after="0" w:line="97"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Company accounts for lease transactions as either operating leases or capital leases, depending on the terms of the underlying lease agreements. Machinery and equipment acquired under capital lease agreements are recorded at cost as property, plant and equipment and depreciated using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w:t>
      </w:r>
    </w:p>
    <w:p>
      <w:pPr>
        <w:spacing w:after="0" w:line="97"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 xml:space="preserve">The Company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(“SOP”) No. 98-1, </w:t>
      </w:r>
      <w:r>
        <w:rPr>
          <w:rFonts w:ascii="Arial" w:cs="Arial" w:eastAsia="Arial" w:hAnsi="Arial"/>
          <w:sz w:val="18"/>
          <w:szCs w:val="18"/>
          <w:i w:val="1"/>
          <w:iCs w:val="1"/>
          <w:color w:val="auto"/>
        </w:rPr>
        <w:t>Accounting for the Costs of Computer Software Developed or Obtained for Internal Use</w:t>
      </w:r>
      <w:r>
        <w:rPr>
          <w:rFonts w:ascii="Arial" w:cs="Arial" w:eastAsia="Arial" w:hAnsi="Arial"/>
          <w:sz w:val="18"/>
          <w:szCs w:val="18"/>
          <w:color w:val="auto"/>
        </w:rPr>
        <w:t>. Depreciation is calculated on a straight line basis over five years.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7"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Intangible assets acquired from Hynix include technology and customer relationships which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 of Financial Instruments</w:t>
      </w:r>
    </w:p>
    <w:p>
      <w:pPr>
        <w:spacing w:after="0" w:line="97"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The estimated fair value of financial instruments is determined by the Company, using available market information and valuation methodologies considered to be appropriate. However, considerable judgment is required in interpreting market data to develop the estimates of fair value. Carrying amounts of accounts receivable and accounts payable approximate fair value due to the short maturity of these financial instruments.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estimated fair value of the Company’s debt was $612.6 million, $738.8 million and $750.0 million as of December 31, 2006, 2005 and 2004,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Severance Benefits</w:t>
      </w:r>
    </w:p>
    <w:p>
      <w:pPr>
        <w:spacing w:after="0" w:line="97"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December 31, 2006, 97% of all employees of the Company were eligible for severance benefits.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Accrued severance benefits are funded through a group severance insurance plan. The amounts funded under this insurance plan are classified as a deduction to the accrued severance benefits. Subsequent accruals are to be funded at the discretion of the Company.</w:t>
      </w:r>
    </w:p>
    <w:p>
      <w:pPr>
        <w:spacing w:after="0" w:line="155"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7"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generally recognized upon delivery of the product at the end-customer’s location when the risks and rewards of ownership have passed to the customer. Revenue is deferred from sales to distributors until the product is ultimately sold to the end-customer.</w:t>
      </w:r>
    </w:p>
    <w:p>
      <w:pPr>
        <w:spacing w:after="0" w:line="155"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All amounts billed to a customer related to shipping and handling are classified as sales while all costs incurred by the Company for shipping and handling are classified as selling expenses. The amounts charged to selling expenses are $1,332 thousand and $1,867 thousand for the year ended December 31, 2006 and 2005, $412 thousand for the three-month period ended December 31, 2004 (successor company) and $1,394 thousand for the nine-month period ended September 30, 2004 (predecessor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7"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 xml:space="preserve">The Company’s primary objective for holding derivative financial instruments is to manage cash flow risk inherent in debts with variable interest rates. The company recognizes all derivative financial instruments at fair value as either assets or liabilities and reports changes in the fair value of those instruments in earnings or other comprehensive income depending on whether they meet the criteria for designation as hedging transactions under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97"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The Company expenses advertising costs as incurred. Advertising expense was approximately $81 thousand and $310 thousand for the years ended December 31, 2006 and 2005, $173 thousand for the three-month period ended December 31, 2004 (successor company), and $71 thousand for the nine-month period ended September 30, 2004 (predecessor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satisfy the Company’s warranty obligation. As these factors are impacted by actual experience and future expectations, the Company periodically assesses the adequacy of its recorded warranty liabilities and adjusts the amounts when necessary.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7"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Research and development costs are expensed as incurred and include wafer, masks, employee expense, contractor fees, building costs, utilities, and administrative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Patents and Technologies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and manufacture of its products. The payments under these agreements include an initial payment to acquire the rights, and a royalty payment, calculated based upon the sales of the related products. The initial payments,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 (Successor Company)</w:t>
      </w:r>
    </w:p>
    <w:p>
      <w:pPr>
        <w:spacing w:after="0" w:line="79"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color w:val="auto"/>
        </w:rPr>
        <w:t xml:space="preserve">Effective January 1, 2006, the Company adopted the provisions of SFAS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xml:space="preserve"> As the Company elected to use the modified prospective application method, no restatement was made to the consolidated statements of operations for prior periods. Under SFAS 123(R), unit-based compensation cost is measured at grant date, based on the fair value of the award, and is recognized as expense over the requisite service period. As permitted under SFAS No. 123(R), the Company elected to recognize compensation expense for all options with graded vesting based on the graded attribution method.</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 xml:space="preserve">Prior to 2006, the Company accounted for its unit-based compensation using the intrinsic value method prescribed in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provided the required pro forma disclosures of SFAS No. 123,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As the exercise prices for all option grants were in excess of the fair value of the underlying units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respective grant dates, no compensation cost was recorded for the year ended December 31, 2005 and for the three months ended December 31, 2004.</w:t>
      </w:r>
    </w:p>
    <w:p>
      <w:pPr>
        <w:spacing w:after="0" w:line="15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Consistent with the valuation method for the disclosure-only provisions of FAS No. 123, the Company uses the Black-Scholes option pricing-model to measure the grant-date-fair-value of options. The Black-Scholes model requires certain assumptions to determine an option’s fair value, including expected term, risk free interest, expected volatility and fair value of underlying common unit. The expected term of each option grant was based on employees’ expected exercises and post-vesting employment termination behavior and the risk free interest rate was based on the U.S. Treasury yield curve for the period corresponding with the expected term at the time of grant. The expected volatility was estimated using historical volatility of share prices of similar public entities. No dividends were assumed for this calculation of option value. The fair value of the underlying common unit is determined based on an independent appraisal from a third party and is updated to reflect changes in the Company’s financial results and prospects.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(Predecessor Company)</w:t>
      </w:r>
    </w:p>
    <w:p>
      <w:pPr>
        <w:spacing w:after="0" w:line="97"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 xml:space="preserve">Stock options under employee stock plans prior to the Original Acquisition were accounted for using the intrinsic value method prescribed by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As part of the presentation of the Business on a carve-out basis, stock compensation was allocated to the Business based on the employees that historically have worked in the Business. The compensation cost for the Business was $3,324 thousand for the nine-month period ended September 30, 2004.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79"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color w:val="auto"/>
        </w:rPr>
        <w:t xml:space="preserve">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computes basic earnings per unit by dividing net income available to common unitholders by the weighted average number of common units outstanding during the period which would include to the extent their effect is dilutive: redeemable convertible preferred units, options to purchase common units and warrants to purchase common units. Diluted earnings per unit reflect the dilution of potential common units outstanding during the period. In determining the hypothetical units repurchased, the Company uses the average unit price for the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operates a number of subsidiaries, which are subject to local income taxes in those markets.</w:t>
      </w:r>
    </w:p>
    <w:p>
      <w:pPr>
        <w:spacing w:after="0" w:line="136" w:lineRule="exact"/>
        <w:rPr>
          <w:sz w:val="20"/>
          <w:szCs w:val="20"/>
          <w:color w:val="auto"/>
        </w:rPr>
      </w:pPr>
    </w:p>
    <w:p>
      <w:pPr>
        <w:ind w:right="140" w:firstLine="571"/>
        <w:spacing w:after="0" w:line="275" w:lineRule="auto"/>
        <w:rPr>
          <w:sz w:val="20"/>
          <w:szCs w:val="20"/>
          <w:color w:val="auto"/>
        </w:rPr>
      </w:pPr>
      <w:r>
        <w:rPr>
          <w:rFonts w:ascii="Arial" w:cs="Arial" w:eastAsia="Arial" w:hAnsi="Arial"/>
          <w:sz w:val="16"/>
          <w:szCs w:val="16"/>
          <w:color w:val="auto"/>
        </w:rPr>
        <w:t xml:space="preserve">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39" w:lineRule="exact"/>
        <w:rPr>
          <w:sz w:val="20"/>
          <w:szCs w:val="20"/>
          <w:color w:val="auto"/>
        </w:rPr>
      </w:pPr>
    </w:p>
    <w:p>
      <w:pPr>
        <w:ind w:right="160" w:firstLine="571"/>
        <w:spacing w:after="0" w:line="247"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Information</w:t>
      </w:r>
      <w:r>
        <w:rPr>
          <w:rFonts w:ascii="Arial" w:cs="Arial" w:eastAsia="Arial" w:hAnsi="Arial"/>
          <w:sz w:val="18"/>
          <w:szCs w:val="18"/>
          <w:color w:val="auto"/>
        </w:rPr>
        <w:t>, allocates resources to and assesses the performance of each segment using information about its revenue and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does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not identify or allocate assets by segments, nor does the CODM evaluate operating segments using discrete asset information. In addition, the Company does not allocate operating expenses, interest income or expense, other income or expense, or income tax expenses to the segments. Management does not evaluate segments based on these criteria.</w:t>
      </w:r>
    </w:p>
    <w:p>
      <w:pPr>
        <w:spacing w:after="0" w:line="154"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Prior to 2006, the Company had a single reportable segment. In 2006, subsequent to the appointment of our new CODM, the Company changed the manner in which the CODM reviewed the Company’s operational results and made significant business decisions to include disaggregated financial information of its three primary business units. Segment information for the years ended December 31, 2005 and 2004 was prepared in conformity with the current segment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7" w:lineRule="exact"/>
        <w:rPr>
          <w:sz w:val="20"/>
          <w:szCs w:val="20"/>
          <w:color w:val="auto"/>
        </w:rPr>
      </w:pPr>
    </w:p>
    <w:p>
      <w:pPr>
        <w:ind w:right="300" w:firstLine="571"/>
        <w:spacing w:after="0" w:line="237"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9"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 xml:space="preserve">In September 2006, the Financial Accounting Standards Board (“FASB”) issued SFAS No. 158, </w:t>
      </w:r>
      <w:r>
        <w:rPr>
          <w:rFonts w:ascii="Arial" w:cs="Arial" w:eastAsia="Arial" w:hAnsi="Arial"/>
          <w:sz w:val="18"/>
          <w:szCs w:val="18"/>
          <w:i w:val="1"/>
          <w:iCs w:val="1"/>
          <w:color w:val="auto"/>
        </w:rPr>
        <w:t>Employers’ Accounting for 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and Other Postretirement Plan </w:t>
      </w:r>
      <w:r>
        <w:rPr>
          <w:rFonts w:ascii="Arial" w:cs="Arial" w:eastAsia="Arial" w:hAnsi="Arial"/>
          <w:sz w:val="18"/>
          <w:szCs w:val="18"/>
          <w:color w:val="auto"/>
        </w:rPr>
        <w:t>—an amendment of SFAS No. 87, 88, 106 and 132(R). This Statement requires an employer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the over funded or under funded status of a defined benefit post retirement plan (other than a multiemployer plan) as an asset or liability in its statement of financial position, and to recognize changes in that funded status in the year in which the changes occur through comprehensive income. SFAS 158 is effective for fiscal years ending after June 15, 2007. The Company does not expect that the implementation of SFAS No. 158 will have a material impact on its financial position and results of operations.</w:t>
      </w:r>
    </w:p>
    <w:p>
      <w:pPr>
        <w:spacing w:after="0" w:line="141"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154"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In September 2006, the Securities and Exchange Commission (“SEC”) issued Staff Accounting Bulletin (“SAB”) No. 108 which provides interpretive guidance on how the effects of the carryover or reversal of prior year misstatements should be considered in quantifying a current year misstatement. The guidance is applicable for fiscal years ending after November 15, 2006. The Company does not expect that adoption of SAB 108 will have a material impact on its consolidated financial statements.</w:t>
      </w:r>
    </w:p>
    <w:p>
      <w:pPr>
        <w:spacing w:after="0" w:line="137" w:lineRule="exact"/>
        <w:rPr>
          <w:sz w:val="20"/>
          <w:szCs w:val="20"/>
          <w:color w:val="auto"/>
        </w:rPr>
      </w:pPr>
    </w:p>
    <w:p>
      <w:pPr>
        <w:ind w:right="80" w:firstLine="571"/>
        <w:spacing w:after="0" w:line="247" w:lineRule="auto"/>
        <w:rPr>
          <w:sz w:val="20"/>
          <w:szCs w:val="20"/>
          <w:color w:val="auto"/>
        </w:rPr>
      </w:pPr>
      <w:r>
        <w:rPr>
          <w:rFonts w:ascii="Arial" w:cs="Arial" w:eastAsia="Arial" w:hAnsi="Arial"/>
          <w:sz w:val="18"/>
          <w:szCs w:val="18"/>
          <w:color w:val="auto"/>
        </w:rPr>
        <w:t xml:space="preserve">In June 2006, the FASB issued FASB Interpretation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FIN 48 clarifies the accounting for uncertain income tax positions accounted for in accordance with SFAS No. 109. The Interpretation stipulates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recognition and measurement criteria in addition to classification and interim period accounting. The Interpretation significantly expanded disclosure provisions for uncertain tax positions that are expected to be taken in a company’s tax return. FIN 48 is effective for fiscal years beginning after December 15, 2006. The Company is currently evaluating the impact that the adoption may have on its consolidated financial statements.</w:t>
      </w:r>
    </w:p>
    <w:p>
      <w:pPr>
        <w:spacing w:after="0" w:line="137"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 xml:space="preserve">In March 2006, the FASB issued SFAS No. 156, </w:t>
      </w:r>
      <w:r>
        <w:rPr>
          <w:rFonts w:ascii="Arial" w:cs="Arial" w:eastAsia="Arial" w:hAnsi="Arial"/>
          <w:sz w:val="18"/>
          <w:szCs w:val="18"/>
          <w:i w:val="1"/>
          <w:iCs w:val="1"/>
          <w:color w:val="auto"/>
        </w:rPr>
        <w:t>Accounting for Servicing of Financial Assets—</w:t>
      </w:r>
      <w:r>
        <w:rPr>
          <w:rFonts w:ascii="Arial" w:cs="Arial" w:eastAsia="Arial" w:hAnsi="Arial"/>
          <w:sz w:val="18"/>
          <w:szCs w:val="18"/>
          <w:color w:val="auto"/>
        </w:rPr>
        <w:t>an amendment of FASB Statement No. 140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addresses the accounting for recognized servicing assets and liabilities related to certain transfers of the servicer’s financial assets and for acquisitions or assumptions of obligations to service financial assets that do not relate to the financial assets of the servicer and its related parties. SFAS 156 requires that all recognized servicing assets and liabilities are initially measured at fair value, and subsequently measured at either fair value or by applying an amortization method for each class of recognized servicing assets and liabilities. SFAS 156 is effective in fiscal years beginning after September 15, 2006. The adoption of SFAS 156 is not expected to have a material impact on the Company’s consolidated financial statements.</w:t>
      </w:r>
    </w:p>
    <w:p>
      <w:pPr>
        <w:spacing w:after="0" w:line="137"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 xml:space="preserve">In February 2006, the FASB issued SFAS No. 155, </w:t>
      </w:r>
      <w:r>
        <w:rPr>
          <w:rFonts w:ascii="Arial" w:cs="Arial" w:eastAsia="Arial" w:hAnsi="Arial"/>
          <w:sz w:val="18"/>
          <w:szCs w:val="18"/>
          <w:i w:val="1"/>
          <w:iCs w:val="1"/>
          <w:color w:val="auto"/>
        </w:rPr>
        <w:t>Accounting for Certain Hybrid Financial Instruments—</w:t>
      </w:r>
      <w:r>
        <w:rPr>
          <w:rFonts w:ascii="Arial" w:cs="Arial" w:eastAsia="Arial" w:hAnsi="Arial"/>
          <w:sz w:val="18"/>
          <w:szCs w:val="18"/>
          <w:color w:val="auto"/>
        </w:rPr>
        <w:t>an amendment of FASB Statements No. 133 and 140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amends SFAS No. 133 and SFAS No. 140, and improves the financial reporting of certain hybrid financial instruments by requiring more consistent accounting. Specifically, this Statement allows fair value remeasurement for any hybrid financial instrument that contains an embedded derivative that otherwise would require bifurcation. This Statement is effective for all financial instruments acquired or issued after the beginning of an entity’s first fiscal year that begins after September 15, 2006. The Company does not expect that adoption of this Statement will have a material impact on its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Original Acquisition</w:t>
      </w:r>
    </w:p>
    <w:p>
      <w:pPr>
        <w:spacing w:after="0" w:line="99"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On October 6, 2004, the Company completed its purchase of the Business, as outlined in the Business Transfer Agreement, as amended (the “BTA”) from Hynix, for cash, liabilities assumed, plus a warrant to purchase 5,079,254 common equity interests in the Company, valued by independent valuation. In October 2005, the Company agreed to pay Hynix an additional $6,238 thousand in cash as a working capital settlement payment. This additional amount, which was paid in full subsequently in October 2005, was included as part of the purchase consideration and therefore acquisition costs of related assets were subsequently adjusted.</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A summary of purchase consideration including such subsequent working capital settlement as well as assets and liabilities acquired is as follows: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Purchase consideration:</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680" w:type="dxa"/>
            <w:vAlign w:val="bottom"/>
          </w:tcPr>
          <w:p>
            <w:pPr>
              <w:ind w:left="440"/>
              <w:spacing w:after="0" w:line="202" w:lineRule="exact"/>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475,471</w:t>
            </w:r>
          </w:p>
        </w:tc>
        <w:tc>
          <w:tcPr>
            <w:tcW w:w="60" w:type="dxa"/>
            <w:vAlign w:val="bottom"/>
          </w:tcPr>
          <w:p>
            <w:pPr>
              <w:spacing w:after="0"/>
              <w:rPr>
                <w:sz w:val="17"/>
                <w:szCs w:val="17"/>
                <w:color w:val="auto"/>
              </w:rPr>
            </w:pPr>
          </w:p>
        </w:tc>
      </w:tr>
      <w:tr>
        <w:trPr>
          <w:trHeight w:val="203"/>
        </w:trPr>
        <w:tc>
          <w:tcPr>
            <w:tcW w:w="7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Loan assumed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285,807</w:t>
            </w:r>
          </w:p>
        </w:tc>
        <w:tc>
          <w:tcPr>
            <w:tcW w:w="60" w:type="dxa"/>
            <w:vAlign w:val="bottom"/>
            <w:shd w:val="clear" w:color="auto" w:fill="CCEEFF"/>
          </w:tcPr>
          <w:p>
            <w:pPr>
              <w:spacing w:after="0"/>
              <w:rPr>
                <w:sz w:val="17"/>
                <w:szCs w:val="17"/>
                <w:color w:val="auto"/>
              </w:rPr>
            </w:pPr>
          </w:p>
        </w:tc>
      </w:tr>
      <w:tr>
        <w:trPr>
          <w:trHeight w:val="210"/>
        </w:trPr>
        <w:tc>
          <w:tcPr>
            <w:tcW w:w="7680" w:type="dxa"/>
            <w:vAlign w:val="bottom"/>
          </w:tcPr>
          <w:p>
            <w:pPr>
              <w:ind w:left="440"/>
              <w:spacing w:after="0" w:line="202" w:lineRule="exact"/>
              <w:rPr>
                <w:sz w:val="20"/>
                <w:szCs w:val="20"/>
                <w:color w:val="auto"/>
              </w:rPr>
            </w:pPr>
            <w:r>
              <w:rPr>
                <w:rFonts w:ascii="Arial" w:cs="Arial" w:eastAsia="Arial" w:hAnsi="Arial"/>
                <w:sz w:val="18"/>
                <w:szCs w:val="18"/>
                <w:color w:val="auto"/>
              </w:rPr>
              <w:t>Warrant to purchase common units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r>
      <w:tr>
        <w:trPr>
          <w:trHeight w:val="203"/>
        </w:trPr>
        <w:tc>
          <w:tcPr>
            <w:tcW w:w="7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763,378</w:t>
            </w:r>
          </w:p>
        </w:tc>
        <w:tc>
          <w:tcPr>
            <w:tcW w:w="60" w:type="dxa"/>
            <w:vAlign w:val="bottom"/>
            <w:shd w:val="clear" w:color="auto" w:fill="CCEEFF"/>
          </w:tcPr>
          <w:p>
            <w:pPr>
              <w:spacing w:after="0"/>
              <w:rPr>
                <w:sz w:val="17"/>
                <w:szCs w:val="17"/>
                <w:color w:val="auto"/>
              </w:rPr>
            </w:pPr>
          </w:p>
        </w:tc>
      </w:tr>
      <w:tr>
        <w:trPr>
          <w:trHeight w:val="311"/>
        </w:trPr>
        <w:tc>
          <w:tcPr>
            <w:tcW w:w="7680" w:type="dxa"/>
            <w:vAlign w:val="bottom"/>
          </w:tcPr>
          <w:p>
            <w:pPr>
              <w:spacing w:after="0"/>
              <w:rPr>
                <w:sz w:val="20"/>
                <w:szCs w:val="20"/>
                <w:color w:val="auto"/>
              </w:rPr>
            </w:pPr>
            <w:r>
              <w:rPr>
                <w:rFonts w:ascii="Arial" w:cs="Arial" w:eastAsia="Arial" w:hAnsi="Arial"/>
                <w:sz w:val="18"/>
                <w:szCs w:val="18"/>
                <w:color w:val="auto"/>
              </w:rPr>
              <w:t>Fair value of assets and liabilities acquired: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7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(173,517)</w:t>
            </w:r>
          </w:p>
        </w:tc>
      </w:tr>
      <w:tr>
        <w:trPr>
          <w:trHeight w:val="203"/>
        </w:trPr>
        <w:tc>
          <w:tcPr>
            <w:tcW w:w="7680" w:type="dxa"/>
            <w:vAlign w:val="bottom"/>
          </w:tcPr>
          <w:p>
            <w:pPr>
              <w:ind w:left="440"/>
              <w:spacing w:after="0" w:line="202" w:lineRule="exact"/>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(755,618)</w:t>
            </w:r>
          </w:p>
        </w:tc>
      </w:tr>
      <w:tr>
        <w:trPr>
          <w:trHeight w:val="203"/>
        </w:trPr>
        <w:tc>
          <w:tcPr>
            <w:tcW w:w="7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119,262</w:t>
            </w:r>
          </w:p>
        </w:tc>
        <w:tc>
          <w:tcPr>
            <w:tcW w:w="60" w:type="dxa"/>
            <w:vAlign w:val="bottom"/>
            <w:shd w:val="clear" w:color="auto" w:fill="CCEEFF"/>
          </w:tcPr>
          <w:p>
            <w:pPr>
              <w:spacing w:after="0"/>
              <w:rPr>
                <w:sz w:val="17"/>
                <w:szCs w:val="17"/>
                <w:color w:val="auto"/>
              </w:rPr>
            </w:pPr>
          </w:p>
        </w:tc>
      </w:tr>
      <w:tr>
        <w:trPr>
          <w:trHeight w:val="210"/>
        </w:trPr>
        <w:tc>
          <w:tcPr>
            <w:tcW w:w="7680" w:type="dxa"/>
            <w:vAlign w:val="bottom"/>
          </w:tcPr>
          <w:p>
            <w:pPr>
              <w:ind w:left="440"/>
              <w:spacing w:after="0" w:line="202" w:lineRule="exact"/>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46,495</w:t>
            </w:r>
          </w:p>
        </w:tc>
      </w:tr>
      <w:tr>
        <w:trPr>
          <w:trHeight w:val="203"/>
        </w:trPr>
        <w:tc>
          <w:tcPr>
            <w:tcW w:w="76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Intangible assets acquired in connection with this acquisition are included in non-current assets and summarized as below:</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8"/>
              </w:rPr>
              <w:t>Weighted average</w:t>
            </w:r>
          </w:p>
        </w:tc>
      </w:tr>
      <w:tr>
        <w:trPr>
          <w:trHeight w:val="179"/>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5"/>
              </w:rPr>
              <w:t>Acquisition cost</w:t>
            </w: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 period</w:t>
            </w: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24,536</w:t>
            </w:r>
          </w:p>
        </w:tc>
        <w:tc>
          <w:tcPr>
            <w:tcW w:w="8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 years</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Customer relationship</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174,134</w:t>
            </w:r>
          </w:p>
        </w:tc>
        <w:tc>
          <w:tcPr>
            <w:tcW w:w="8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7.0 years</w:t>
            </w: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Intellectual property assets</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7,928</w:t>
            </w: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 years</w:t>
            </w: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206,598</w:t>
            </w: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 years</w:t>
            </w: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At the date of the Original Acquisition, the Company obtained an independent valuation of the acquired property, plant and equipment and the acquired intangible assets, to ascertain the fair value of these assets, and in addition, applied adjustments to the book value of the other assets and liabilities transferred from Hynix to calculate the total fair value of the assets and liabilities acquired. The Company also re-assessed the remaining useful lives of the acquired property, plant and equipment, and commenced depreciation on a straight-line basis, using the remaining useful lives of the acquired property, plant and equipment and acquired intangibles.</w:t>
      </w:r>
    </w:p>
    <w:p>
      <w:pPr>
        <w:spacing w:after="0" w:line="157"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The aggregate fair values obtained exceeded the total purchase consideration of $763,378 thousand, and this difference was applied to the Company’s intangible and non-current tangible assets on a pro-rata basis, such that the adjusted fair value of the assets and liabilities acquired equaled the total purchase consideration, with no residual negative goodwill.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Accounts receivable as of December 31, 2006 and 2005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65,203</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Notes receivable</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16,812</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25,115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440"/>
              <w:spacing w:after="0" w:line="202" w:lineRule="exact"/>
              <w:rPr>
                <w:sz w:val="20"/>
                <w:szCs w:val="20"/>
                <w:color w:val="auto"/>
              </w:rPr>
            </w:pPr>
            <w:r>
              <w:rPr>
                <w:rFonts w:ascii="Arial" w:cs="Arial" w:eastAsia="Arial" w:hAnsi="Arial"/>
                <w:sz w:val="18"/>
                <w:szCs w:val="18"/>
                <w:color w:val="auto"/>
              </w:rPr>
              <w:t>Allowances for doubtful accounts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(1,418)</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Cash return reserve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(1,450)</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5660" w:type="dxa"/>
            <w:vAlign w:val="bottom"/>
          </w:tcPr>
          <w:p>
            <w:pPr>
              <w:ind w:left="440"/>
              <w:spacing w:after="0" w:line="202" w:lineRule="exact"/>
              <w:rPr>
                <w:sz w:val="20"/>
                <w:szCs w:val="20"/>
                <w:color w:val="auto"/>
              </w:rPr>
            </w:pPr>
            <w:r>
              <w:rPr>
                <w:rFonts w:ascii="Arial" w:cs="Arial" w:eastAsia="Arial" w:hAnsi="Arial"/>
                <w:sz w:val="18"/>
                <w:szCs w:val="18"/>
                <w:color w:val="auto"/>
              </w:rPr>
              <w:t>Low yield compensation reserve</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(2,482)</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76,665</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gridSpan w:val="4"/>
            <w:vMerge w:val="restart"/>
          </w:tcPr>
          <w:p>
            <w:pPr>
              <w:ind w:left="580"/>
              <w:spacing w:after="0"/>
              <w:rPr>
                <w:sz w:val="20"/>
                <w:szCs w:val="20"/>
                <w:color w:val="auto"/>
              </w:rPr>
            </w:pPr>
            <w:r>
              <w:rPr>
                <w:rFonts w:ascii="Arial" w:cs="Arial" w:eastAsia="Arial" w:hAnsi="Arial"/>
                <w:sz w:val="18"/>
                <w:szCs w:val="18"/>
                <w:color w:val="auto"/>
              </w:rPr>
              <w:t>Changes in allowance for doubtful accounts for each period are as follows:</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60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7"/>
          </w:tcPr>
          <w:p>
            <w:pPr>
              <w:spacing w:after="0"/>
              <w:rPr>
                <w:sz w:val="20"/>
                <w:szCs w:val="20"/>
                <w:color w:val="auto"/>
              </w:rPr>
            </w:pPr>
            <w:r>
              <w:rPr>
                <w:rFonts w:ascii="Arial" w:cs="Arial" w:eastAsia="Arial" w:hAnsi="Arial"/>
                <w:sz w:val="14"/>
                <w:szCs w:val="14"/>
                <w:b w:val="1"/>
                <w:bCs w:val="1"/>
                <w:color w:val="auto"/>
              </w:rPr>
              <w:t>Three months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59"/>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6"/>
          </w:tcPr>
          <w:p>
            <w:pPr>
              <w:jc w:val="right"/>
              <w:ind w:right="74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18"/>
        </w:trPr>
        <w:tc>
          <w:tcPr>
            <w:tcW w:w="56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7"/>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96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79"/>
        </w:trPr>
        <w:tc>
          <w:tcPr>
            <w:tcW w:w="5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4"/>
          </w:tcPr>
          <w:p>
            <w:pPr>
              <w:jc w:val="right"/>
              <w:ind w:right="80"/>
              <w:spacing w:after="0" w:line="125" w:lineRule="exact"/>
              <w:rPr>
                <w:sz w:val="20"/>
                <w:szCs w:val="20"/>
                <w:color w:val="auto"/>
              </w:rPr>
            </w:pPr>
            <w:r>
              <w:rPr>
                <w:rFonts w:ascii="Arial" w:cs="Arial" w:eastAsia="Arial" w:hAnsi="Arial"/>
                <w:sz w:val="14"/>
                <w:szCs w:val="14"/>
                <w:b w:val="1"/>
                <w:bCs w:val="1"/>
                <w:color w:val="auto"/>
              </w:rPr>
              <w:t>(Successor Company)</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(617)</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(383)</w:t>
            </w:r>
          </w:p>
        </w:tc>
        <w:tc>
          <w:tcPr>
            <w:tcW w:w="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w w:val="88"/>
              </w:rPr>
              <w:t>—</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(739)</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(340)</w:t>
            </w: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 off</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w w:val="88"/>
              </w:rPr>
              <w:t>—</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9"/>
              </w:rPr>
              <w:t>(43)</w:t>
            </w: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(1,418)</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(617)</w:t>
            </w:r>
          </w:p>
        </w:tc>
        <w:tc>
          <w:tcPr>
            <w:tcW w:w="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(383)</w:t>
            </w:r>
          </w:p>
        </w:tc>
        <w:tc>
          <w:tcPr>
            <w:tcW w:w="180" w:type="dxa"/>
            <w:vAlign w:val="bottom"/>
            <w:tcBorders>
              <w:right w:val="single" w:sz="8" w:color="auto"/>
            </w:tcBorders>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cash return reserve for each period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r>
      <w:tr>
        <w:trPr>
          <w:trHeight w:val="159"/>
        </w:trPr>
        <w:tc>
          <w:tcPr>
            <w:tcW w:w="4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6"/>
          </w:tcPr>
          <w:p>
            <w:pPr>
              <w:jc w:val="right"/>
              <w:ind w:right="88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3"/>
                <w:szCs w:val="13"/>
                <w:color w:val="auto"/>
              </w:rPr>
            </w:pPr>
          </w:p>
        </w:tc>
        <w:tc>
          <w:tcPr>
            <w:tcW w:w="1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r>
      <w:tr>
        <w:trPr>
          <w:trHeight w:val="118"/>
        </w:trPr>
        <w:tc>
          <w:tcPr>
            <w:tcW w:w="40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140" w:type="dxa"/>
            <w:vAlign w:val="bottom"/>
            <w:gridSpan w:val="4"/>
          </w:tcPr>
          <w:p>
            <w:pPr>
              <w:ind w:left="20"/>
              <w:spacing w:after="0" w:line="118"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r>
      <w:tr>
        <w:trPr>
          <w:trHeight w:val="179"/>
        </w:trPr>
        <w:tc>
          <w:tcPr>
            <w:tcW w:w="4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r>
      <w:tr>
        <w:trPr>
          <w:trHeight w:val="125"/>
        </w:trPr>
        <w:tc>
          <w:tcPr>
            <w:tcW w:w="40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gridSpan w:val="4"/>
          </w:tcPr>
          <w:p>
            <w:pPr>
              <w:jc w:val="right"/>
              <w:ind w:right="200"/>
              <w:spacing w:after="0" w:line="125" w:lineRule="exact"/>
              <w:rPr>
                <w:sz w:val="20"/>
                <w:szCs w:val="20"/>
                <w:color w:val="auto"/>
              </w:rPr>
            </w:pPr>
            <w:r>
              <w:rPr>
                <w:rFonts w:ascii="Arial" w:cs="Arial" w:eastAsia="Arial" w:hAnsi="Arial"/>
                <w:sz w:val="14"/>
                <w:szCs w:val="14"/>
                <w:b w:val="1"/>
                <w:bCs w:val="1"/>
                <w:color w:val="auto"/>
              </w:rPr>
              <w:t>(Successor Company)</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r>
      <w:tr>
        <w:trPr>
          <w:trHeight w:val="165"/>
        </w:trPr>
        <w:tc>
          <w:tcPr>
            <w:tcW w:w="4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700" w:type="dxa"/>
            <w:vAlign w:val="bottom"/>
            <w:gridSpan w:val="2"/>
            <w:shd w:val="clear" w:color="auto" w:fill="CCEEFF"/>
          </w:tcPr>
          <w:p>
            <w:pPr>
              <w:ind w:left="15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(3,000)</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(2,156)</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(815)</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Addition to (reversal of) reserve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(2,100)</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(8,131)</w:t>
            </w:r>
          </w:p>
        </w:tc>
        <w:tc>
          <w:tcPr>
            <w:tcW w:w="180" w:type="dxa"/>
            <w:vAlign w:val="bottom"/>
          </w:tcPr>
          <w:p>
            <w:pPr>
              <w:spacing w:after="0"/>
              <w:rPr>
                <w:sz w:val="17"/>
                <w:szCs w:val="17"/>
                <w:color w:val="auto"/>
              </w:rPr>
            </w:pPr>
          </w:p>
        </w:tc>
        <w:tc>
          <w:tcPr>
            <w:tcW w:w="1420" w:type="dxa"/>
            <w:vAlign w:val="bottom"/>
            <w:tcBorders>
              <w:right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(3,660)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(1,895)</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made</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3,862</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7,351</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tcBorders>
              <w:right w:val="single" w:sz="8" w:color="auto"/>
            </w:tcBorders>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2,475</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1,161</w:t>
            </w:r>
          </w:p>
        </w:tc>
        <w:tc>
          <w:tcPr>
            <w:tcW w:w="60" w:type="dxa"/>
            <w:vAlign w:val="bottom"/>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(64)</w:t>
            </w:r>
          </w:p>
        </w:tc>
        <w:tc>
          <w:tcPr>
            <w:tcW w:w="180" w:type="dxa"/>
            <w:vAlign w:val="bottom"/>
          </w:tcPr>
          <w:p>
            <w:pPr>
              <w:spacing w:after="0"/>
              <w:rPr>
                <w:sz w:val="17"/>
                <w:szCs w:val="17"/>
                <w:color w:val="auto"/>
              </w:rPr>
            </w:pPr>
          </w:p>
        </w:tc>
        <w:tc>
          <w:tcPr>
            <w:tcW w:w="1420" w:type="dxa"/>
            <w:vAlign w:val="bottom"/>
            <w:tcBorders>
              <w:right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(156)</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7"/>
        </w:trPr>
        <w:tc>
          <w:tcPr>
            <w:tcW w:w="4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(1,450)</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(2,156)</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(815)</w:t>
            </w:r>
          </w:p>
        </w:tc>
      </w:tr>
      <w:tr>
        <w:trPr>
          <w:trHeight w:val="40"/>
        </w:trPr>
        <w:tc>
          <w:tcPr>
            <w:tcW w:w="40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740" w:type="dxa"/>
            <w:vAlign w:val="bottom"/>
            <w:tcBorders>
              <w:top w:val="single" w:sz="8" w:color="auto"/>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337"/>
        </w:trPr>
        <w:tc>
          <w:tcPr>
            <w:tcW w:w="4000" w:type="dxa"/>
            <w:vAlign w:val="bottom"/>
          </w:tcPr>
          <w:p>
            <w:pPr>
              <w:spacing w:after="0"/>
              <w:rPr>
                <w:sz w:val="24"/>
                <w:szCs w:val="24"/>
                <w:color w:val="auto"/>
              </w:rPr>
            </w:pPr>
          </w:p>
        </w:tc>
        <w:tc>
          <w:tcPr>
            <w:tcW w:w="2500" w:type="dxa"/>
            <w:vAlign w:val="bottom"/>
            <w:gridSpan w:val="4"/>
          </w:tcPr>
          <w:p>
            <w:pPr>
              <w:ind w:left="1540"/>
              <w:spacing w:after="0"/>
              <w:rPr>
                <w:sz w:val="20"/>
                <w:szCs w:val="20"/>
                <w:color w:val="auto"/>
              </w:rPr>
            </w:pPr>
            <w:r>
              <w:rPr>
                <w:rFonts w:ascii="Arial" w:cs="Arial" w:eastAsia="Arial" w:hAnsi="Arial"/>
                <w:sz w:val="18"/>
                <w:szCs w:val="18"/>
                <w:color w:val="auto"/>
              </w:rPr>
              <w:t>F-18</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low yield compensation reserve for each period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r>
      <w:tr>
        <w:trPr>
          <w:trHeight w:val="159"/>
        </w:trPr>
        <w:tc>
          <w:tcPr>
            <w:tcW w:w="4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3"/>
                <w:szCs w:val="13"/>
                <w:color w:val="auto"/>
              </w:rPr>
            </w:pPr>
          </w:p>
        </w:tc>
        <w:tc>
          <w:tcPr>
            <w:tcW w:w="1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r>
      <w:tr>
        <w:trPr>
          <w:trHeight w:val="118"/>
        </w:trPr>
        <w:tc>
          <w:tcPr>
            <w:tcW w:w="4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gridSpan w:val="4"/>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r>
      <w:tr>
        <w:trPr>
          <w:trHeight w:val="179"/>
        </w:trPr>
        <w:tc>
          <w:tcPr>
            <w:tcW w:w="4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r>
      <w:tr>
        <w:trPr>
          <w:trHeight w:val="125"/>
        </w:trPr>
        <w:tc>
          <w:tcPr>
            <w:tcW w:w="4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gridSpan w:val="4"/>
          </w:tcPr>
          <w:p>
            <w:pPr>
              <w:jc w:val="right"/>
              <w:ind w:right="120"/>
              <w:spacing w:after="0" w:line="125" w:lineRule="exact"/>
              <w:rPr>
                <w:sz w:val="20"/>
                <w:szCs w:val="20"/>
                <w:color w:val="auto"/>
              </w:rPr>
            </w:pPr>
            <w:r>
              <w:rPr>
                <w:rFonts w:ascii="Arial" w:cs="Arial" w:eastAsia="Arial" w:hAnsi="Arial"/>
                <w:sz w:val="14"/>
                <w:szCs w:val="14"/>
                <w:b w:val="1"/>
                <w:bCs w:val="1"/>
                <w:color w:val="auto"/>
              </w:rPr>
              <w:t>(Successor Company)</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r>
      <w:tr>
        <w:trPr>
          <w:trHeight w:val="165"/>
        </w:trPr>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(2,666)</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(2,911)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(2,874)</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Addition to (reversal of) reserve</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(4,117)</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(4,747)</w:t>
            </w:r>
          </w:p>
        </w:tc>
        <w:tc>
          <w:tcPr>
            <w:tcW w:w="18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600"/>
              <w:spacing w:after="0" w:line="202" w:lineRule="exact"/>
              <w:rPr>
                <w:sz w:val="20"/>
                <w:szCs w:val="20"/>
                <w:color w:val="auto"/>
              </w:rPr>
            </w:pPr>
            <w:r>
              <w:rPr>
                <w:rFonts w:ascii="Arial" w:cs="Arial" w:eastAsia="Arial" w:hAnsi="Arial"/>
                <w:sz w:val="18"/>
                <w:szCs w:val="18"/>
                <w:color w:val="auto"/>
              </w:rPr>
              <w:t>(2,260)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(4,430)</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made</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4,520</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5,059</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2,533</w:t>
            </w:r>
          </w:p>
        </w:tc>
        <w:tc>
          <w:tcPr>
            <w:tcW w:w="66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1,584</w:t>
            </w:r>
          </w:p>
        </w:tc>
        <w:tc>
          <w:tcPr>
            <w:tcW w:w="60" w:type="dxa"/>
            <w:vAlign w:val="bottom"/>
            <w:shd w:val="clear" w:color="auto" w:fill="CCEEFF"/>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(219)</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(67)</w:t>
            </w:r>
          </w:p>
        </w:tc>
        <w:tc>
          <w:tcPr>
            <w:tcW w:w="18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600"/>
              <w:spacing w:after="0" w:line="202" w:lineRule="exact"/>
              <w:rPr>
                <w:sz w:val="20"/>
                <w:szCs w:val="20"/>
                <w:color w:val="auto"/>
              </w:rPr>
            </w:pPr>
            <w:r>
              <w:rPr>
                <w:rFonts w:ascii="Arial" w:cs="Arial" w:eastAsia="Arial" w:hAnsi="Arial"/>
                <w:sz w:val="18"/>
                <w:szCs w:val="18"/>
                <w:color w:val="auto"/>
              </w:rPr>
              <w:t>(310)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7"/>
        </w:trPr>
        <w:tc>
          <w:tcPr>
            <w:tcW w:w="4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(2,482)</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(2,666)</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(2,911)</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(2,874)</w:t>
            </w:r>
          </w:p>
        </w:tc>
      </w:tr>
      <w:tr>
        <w:trPr>
          <w:trHeight w:val="20"/>
        </w:trPr>
        <w:tc>
          <w:tcPr>
            <w:tcW w:w="4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as of December 31, 2006 and 2005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3"/>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16,169</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28,414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Semi-finished goods and work-in-process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39,492</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60,095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11,774</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Materials in-transit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(11,652)</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57,846</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580"/>
              <w:spacing w:after="0"/>
              <w:rPr>
                <w:sz w:val="20"/>
                <w:szCs w:val="20"/>
                <w:color w:val="auto"/>
              </w:rPr>
            </w:pPr>
            <w:r>
              <w:rPr>
                <w:rFonts w:ascii="Arial" w:cs="Arial" w:eastAsia="Arial" w:hAnsi="Arial"/>
                <w:sz w:val="18"/>
                <w:szCs w:val="18"/>
                <w:color w:val="auto"/>
                <w:w w:val="96"/>
              </w:rPr>
              <w:t>Changes in valuation allowances for each period are as follows: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Three months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59"/>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6"/>
          </w:tcPr>
          <w:p>
            <w:pPr>
              <w:jc w:val="right"/>
              <w:ind w:right="780"/>
              <w:spacing w:after="0" w:line="149" w:lineRule="exact"/>
              <w:rPr>
                <w:sz w:val="20"/>
                <w:szCs w:val="20"/>
                <w:color w:val="auto"/>
              </w:rPr>
            </w:pPr>
            <w:r>
              <w:rPr>
                <w:rFonts w:ascii="Arial" w:cs="Arial" w:eastAsia="Arial" w:hAnsi="Arial"/>
                <w:sz w:val="14"/>
                <w:szCs w:val="14"/>
                <w:b w:val="1"/>
                <w:bCs w:val="1"/>
                <w:color w:val="auto"/>
                <w:w w:val="99"/>
              </w:rPr>
              <w:t>Year ended December 31</w:t>
            </w:r>
          </w:p>
        </w:tc>
        <w:tc>
          <w:tcPr>
            <w:tcW w:w="2020" w:type="dxa"/>
            <w:vAlign w:val="bottom"/>
            <w:gridSpan w:val="6"/>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18"/>
        </w:trPr>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20" w:type="dxa"/>
            <w:vAlign w:val="bottom"/>
            <w:gridSpan w:val="6"/>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96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79"/>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5"/>
                <w:szCs w:val="15"/>
                <w:color w:val="auto"/>
              </w:rPr>
            </w:pP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4"/>
          </w:tcPr>
          <w:p>
            <w:pPr>
              <w:jc w:val="right"/>
              <w:ind w:right="140"/>
              <w:spacing w:after="0" w:line="125" w:lineRule="exact"/>
              <w:rPr>
                <w:sz w:val="20"/>
                <w:szCs w:val="20"/>
                <w:color w:val="auto"/>
              </w:rPr>
            </w:pPr>
            <w:r>
              <w:rPr>
                <w:rFonts w:ascii="Arial" w:cs="Arial" w:eastAsia="Arial" w:hAnsi="Arial"/>
                <w:sz w:val="14"/>
                <w:szCs w:val="14"/>
                <w:b w:val="1"/>
                <w:bCs w:val="1"/>
                <w:color w:val="auto"/>
              </w:rPr>
              <w:t>(Successor Company)</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(7,612)</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(6,274)</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Loss on valuation</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(10,212)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(2,816)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4"/>
              </w:rPr>
              <w:t>(6,339)</w:t>
            </w:r>
          </w:p>
        </w:tc>
        <w:tc>
          <w:tcPr>
            <w:tcW w:w="32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 off</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1,627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383</w:t>
            </w:r>
          </w:p>
        </w:tc>
        <w:tc>
          <w:tcPr>
            <w:tcW w:w="320" w:type="dxa"/>
            <w:vAlign w:val="bottom"/>
            <w:tcBorders>
              <w:right w:val="single" w:sz="8" w:color="auto"/>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(318)</w:t>
            </w:r>
          </w:p>
        </w:tc>
        <w:tc>
          <w:tcPr>
            <w:tcW w:w="32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(11,652)</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(7,612)</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4"/>
              </w:rPr>
              <w:t>(6,274)</w:t>
            </w:r>
          </w:p>
        </w:tc>
        <w:tc>
          <w:tcPr>
            <w:tcW w:w="320" w:type="dxa"/>
            <w:vAlign w:val="bottom"/>
            <w:tcBorders>
              <w:right w:val="single" w:sz="8" w:color="auto"/>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55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F-19</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plant and equipment as of December 31, 2006 and 2005 are comprised of the following:</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Buildings and related structures</w:t>
            </w:r>
          </w:p>
        </w:tc>
        <w:tc>
          <w:tcPr>
            <w:tcW w:w="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162,383</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149,236</w:t>
            </w:r>
          </w:p>
        </w:tc>
        <w:tc>
          <w:tcPr>
            <w:tcW w:w="60" w:type="dxa"/>
            <w:vAlign w:val="bottom"/>
            <w:shd w:val="clear" w:color="auto" w:fill="CCEEFF"/>
          </w:tcPr>
          <w:p>
            <w:pPr>
              <w:spacing w:after="0"/>
              <w:rPr>
                <w:sz w:val="17"/>
                <w:szCs w:val="17"/>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369,683</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472,388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 and others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42,772</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32,438</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574,838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654,062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(252,814)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(181,806)</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Land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12,481</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11,492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in-progress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1,774</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1,329</w:t>
            </w:r>
          </w:p>
        </w:tc>
        <w:tc>
          <w:tcPr>
            <w:tcW w:w="60" w:type="dxa"/>
            <w:vAlign w:val="bottom"/>
            <w:shd w:val="clear" w:color="auto" w:fill="CCEEFF"/>
          </w:tcPr>
          <w:p>
            <w:pPr>
              <w:spacing w:after="0"/>
              <w:rPr>
                <w:sz w:val="17"/>
                <w:szCs w:val="17"/>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336,279</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Aggregate depreciation expenses totaled $153,245 thousand and $157,678 thousand for the years ended December 31, 2006 and 2005, $34,421 thousand for the three-month period ended December 31, 2004 (successor company) and $261,640 thousand for the nine-month period ended September 30, 2004 (predecessor company), respectively. In addition, capitalized interest costs totaled $64 thousand and $144 thousand for the years ended December 31, 2006 and 2005, $53 thousand for the three-month period ended December 31, 2004 (successor company) and $334 thousand for the nine-month period ended September 30, 2004 (predecessor company), respectively.</w:t>
      </w:r>
    </w:p>
    <w:p>
      <w:pPr>
        <w:spacing w:after="0" w:line="157" w:lineRule="exact"/>
        <w:rPr>
          <w:sz w:val="20"/>
          <w:szCs w:val="20"/>
          <w:color w:val="auto"/>
        </w:rPr>
      </w:pPr>
    </w:p>
    <w:p>
      <w:pPr>
        <w:ind w:right="500" w:firstLine="571"/>
        <w:spacing w:after="0" w:line="239" w:lineRule="auto"/>
        <w:rPr>
          <w:sz w:val="20"/>
          <w:szCs w:val="20"/>
          <w:color w:val="auto"/>
        </w:rPr>
      </w:pPr>
      <w:r>
        <w:rPr>
          <w:rFonts w:ascii="Arial" w:cs="Arial" w:eastAsia="Arial" w:hAnsi="Arial"/>
          <w:sz w:val="18"/>
          <w:szCs w:val="18"/>
          <w:color w:val="auto"/>
        </w:rPr>
        <w:t>Property, plant and equipment are pledged as collateral for our senior secured revolving credit facility and our Second Priority Senior Secured Notes to a maximum of $780 million as of December 31,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Intangible assets at December 31, 2006 and 2005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w:t>
            </w:r>
          </w:p>
        </w:tc>
        <w:tc>
          <w:tcPr>
            <w:tcW w:w="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21,289</w:t>
            </w: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23,911</w:t>
            </w:r>
          </w:p>
        </w:tc>
        <w:tc>
          <w:tcPr>
            <w:tcW w:w="60" w:type="dxa"/>
            <w:vAlign w:val="bottom"/>
            <w:shd w:val="clear" w:color="auto" w:fill="CCEEFF"/>
          </w:tcPr>
          <w:p>
            <w:pPr>
              <w:spacing w:after="0"/>
              <w:rPr>
                <w:sz w:val="17"/>
                <w:szCs w:val="17"/>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170,209</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193,958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15,095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7"/>
                <w:szCs w:val="17"/>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Intellectual property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9,742</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10,969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(76,606)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(52,544)</w:t>
            </w:r>
          </w:p>
        </w:tc>
      </w:tr>
      <w:tr>
        <w:trPr>
          <w:trHeight w:val="20"/>
        </w:trPr>
        <w:tc>
          <w:tcPr>
            <w:tcW w:w="7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139,729</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Aggregate amortization expenses for intangible assets totaled $35,315 thousand and $45,251 thousand for the years ended December 31, 2006 and 2005, $11,434 thousand for the three-month period ended December 31, 2004 (successor company) and $5,222 thousand for the nine-month period ended September 30, 2004 (predecessor company), respectively. The estimated aggregate amortization expense of intangible assets for the next five years is $29,334 thousand in 2007, $26,477 thousand in 2008, $17,725 thousand in 2009, $16,252 thousand in 2010 and $13,602 thousand in 2011.</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459" w:right="3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Intangible assets are pledged as collateral for our senior secured revolving credit facility and our Second Priority Senior Secured Notes as of December 31,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Product Warranties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accrued warranty liabilities for each period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vMerge w:val="restart"/>
          </w:tcPr>
          <w:p>
            <w:pPr>
              <w:jc w:val="right"/>
              <w:ind w:right="1072"/>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20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gridSpan w:val="5"/>
            <w:vMerge w:val="restart"/>
          </w:tcPr>
          <w:p>
            <w:pPr>
              <w:jc w:val="right"/>
              <w:ind w:right="1012"/>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9"/>
        </w:trPr>
        <w:tc>
          <w:tcPr>
            <w:tcW w:w="4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2005</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8"/>
              </w:rPr>
              <w:t>Company)</w:t>
            </w: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62"/>
              <w:spacing w:after="0" w:line="125" w:lineRule="exact"/>
              <w:rPr>
                <w:sz w:val="20"/>
                <w:szCs w:val="20"/>
                <w:color w:val="auto"/>
              </w:rPr>
            </w:pPr>
            <w:r>
              <w:rPr>
                <w:rFonts w:ascii="Arial" w:cs="Arial" w:eastAsia="Arial" w:hAnsi="Arial"/>
                <w:sz w:val="14"/>
                <w:szCs w:val="14"/>
                <w:b w:val="1"/>
                <w:bCs w:val="1"/>
                <w:color w:val="auto"/>
              </w:rPr>
              <w:t>(Successor</w:t>
            </w:r>
          </w:p>
        </w:tc>
        <w:tc>
          <w:tcPr>
            <w:tcW w:w="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2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$ 1,448</w:t>
            </w:r>
          </w:p>
        </w:tc>
        <w:tc>
          <w:tcPr>
            <w:tcW w:w="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74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Addition to (reversal of) warranty reserve</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(340)</w:t>
            </w:r>
          </w:p>
        </w:tc>
        <w:tc>
          <w:tcPr>
            <w:tcW w:w="1600" w:type="dxa"/>
            <w:vAlign w:val="bottom"/>
            <w:gridSpan w:val="3"/>
          </w:tcPr>
          <w:p>
            <w:pPr>
              <w:jc w:val="right"/>
              <w:ind w:right="512"/>
              <w:spacing w:after="0" w:line="202" w:lineRule="exact"/>
              <w:rPr>
                <w:sz w:val="20"/>
                <w:szCs w:val="20"/>
                <w:color w:val="auto"/>
              </w:rPr>
            </w:pPr>
            <w:r>
              <w:rPr>
                <w:rFonts w:ascii="Arial" w:cs="Arial" w:eastAsia="Arial" w:hAnsi="Arial"/>
                <w:sz w:val="18"/>
                <w:szCs w:val="18"/>
                <w:color w:val="auto"/>
              </w:rPr>
              <w:t>1,362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right w:val="single" w:sz="8" w:color="auto"/>
            </w:tcBorders>
            <w:gridSpan w:val="2"/>
          </w:tcPr>
          <w:p>
            <w:pPr>
              <w:jc w:val="right"/>
              <w:ind w:right="680"/>
              <w:spacing w:after="0" w:line="202" w:lineRule="exact"/>
              <w:rPr>
                <w:sz w:val="20"/>
                <w:szCs w:val="20"/>
                <w:color w:val="auto"/>
              </w:rPr>
            </w:pPr>
            <w:r>
              <w:rPr>
                <w:rFonts w:ascii="Arial" w:cs="Arial" w:eastAsia="Arial" w:hAnsi="Arial"/>
                <w:sz w:val="18"/>
                <w:szCs w:val="18"/>
                <w:color w:val="auto"/>
              </w:rPr>
              <w:t>(977)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made</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(647)</w:t>
            </w:r>
          </w:p>
        </w:tc>
        <w:tc>
          <w:tcPr>
            <w:tcW w:w="1600" w:type="dxa"/>
            <w:vAlign w:val="bottom"/>
            <w:gridSpan w:val="3"/>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(1,804)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tcBorders>
              <w:right w:val="single" w:sz="8" w:color="auto"/>
            </w:tcBorders>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(477)</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0"/>
        </w:trPr>
        <w:tc>
          <w:tcPr>
            <w:tcW w:w="448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7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$ 1,036</w:t>
            </w:r>
          </w:p>
        </w:tc>
        <w:tc>
          <w:tcPr>
            <w:tcW w:w="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1,448</w:t>
            </w:r>
          </w:p>
        </w:tc>
        <w:tc>
          <w:tcPr>
            <w:tcW w:w="74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Borrowings</w:t>
      </w:r>
    </w:p>
    <w:p>
      <w:pPr>
        <w:spacing w:after="0" w:line="99" w:lineRule="exact"/>
        <w:rPr>
          <w:sz w:val="20"/>
          <w:szCs w:val="20"/>
          <w:color w:val="auto"/>
        </w:rPr>
      </w:pPr>
    </w:p>
    <w:p>
      <w:pPr>
        <w:ind w:right="160" w:firstLine="571"/>
        <w:spacing w:after="0" w:line="281" w:lineRule="auto"/>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 $500 million aggregate principal amount of Second Priority Senior Secured Notes consisting of $300 million aggregate principal</w:t>
      </w:r>
    </w:p>
    <w:p>
      <w:pPr>
        <w:spacing w:after="0" w:line="1" w:lineRule="exact"/>
        <w:rPr>
          <w:sz w:val="20"/>
          <w:szCs w:val="20"/>
          <w:color w:val="auto"/>
        </w:rPr>
      </w:pPr>
    </w:p>
    <w:p>
      <w:pPr>
        <w:ind w:right="520"/>
        <w:spacing w:after="0" w:line="234" w:lineRule="auto"/>
        <w:rPr>
          <w:sz w:val="20"/>
          <w:szCs w:val="20"/>
          <w:color w:val="auto"/>
        </w:rPr>
      </w:pPr>
      <w:r>
        <w:rPr>
          <w:rFonts w:ascii="Arial" w:cs="Arial" w:eastAsia="Arial" w:hAnsi="Arial"/>
          <w:sz w:val="17"/>
          <w:szCs w:val="17"/>
          <w:color w:val="auto"/>
        </w:rPr>
        <w:t xml:space="preserve">amount of Floating Rate Second Priority Senior Secured Notes and $200 million aggregate principal amount of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At the same time, such subsidiaries issued $250 million aggregate principal amount of 8% Senior Subordinated Notes.</w:t>
      </w:r>
    </w:p>
    <w:p>
      <w:pPr>
        <w:spacing w:after="0" w:line="195" w:lineRule="exact"/>
        <w:rPr>
          <w:sz w:val="20"/>
          <w:szCs w:val="20"/>
          <w:color w:val="auto"/>
        </w:rPr>
      </w:pPr>
    </w:p>
    <w:p>
      <w:pPr>
        <w:jc w:val="both"/>
        <w:ind w:right="60" w:firstLine="571"/>
        <w:spacing w:after="0" w:line="238" w:lineRule="auto"/>
        <w:rPr>
          <w:sz w:val="20"/>
          <w:szCs w:val="20"/>
          <w:color w:val="auto"/>
        </w:rPr>
      </w:pPr>
      <w:r>
        <w:rPr>
          <w:rFonts w:ascii="Arial" w:cs="Arial" w:eastAsia="Arial" w:hAnsi="Arial"/>
          <w:sz w:val="18"/>
          <w:szCs w:val="18"/>
          <w:color w:val="auto"/>
        </w:rPr>
        <w:t>Concurrently with the issuance of the Second Priority Senior Secured Notes, the Company entered into a new senior credit agreement with a syndicate of banks, financial institutions and other entities providing for a $100 million senior secured revolving credit facility. Interest is charged at current rates when drawn upon.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Details of long-term borrowings as of December 31, 2006 and 2005 are presented as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Amount of</w:t>
            </w:r>
          </w:p>
        </w:tc>
      </w:tr>
      <w:tr>
        <w:trPr>
          <w:trHeight w:val="165"/>
        </w:trPr>
        <w:tc>
          <w:tcPr>
            <w:tcW w:w="684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Annual interest rate (%)</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principal</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Floating Rate Second Priority Senior Secured Notes</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2011</w:t>
            </w:r>
          </w:p>
        </w:tc>
        <w:tc>
          <w:tcPr>
            <w:tcW w:w="2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3 month LIBOR + 3.250</w:t>
            </w:r>
          </w:p>
        </w:tc>
        <w:tc>
          <w:tcPr>
            <w:tcW w:w="4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300,000</w:t>
            </w: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2011</w:t>
            </w:r>
          </w:p>
        </w:tc>
        <w:tc>
          <w:tcPr>
            <w:tcW w:w="2320" w:type="dxa"/>
            <w:vAlign w:val="bottom"/>
          </w:tcPr>
          <w:p>
            <w:pPr>
              <w:jc w:val="center"/>
              <w:spacing w:after="0" w:line="202" w:lineRule="exact"/>
              <w:rPr>
                <w:sz w:val="20"/>
                <w:szCs w:val="20"/>
                <w:color w:val="auto"/>
              </w:rPr>
            </w:pPr>
            <w:r>
              <w:rPr>
                <w:rFonts w:ascii="Arial" w:cs="Arial" w:eastAsia="Arial" w:hAnsi="Arial"/>
                <w:sz w:val="18"/>
                <w:szCs w:val="18"/>
                <w:color w:val="auto"/>
                <w:w w:val="97"/>
              </w:rPr>
              <w:t>6.875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8% Senior Subordinated Notes</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2014</w:t>
            </w:r>
          </w:p>
        </w:tc>
        <w:tc>
          <w:tcPr>
            <w:tcW w:w="2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8.000</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r>
      <w:tr>
        <w:trPr>
          <w:trHeight w:val="210"/>
        </w:trPr>
        <w:tc>
          <w:tcPr>
            <w:tcW w:w="6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0"/>
        </w:trPr>
        <w:tc>
          <w:tcPr>
            <w:tcW w:w="6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senior secured revolving credit facility and Second Priority Senior Secured Notes are collateralized by substantially all of the assets of the Company. These notes will be paid in full upon maturity.</w:t>
      </w:r>
    </w:p>
    <w:p>
      <w:pPr>
        <w:spacing w:after="0" w:line="155"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55"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of December 31, 2006, the Company and all of its subsidiaries except for MagnaChip Semiconductor (Shanghai) Company Limited have jointly and severally guaranteed each series of the Second Priority Senior Secured Notes on a second priority senior secured basis. As of December 31, 2006, the Company and all of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Second Priority Senior Secured Notes and Senior Subordinated Notes.</w:t>
      </w:r>
    </w:p>
    <w:p>
      <w:pPr>
        <w:spacing w:after="0" w:line="156" w:lineRule="exact"/>
        <w:rPr>
          <w:sz w:val="20"/>
          <w:szCs w:val="20"/>
          <w:color w:val="auto"/>
        </w:rPr>
      </w:pPr>
    </w:p>
    <w:p>
      <w:pPr>
        <w:ind w:right="220" w:firstLine="571"/>
        <w:spacing w:after="0" w:line="234" w:lineRule="auto"/>
        <w:rPr>
          <w:sz w:val="20"/>
          <w:szCs w:val="20"/>
          <w:color w:val="auto"/>
        </w:rPr>
      </w:pPr>
      <w:r>
        <w:rPr>
          <w:rFonts w:ascii="Arial" w:cs="Arial" w:eastAsia="Arial" w:hAnsi="Arial"/>
          <w:sz w:val="18"/>
          <w:szCs w:val="18"/>
          <w:color w:val="auto"/>
        </w:rPr>
        <w:t>In connection with the issuance of the notes and obtaining of the credit facility, the Company capitalized certain costs and fees, which are being amortized using the effective interest method or straight-line method over their respective terms, 2009 to 2014. Amortization costs, which were included in interest expense in the accompanying statements of operations, amounted to $3,701 thousand, $3,432 thousand and</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$167 thousand for the years ended December 31, 2006 and 2005, and the three-month period ended December 31, 2004, respectively. The remaining capitalized costs as of December 31, 2006, 2005 and 2004 were $21,860 thousand, $25,113 thousand and $27,812 thousand, respectively. In addition, in connection with the repayment of the assumed debt from Hynix, the Company wrote off $4,084 thousand of previously capitalized financing fees for the three-month period ended December 31, 2004. These amounts have all been included in interest expense in the accompanying statement of operations.</w:t>
      </w:r>
    </w:p>
    <w:p>
      <w:pPr>
        <w:spacing w:after="0" w:line="157"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On December 29, 2006, the Company entered into the Fifth Amendment to Credit Agreement (as amended, the “Credit Agreement”), dated as of December 29, 2006 (the “Fifth Amendment”), with MagnaChip Semiconductor S.A. and MagnaChip Semiconductor Finance Company, as borrowers, the Subsidiary Guarantors party thereto, the Lenders party thereto (the “Lenders”), and UBS AG, Stamford Branch, as administrative agent and collateral agent (the “Agent”).</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Under the Fifth Amendment, among other things, (i) the Company agreed to furnish to the Agent and the Lenders (a) monthly liquidity and flash revenue reports along with an officer’s certificate, (b) monthly narrative reports and management’s discussion and analysis regarding the Company’s consolidated financial condition and results of operations, and (c) monthly reports regarding the cash accounts maintained by the Company and its subsidiaries; and (ii) the existing financial covenants set forth in Section 6.10 of the Credit Agreement were revised and additional financial covenants related to minimum EBITDA and liquidity requirements were added. The foregoing description does not purport to be complete and is qualified in its entirety by reference to the text of the Fifth Amendment, which is referenced herein as Exhibit 10.3.e to this report and is incorporated herein by reference.</w:t>
      </w:r>
    </w:p>
    <w:p>
      <w:pPr>
        <w:spacing w:after="0" w:line="155"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On March 26, 2007, the Company entered into the Sixth Amendment to Credit Agreement, dated as of March 26, 2007 (the “Sixth Amendment”), with MagnaChip Semiconductor S.A. and MagnaChip Semiconductor Finance Company, as borrowers, the Subsidiary Guarantors party thereto, the Lenders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party thereto, and the Agent. Under the Sixth Amendment, among other things, the existing financial covenants set forth in Section 6.10 of the Credit Agreement were revised to provide that authorized but unspent capital expenditures in a calendar quarter during 2007 carry over to increase the authorized limit on capital expenditures in successive quarters.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7"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based on the 3-month London Inter-bank Offering Rate (“LIBOR”) plus 3.25% to fixed interest rate on the Company’s Floating Rate Second Priority Senior Secured Notes (the “Notes”). This Swap will be in effect until 15 June, 2008.</w:t>
      </w:r>
    </w:p>
    <w:p>
      <w:pPr>
        <w:spacing w:after="0" w:line="136"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color w:val="auto"/>
        </w:rPr>
        <w:t xml:space="preserve">The Swap qualifies as a cash flow hedge under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52"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Changes in fair value of the Swap are recorded under other comprehensive income in the accompanying condensed consolidated financial statements. The Company recorded a decrease in the fair value of $193 thousand and an increase in the fair value of $4,534 thousand for the years ended December 31, 2006 and 2005, respectively. In addition, the Company recognized interest income of $2,944 thousand and interest expense of $550 thousand for the years ended December 31, 2006 and 2005, respectively, which represents the differences between fixed and variable rates.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Severance Benefits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accrued severance benefits for each period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r>
      <w:tr>
        <w:trPr>
          <w:trHeight w:val="159"/>
        </w:trPr>
        <w:tc>
          <w:tcPr>
            <w:tcW w:w="5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20" w:type="dxa"/>
            <w:vAlign w:val="bottom"/>
            <w:gridSpan w:val="6"/>
          </w:tcPr>
          <w:p>
            <w:pPr>
              <w:jc w:val="right"/>
              <w:ind w:right="64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3"/>
                <w:szCs w:val="13"/>
                <w:color w:val="auto"/>
              </w:rPr>
            </w:pPr>
          </w:p>
        </w:tc>
        <w:tc>
          <w:tcPr>
            <w:tcW w:w="17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r>
      <w:tr>
        <w:trPr>
          <w:trHeight w:val="118"/>
        </w:trPr>
        <w:tc>
          <w:tcPr>
            <w:tcW w:w="5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gridSpan w:val="4"/>
          </w:tcPr>
          <w:p>
            <w:pPr>
              <w:ind w:left="20"/>
              <w:spacing w:after="0" w:line="118"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r>
      <w:tr>
        <w:trPr>
          <w:trHeight w:val="179"/>
        </w:trPr>
        <w:tc>
          <w:tcPr>
            <w:tcW w:w="5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r>
      <w:tr>
        <w:trPr>
          <w:trHeight w:val="125"/>
        </w:trPr>
        <w:tc>
          <w:tcPr>
            <w:tcW w:w="5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4"/>
          </w:tcPr>
          <w:p>
            <w:pPr>
              <w:jc w:val="right"/>
              <w:ind w:right="40"/>
              <w:spacing w:after="0" w:line="125" w:lineRule="exact"/>
              <w:rPr>
                <w:sz w:val="20"/>
                <w:szCs w:val="20"/>
                <w:color w:val="auto"/>
              </w:rPr>
            </w:pPr>
            <w:r>
              <w:rPr>
                <w:rFonts w:ascii="Arial" w:cs="Arial" w:eastAsia="Arial" w:hAnsi="Arial"/>
                <w:sz w:val="14"/>
                <w:szCs w:val="14"/>
                <w:b w:val="1"/>
                <w:bCs w:val="1"/>
                <w:color w:val="auto"/>
              </w:rPr>
              <w:t>(Successor Company)</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r>
      <w:tr>
        <w:trPr>
          <w:trHeight w:val="165"/>
        </w:trPr>
        <w:tc>
          <w:tcPr>
            <w:tcW w:w="5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8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$ 56,967</w:t>
            </w: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52,925</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47,082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18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11,497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16,583</w:t>
            </w:r>
          </w:p>
        </w:tc>
        <w:tc>
          <w:tcPr>
            <w:tcW w:w="18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580"/>
              <w:spacing w:after="0" w:line="202" w:lineRule="exact"/>
              <w:rPr>
                <w:sz w:val="20"/>
                <w:szCs w:val="20"/>
                <w:color w:val="auto"/>
              </w:rPr>
            </w:pPr>
            <w:r>
              <w:rPr>
                <w:rFonts w:ascii="Arial" w:cs="Arial" w:eastAsia="Arial" w:hAnsi="Arial"/>
                <w:sz w:val="18"/>
                <w:szCs w:val="18"/>
                <w:color w:val="auto"/>
              </w:rPr>
              <w:t>3,397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15,352</w:t>
            </w:r>
          </w:p>
        </w:tc>
        <w:tc>
          <w:tcPr>
            <w:tcW w:w="60" w:type="dxa"/>
            <w:vAlign w:val="bottom"/>
          </w:tcPr>
          <w:p>
            <w:pPr>
              <w:spacing w:after="0"/>
              <w:rPr>
                <w:sz w:val="17"/>
                <w:szCs w:val="17"/>
                <w:color w:val="auto"/>
              </w:rPr>
            </w:pP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Transferred from acquired company</w:t>
            </w:r>
          </w:p>
        </w:tc>
        <w:tc>
          <w:tcPr>
            <w:tcW w:w="10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Severance payments</w:t>
            </w:r>
          </w:p>
        </w:tc>
        <w:tc>
          <w:tcPr>
            <w:tcW w:w="18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(8,589)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(13,831)</w:t>
            </w:r>
          </w:p>
        </w:tc>
        <w:tc>
          <w:tcPr>
            <w:tcW w:w="18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520"/>
              <w:spacing w:after="0" w:line="202" w:lineRule="exact"/>
              <w:rPr>
                <w:sz w:val="20"/>
                <w:szCs w:val="20"/>
                <w:color w:val="auto"/>
              </w:rPr>
            </w:pPr>
            <w:r>
              <w:rPr>
                <w:rFonts w:ascii="Arial" w:cs="Arial" w:eastAsia="Arial" w:hAnsi="Arial"/>
                <w:sz w:val="18"/>
                <w:szCs w:val="18"/>
                <w:color w:val="auto"/>
              </w:rPr>
              <w:t>(2,898)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(6,837)</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foreign currency translation</w:t>
            </w: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4,767</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5,344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1,473</w:t>
            </w:r>
          </w:p>
        </w:tc>
        <w:tc>
          <w:tcPr>
            <w:tcW w:w="60" w:type="dxa"/>
            <w:vAlign w:val="bottom"/>
            <w:shd w:val="clear" w:color="auto" w:fill="CCEEFF"/>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64,642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56,967</w:t>
            </w:r>
          </w:p>
        </w:tc>
        <w:tc>
          <w:tcPr>
            <w:tcW w:w="18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52,925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50,003</w:t>
            </w:r>
          </w:p>
        </w:tc>
        <w:tc>
          <w:tcPr>
            <w:tcW w:w="60" w:type="dxa"/>
            <w:vAlign w:val="bottom"/>
          </w:tcPr>
          <w:p>
            <w:pPr>
              <w:spacing w:after="0"/>
              <w:rPr>
                <w:sz w:val="18"/>
                <w:szCs w:val="18"/>
                <w:color w:val="auto"/>
              </w:rPr>
            </w:pP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Cumulative contributions to the National Pension Fund</w:t>
            </w:r>
          </w:p>
        </w:tc>
        <w:tc>
          <w:tcPr>
            <w:tcW w:w="18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(1,234)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(1,304)</w:t>
            </w:r>
          </w:p>
        </w:tc>
      </w:tr>
      <w:tr>
        <w:trPr>
          <w:trHeight w:val="203"/>
        </w:trPr>
        <w:tc>
          <w:tcPr>
            <w:tcW w:w="5120" w:type="dxa"/>
            <w:vAlign w:val="bottom"/>
          </w:tcPr>
          <w:p>
            <w:pPr>
              <w:ind w:left="440"/>
              <w:spacing w:after="0" w:line="202" w:lineRule="exact"/>
              <w:rPr>
                <w:sz w:val="20"/>
                <w:szCs w:val="20"/>
                <w:color w:val="auto"/>
              </w:rPr>
            </w:pPr>
            <w:r>
              <w:rPr>
                <w:rFonts w:ascii="Arial" w:cs="Arial" w:eastAsia="Arial" w:hAnsi="Arial"/>
                <w:sz w:val="18"/>
                <w:szCs w:val="18"/>
                <w:color w:val="auto"/>
              </w:rPr>
              <w:t>Group severance insurance plan</w:t>
            </w:r>
          </w:p>
        </w:tc>
        <w:tc>
          <w:tcPr>
            <w:tcW w:w="10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(943)</w:t>
            </w:r>
          </w:p>
        </w:tc>
        <w:tc>
          <w:tcPr>
            <w:tcW w:w="18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520"/>
              <w:spacing w:after="0" w:line="202" w:lineRule="exact"/>
              <w:rPr>
                <w:sz w:val="20"/>
                <w:szCs w:val="20"/>
                <w:color w:val="auto"/>
              </w:rPr>
            </w:pPr>
            <w:r>
              <w:rPr>
                <w:rFonts w:ascii="Arial" w:cs="Arial" w:eastAsia="Arial" w:hAnsi="Arial"/>
                <w:sz w:val="18"/>
                <w:szCs w:val="18"/>
                <w:color w:val="auto"/>
              </w:rPr>
              <w:t>(977)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(1,202)</w:t>
            </w: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$ 62,836</w:t>
            </w: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55,124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50,714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47,497</w:t>
            </w:r>
          </w:p>
        </w:tc>
        <w:tc>
          <w:tcPr>
            <w:tcW w:w="60" w:type="dxa"/>
            <w:vAlign w:val="bottom"/>
            <w:shd w:val="clear" w:color="auto" w:fill="CCEEFF"/>
          </w:tcPr>
          <w:p>
            <w:pPr>
              <w:spacing w:after="0"/>
              <w:rPr>
                <w:sz w:val="17"/>
                <w:szCs w:val="17"/>
                <w:color w:val="auto"/>
              </w:rPr>
            </w:pPr>
          </w:p>
        </w:tc>
      </w:tr>
      <w:tr>
        <w:trPr>
          <w:trHeight w:val="40"/>
        </w:trPr>
        <w:tc>
          <w:tcPr>
            <w:tcW w:w="5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337"/>
        </w:trPr>
        <w:tc>
          <w:tcPr>
            <w:tcW w:w="5120" w:type="dxa"/>
            <w:vAlign w:val="bottom"/>
          </w:tcPr>
          <w:p>
            <w:pPr>
              <w:spacing w:after="0"/>
              <w:rPr>
                <w:sz w:val="24"/>
                <w:szCs w:val="24"/>
                <w:color w:val="auto"/>
              </w:rPr>
            </w:pPr>
          </w:p>
        </w:tc>
        <w:tc>
          <w:tcPr>
            <w:tcW w:w="1860" w:type="dxa"/>
            <w:vAlign w:val="bottom"/>
            <w:gridSpan w:val="3"/>
          </w:tcPr>
          <w:p>
            <w:pPr>
              <w:jc w:val="right"/>
              <w:ind w:right="1080"/>
              <w:spacing w:after="0"/>
              <w:rPr>
                <w:sz w:val="20"/>
                <w:szCs w:val="20"/>
                <w:color w:val="auto"/>
              </w:rPr>
            </w:pPr>
            <w:r>
              <w:rPr>
                <w:rFonts w:ascii="Arial" w:cs="Arial" w:eastAsia="Arial" w:hAnsi="Arial"/>
                <w:sz w:val="18"/>
                <w:szCs w:val="18"/>
                <w:color w:val="auto"/>
              </w:rPr>
              <w:t>F-23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320" w:firstLine="571"/>
        <w:spacing w:after="0" w:line="238" w:lineRule="auto"/>
        <w:rPr>
          <w:sz w:val="20"/>
          <w:szCs w:val="20"/>
          <w:color w:val="auto"/>
        </w:rPr>
      </w:pPr>
      <w:r>
        <w:rPr>
          <w:rFonts w:ascii="Arial" w:cs="Arial" w:eastAsia="Arial" w:hAnsi="Arial"/>
          <w:sz w:val="18"/>
          <w:szCs w:val="18"/>
          <w:color w:val="auto"/>
        </w:rPr>
        <w:t>The severance benefits are funded approximately 2.79%, 3.24% and 4.18% as of December 31, 2006, 2005 and 2004, respectively, through severance insurance deposits for the payment of severance benefits, and the account is deducted from accrued severance benefits. In addition, the Company expects to pay the following future benefits to its employees upon their normal retirement ages:</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38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Severance benefit</w:t>
            </w: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2007 – 2008</w:t>
            </w: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 – 2016</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1,511</w:t>
            </w:r>
          </w:p>
        </w:tc>
      </w:tr>
    </w:tbl>
    <w:p>
      <w:pPr>
        <w:spacing w:after="0" w:line="165"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Unit</w:t>
      </w:r>
    </w:p>
    <w:p>
      <w:pPr>
        <w:spacing w:after="0" w:line="99" w:lineRule="exact"/>
        <w:rPr>
          <w:sz w:val="20"/>
          <w:szCs w:val="20"/>
          <w:color w:val="auto"/>
        </w:rPr>
      </w:pPr>
    </w:p>
    <w:p>
      <w:pPr>
        <w:ind w:right="440" w:firstLine="571"/>
        <w:spacing w:after="0" w:line="237" w:lineRule="auto"/>
        <w:rPr>
          <w:sz w:val="20"/>
          <w:szCs w:val="20"/>
          <w:color w:val="auto"/>
        </w:rPr>
      </w:pPr>
      <w:r>
        <w:rPr>
          <w:rFonts w:ascii="Arial" w:cs="Arial" w:eastAsia="Arial" w:hAnsi="Arial"/>
          <w:sz w:val="18"/>
          <w:szCs w:val="18"/>
          <w:color w:val="auto"/>
        </w:rPr>
        <w:t>The Company issued 49,727 units as Series A redeemable convertible preferred unit (the “Series A”) and 447,420 units as Series B redeemable convertible preferred unit (the “Series B”) on September 23, 2004 and additionally issued 364 units of Series A and 3,272 units of Series B on November 30, 2004, respectively. All of Series A were redeemed by cash on December 27, 2004 and parts of Series B were redeemed by cash on December 15, 2004 and December 27, 2004.</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Changes in Series B for the years ended December 31, 2006 and 2005 and for the three months ended December 31, 2004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9"/>
        </w:trPr>
        <w:tc>
          <w:tcPr>
            <w:tcW w:w="47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December 31, 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2005</w:t>
            </w: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7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7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Series A</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Beginning of period</w:t>
            </w:r>
          </w:p>
        </w:tc>
        <w:tc>
          <w:tcPr>
            <w:tcW w:w="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49,727</w:t>
            </w:r>
          </w:p>
        </w:tc>
        <w:tc>
          <w:tcPr>
            <w:tcW w:w="4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49,727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Issuance</w:t>
            </w:r>
          </w:p>
        </w:tc>
        <w:tc>
          <w:tcPr>
            <w:tcW w:w="7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Redemption</w:t>
            </w:r>
          </w:p>
        </w:tc>
        <w:tc>
          <w:tcPr>
            <w:tcW w:w="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(50,091)</w:t>
            </w:r>
          </w:p>
        </w:tc>
        <w:tc>
          <w:tcPr>
            <w:tcW w:w="18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(51,907)</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Accrual of preferred dividends</w:t>
            </w:r>
          </w:p>
        </w:tc>
        <w:tc>
          <w:tcPr>
            <w:tcW w:w="70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Series B</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Beginning of period</w:t>
            </w:r>
          </w:p>
        </w:tc>
        <w:tc>
          <w:tcPr>
            <w:tcW w:w="72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8"/>
              </w:rPr>
              <w:t>93,997</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106,462</w:t>
            </w:r>
          </w:p>
        </w:tc>
        <w:tc>
          <w:tcPr>
            <w:tcW w:w="220" w:type="dxa"/>
            <w:vAlign w:val="bottom"/>
          </w:tcPr>
          <w:p>
            <w:pPr>
              <w:spacing w:after="0"/>
              <w:rPr>
                <w:sz w:val="17"/>
                <w:szCs w:val="17"/>
                <w:color w:val="auto"/>
              </w:rPr>
            </w:pPr>
          </w:p>
        </w:tc>
        <w:tc>
          <w:tcPr>
            <w:tcW w:w="7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93,997</w:t>
            </w:r>
          </w:p>
        </w:tc>
        <w:tc>
          <w:tcPr>
            <w:tcW w:w="3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96,534</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447,420</w:t>
            </w:r>
          </w:p>
        </w:tc>
        <w:tc>
          <w:tcPr>
            <w:tcW w:w="4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447,420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Issuance</w:t>
            </w:r>
          </w:p>
        </w:tc>
        <w:tc>
          <w:tcPr>
            <w:tcW w:w="7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Redemption</w:t>
            </w:r>
          </w:p>
        </w:tc>
        <w:tc>
          <w:tcPr>
            <w:tcW w:w="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(356,695)</w:t>
            </w:r>
          </w:p>
        </w:tc>
        <w:tc>
          <w:tcPr>
            <w:tcW w:w="18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(365,770)</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Accrual of preferred dividends</w:t>
            </w:r>
          </w:p>
        </w:tc>
        <w:tc>
          <w:tcPr>
            <w:tcW w:w="70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10,912</w:t>
            </w:r>
          </w:p>
        </w:tc>
        <w:tc>
          <w:tcPr>
            <w:tcW w:w="2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9,928</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700" w:type="dxa"/>
            <w:vAlign w:val="bottom"/>
          </w:tcPr>
          <w:p>
            <w:pPr>
              <w:ind w:left="160"/>
              <w:spacing w:after="0"/>
              <w:rPr>
                <w:sz w:val="20"/>
                <w:szCs w:val="20"/>
                <w:color w:val="auto"/>
              </w:rPr>
            </w:pPr>
            <w:r>
              <w:rPr>
                <w:rFonts w:ascii="Arial" w:cs="Arial" w:eastAsia="Arial" w:hAnsi="Arial"/>
                <w:sz w:val="18"/>
                <w:szCs w:val="18"/>
                <w:color w:val="auto"/>
                <w:w w:val="94"/>
              </w:rPr>
              <w:t>93,997</w:t>
            </w:r>
          </w:p>
        </w:tc>
        <w:tc>
          <w:tcPr>
            <w:tcW w:w="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117,374</w:t>
            </w:r>
          </w:p>
        </w:tc>
        <w:tc>
          <w:tcPr>
            <w:tcW w:w="2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93,997</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106,462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93,997</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F-24</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9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outstanding Series B units are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is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7"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Holders of Series B receive dividends which are cumulative, whether or not earned or declared by the board of directors. The cumulative cash dividends accrue at the rate of 10% per unit per annum on the Series B original issue price, compounded semi-annually. Such dividends are payable in semi-annual installments in arrears commencing March 15,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97"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In the event of liquidation, the holders of Series B are entitled to receive, out of the assets of the Company legally available for distribution to its members, whether from capital, surplus or earnings, an amount equal to the Series B original issue price in cash per unit plus an amount equal to full cumulative dividends accrued and unpaid thereon to the date of final distribution, and no more. If the net assets of the Company are insufficient to pay the holders of all outstanding Series B and of any units ranking on a parity with the Series B, the full amounts to which they respectively shall be entitled, such assets, or the proceeds thereof, shall be distributed ratably among the holders of the Series B and any units ranking on a parity with the Series B in accordance with the amounts which would be payable on such distribution if the amount to which the holders of the Series B and any units ranking on a parity with the Series B are entitled were paid in full.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97"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As provided in Company Operating Agreement, the holders of Series B shall not be entitled to vote on any matter submitted to a vote of the Members, and not be entitled to notice of any meeting of Members.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24" w:lineRule="exact"/>
        <w:rPr>
          <w:sz w:val="20"/>
          <w:szCs w:val="20"/>
          <w:color w:val="auto"/>
        </w:rPr>
      </w:pPr>
    </w:p>
    <w:p>
      <w:pPr>
        <w:ind w:firstLine="571"/>
        <w:spacing w:after="0" w:line="221" w:lineRule="auto"/>
        <w:rPr>
          <w:sz w:val="20"/>
          <w:szCs w:val="20"/>
          <w:color w:val="auto"/>
        </w:rPr>
      </w:pPr>
      <w:r>
        <w:rPr>
          <w:rFonts w:ascii="Arial" w:cs="Arial" w:eastAsia="Arial" w:hAnsi="Arial"/>
          <w:sz w:val="18"/>
          <w:szCs w:val="18"/>
          <w:color w:val="auto"/>
        </w:rPr>
        <w:t>If any outstanding Series B remain outstanding on the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after issuance of the Series B, then the holders of a majority of the then outstanding Series B shall have the right to elect to have the Company redeem all outstanding Series B from funds legally available, at a price per unit equal to $1,000 plus an amount per unit equal to full cumulative dividends accrued and unpaid thereon to the redemption date.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420" w:firstLine="571"/>
        <w:spacing w:after="0" w:line="238" w:lineRule="auto"/>
        <w:rPr>
          <w:sz w:val="20"/>
          <w:szCs w:val="20"/>
          <w:color w:val="auto"/>
        </w:rPr>
      </w:pPr>
      <w:r>
        <w:rPr>
          <w:rFonts w:ascii="Arial" w:cs="Arial" w:eastAsia="Arial" w:hAnsi="Arial"/>
          <w:sz w:val="18"/>
          <w:szCs w:val="18"/>
          <w:color w:val="auto"/>
        </w:rPr>
        <w:t>Also the Series B may be redeemed from funds legally available, in whole or in part, at the election of the Company, expressed by resolution of the board of directors, at any time and from time to time at a price of $1,000 per unit plus any cumulative dividends accrued and unpaid.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Warrant</w:t>
      </w:r>
    </w:p>
    <w:p>
      <w:pPr>
        <w:spacing w:after="0" w:line="97"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In connection with the Original Acquisition, the Company issued a warrant, which is recorded as additional paid in capital, to Hynix, which enables Hynix to purchase 5,079,254 common units of the Company. The value of each warrant to purchase one common unit is $0.414, which was estimated using the Black-Scholes option pricing model using the following assumptions: fair value of $1.00 per unit; exercise price of $1.00 per unit; risk free rate of interest of 2.50%; volatility of 86%; dividend rate of 0%; and term of 2 years. This warrant expired unexercised in accordance with its terms on October 6, 2006.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Incentive Plans</w:t>
      </w:r>
    </w:p>
    <w:p>
      <w:pPr>
        <w:spacing w:after="0" w:line="99" w:lineRule="exact"/>
        <w:rPr>
          <w:sz w:val="20"/>
          <w:szCs w:val="20"/>
          <w:color w:val="auto"/>
        </w:rPr>
      </w:pPr>
    </w:p>
    <w:p>
      <w:pPr>
        <w:jc w:val="both"/>
        <w:ind w:right="80" w:firstLine="571"/>
        <w:spacing w:after="0" w:line="264" w:lineRule="auto"/>
        <w:rPr>
          <w:sz w:val="20"/>
          <w:szCs w:val="20"/>
          <w:color w:val="auto"/>
        </w:rPr>
      </w:pPr>
      <w:r>
        <w:rPr>
          <w:rFonts w:ascii="Arial" w:cs="Arial" w:eastAsia="Arial" w:hAnsi="Arial"/>
          <w:sz w:val="16"/>
          <w:szCs w:val="16"/>
          <w:color w:val="auto"/>
        </w:rPr>
        <w:t>The Company adopted two equity incentive plans effective October 6, 2004 and March 21, 2005, respectively, which are administered by the Compensation Committee designated by the board of directors. Employees, consultants and non-employee directors are eligible for the grant of options to purchase the Company’s common units or restricted common units subject to terms and conditions determined by the Committee.</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term of options in no event exceed ten years from the date of grant. As of December 31, 2006, an aggregate maximum of 7,890,864 common units were authorized and reserved for all future and outstanding grants of options.</w:t>
      </w:r>
    </w:p>
    <w:p>
      <w:pPr>
        <w:spacing w:after="0" w:line="155"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Unit options are generally granted with exercise prices of no less than the fair market value of the Company’s common units on the grant date. Generally, options vest and become exercisable in periodic installments, with 25% of the options vesting on the first anniversary of the grant date and 6.25% of options vesting on the last day of each calendar quarter thereafter. In most cases, the requisite service period, or the period during which a grantee is required to provide service in exchange for option grants, coincides with the vesting period.</w:t>
      </w:r>
    </w:p>
    <w:p>
      <w:pPr>
        <w:spacing w:after="0" w:line="15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Restricted units are issued upon the exercise of certain options to purchase restricted common units. Restricted units issued are subject to restrictions which generally lapse in installments over a four-year period.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20"/>
          </w:cols>
          <w:pgMar w:left="240" w:top="460"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The following summarizes unit option and restricted unit activities for the year ended December 31, 2006. At the date of grant, all options had an exercise price at or above the fair value of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Weighted</w:t>
            </w:r>
          </w:p>
        </w:tc>
        <w:tc>
          <w:tcPr>
            <w:tcW w:w="6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r>
      <w:tr>
        <w:trPr>
          <w:trHeight w:val="149"/>
        </w:trPr>
        <w:tc>
          <w:tcPr>
            <w:tcW w:w="5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average exercise</w:t>
            </w: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52"/>
        </w:trPr>
        <w:tc>
          <w:tcPr>
            <w:tcW w:w="5620" w:type="dxa"/>
            <w:vAlign w:val="bottom"/>
          </w:tcPr>
          <w:p>
            <w:pPr>
              <w:spacing w:after="0"/>
              <w:rPr>
                <w:sz w:val="13"/>
                <w:szCs w:val="13"/>
                <w:color w:val="auto"/>
              </w:rPr>
            </w:pPr>
          </w:p>
        </w:tc>
        <w:tc>
          <w:tcPr>
            <w:tcW w:w="166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7"/>
              </w:rPr>
              <w:t>Number of</w:t>
            </w: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price (in US</w:t>
            </w:r>
          </w:p>
        </w:tc>
        <w:tc>
          <w:tcPr>
            <w:tcW w:w="64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remaining</w:t>
            </w:r>
          </w:p>
        </w:tc>
      </w:tr>
      <w:tr>
        <w:trPr>
          <w:trHeight w:val="176"/>
        </w:trPr>
        <w:tc>
          <w:tcPr>
            <w:tcW w:w="5620" w:type="dxa"/>
            <w:vAlign w:val="bottom"/>
          </w:tcPr>
          <w:p>
            <w:pPr>
              <w:spacing w:after="0"/>
              <w:rPr>
                <w:sz w:val="15"/>
                <w:szCs w:val="15"/>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restricted stock</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options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dollars)</w:t>
            </w:r>
          </w:p>
        </w:tc>
        <w:tc>
          <w:tcPr>
            <w:tcW w:w="6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life</w:t>
            </w: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 2006</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1,726,062</w:t>
            </w:r>
          </w:p>
        </w:tc>
        <w:tc>
          <w:tcPr>
            <w:tcW w:w="6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3,780,643</w:t>
            </w:r>
          </w:p>
        </w:tc>
        <w:tc>
          <w:tcPr>
            <w:tcW w:w="6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1.6</w:t>
            </w:r>
          </w:p>
        </w:tc>
        <w:tc>
          <w:tcPr>
            <w:tcW w:w="6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66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w w:val="94"/>
              </w:rPr>
              <w:t>2,107,500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5"/>
              </w:rPr>
              <w:t>1.6</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46,063</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1.9</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Forfeited / Repurchased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409,348</w:t>
            </w:r>
          </w:p>
        </w:tc>
        <w:tc>
          <w:tcPr>
            <w:tcW w:w="660" w:type="dxa"/>
            <w:vAlign w:val="bottom"/>
          </w:tcPr>
          <w:p>
            <w:pPr>
              <w:spacing w:after="0"/>
              <w:rPr>
                <w:sz w:val="17"/>
                <w:szCs w:val="17"/>
                <w:color w:val="auto"/>
              </w:rPr>
            </w:pPr>
          </w:p>
        </w:tc>
        <w:tc>
          <w:tcPr>
            <w:tcW w:w="14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772,552</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5"/>
              </w:rPr>
              <w:t>1.5</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Released from restriction</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517,936</w:t>
            </w:r>
          </w:p>
        </w:tc>
        <w:tc>
          <w:tcPr>
            <w:tcW w:w="6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Outstanding at December 31, 2006</w:t>
            </w:r>
          </w:p>
        </w:tc>
        <w:tc>
          <w:tcPr>
            <w:tcW w:w="1000" w:type="dxa"/>
            <w:vAlign w:val="bottom"/>
          </w:tcPr>
          <w:p>
            <w:pPr>
              <w:jc w:val="right"/>
              <w:spacing w:after="0"/>
              <w:rPr>
                <w:sz w:val="20"/>
                <w:szCs w:val="20"/>
                <w:color w:val="auto"/>
              </w:rPr>
            </w:pPr>
            <w:r>
              <w:rPr>
                <w:rFonts w:ascii="Arial" w:cs="Arial" w:eastAsia="Arial" w:hAnsi="Arial"/>
                <w:sz w:val="18"/>
                <w:szCs w:val="18"/>
                <w:color w:val="auto"/>
              </w:rPr>
              <w:t>798,778</w:t>
            </w:r>
          </w:p>
        </w:tc>
        <w:tc>
          <w:tcPr>
            <w:tcW w:w="6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5,069,528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640" w:type="dxa"/>
            <w:vAlign w:val="bottom"/>
          </w:tcPr>
          <w:p>
            <w:pPr>
              <w:spacing w:after="0"/>
              <w:rPr>
                <w:sz w:val="18"/>
                <w:szCs w:val="18"/>
                <w:color w:val="auto"/>
              </w:rPr>
            </w:pPr>
          </w:p>
        </w:tc>
        <w:tc>
          <w:tcPr>
            <w:tcW w:w="980" w:type="dxa"/>
            <w:vAlign w:val="bottom"/>
          </w:tcPr>
          <w:p>
            <w:pPr>
              <w:ind w:left="260"/>
              <w:spacing w:after="0"/>
              <w:rPr>
                <w:sz w:val="20"/>
                <w:szCs w:val="20"/>
                <w:color w:val="auto"/>
              </w:rPr>
            </w:pPr>
            <w:r>
              <w:rPr>
                <w:rFonts w:ascii="Arial" w:cs="Arial" w:eastAsia="Arial" w:hAnsi="Arial"/>
                <w:sz w:val="18"/>
                <w:szCs w:val="18"/>
                <w:color w:val="auto"/>
                <w:w w:val="94"/>
              </w:rPr>
              <w:t>8.6 years</w:t>
            </w:r>
          </w:p>
        </w:tc>
      </w:tr>
      <w:tr>
        <w:trPr>
          <w:trHeight w:val="20"/>
        </w:trPr>
        <w:tc>
          <w:tcPr>
            <w:tcW w:w="5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2006</w:t>
            </w:r>
          </w:p>
        </w:tc>
        <w:tc>
          <w:tcPr>
            <w:tcW w:w="166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w w:val="94"/>
              </w:rPr>
              <w:t>1,588,000</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1.6</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94"/>
              </w:rPr>
              <w:t>7.9 years</w:t>
            </w:r>
          </w:p>
        </w:tc>
      </w:tr>
    </w:tbl>
    <w:p>
      <w:pPr>
        <w:spacing w:after="0" w:line="165"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Total unit option related compensation expense pursuant to SFAS No. 123(R) for the year ended December 31, 2006 was $243 thousand. As of December 31, 2006, there was $358 thousand of total unrecognized compensation cost related to unvested options, which is expected to be recognized over a weighted average future period of 1.2 years. Total fair value of options vested for the year ended December 31, 2006 is $167 thousand.</w:t>
      </w:r>
    </w:p>
    <w:p>
      <w:pPr>
        <w:spacing w:after="0" w:line="155"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40" w:type="dxa"/>
            <w:vAlign w:val="bottom"/>
          </w:tcPr>
          <w:p>
            <w:pPr>
              <w:spacing w:after="0"/>
              <w:rPr>
                <w:sz w:val="15"/>
                <w:szCs w:val="15"/>
                <w:color w:val="auto"/>
              </w:rPr>
            </w:pPr>
          </w:p>
        </w:tc>
        <w:tc>
          <w:tcPr>
            <w:tcW w:w="2640" w:type="dxa"/>
            <w:vAlign w:val="bottom"/>
            <w:gridSpan w:val="4"/>
          </w:tcPr>
          <w:p>
            <w:pPr>
              <w:ind w:left="80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Three months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vMerge w:val="restart"/>
          </w:tcPr>
          <w:p>
            <w:pPr>
              <w:jc w:val="center"/>
              <w:spacing w:after="0" w:line="118" w:lineRule="exact"/>
              <w:rPr>
                <w:sz w:val="20"/>
                <w:szCs w:val="20"/>
                <w:color w:val="auto"/>
              </w:rPr>
            </w:pPr>
            <w:r>
              <w:rPr>
                <w:rFonts w:ascii="Arial" w:cs="Arial" w:eastAsia="Arial" w:hAnsi="Arial"/>
                <w:sz w:val="12"/>
                <w:szCs w:val="12"/>
                <w:b w:val="1"/>
                <w:bCs w:val="1"/>
                <w:color w:val="auto"/>
              </w:rPr>
              <w:t>ended</w:t>
            </w:r>
          </w:p>
        </w:tc>
        <w:tc>
          <w:tcPr>
            <w:tcW w:w="4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060" w:type="dxa"/>
            <w:vAlign w:val="bottom"/>
            <w:vMerge w:val="restart"/>
          </w:tcPr>
          <w:p>
            <w:pPr>
              <w:jc w:val="center"/>
              <w:spacing w:after="0" w:line="118"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71"/>
        </w:trPr>
        <w:tc>
          <w:tcPr>
            <w:tcW w:w="594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59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3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780" w:type="dxa"/>
            <w:vAlign w:val="bottom"/>
            <w:gridSpan w:val="2"/>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125"/>
        </w:trPr>
        <w:tc>
          <w:tcPr>
            <w:tcW w:w="5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7"/>
              </w:rPr>
              <w:t>(Successor Company)</w:t>
            </w:r>
          </w:p>
        </w:tc>
        <w:tc>
          <w:tcPr>
            <w:tcW w:w="10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0" w:type="dxa"/>
            <w:vAlign w:val="bottom"/>
          </w:tcPr>
          <w:p>
            <w:pPr>
              <w:spacing w:after="0"/>
              <w:rPr>
                <w:sz w:val="1"/>
                <w:szCs w:val="1"/>
                <w:color w:val="auto"/>
              </w:rPr>
            </w:pPr>
          </w:p>
        </w:tc>
      </w:tr>
      <w:tr>
        <w:trPr>
          <w:trHeight w:val="165"/>
        </w:trPr>
        <w:tc>
          <w:tcPr>
            <w:tcW w:w="5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Grant-date fair value of option (in US dollars)</w:t>
            </w: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$0.22</w:t>
            </w:r>
          </w:p>
        </w:tc>
        <w:tc>
          <w:tcPr>
            <w:tcW w:w="1320" w:type="dxa"/>
            <w:vAlign w:val="bottom"/>
            <w:gridSpan w:val="2"/>
            <w:shd w:val="clear" w:color="auto" w:fill="CCEEFF"/>
          </w:tcPr>
          <w:p>
            <w:pPr>
              <w:jc w:val="center"/>
              <w:ind w:left="277"/>
              <w:spacing w:after="0" w:line="202" w:lineRule="exact"/>
              <w:rPr>
                <w:sz w:val="20"/>
                <w:szCs w:val="20"/>
                <w:color w:val="auto"/>
              </w:rPr>
            </w:pPr>
            <w:r>
              <w:rPr>
                <w:rFonts w:ascii="Arial" w:cs="Arial" w:eastAsia="Arial" w:hAnsi="Arial"/>
                <w:sz w:val="18"/>
                <w:szCs w:val="18"/>
                <w:color w:val="auto"/>
                <w:w w:val="97"/>
              </w:rPr>
              <w:t>$0.22</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$0.38</w:t>
            </w:r>
          </w:p>
        </w:tc>
        <w:tc>
          <w:tcPr>
            <w:tcW w:w="460" w:type="dxa"/>
            <w:vAlign w:val="bottom"/>
            <w:tcBorders>
              <w:right w:val="single" w:sz="8" w:color="auto"/>
            </w:tcBorders>
            <w:shd w:val="clear" w:color="auto" w:fill="CCEEFF"/>
          </w:tcPr>
          <w:p>
            <w:pPr>
              <w:spacing w:after="0"/>
              <w:rPr>
                <w:sz w:val="17"/>
                <w:szCs w:val="17"/>
                <w:color w:val="auto"/>
              </w:rPr>
            </w:pPr>
          </w:p>
        </w:tc>
        <w:tc>
          <w:tcPr>
            <w:tcW w:w="1380" w:type="dxa"/>
            <w:vAlign w:val="bottom"/>
            <w:gridSpan w:val="2"/>
            <w:shd w:val="clear" w:color="auto" w:fill="CCEEFF"/>
          </w:tcPr>
          <w:p>
            <w:pPr>
              <w:jc w:val="center"/>
              <w:ind w:left="252"/>
              <w:spacing w:after="0" w:line="202" w:lineRule="exact"/>
              <w:rPr>
                <w:sz w:val="20"/>
                <w:szCs w:val="20"/>
                <w:color w:val="auto"/>
              </w:rPr>
            </w:pPr>
            <w:r>
              <w:rPr>
                <w:rFonts w:ascii="Arial" w:cs="Arial" w:eastAsia="Arial" w:hAnsi="Arial"/>
                <w:sz w:val="18"/>
                <w:szCs w:val="18"/>
                <w:color w:val="auto"/>
                <w:w w:val="97"/>
              </w:rPr>
              <w:t>$0.38</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Expected term</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5"/>
              </w:rPr>
              <w:t>2.3 Years</w:t>
            </w:r>
          </w:p>
        </w:tc>
        <w:tc>
          <w:tcPr>
            <w:tcW w:w="340" w:type="dxa"/>
            <w:vAlign w:val="bottom"/>
          </w:tcPr>
          <w:p>
            <w:pPr>
              <w:spacing w:after="0"/>
              <w:rPr>
                <w:sz w:val="17"/>
                <w:szCs w:val="17"/>
                <w:color w:val="auto"/>
              </w:rPr>
            </w:pPr>
          </w:p>
        </w:tc>
        <w:tc>
          <w:tcPr>
            <w:tcW w:w="132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5"/>
              </w:rPr>
              <w:t>2.1 Years</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3"/>
              </w:rPr>
              <w:t>2.2 Years</w:t>
            </w:r>
          </w:p>
        </w:tc>
        <w:tc>
          <w:tcPr>
            <w:tcW w:w="4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5"/>
              </w:rPr>
              <w:t>3.5 Years</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w:t>
            </w:r>
          </w:p>
        </w:tc>
        <w:tc>
          <w:tcPr>
            <w:tcW w:w="1320" w:type="dxa"/>
            <w:vAlign w:val="bottom"/>
            <w:gridSpan w:val="2"/>
            <w:shd w:val="clear" w:color="auto" w:fill="CCEEFF"/>
          </w:tcPr>
          <w:p>
            <w:pPr>
              <w:jc w:val="right"/>
              <w:ind w:right="162"/>
              <w:spacing w:after="0" w:line="202" w:lineRule="exact"/>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2"/>
              <w:spacing w:after="0" w:line="202" w:lineRule="exact"/>
              <w:rPr>
                <w:sz w:val="20"/>
                <w:szCs w:val="20"/>
                <w:color w:val="auto"/>
              </w:rPr>
            </w:pPr>
            <w:r>
              <w:rPr>
                <w:rFonts w:ascii="Arial" w:cs="Arial" w:eastAsia="Arial" w:hAnsi="Arial"/>
                <w:sz w:val="18"/>
                <w:szCs w:val="18"/>
                <w:color w:val="auto"/>
              </w:rPr>
              <w:t>2.6%</w:t>
            </w:r>
          </w:p>
        </w:tc>
        <w:tc>
          <w:tcPr>
            <w:tcW w:w="460" w:type="dxa"/>
            <w:vAlign w:val="bottom"/>
            <w:tcBorders>
              <w:right w:val="single" w:sz="8" w:color="auto"/>
            </w:tcBorders>
            <w:shd w:val="clear" w:color="auto" w:fill="CCEEFF"/>
          </w:tcPr>
          <w:p>
            <w:pPr>
              <w:spacing w:after="0"/>
              <w:rPr>
                <w:sz w:val="17"/>
                <w:szCs w:val="17"/>
                <w:color w:val="auto"/>
              </w:rPr>
            </w:pPr>
          </w:p>
        </w:tc>
        <w:tc>
          <w:tcPr>
            <w:tcW w:w="138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7"/>
              </w:rPr>
              <w:t>46.7%</w:t>
            </w:r>
          </w:p>
        </w:tc>
        <w:tc>
          <w:tcPr>
            <w:tcW w:w="1320" w:type="dxa"/>
            <w:vAlign w:val="bottom"/>
            <w:gridSpan w:val="2"/>
          </w:tcPr>
          <w:p>
            <w:pPr>
              <w:jc w:val="center"/>
              <w:ind w:left="257"/>
              <w:spacing w:after="0" w:line="202" w:lineRule="exact"/>
              <w:rPr>
                <w:sz w:val="20"/>
                <w:szCs w:val="20"/>
                <w:color w:val="auto"/>
              </w:rPr>
            </w:pPr>
            <w:r>
              <w:rPr>
                <w:rFonts w:ascii="Arial" w:cs="Arial" w:eastAsia="Arial" w:hAnsi="Arial"/>
                <w:sz w:val="18"/>
                <w:szCs w:val="18"/>
                <w:color w:val="auto"/>
                <w:w w:val="97"/>
              </w:rPr>
              <w:t>57.8%</w:t>
            </w:r>
          </w:p>
        </w:tc>
        <w:tc>
          <w:tcPr>
            <w:tcW w:w="34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7"/>
              </w:rPr>
              <w:t>64.8%</w:t>
            </w:r>
          </w:p>
        </w:tc>
        <w:tc>
          <w:tcPr>
            <w:tcW w:w="460" w:type="dxa"/>
            <w:vAlign w:val="bottom"/>
            <w:tcBorders>
              <w:right w:val="single" w:sz="8" w:color="auto"/>
            </w:tcBorders>
          </w:tcPr>
          <w:p>
            <w:pPr>
              <w:spacing w:after="0"/>
              <w:rPr>
                <w:sz w:val="17"/>
                <w:szCs w:val="17"/>
                <w:color w:val="auto"/>
              </w:rPr>
            </w:pPr>
          </w:p>
        </w:tc>
        <w:tc>
          <w:tcPr>
            <w:tcW w:w="1380" w:type="dxa"/>
            <w:vAlign w:val="bottom"/>
            <w:gridSpan w:val="2"/>
          </w:tcPr>
          <w:p>
            <w:pPr>
              <w:jc w:val="center"/>
              <w:ind w:left="252"/>
              <w:spacing w:after="0" w:line="202" w:lineRule="exact"/>
              <w:rPr>
                <w:sz w:val="20"/>
                <w:szCs w:val="20"/>
                <w:color w:val="auto"/>
              </w:rPr>
            </w:pPr>
            <w:r>
              <w:rPr>
                <w:rFonts w:ascii="Arial" w:cs="Arial" w:eastAsia="Arial" w:hAnsi="Arial"/>
                <w:sz w:val="18"/>
                <w:szCs w:val="18"/>
                <w:color w:val="auto"/>
                <w:w w:val="98"/>
              </w:rPr>
              <w:t>144.5%</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The total cash received from employees as a result of option exercises was $88 thousand, $112 thousand and $2,456 thousand for the years ended December 31, 2006 and 2005 and for the three months ended December 31, 2004, respectively. None of the options exercised during these periods had any intrinsic value.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firstLine="571"/>
        <w:spacing w:after="0" w:line="299" w:lineRule="auto"/>
        <w:rPr>
          <w:sz w:val="20"/>
          <w:szCs w:val="20"/>
          <w:color w:val="auto"/>
        </w:rPr>
      </w:pPr>
      <w:r>
        <w:rPr>
          <w:rFonts w:ascii="Arial" w:cs="Arial" w:eastAsia="Arial" w:hAnsi="Arial"/>
          <w:sz w:val="16"/>
          <w:szCs w:val="16"/>
          <w:color w:val="auto"/>
        </w:rPr>
        <w:t>The following presents pro forma net loss and per unit data as if the fair value based method had been applied to account for the unit-based compensation for the year ended December 31, 2005, three months ended December 31, 2004 and nine months ended September 30, 2004: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r>
      <w:tr>
        <w:trPr>
          <w:trHeight w:val="149"/>
        </w:trPr>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r>
      <w:tr>
        <w:trPr>
          <w:trHeight w:val="149"/>
        </w:trPr>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September 30,</w:t>
            </w:r>
          </w:p>
        </w:tc>
      </w:tr>
      <w:tr>
        <w:trPr>
          <w:trHeight w:val="178"/>
        </w:trPr>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r>
      <w:tr>
        <w:trPr>
          <w:trHeight w:val="126"/>
        </w:trPr>
        <w:tc>
          <w:tcPr>
            <w:tcW w:w="6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Borders>
              <w:right w:val="single" w:sz="8" w:color="auto"/>
            </w:tcBorders>
            <w:gridSpan w:val="6"/>
          </w:tcPr>
          <w:p>
            <w:pPr>
              <w:jc w:val="right"/>
              <w:ind w:right="1020"/>
              <w:spacing w:after="0" w:line="126" w:lineRule="exact"/>
              <w:rPr>
                <w:sz w:val="20"/>
                <w:szCs w:val="20"/>
                <w:color w:val="auto"/>
              </w:rPr>
            </w:pPr>
            <w:r>
              <w:rPr>
                <w:rFonts w:ascii="Arial" w:cs="Arial" w:eastAsia="Arial" w:hAnsi="Arial"/>
                <w:sz w:val="14"/>
                <w:szCs w:val="14"/>
                <w:b w:val="1"/>
                <w:bCs w:val="1"/>
                <w:color w:val="auto"/>
              </w:rPr>
              <w:t>(Successor Company)</w:t>
            </w:r>
          </w:p>
        </w:tc>
        <w:tc>
          <w:tcPr>
            <w:tcW w:w="420" w:type="dxa"/>
            <w:vAlign w:val="bottom"/>
          </w:tcPr>
          <w:p>
            <w:pPr>
              <w:spacing w:after="0"/>
              <w:rPr>
                <w:sz w:val="10"/>
                <w:szCs w:val="10"/>
                <w:color w:val="auto"/>
              </w:rPr>
            </w:pPr>
          </w:p>
        </w:tc>
        <w:tc>
          <w:tcPr>
            <w:tcW w:w="94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r>
      <w:tr>
        <w:trPr>
          <w:trHeight w:val="165"/>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as reported</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(100,898)</w:t>
            </w:r>
          </w:p>
        </w:tc>
        <w:tc>
          <w:tcPr>
            <w:tcW w:w="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(5,825)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7"/>
                <w:szCs w:val="17"/>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Dividends accrued on preferred units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9,928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00"/>
              <w:spacing w:after="0" w:line="202" w:lineRule="exact"/>
              <w:rPr>
                <w:sz w:val="20"/>
                <w:szCs w:val="20"/>
                <w:color w:val="auto"/>
              </w:rPr>
            </w:pPr>
            <w:r>
              <w:rPr>
                <w:rFonts w:ascii="Arial" w:cs="Arial" w:eastAsia="Arial" w:hAnsi="Arial"/>
                <w:sz w:val="18"/>
                <w:szCs w:val="18"/>
                <w:color w:val="auto"/>
              </w:rPr>
              <w:t>13,428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common units (owner)</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(110,826)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(19,253)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7"/>
                <w:szCs w:val="17"/>
                <w:color w:val="auto"/>
              </w:rPr>
            </w:pPr>
          </w:p>
        </w:tc>
      </w:tr>
      <w:tr>
        <w:trPr>
          <w:trHeight w:val="206"/>
        </w:trPr>
        <w:tc>
          <w:tcPr>
            <w:tcW w:w="6880" w:type="dxa"/>
            <w:vAlign w:val="bottom"/>
          </w:tcPr>
          <w:p>
            <w:pPr>
              <w:spacing w:after="0" w:line="206" w:lineRule="exact"/>
              <w:rPr>
                <w:sz w:val="20"/>
                <w:szCs w:val="20"/>
                <w:color w:val="auto"/>
              </w:rPr>
            </w:pPr>
            <w:r>
              <w:rPr>
                <w:rFonts w:ascii="Arial" w:cs="Arial" w:eastAsia="Arial" w:hAnsi="Arial"/>
                <w:sz w:val="18"/>
                <w:szCs w:val="18"/>
                <w:color w:val="auto"/>
              </w:rPr>
              <w:t>Add: unit(stock)-based compensation expense included in reported net income (loss),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6880" w:type="dxa"/>
            <w:vAlign w:val="bottom"/>
          </w:tcPr>
          <w:p>
            <w:pPr>
              <w:ind w:left="220"/>
              <w:spacing w:after="0" w:line="200" w:lineRule="exact"/>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80"/>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3,324</w:t>
            </w:r>
          </w:p>
        </w:tc>
        <w:tc>
          <w:tcPr>
            <w:tcW w:w="60" w:type="dxa"/>
            <w:vAlign w:val="bottom"/>
          </w:tcPr>
          <w:p>
            <w:pPr>
              <w:spacing w:after="0"/>
              <w:rPr>
                <w:sz w:val="17"/>
                <w:szCs w:val="17"/>
                <w:color w:val="auto"/>
              </w:rPr>
            </w:pPr>
          </w:p>
        </w:tc>
      </w:tr>
      <w:tr>
        <w:trPr>
          <w:trHeight w:val="206"/>
        </w:trPr>
        <w:tc>
          <w:tcPr>
            <w:tcW w:w="6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Deduct: unit(stock)-based compensation expense determined under the fair value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68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method, net of tax</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40"/>
              <w:spacing w:after="0" w:line="200" w:lineRule="exact"/>
              <w:rPr>
                <w:sz w:val="20"/>
                <w:szCs w:val="20"/>
                <w:color w:val="auto"/>
              </w:rPr>
            </w:pPr>
            <w:r>
              <w:rPr>
                <w:rFonts w:ascii="Arial" w:cs="Arial" w:eastAsia="Arial" w:hAnsi="Arial"/>
                <w:sz w:val="18"/>
                <w:szCs w:val="18"/>
                <w:color w:val="auto"/>
              </w:rPr>
              <w:t>(995)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(5,614)</w:t>
            </w:r>
          </w:p>
        </w:tc>
      </w:tr>
      <w:tr>
        <w:trPr>
          <w:trHeight w:val="20"/>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(111,237)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(20,248)</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40,947</w:t>
            </w:r>
          </w:p>
        </w:tc>
        <w:tc>
          <w:tcPr>
            <w:tcW w:w="6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reported loss per unit</w:t>
            </w:r>
          </w:p>
        </w:tc>
        <w:tc>
          <w:tcPr>
            <w:tcW w:w="40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(2.10)</w:t>
            </w:r>
          </w:p>
        </w:tc>
        <w:tc>
          <w:tcPr>
            <w:tcW w:w="4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(0.38)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Pro forma loss per unit</w:t>
            </w:r>
          </w:p>
        </w:tc>
        <w:tc>
          <w:tcPr>
            <w:tcW w:w="4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(2.10)</w:t>
            </w:r>
          </w:p>
        </w:tc>
        <w:tc>
          <w:tcPr>
            <w:tcW w:w="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(0.40)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65"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The pro forma presentation for the nine months ended September 30, 2004 is based on stock options granted by Hynix before the Original Acquisition. However, none of these options were transferred as part of the Original Acquisition.</w:t>
      </w:r>
    </w:p>
    <w:p>
      <w:pPr>
        <w:spacing w:after="0" w:line="214" w:lineRule="exact"/>
        <w:rPr>
          <w:sz w:val="20"/>
          <w:szCs w:val="20"/>
          <w:color w:val="auto"/>
        </w:rPr>
      </w:pPr>
    </w:p>
    <w:p>
      <w:pPr>
        <w:ind w:right="7720" w:firstLine="8"/>
        <w:spacing w:after="0" w:line="384" w:lineRule="auto"/>
        <w:tabs>
          <w:tab w:leader="none" w:pos="293"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and Impairment Charges </w:t>
      </w:r>
      <w:r>
        <w:rPr>
          <w:rFonts w:ascii="Arial" w:cs="Arial" w:eastAsia="Arial" w:hAnsi="Arial"/>
          <w:sz w:val="16"/>
          <w:szCs w:val="16"/>
          <w:b w:val="1"/>
          <w:bCs w:val="1"/>
          <w:i w:val="1"/>
          <w:iCs w:val="1"/>
          <w:color w:val="auto"/>
        </w:rPr>
        <w:t>2006 Restructuring and Impairment Charges</w:t>
      </w:r>
    </w:p>
    <w:p>
      <w:pPr>
        <w:ind w:right="60" w:firstLine="571"/>
        <w:spacing w:after="0" w:line="238" w:lineRule="auto"/>
        <w:rPr>
          <w:sz w:val="20"/>
          <w:szCs w:val="20"/>
          <w:color w:val="auto"/>
        </w:rPr>
      </w:pPr>
      <w:r>
        <w:rPr>
          <w:rFonts w:ascii="Arial" w:cs="Arial" w:eastAsia="Arial" w:hAnsi="Arial"/>
          <w:sz w:val="18"/>
          <w:szCs w:val="18"/>
          <w:color w:val="auto"/>
        </w:rPr>
        <w:t xml:space="preserve">During the year ended December 31, 2006, the Company recorded restructuring and impairment charges totaling $94,266 thousand, which included $92,858 thousand of impairment charges under SFAS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and $1,408 thousand of restructuring charges under SFAS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impairment charges of $92,540 thousand recorded during 2006 related to certain fixed assets and technology and customer-based intangible asset (the “asset group”) comprising our Imaging Solution business. At the end of fiscal year 2005, the capacity utilization of the Fab was under the level that we believe to be normal. This was primarily due to a transition in product mix coupled with a seasonal decrease in market demand, which was deemed to be temporary and recoverable. However, in 2006, our management determined, based on revised forecasting, that the projected demand for certain of its products was significantly less than previously forecasted and that this decline was not temporary or seasonal. Therefore, we assessed whether there had been a material impairment on the asset group pursuant to SFAS 144 and, based on the assessment, recorded impairment charges.</w:t>
      </w:r>
    </w:p>
    <w:p>
      <w:pPr>
        <w:spacing w:after="0" w:line="155"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The impairment charge was measured as the excess of the carrying value of the asset group over its fair value. The fair value of the asset group was estimated using a present value technique, where expected future cash flows from the use and eventual disposal of the asset group were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discounted by an interest rate commensurate with the risk of the cash flows. The net book value of the asset group before the impairment charges was approximately $185,985 thousand.</w:t>
      </w:r>
    </w:p>
    <w:p>
      <w:pPr>
        <w:spacing w:after="0" w:line="155"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In addition, the Company recorded an impairment charges in the amount of $318 thousand related to the disposition of certain assets previously designated as assets held-for-sale and $1,408 thousand of restructuring charges in connection with the termination of certain of our management and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Restructuring and Impairment Charges</w:t>
      </w:r>
    </w:p>
    <w:p>
      <w:pPr>
        <w:spacing w:after="0" w:line="97"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During the year ended December 31, 2005, the Company recorded $36,234 thousand of restructuring and impairment charges which included $33,576 thousand of asset impairments and $2,658 thousand of restructuring.</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In an effort to focus on its major business segments—Display Solutions, Imaging Solutions and Semiconductor Manufacturing Services, the Company made a strategic decision to divest its Application Processor business. Based on such decision, the Company recognized impairment charges on certain tangible and intangible assets related to the divesture. The impairment charge was measured as the excess of the carrying value of the asset group over the fair value measured at the selling price of the assets.</w:t>
      </w:r>
    </w:p>
    <w:p>
      <w:pPr>
        <w:spacing w:after="0" w:line="155"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In addition, the Company took a total of $2,658 thousand of restructuring charges which included early retirement costs and other related costs associated with the sale of Application Processor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 Expenses</w:t>
      </w:r>
    </w:p>
    <w:p>
      <w:pPr>
        <w:spacing w:after="0" w:line="99"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Company’s income tax expenses are composed of domestic and foreign income taxes depending on the relevant tax jurisdiction. For the Predecessor Company “Domestic” refers to the income before taxes, current income taxes and deferred income taxes generated or incurred in Korea. For the Successor Company, however, it refers to the income before taxes, current income taxes and deferred income taxes generated or incurred in the US, in which the ultimate parent of the Company resides.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income tax expense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81"/>
        </w:trPr>
        <w:tc>
          <w:tcPr>
            <w:tcW w:w="6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68"/>
        </w:trPr>
        <w:tc>
          <w:tcPr>
            <w:tcW w:w="6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gridSpan w:val="6"/>
            <w:vMerge w:val="restart"/>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190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31"/>
        </w:trPr>
        <w:tc>
          <w:tcPr>
            <w:tcW w:w="60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gridSpan w:val="4"/>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tcPr>
          <w:p>
            <w:pPr>
              <w:jc w:val="right"/>
              <w:ind w:right="20"/>
              <w:spacing w:after="0" w:line="125" w:lineRule="exact"/>
              <w:rPr>
                <w:sz w:val="20"/>
                <w:szCs w:val="20"/>
                <w:color w:val="auto"/>
              </w:rPr>
            </w:pPr>
            <w:r>
              <w:rPr>
                <w:rFonts w:ascii="Arial" w:cs="Arial" w:eastAsia="Arial" w:hAnsi="Arial"/>
                <w:sz w:val="14"/>
                <w:szCs w:val="14"/>
                <w:b w:val="1"/>
                <w:bCs w:val="1"/>
                <w:color w:val="auto"/>
                <w:w w:val="98"/>
              </w:rPr>
              <w:t>(Successor Company)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440"/>
              <w:spacing w:after="0" w:line="202" w:lineRule="exact"/>
              <w:rPr>
                <w:sz w:val="20"/>
                <w:szCs w:val="20"/>
                <w:color w:val="auto"/>
              </w:rPr>
            </w:pPr>
            <w:r>
              <w:rPr>
                <w:rFonts w:ascii="Arial" w:cs="Arial" w:eastAsia="Arial" w:hAnsi="Arial"/>
                <w:sz w:val="18"/>
                <w:szCs w:val="18"/>
                <w:color w:val="auto"/>
              </w:rPr>
              <w:t>Domestic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5,862</w:t>
            </w: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(3,528)</w:t>
            </w:r>
          </w:p>
        </w:tc>
        <w:tc>
          <w:tcPr>
            <w:tcW w:w="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3,136</w:t>
            </w:r>
          </w:p>
        </w:tc>
        <w:tc>
          <w:tcPr>
            <w:tcW w:w="5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48,660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5"/>
              </w:rPr>
              <w:t>(225,914)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5"/>
              </w:rPr>
              <w:t>(95,554)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(2,236)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(220,052)</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(99,082)</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w:t>
            </w:r>
          </w:p>
        </w:tc>
        <w:tc>
          <w:tcPr>
            <w:tcW w:w="5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taxes expenses (benefits)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440"/>
              <w:spacing w:after="0" w:line="202" w:lineRule="exact"/>
              <w:rPr>
                <w:sz w:val="20"/>
                <w:szCs w:val="20"/>
                <w:color w:val="auto"/>
              </w:rPr>
            </w:pPr>
            <w:r>
              <w:rPr>
                <w:rFonts w:ascii="Arial" w:cs="Arial" w:eastAsia="Arial" w:hAnsi="Arial"/>
                <w:sz w:val="18"/>
                <w:szCs w:val="18"/>
                <w:color w:val="auto"/>
              </w:rPr>
              <w:t>Domestic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w:t>
            </w:r>
          </w:p>
        </w:tc>
        <w:tc>
          <w:tcPr>
            <w:tcW w:w="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5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14,041</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6,459</w:t>
            </w: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14,032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6,725</w:t>
            </w:r>
          </w:p>
        </w:tc>
        <w:tc>
          <w:tcPr>
            <w:tcW w:w="5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expenses (benefits)</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440"/>
              <w:spacing w:after="0" w:line="202" w:lineRule="exact"/>
              <w:rPr>
                <w:sz w:val="20"/>
                <w:szCs w:val="20"/>
                <w:color w:val="auto"/>
              </w:rPr>
            </w:pPr>
            <w:r>
              <w:rPr>
                <w:rFonts w:ascii="Arial" w:cs="Arial" w:eastAsia="Arial" w:hAnsi="Arial"/>
                <w:sz w:val="18"/>
                <w:szCs w:val="18"/>
                <w:color w:val="auto"/>
              </w:rPr>
              <w:t>Domestic</w:t>
            </w:r>
          </w:p>
        </w:tc>
        <w:tc>
          <w:tcPr>
            <w:tcW w:w="12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5"/>
              </w:rPr>
              <w:t>(12,216)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(12,216)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income tax expenses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9,258</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4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6,725</w:t>
            </w: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ultimate parent of the Company is a limited liability company, a non-taxable entity for US tax purposes and thus the statutory income tax rate shall be zero. A substantial portion of the income tax expenses above is incurred from MagnaChip Korea, which is the principal operating entity within the Company. The statutory income tax rate of MagnaChip Korea, including tax surcharges, applicable to the Company was approximately 27.5% in 2006 and 2005, which was reduced from 29.7% in 2004 in accordance with the Corporate Income Tax Law as amended on December 31, 2003. MagnaChip Korea is eligible for tax exemption where its corporate income tax is reduced by 50% from 2004 to 2006 and 30% from 2007 to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260" w:firstLine="571"/>
        <w:spacing w:after="0" w:line="237" w:lineRule="auto"/>
        <w:rPr>
          <w:sz w:val="20"/>
          <w:szCs w:val="20"/>
          <w:color w:val="auto"/>
        </w:rPr>
      </w:pPr>
      <w:r>
        <w:rPr>
          <w:rFonts w:ascii="Arial" w:cs="Arial" w:eastAsia="Arial" w:hAnsi="Arial"/>
          <w:sz w:val="18"/>
          <w:szCs w:val="18"/>
          <w:color w:val="auto"/>
        </w:rPr>
        <w:t>The income tax rate used to calculate the tax provision by the Predecessor Company was the statutory income tax rate of Korea, which was 29.7%. For the Successor Company, the statutory income tax rate is zero as its ultimate parent is a non-taxable US entity. The provision for domestic and foreign income taxes incurred is different from the amount calculated by applying the statutory tax rate to the net income before income taxes. The significant items causing this difference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81"/>
        </w:trPr>
        <w:tc>
          <w:tcPr>
            <w:tcW w:w="41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0" w:type="dxa"/>
            <w:vAlign w:val="bottom"/>
            <w:gridSpan w:val="5"/>
            <w:vMerge w:val="restart"/>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7"/>
                <w:szCs w:val="7"/>
                <w:color w:val="auto"/>
              </w:rPr>
            </w:pPr>
          </w:p>
        </w:tc>
        <w:tc>
          <w:tcPr>
            <w:tcW w:w="8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6"/>
            <w:vMerge w:val="restart"/>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5"/>
                <w:szCs w:val="5"/>
                <w:color w:val="auto"/>
              </w:rPr>
            </w:pPr>
          </w:p>
        </w:tc>
        <w:tc>
          <w:tcPr>
            <w:tcW w:w="180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1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6"/>
            <w:vMerge w:val="continue"/>
          </w:tcPr>
          <w:p>
            <w:pPr>
              <w:spacing w:after="0"/>
              <w:rPr>
                <w:sz w:val="8"/>
                <w:szCs w:val="8"/>
                <w:color w:val="auto"/>
              </w:rPr>
            </w:pPr>
          </w:p>
        </w:tc>
        <w:tc>
          <w:tcPr>
            <w:tcW w:w="2040" w:type="dxa"/>
            <w:vAlign w:val="bottom"/>
            <w:gridSpan w:val="6"/>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31"/>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40" w:type="dxa"/>
            <w:vAlign w:val="bottom"/>
            <w:gridSpan w:val="6"/>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4"/>
          </w:tcPr>
          <w:p>
            <w:pPr>
              <w:jc w:val="right"/>
              <w:ind w:right="80"/>
              <w:spacing w:after="0" w:line="125" w:lineRule="exact"/>
              <w:rPr>
                <w:sz w:val="20"/>
                <w:szCs w:val="20"/>
                <w:color w:val="auto"/>
              </w:rPr>
            </w:pPr>
            <w:r>
              <w:rPr>
                <w:rFonts w:ascii="Arial" w:cs="Arial" w:eastAsia="Arial" w:hAnsi="Arial"/>
                <w:sz w:val="14"/>
                <w:szCs w:val="14"/>
                <w:b w:val="1"/>
                <w:bCs w:val="1"/>
                <w:color w:val="auto"/>
              </w:rPr>
              <w:t>(Successor Company)</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computed at statutory rate</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1,850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(161)</w:t>
            </w:r>
          </w:p>
        </w:tc>
        <w:tc>
          <w:tcPr>
            <w:tcW w:w="4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statutory tax rate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1,256</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5,125</w:t>
            </w:r>
          </w:p>
        </w:tc>
        <w:tc>
          <w:tcPr>
            <w:tcW w:w="2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Adjustment for overseas tax rate</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(58,493)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8"/>
              </w:rPr>
              <w:t>(27,745)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(1,492)</w:t>
            </w:r>
          </w:p>
        </w:tc>
        <w:tc>
          <w:tcPr>
            <w:tcW w:w="4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Exemption</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(5,447)</w:t>
            </w:r>
          </w:p>
        </w:tc>
        <w:tc>
          <w:tcPr>
            <w:tcW w:w="400" w:type="dxa"/>
            <w:vAlign w:val="bottom"/>
            <w:tcBorders>
              <w:right w:val="single" w:sz="8" w:color="auto"/>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52,866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28,826</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8,700</w:t>
            </w:r>
          </w:p>
        </w:tc>
        <w:tc>
          <w:tcPr>
            <w:tcW w:w="2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statutory income taxes</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9,258</w:t>
            </w: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6,725</w:t>
            </w:r>
          </w:p>
        </w:tc>
        <w:tc>
          <w:tcPr>
            <w:tcW w:w="2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720" w:type="dxa"/>
            <w:vAlign w:val="bottom"/>
            <w:tcBorders>
              <w:top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Borders>
              <w:top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460" w:type="dxa"/>
            <w:vAlign w:val="bottom"/>
            <w:gridSpan w:val="15"/>
          </w:tcPr>
          <w:p>
            <w:pPr>
              <w:ind w:left="580"/>
              <w:spacing w:after="0"/>
              <w:rPr>
                <w:sz w:val="20"/>
                <w:szCs w:val="20"/>
                <w:color w:val="auto"/>
              </w:rPr>
            </w:pPr>
            <w:r>
              <w:rPr>
                <w:rFonts w:ascii="Arial" w:cs="Arial" w:eastAsia="Arial" w:hAnsi="Arial"/>
                <w:sz w:val="18"/>
                <w:szCs w:val="18"/>
                <w:color w:val="auto"/>
              </w:rPr>
              <w:t>A summary of the composition of net deferred income tax assets (liabilities) at December 31, 2006 and 2005 are as follows: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5"/>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7,587</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1,030</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warranties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Other reserves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575</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Severance benefits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7,802</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34,712</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33,749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NOL carry-forwards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46,537</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Tax credit</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15,752</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10,011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Royalty income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10,163</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line="202" w:lineRule="exact"/>
              <w:rPr>
                <w:sz w:val="20"/>
                <w:szCs w:val="20"/>
                <w:color w:val="auto"/>
              </w:rPr>
            </w:pPr>
            <w:r>
              <w:rPr>
                <w:rFonts w:ascii="Arial" w:cs="Arial" w:eastAsia="Arial" w:hAnsi="Arial"/>
                <w:sz w:val="18"/>
                <w:szCs w:val="18"/>
                <w:color w:val="auto"/>
              </w:rPr>
              <w:t>Others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815</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125,294</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line="202" w:lineRule="exact"/>
              <w:rPr>
                <w:sz w:val="20"/>
                <w:szCs w:val="20"/>
                <w:color w:val="auto"/>
              </w:rPr>
            </w:pPr>
            <w:r>
              <w:rPr>
                <w:rFonts w:ascii="Arial" w:cs="Arial" w:eastAsia="Arial" w:hAnsi="Arial"/>
                <w:sz w:val="18"/>
                <w:szCs w:val="18"/>
                <w:color w:val="auto"/>
              </w:rPr>
              <w:t>Less: valuation allowance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(100,016)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(42,695)</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25,278</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consideration</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tcBorders>
              <w:right w:val="single" w:sz="8" w:color="CCEEFF"/>
            </w:tcBorders>
            <w:gridSpan w:val="4"/>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Foreign currency gain</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4"/>
          </w:tcPr>
          <w:p>
            <w:pPr>
              <w:ind w:left="4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issuance cost</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15,048</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15,111</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Net deferred tax asset (liabilities)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10,167</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F-31</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80" w:type="dxa"/>
            <w:vAlign w:val="bottom"/>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valuation allowance for deferred tax assets for the year ended December 31, 2006 and 2005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60" w:type="dxa"/>
            <w:vAlign w:val="bottom"/>
            <w:gridSpan w:val="3"/>
          </w:tcPr>
          <w:p>
            <w:pPr>
              <w:ind w:left="2260"/>
              <w:spacing w:after="0"/>
              <w:rPr>
                <w:sz w:val="20"/>
                <w:szCs w:val="20"/>
                <w:color w:val="auto"/>
              </w:rPr>
            </w:pPr>
            <w:r>
              <w:rPr>
                <w:rFonts w:ascii="Arial" w:cs="Arial" w:eastAsia="Arial" w:hAnsi="Arial"/>
                <w:sz w:val="14"/>
                <w:szCs w:val="14"/>
                <w:b w:val="1"/>
                <w:bCs w:val="1"/>
                <w:color w:val="auto"/>
                <w:w w:val="96"/>
              </w:rPr>
              <w:t>December 31,</w:t>
            </w:r>
          </w:p>
        </w:tc>
        <w:tc>
          <w:tcPr>
            <w:tcW w:w="1440" w:type="dxa"/>
            <w:vAlign w:val="bottom"/>
            <w:gridSpan w:val="3"/>
          </w:tcPr>
          <w:p>
            <w:pPr>
              <w:ind w:left="560"/>
              <w:spacing w:after="0"/>
              <w:rPr>
                <w:sz w:val="20"/>
                <w:szCs w:val="20"/>
                <w:color w:val="auto"/>
              </w:rPr>
            </w:pPr>
            <w:r>
              <w:rPr>
                <w:rFonts w:ascii="Arial" w:cs="Arial" w:eastAsia="Arial" w:hAnsi="Arial"/>
                <w:sz w:val="14"/>
                <w:szCs w:val="14"/>
                <w:b w:val="1"/>
                <w:bCs w:val="1"/>
                <w:color w:val="auto"/>
                <w:w w:val="94"/>
              </w:rPr>
              <w:t>December 31,</w:t>
            </w:r>
          </w:p>
        </w:tc>
      </w:tr>
      <w:tr>
        <w:trPr>
          <w:trHeight w:val="178"/>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2005</w:t>
            </w: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420" w:type="dxa"/>
            <w:vAlign w:val="bottom"/>
            <w:gridSpan w:val="2"/>
            <w:shd w:val="clear" w:color="auto" w:fill="CCEEFF"/>
          </w:tcPr>
          <w:p>
            <w:pPr>
              <w:ind w:left="226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42,695</w:t>
            </w:r>
          </w:p>
        </w:tc>
        <w:tc>
          <w:tcPr>
            <w:tcW w:w="740" w:type="dxa"/>
            <w:vAlign w:val="bottom"/>
            <w:gridSpan w:val="2"/>
            <w:shd w:val="clear" w:color="auto" w:fill="CCEEFF"/>
          </w:tcPr>
          <w:p>
            <w:pPr>
              <w:ind w:left="5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8,700</w:t>
            </w: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Transferred from acquired company</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4,179</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 to expenses</w:t>
            </w: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52,866</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28,826</w:t>
            </w:r>
          </w:p>
        </w:tc>
      </w:tr>
      <w:tr>
        <w:trPr>
          <w:trHeight w:val="210"/>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Effect on foreign currency translation</w:t>
            </w:r>
          </w:p>
        </w:tc>
        <w:tc>
          <w:tcPr>
            <w:tcW w:w="2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4,455</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2420" w:type="dxa"/>
            <w:vAlign w:val="bottom"/>
            <w:gridSpan w:val="2"/>
            <w:shd w:val="clear" w:color="auto" w:fill="CCEEFF"/>
          </w:tcPr>
          <w:p>
            <w:pPr>
              <w:ind w:left="22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100,016</w:t>
            </w:r>
          </w:p>
        </w:tc>
        <w:tc>
          <w:tcPr>
            <w:tcW w:w="74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42,695</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accounting and tax losses, management determined that it was more likely than not, that the Company would realize benefits related to its deferred tax assets in the amount of $10,167 thousand as of December 31, 2006 and $12,216 thousand as of December 31, 2005. Accordingly, the Company recorded a valuation allowance of $100,016 thousand and $42,695 thousand on its net deferred tax assets for 2006 and 2005, respectively.</w:t>
      </w:r>
    </w:p>
    <w:p>
      <w:pPr>
        <w:spacing w:after="0" w:line="155" w:lineRule="exact"/>
        <w:rPr>
          <w:sz w:val="20"/>
          <w:szCs w:val="20"/>
          <w:color w:val="auto"/>
        </w:rPr>
      </w:pPr>
    </w:p>
    <w:p>
      <w:pPr>
        <w:ind w:right="60" w:firstLine="571"/>
        <w:spacing w:after="0" w:line="275" w:lineRule="auto"/>
        <w:rPr>
          <w:sz w:val="20"/>
          <w:szCs w:val="20"/>
          <w:color w:val="auto"/>
        </w:rPr>
      </w:pPr>
      <w:r>
        <w:rPr>
          <w:rFonts w:ascii="Arial" w:cs="Arial" w:eastAsia="Arial" w:hAnsi="Arial"/>
          <w:sz w:val="16"/>
          <w:szCs w:val="16"/>
          <w:color w:val="auto"/>
        </w:rPr>
        <w:t>At December 31, 2006, the Company had approximately $209,881 thousand of net operating loss carry-forwards available to offset future taxable income, which expires in varying amounts starting from 2007 to 2011. Majority of net operating loss is related to MagnaChip Korea. The Company also has Korean and Dutch tax credit carry-forwards of approximately $9,319 thousand and $7,544 thousand, respectively. The Korean tax credits expire at various dates starting from 2010 to 2011, and the Dutch credits are carried forward to be used for an indefinite period of time.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40"/>
          </w:cols>
          <w:pgMar w:left="240" w:top="460" w:right="3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Geographic and Segment Information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152"/>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0"/>
                <w:szCs w:val="10"/>
                <w:color w:val="auto"/>
              </w:rPr>
            </w:pPr>
          </w:p>
        </w:tc>
        <w:tc>
          <w:tcPr>
            <w:tcW w:w="9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4"/>
          </w:tcPr>
          <w:p>
            <w:pPr>
              <w:ind w:left="80"/>
              <w:spacing w:after="0" w:line="125" w:lineRule="exact"/>
              <w:rPr>
                <w:sz w:val="20"/>
                <w:szCs w:val="20"/>
                <w:color w:val="auto"/>
              </w:rPr>
            </w:pPr>
            <w:r>
              <w:rPr>
                <w:rFonts w:ascii="Arial" w:cs="Arial" w:eastAsia="Arial" w:hAnsi="Arial"/>
                <w:sz w:val="14"/>
                <w:szCs w:val="14"/>
                <w:b w:val="1"/>
                <w:bCs w:val="1"/>
                <w:color w:val="auto"/>
                <w:w w:val="96"/>
              </w:rPr>
              <w:t>(Successor Company)</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190"/>
        </w:trPr>
        <w:tc>
          <w:tcPr>
            <w:tcW w:w="6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273,656</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326,027</w:t>
            </w:r>
          </w:p>
        </w:tc>
        <w:tc>
          <w:tcPr>
            <w:tcW w:w="4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60,352</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440"/>
              <w:spacing w:after="0" w:line="202" w:lineRule="exact"/>
              <w:rPr>
                <w:sz w:val="20"/>
                <w:szCs w:val="20"/>
                <w:color w:val="auto"/>
              </w:rPr>
            </w:pPr>
            <w:r>
              <w:rPr>
                <w:rFonts w:ascii="Arial" w:cs="Arial" w:eastAsia="Arial" w:hAnsi="Arial"/>
                <w:sz w:val="18"/>
                <w:szCs w:val="18"/>
                <w:color w:val="auto"/>
              </w:rPr>
              <w:t>Imaging Solutions</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60,479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163,326</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58,069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142,050</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Semiconductor Manufacturing Services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342,416</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345,437</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88,295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270,240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440"/>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67,802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102,866</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36,866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230,475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segment net sales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744,353</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937,656</w:t>
            </w:r>
          </w:p>
        </w:tc>
        <w:tc>
          <w:tcPr>
            <w:tcW w:w="4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243,582</w:t>
            </w:r>
          </w:p>
        </w:tc>
        <w:tc>
          <w:tcPr>
            <w:tcW w:w="540" w:type="dxa"/>
            <w:vAlign w:val="bottom"/>
            <w:tcBorders>
              <w:right w:val="single" w:sz="8" w:color="auto"/>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841,588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35,603</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66,534</w:t>
            </w:r>
          </w:p>
        </w:tc>
        <w:tc>
          <w:tcPr>
            <w:tcW w:w="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4,566</w:t>
            </w:r>
          </w:p>
        </w:tc>
        <w:tc>
          <w:tcPr>
            <w:tcW w:w="540" w:type="dxa"/>
            <w:vAlign w:val="bottom"/>
            <w:tcBorders>
              <w:right w:val="single" w:sz="8" w:color="auto"/>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440"/>
              <w:spacing w:after="0" w:line="202" w:lineRule="exact"/>
              <w:rPr>
                <w:sz w:val="20"/>
                <w:szCs w:val="20"/>
                <w:color w:val="auto"/>
              </w:rPr>
            </w:pPr>
            <w:r>
              <w:rPr>
                <w:rFonts w:ascii="Arial" w:cs="Arial" w:eastAsia="Arial" w:hAnsi="Arial"/>
                <w:sz w:val="18"/>
                <w:szCs w:val="18"/>
                <w:color w:val="auto"/>
              </w:rPr>
              <w:t>Imaging Solutions</w:t>
            </w:r>
          </w:p>
        </w:tc>
        <w:tc>
          <w:tcPr>
            <w:tcW w:w="10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(4,008)</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25,423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12,695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56,659</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Semiconductor Manufacturing Services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45,712</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110,389</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19,143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440"/>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22,134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6,311</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2,717</w:t>
            </w:r>
          </w:p>
        </w:tc>
        <w:tc>
          <w:tcPr>
            <w:tcW w:w="54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13,679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segment gross profit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99,441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208,657</w:t>
            </w:r>
          </w:p>
        </w:tc>
        <w:tc>
          <w:tcPr>
            <w:tcW w:w="4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39,121</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summary of net sales by region, based on the location of the customer: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3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5"/>
              </w:rPr>
              <w:t>Three months</w:t>
            </w:r>
          </w:p>
        </w:tc>
        <w:tc>
          <w:tcPr>
            <w:tcW w:w="4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152"/>
        </w:trPr>
        <w:tc>
          <w:tcPr>
            <w:tcW w:w="6180" w:type="dxa"/>
            <w:vAlign w:val="bottom"/>
          </w:tcPr>
          <w:p>
            <w:pPr>
              <w:spacing w:after="0"/>
              <w:rPr>
                <w:sz w:val="13"/>
                <w:szCs w:val="13"/>
                <w:color w:val="auto"/>
              </w:rPr>
            </w:pPr>
          </w:p>
        </w:tc>
        <w:tc>
          <w:tcPr>
            <w:tcW w:w="23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800"/>
              <w:spacing w:after="0" w:line="152"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19"/>
              <w:spacing w:after="0" w:line="152"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3"/>
          </w:tcPr>
          <w:p>
            <w:pPr>
              <w:jc w:val="right"/>
              <w:ind w:right="560"/>
              <w:spacing w:after="0" w:line="125" w:lineRule="exact"/>
              <w:rPr>
                <w:sz w:val="20"/>
                <w:szCs w:val="20"/>
                <w:color w:val="auto"/>
              </w:rPr>
            </w:pPr>
            <w:r>
              <w:rPr>
                <w:rFonts w:ascii="Arial" w:cs="Arial" w:eastAsia="Arial" w:hAnsi="Arial"/>
                <w:sz w:val="14"/>
                <w:szCs w:val="14"/>
                <w:b w:val="1"/>
                <w:bCs w:val="1"/>
                <w:color w:val="auto"/>
                <w:w w:val="96"/>
              </w:rPr>
              <w:t>December 31,</w:t>
            </w:r>
          </w:p>
        </w:tc>
        <w:tc>
          <w:tcPr>
            <w:tcW w:w="44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6180" w:type="dxa"/>
            <w:vAlign w:val="bottom"/>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gridSpan w:val="3"/>
          </w:tcPr>
          <w:p>
            <w:pPr>
              <w:ind w:left="180"/>
              <w:spacing w:after="0" w:line="125" w:lineRule="exact"/>
              <w:rPr>
                <w:sz w:val="20"/>
                <w:szCs w:val="20"/>
                <w:color w:val="auto"/>
              </w:rPr>
            </w:pPr>
            <w:r>
              <w:rPr>
                <w:rFonts w:ascii="Arial" w:cs="Arial" w:eastAsia="Arial" w:hAnsi="Arial"/>
                <w:sz w:val="14"/>
                <w:szCs w:val="14"/>
                <w:b w:val="1"/>
                <w:bCs w:val="1"/>
                <w:color w:val="auto"/>
                <w:w w:val="96"/>
              </w:rPr>
              <w:t>(Successor Company)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0" w:type="dxa"/>
            <w:vAlign w:val="bottom"/>
          </w:tcPr>
          <w:p>
            <w:pPr>
              <w:spacing w:after="0"/>
              <w:rPr>
                <w:sz w:val="1"/>
                <w:szCs w:val="1"/>
                <w:color w:val="auto"/>
              </w:rPr>
            </w:pPr>
          </w:p>
        </w:tc>
      </w:tr>
      <w:tr>
        <w:trPr>
          <w:trHeight w:val="165"/>
        </w:trPr>
        <w:tc>
          <w:tcPr>
            <w:tcW w:w="6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$ 413,670</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$ 512,366</w:t>
            </w:r>
          </w:p>
        </w:tc>
        <w:tc>
          <w:tcPr>
            <w:tcW w:w="4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127,208</w:t>
            </w:r>
          </w:p>
        </w:tc>
        <w:tc>
          <w:tcPr>
            <w:tcW w:w="560" w:type="dxa"/>
            <w:vAlign w:val="bottom"/>
            <w:tcBorders>
              <w:right w:val="single" w:sz="8" w:color="auto"/>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455,616</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172,981</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251,173</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60"/>
              <w:spacing w:after="0" w:line="202" w:lineRule="exact"/>
              <w:rPr>
                <w:sz w:val="20"/>
                <w:szCs w:val="20"/>
                <w:color w:val="auto"/>
              </w:rPr>
            </w:pPr>
            <w:r>
              <w:rPr>
                <w:rFonts w:ascii="Arial" w:cs="Arial" w:eastAsia="Arial" w:hAnsi="Arial"/>
                <w:sz w:val="18"/>
                <w:szCs w:val="18"/>
                <w:color w:val="auto"/>
              </w:rPr>
              <w:t>63,094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203,791</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78,321</w:t>
            </w:r>
          </w:p>
        </w:tc>
        <w:tc>
          <w:tcPr>
            <w:tcW w:w="16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97,841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38,000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143,190</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62,357</w:t>
            </w:r>
          </w:p>
        </w:tc>
        <w:tc>
          <w:tcPr>
            <w:tcW w:w="162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56,907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60"/>
              <w:spacing w:after="0" w:line="202" w:lineRule="exact"/>
              <w:rPr>
                <w:sz w:val="20"/>
                <w:szCs w:val="20"/>
                <w:color w:val="auto"/>
              </w:rPr>
            </w:pPr>
            <w:r>
              <w:rPr>
                <w:rFonts w:ascii="Arial" w:cs="Arial" w:eastAsia="Arial" w:hAnsi="Arial"/>
                <w:sz w:val="18"/>
                <w:szCs w:val="18"/>
                <w:color w:val="auto"/>
              </w:rPr>
              <w:t>11,677</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17,024</w:t>
            </w:r>
          </w:p>
        </w:tc>
        <w:tc>
          <w:tcPr>
            <w:tcW w:w="4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19,369</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3,603</w:t>
            </w:r>
          </w:p>
        </w:tc>
        <w:tc>
          <w:tcPr>
            <w:tcW w:w="5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21,603</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$ 744,353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$ 937,656</w:t>
            </w:r>
          </w:p>
        </w:tc>
        <w:tc>
          <w:tcPr>
            <w:tcW w:w="400" w:type="dxa"/>
            <w:vAlign w:val="bottom"/>
          </w:tcPr>
          <w:p>
            <w:pPr>
              <w:spacing w:after="0"/>
              <w:rPr>
                <w:sz w:val="18"/>
                <w:szCs w:val="18"/>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243,582</w:t>
            </w:r>
          </w:p>
        </w:tc>
        <w:tc>
          <w:tcPr>
            <w:tcW w:w="560" w:type="dxa"/>
            <w:vAlign w:val="bottom"/>
            <w:tcBorders>
              <w:right w:val="single" w:sz="8" w:color="auto"/>
            </w:tcBorders>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841,588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Over 99% of the Company’ property, plant and equipment are located in Korea as of December 31, 2006.</w:t>
      </w:r>
    </w:p>
    <w:p>
      <w:pPr>
        <w:spacing w:after="0" w:line="158"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Net sales from the Company’s top ten largest customers accounted for 66%, 63%, 62% and 63%, for the years ended December 31, 2006 and 2005, three months ended December 31, 2004, and nine months ended September 30, 2004,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right="8300" w:firstLine="8"/>
        <w:spacing w:after="0" w:line="384" w:lineRule="auto"/>
        <w:tabs>
          <w:tab w:leader="none" w:pos="293"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Agreements with Hynix</w:t>
      </w:r>
    </w:p>
    <w:p>
      <w:pPr>
        <w:ind w:right="100" w:firstLine="571"/>
        <w:spacing w:after="0" w:line="236" w:lineRule="auto"/>
        <w:rPr>
          <w:sz w:val="20"/>
          <w:szCs w:val="20"/>
          <w:color w:val="auto"/>
        </w:rPr>
      </w:pPr>
      <w:r>
        <w:rPr>
          <w:rFonts w:ascii="Arial" w:cs="Arial" w:eastAsia="Arial" w:hAnsi="Arial"/>
          <w:sz w:val="18"/>
          <w:szCs w:val="18"/>
          <w:color w:val="auto"/>
        </w:rPr>
        <w:t>In connection with the Original Acquisition, the Company entered into several definitive agreements with Hynix regarding key materials, campus facilities, research and development equipment and information technology, factory automation, wafer foundry services, and a non-exclusive cross license that provides the Company with access to certain of Hynix’s intellectual property for use in the manufacture and sale of non-memory semiconductor products. The Company also agreed to provide certain utilities and infrastructure support services to Hynix. The obligation to provide services under these agreements generally lasts for one to five years from the date of the Original Acquisition. The obligation to provide certain services lasts indefinitely.</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Upon the closing of the Original Acquisition, MagnaChip Korea and Hynix also entered into lease agreements under which MagnaChip Korea leases from Hynix (i) certain exclusive-use space plus common- and joint-use space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leased from Hynix certain exclusive-use plus common-and joint-use land located in Cheongju, Korea. The term of this agreement is indefinite unless otherwise agreed between the both parties, and as long as the buildings remain on the lease site and are owned and used by the Company for permitted uses.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7"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The Company leases land, office building and equipments under various operating lease agreements that expire through 2034. Rental expenses were approximately $12,008 thousand and $13,913 thousand for the years ended December 31, 2006 and 2005, $2,910 thousand for the three-month period ended December 31, 2004 (successor company) and $2,318 thousand and $1,556 thousand for the nine-month period ended September 30, 2004 (predecessor company), respectively.</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2006, the minimum aggregate rental payments due under non-cancelable lease contracts are as follows:</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7900" w:type="dxa"/>
            <w:vAlign w:val="bottom"/>
            <w:shd w:val="clear" w:color="auto" w:fill="CCEEFF"/>
          </w:tcPr>
          <w:p>
            <w:pPr>
              <w:jc w:val="right"/>
              <w:ind w:right="7412"/>
              <w:spacing w:after="0"/>
              <w:rPr>
                <w:sz w:val="20"/>
                <w:szCs w:val="20"/>
                <w:color w:val="auto"/>
              </w:rPr>
            </w:pPr>
            <w:r>
              <w:rPr>
                <w:rFonts w:ascii="Arial" w:cs="Arial" w:eastAsia="Arial" w:hAnsi="Arial"/>
                <w:sz w:val="18"/>
                <w:szCs w:val="18"/>
                <w:color w:val="auto"/>
                <w:w w:val="94"/>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$11,934</w:t>
            </w:r>
          </w:p>
        </w:tc>
      </w:tr>
      <w:tr>
        <w:trPr>
          <w:trHeight w:val="203"/>
        </w:trPr>
        <w:tc>
          <w:tcPr>
            <w:tcW w:w="7900" w:type="dxa"/>
            <w:vAlign w:val="bottom"/>
          </w:tcPr>
          <w:p>
            <w:pPr>
              <w:jc w:val="right"/>
              <w:ind w:right="7412"/>
              <w:spacing w:after="0" w:line="202" w:lineRule="exact"/>
              <w:rPr>
                <w:sz w:val="20"/>
                <w:szCs w:val="20"/>
                <w:color w:val="auto"/>
              </w:rPr>
            </w:pPr>
            <w:r>
              <w:rPr>
                <w:rFonts w:ascii="Arial" w:cs="Arial" w:eastAsia="Arial" w:hAnsi="Arial"/>
                <w:sz w:val="18"/>
                <w:szCs w:val="18"/>
                <w:color w:val="auto"/>
                <w:w w:val="94"/>
              </w:rPr>
              <w:t>2008</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11,935</w:t>
            </w:r>
          </w:p>
        </w:tc>
      </w:tr>
      <w:tr>
        <w:trPr>
          <w:trHeight w:val="203"/>
        </w:trPr>
        <w:tc>
          <w:tcPr>
            <w:tcW w:w="7900" w:type="dxa"/>
            <w:vAlign w:val="bottom"/>
            <w:shd w:val="clear" w:color="auto" w:fill="CCEEFF"/>
          </w:tcPr>
          <w:p>
            <w:pPr>
              <w:jc w:val="right"/>
              <w:ind w:right="7412"/>
              <w:spacing w:after="0" w:line="202" w:lineRule="exact"/>
              <w:rPr>
                <w:sz w:val="20"/>
                <w:szCs w:val="20"/>
                <w:color w:val="auto"/>
              </w:rPr>
            </w:pPr>
            <w:r>
              <w:rPr>
                <w:rFonts w:ascii="Arial" w:cs="Arial" w:eastAsia="Arial" w:hAnsi="Arial"/>
                <w:sz w:val="18"/>
                <w:szCs w:val="18"/>
                <w:color w:val="auto"/>
                <w:w w:val="94"/>
              </w:rPr>
              <w:t>2009</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11,936</w:t>
            </w:r>
          </w:p>
        </w:tc>
      </w:tr>
      <w:tr>
        <w:trPr>
          <w:trHeight w:val="203"/>
        </w:trPr>
        <w:tc>
          <w:tcPr>
            <w:tcW w:w="7900" w:type="dxa"/>
            <w:vAlign w:val="bottom"/>
          </w:tcPr>
          <w:p>
            <w:pPr>
              <w:jc w:val="right"/>
              <w:ind w:right="7412"/>
              <w:spacing w:after="0" w:line="202" w:lineRule="exact"/>
              <w:rPr>
                <w:sz w:val="20"/>
                <w:szCs w:val="20"/>
                <w:color w:val="auto"/>
              </w:rPr>
            </w:pPr>
            <w:r>
              <w:rPr>
                <w:rFonts w:ascii="Arial" w:cs="Arial" w:eastAsia="Arial" w:hAnsi="Arial"/>
                <w:sz w:val="18"/>
                <w:szCs w:val="18"/>
                <w:color w:val="auto"/>
                <w:w w:val="94"/>
              </w:rPr>
              <w:t>2010</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11,937</w:t>
            </w:r>
          </w:p>
        </w:tc>
      </w:tr>
      <w:tr>
        <w:trPr>
          <w:trHeight w:val="203"/>
        </w:trPr>
        <w:tc>
          <w:tcPr>
            <w:tcW w:w="7900" w:type="dxa"/>
            <w:vAlign w:val="bottom"/>
            <w:shd w:val="clear" w:color="auto" w:fill="CCEEFF"/>
          </w:tcPr>
          <w:p>
            <w:pPr>
              <w:jc w:val="right"/>
              <w:ind w:right="7412"/>
              <w:spacing w:after="0" w:line="202" w:lineRule="exact"/>
              <w:rPr>
                <w:sz w:val="20"/>
                <w:szCs w:val="20"/>
                <w:color w:val="auto"/>
              </w:rPr>
            </w:pPr>
            <w:r>
              <w:rPr>
                <w:rFonts w:ascii="Arial" w:cs="Arial" w:eastAsia="Arial" w:hAnsi="Arial"/>
                <w:sz w:val="18"/>
                <w:szCs w:val="18"/>
                <w:color w:val="auto"/>
                <w:w w:val="94"/>
              </w:rPr>
              <w:t>2011</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11,939</w:t>
            </w:r>
          </w:p>
        </w:tc>
      </w:tr>
      <w:tr>
        <w:trPr>
          <w:trHeight w:val="221"/>
        </w:trPr>
        <w:tc>
          <w:tcPr>
            <w:tcW w:w="7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$59,681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Agreements</w:t>
      </w:r>
    </w:p>
    <w:p>
      <w:pPr>
        <w:spacing w:after="0" w:line="97" w:lineRule="exact"/>
        <w:rPr>
          <w:sz w:val="20"/>
          <w:szCs w:val="20"/>
          <w:color w:val="auto"/>
        </w:rPr>
      </w:pPr>
    </w:p>
    <w:p>
      <w:pPr>
        <w:jc w:val="both"/>
        <w:ind w:right="200" w:firstLine="571"/>
        <w:spacing w:after="0" w:line="238" w:lineRule="auto"/>
        <w:rPr>
          <w:sz w:val="20"/>
          <w:szCs w:val="20"/>
          <w:color w:val="auto"/>
        </w:rPr>
      </w:pPr>
      <w:r>
        <w:rPr>
          <w:rFonts w:ascii="Arial" w:cs="Arial" w:eastAsia="Arial" w:hAnsi="Arial"/>
          <w:sz w:val="18"/>
          <w:szCs w:val="18"/>
          <w:color w:val="auto"/>
        </w:rPr>
        <w:t>An advisory agreement was entered into as of October 6, 2004 by and between the Company and advisors including CVC Management LLC (“CVC Management”), CVC Capital Partners Asia Limited (“CVC Capital”) and Francisco Partners Management LLC (“Francisco Partners”). The Company is to pay each of CVC Management and Francisco Partners an annual advisory fee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amount of which shall be the greater of $1,379,163 per annum or 0.14777% per annum of annual consolidated revenue, and is also to pay CVC Capital an annual advisory fee the amount of which shall be the greater of $741,673 per annum or 0.07946% per annum of annual consolidated revenue plus reasonable out-of-pocket expenses for an initial term of 10 years, subject to termination by either party upon written notice 90 days prior to the expiration of the initial term or any extension thereof. During the year ended December 31, 2005 and the three-month period ended December 31, 2004 (successor company), the Company accrued $3,545 thousand and $890 thousand of accrued expenses under these agreements, respectively, which is included in selling, general and administrative expenses in the accompanying consolidated financial statements. During the year ended December 31, 2006, due to lower Company financial performances, the advisors agreed to waive the advisory fee in exchange for an extension of the initial term of the advisory agreements for a period of one year and, therefore, the Company did not accrue any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Undrawn line of credit</w:t>
      </w:r>
    </w:p>
    <w:p>
      <w:pPr>
        <w:spacing w:after="0" w:line="97"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The undrawn portion of the new senior secured credit line was $93,792 thousand, $82,956 thousand and $86,295 thousand as of December 31, 2006, 2005 and 2004,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Guarantee</w:t>
      </w:r>
    </w:p>
    <w:p>
      <w:pPr>
        <w:spacing w:after="0" w:line="97"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As of December 31, 2006 and 2005, the Company has provided guarantees for bank loans that employees borrowed to participate in the issuance of new shares of Hynix in 1999. The outstanding balances of guarantees for payments provided by the Company amounted to approximately $248 thousand and $304 thousand as of December 31, 2006 and 2005,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99"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Funds related to CVC, Francisco Partners and CVC Asia Pacific own 34.1%, 34.1% and 18.3%, respectively, of the common units, and 35.9%, 35.9% and 19.3%, respectively, of the Series B units outstanding at December 31, 2006. Refer to “Item 12. Security Ownership of Certain Beneficial Owners and Management and Related Stockholder Matters” for details of ownership of each party.</w:t>
      </w:r>
    </w:p>
    <w:p>
      <w:pPr>
        <w:spacing w:after="0" w:line="154" w:lineRule="exact"/>
        <w:rPr>
          <w:sz w:val="20"/>
          <w:szCs w:val="20"/>
          <w:color w:val="auto"/>
        </w:rPr>
      </w:pPr>
    </w:p>
    <w:p>
      <w:pPr>
        <w:ind w:right="620" w:firstLine="571"/>
        <w:spacing w:after="0" w:line="239" w:lineRule="auto"/>
        <w:rPr>
          <w:sz w:val="20"/>
          <w:szCs w:val="20"/>
          <w:color w:val="auto"/>
        </w:rPr>
      </w:pPr>
      <w:r>
        <w:rPr>
          <w:rFonts w:ascii="Arial" w:cs="Arial" w:eastAsia="Arial" w:hAnsi="Arial"/>
          <w:sz w:val="18"/>
          <w:szCs w:val="18"/>
          <w:color w:val="auto"/>
        </w:rPr>
        <w:t>Hyundai Display Technology, Hyundai Information Technology and Hyundai ASTEC were all subsidiaries of Hynix. As a result of the Original Acquisition, these companies were all excluded from related parties of the Company.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Transactions between the Company and its related parties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ended</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560" w:type="dxa"/>
            <w:vAlign w:val="bottom"/>
          </w:tcPr>
          <w:p>
            <w:pPr>
              <w:spacing w:after="0"/>
              <w:rPr>
                <w:sz w:val="12"/>
                <w:szCs w:val="12"/>
                <w:color w:val="auto"/>
              </w:rPr>
            </w:pPr>
          </w:p>
        </w:tc>
        <w:tc>
          <w:tcPr>
            <w:tcW w:w="13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December 31,</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2005</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60" w:type="dxa"/>
            <w:vAlign w:val="bottom"/>
            <w:gridSpan w:val="4"/>
          </w:tcPr>
          <w:p>
            <w:pPr>
              <w:jc w:val="center"/>
              <w:ind w:left="79"/>
              <w:spacing w:after="0" w:line="125" w:lineRule="exact"/>
              <w:rPr>
                <w:sz w:val="20"/>
                <w:szCs w:val="20"/>
                <w:color w:val="auto"/>
              </w:rPr>
            </w:pPr>
            <w:r>
              <w:rPr>
                <w:rFonts w:ascii="Arial" w:cs="Arial" w:eastAsia="Arial" w:hAnsi="Arial"/>
                <w:sz w:val="14"/>
                <w:szCs w:val="14"/>
                <w:b w:val="1"/>
                <w:bCs w:val="1"/>
                <w:color w:val="auto"/>
                <w:w w:val="96"/>
              </w:rPr>
              <w:t>(Successor Company)</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440"/>
              <w:spacing w:after="0" w:line="202" w:lineRule="exact"/>
              <w:rPr>
                <w:sz w:val="20"/>
                <w:szCs w:val="20"/>
                <w:color w:val="auto"/>
              </w:rPr>
            </w:pPr>
            <w:r>
              <w:rPr>
                <w:rFonts w:ascii="Arial" w:cs="Arial" w:eastAsia="Arial" w:hAnsi="Arial"/>
                <w:sz w:val="18"/>
                <w:szCs w:val="18"/>
                <w:color w:val="auto"/>
              </w:rPr>
              <w:t>Hynix</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163,760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Hynix</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440"/>
              <w:spacing w:after="0" w:line="202" w:lineRule="exact"/>
              <w:rPr>
                <w:sz w:val="20"/>
                <w:szCs w:val="20"/>
                <w:color w:val="auto"/>
              </w:rPr>
            </w:pPr>
            <w:r>
              <w:rPr>
                <w:rFonts w:ascii="Arial" w:cs="Arial" w:eastAsia="Arial" w:hAnsi="Arial"/>
                <w:sz w:val="18"/>
                <w:szCs w:val="18"/>
                <w:color w:val="auto"/>
              </w:rPr>
              <w:t>Hyundai Information Technology</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Hyundai ASTEC</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440"/>
              <w:spacing w:after="0" w:line="202" w:lineRule="exact"/>
              <w:rPr>
                <w:sz w:val="20"/>
                <w:szCs w:val="20"/>
                <w:color w:val="auto"/>
              </w:rPr>
            </w:pPr>
            <w:r>
              <w:rPr>
                <w:rFonts w:ascii="Arial" w:cs="Arial" w:eastAsia="Arial" w:hAnsi="Arial"/>
                <w:sz w:val="18"/>
                <w:szCs w:val="18"/>
                <w:color w:val="auto"/>
              </w:rPr>
              <w:t>Other related parties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Advisory Fee</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Citigroup Venture Capital</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1,397</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w:t>
            </w:r>
          </w:p>
        </w:tc>
        <w:tc>
          <w:tcPr>
            <w:tcW w:w="6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440"/>
              <w:spacing w:after="0" w:line="202" w:lineRule="exact"/>
              <w:rPr>
                <w:sz w:val="20"/>
                <w:szCs w:val="20"/>
                <w:color w:val="auto"/>
              </w:rPr>
            </w:pPr>
            <w:r>
              <w:rPr>
                <w:rFonts w:ascii="Arial" w:cs="Arial" w:eastAsia="Arial" w:hAnsi="Arial"/>
                <w:sz w:val="18"/>
                <w:szCs w:val="18"/>
                <w:color w:val="auto"/>
              </w:rPr>
              <w:t>Francisco Partners</w:t>
            </w:r>
          </w:p>
        </w:tc>
        <w:tc>
          <w:tcPr>
            <w:tcW w:w="180" w:type="dxa"/>
            <w:vAlign w:val="bottom"/>
          </w:tcPr>
          <w:p>
            <w:pPr>
              <w:spacing w:after="0"/>
              <w:rPr>
                <w:sz w:val="17"/>
                <w:szCs w:val="17"/>
                <w:color w:val="auto"/>
              </w:rPr>
            </w:pPr>
          </w:p>
        </w:tc>
        <w:tc>
          <w:tcPr>
            <w:tcW w:w="70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1,397</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6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CVC Asia Pacific</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6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3,545</w:t>
            </w:r>
          </w:p>
        </w:tc>
        <w:tc>
          <w:tcPr>
            <w:tcW w:w="420" w:type="dxa"/>
            <w:vAlign w:val="bottom"/>
          </w:tcPr>
          <w:p>
            <w:pPr>
              <w:spacing w:after="0"/>
              <w:rPr>
                <w:sz w:val="18"/>
                <w:szCs w:val="18"/>
                <w:color w:val="auto"/>
              </w:rPr>
            </w:pP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6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Loans to employees as of December 31, 2006 and 2005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740" w:type="dxa"/>
            <w:vAlign w:val="bottom"/>
            <w:gridSpan w:val="3"/>
          </w:tcPr>
          <w:p>
            <w:pPr>
              <w:ind w:left="2840"/>
              <w:spacing w:after="0"/>
              <w:rPr>
                <w:sz w:val="20"/>
                <w:szCs w:val="20"/>
                <w:color w:val="auto"/>
              </w:rPr>
            </w:pPr>
            <w:r>
              <w:rPr>
                <w:rFonts w:ascii="Arial" w:cs="Arial" w:eastAsia="Arial" w:hAnsi="Arial"/>
                <w:sz w:val="14"/>
                <w:szCs w:val="14"/>
                <w:b w:val="1"/>
                <w:bCs w:val="1"/>
                <w:color w:val="auto"/>
                <w:w w:val="96"/>
              </w:rPr>
              <w:t>December 31,</w:t>
            </w:r>
          </w:p>
        </w:tc>
        <w:tc>
          <w:tcPr>
            <w:tcW w:w="1800" w:type="dxa"/>
            <w:vAlign w:val="bottom"/>
            <w:gridSpan w:val="3"/>
          </w:tcPr>
          <w:p>
            <w:pPr>
              <w:ind w:left="920"/>
              <w:spacing w:after="0"/>
              <w:rPr>
                <w:sz w:val="20"/>
                <w:szCs w:val="20"/>
                <w:color w:val="auto"/>
              </w:rPr>
            </w:pPr>
            <w:r>
              <w:rPr>
                <w:rFonts w:ascii="Arial" w:cs="Arial" w:eastAsia="Arial" w:hAnsi="Arial"/>
                <w:sz w:val="14"/>
                <w:szCs w:val="14"/>
                <w:b w:val="1"/>
                <w:bCs w:val="1"/>
                <w:color w:val="auto"/>
                <w:w w:val="94"/>
              </w:rPr>
              <w:t>December 31,</w:t>
            </w:r>
          </w:p>
        </w:tc>
      </w:t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2006</w:t>
            </w: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2005</w:t>
            </w: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jc w:val="center"/>
              <w:ind w:right="2772"/>
              <w:spacing w:after="0" w:line="196" w:lineRule="exact"/>
              <w:rPr>
                <w:sz w:val="20"/>
                <w:szCs w:val="20"/>
                <w:color w:val="auto"/>
              </w:rPr>
            </w:pPr>
            <w:r>
              <w:rPr>
                <w:rFonts w:ascii="Arial" w:cs="Arial" w:eastAsia="Arial" w:hAnsi="Arial"/>
                <w:sz w:val="18"/>
                <w:szCs w:val="18"/>
                <w:color w:val="auto"/>
                <w:w w:val="96"/>
              </w:rPr>
              <w:t>Short-term loans</w:t>
            </w:r>
          </w:p>
        </w:tc>
        <w:tc>
          <w:tcPr>
            <w:tcW w:w="3040" w:type="dxa"/>
            <w:vAlign w:val="bottom"/>
            <w:gridSpan w:val="2"/>
            <w:shd w:val="clear" w:color="auto" w:fill="CCEEFF"/>
          </w:tcPr>
          <w:p>
            <w:pPr>
              <w:ind w:left="284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1100" w:type="dxa"/>
            <w:vAlign w:val="bottom"/>
            <w:gridSpan w:val="2"/>
            <w:shd w:val="clear" w:color="auto" w:fill="CCEEFF"/>
          </w:tcPr>
          <w:p>
            <w:pPr>
              <w:ind w:left="9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10"/>
        </w:trPr>
        <w:tc>
          <w:tcPr>
            <w:tcW w:w="4160" w:type="dxa"/>
            <w:vAlign w:val="bottom"/>
            <w:gridSpan w:val="2"/>
          </w:tcPr>
          <w:p>
            <w:pPr>
              <w:jc w:val="center"/>
              <w:ind w:right="2792"/>
              <w:spacing w:after="0" w:line="202" w:lineRule="exact"/>
              <w:rPr>
                <w:sz w:val="20"/>
                <w:szCs w:val="20"/>
                <w:color w:val="auto"/>
              </w:rPr>
            </w:pPr>
            <w:r>
              <w:rPr>
                <w:rFonts w:ascii="Arial" w:cs="Arial" w:eastAsia="Arial" w:hAnsi="Arial"/>
                <w:sz w:val="18"/>
                <w:szCs w:val="18"/>
                <w:color w:val="auto"/>
                <w:w w:val="98"/>
              </w:rPr>
              <w:t>Long-term loans</w:t>
            </w:r>
          </w:p>
        </w:tc>
        <w:tc>
          <w:tcPr>
            <w:tcW w:w="2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w:t>
            </w:r>
          </w:p>
        </w:tc>
        <w:tc>
          <w:tcPr>
            <w:tcW w:w="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jc w:val="center"/>
              <w:ind w:right="2852"/>
              <w:spacing w:after="0" w:line="202" w:lineRule="exact"/>
              <w:rPr>
                <w:sz w:val="20"/>
                <w:szCs w:val="20"/>
                <w:color w:val="auto"/>
              </w:rPr>
            </w:pPr>
            <w:r>
              <w:rPr>
                <w:rFonts w:ascii="Arial" w:cs="Arial" w:eastAsia="Arial" w:hAnsi="Arial"/>
                <w:sz w:val="18"/>
                <w:szCs w:val="18"/>
                <w:color w:val="auto"/>
                <w:w w:val="89"/>
              </w:rPr>
              <w:t>Total</w:t>
            </w:r>
          </w:p>
        </w:tc>
        <w:tc>
          <w:tcPr>
            <w:tcW w:w="3040" w:type="dxa"/>
            <w:vAlign w:val="bottom"/>
            <w:gridSpan w:val="2"/>
            <w:shd w:val="clear" w:color="auto" w:fill="CCEEFF"/>
          </w:tcPr>
          <w:p>
            <w:pPr>
              <w:ind w:left="28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w:t>
            </w:r>
          </w:p>
        </w:tc>
        <w:tc>
          <w:tcPr>
            <w:tcW w:w="110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Unit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illustrates the computation of basic and diluted loss per common unit:</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Three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restart"/>
          </w:tcPr>
          <w:p>
            <w:pPr>
              <w:jc w:val="center"/>
              <w:ind w:right="160"/>
              <w:spacing w:after="0" w:line="118"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2005</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6"/>
              </w:rPr>
              <w:t>(Successor Company)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(229,310)</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(100,898)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03"/>
        </w:trPr>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Dividends to preferred unitholders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(10,912)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(9,928)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(240,222)</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(110,826)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20"/>
        </w:trPr>
        <w:tc>
          <w:tcPr>
            <w:tcW w:w="4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gridSpan w:val="2"/>
          </w:tcPr>
          <w:p>
            <w:pPr>
              <w:spacing w:after="0" w:line="196" w:lineRule="exact"/>
              <w:rPr>
                <w:sz w:val="20"/>
                <w:szCs w:val="20"/>
                <w:color w:val="auto"/>
              </w:rPr>
            </w:pPr>
            <w:r>
              <w:rPr>
                <w:rFonts w:ascii="Arial" w:cs="Arial" w:eastAsia="Arial" w:hAnsi="Arial"/>
                <w:sz w:val="18"/>
                <w:szCs w:val="18"/>
                <w:color w:val="auto"/>
              </w:rPr>
              <w:t>Weighted-average common units outstanding</w:t>
            </w:r>
          </w:p>
        </w:tc>
        <w:tc>
          <w:tcPr>
            <w:tcW w:w="1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52,911,734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52,898,497</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50,061,910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per unit</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(4.54)</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40" w:type="dxa"/>
            <w:vAlign w:val="bottom"/>
            <w:gridSpan w:val="2"/>
          </w:tcPr>
          <w:p>
            <w:pPr>
              <w:jc w:val="right"/>
              <w:ind w:right="319"/>
              <w:spacing w:after="0"/>
              <w:rPr>
                <w:sz w:val="20"/>
                <w:szCs w:val="20"/>
                <w:color w:val="auto"/>
              </w:rPr>
            </w:pPr>
            <w:r>
              <w:rPr>
                <w:rFonts w:ascii="Arial" w:cs="Arial" w:eastAsia="Arial" w:hAnsi="Arial"/>
                <w:sz w:val="18"/>
                <w:szCs w:val="18"/>
                <w:color w:val="auto"/>
              </w:rPr>
              <w:t>F-36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following outstanding redeemable convertible preferred unit issued, stock-options granted and warrants issued were excluded from the computation of diluted loss per unit as they would have an anti-dilutive effects on the calculation:</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December 31,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w:t>
            </w:r>
          </w:p>
        </w:tc>
      </w:tr>
      <w:tr>
        <w:trPr>
          <w:trHeight w:val="165"/>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2004</w:t>
            </w: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(Successor Company)</w:t>
            </w:r>
          </w:p>
        </w:tc>
        <w:tc>
          <w:tcPr>
            <w:tcW w:w="98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units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93,997</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93,997</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93,997</w:t>
            </w: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Options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5,069,528</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3,780,643</w:t>
            </w: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1,146,178</w:t>
            </w: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5,079,254</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5,079,254</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Condensed Consolidating Financial Statements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Below are condensed consolidating balance sheets as of December 31, 2006 and 2005, condensed consolidating statements of operations and of cash flows for the year ended December 31, 2006 and 2005 and for the three months ended December 31, 2004 of those entities that guarantee the Senior Subordinated Notes, those that do not, MagnaChip Semiconductor LLC, and the co-issuers.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LLC (Parent)</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Co-Issuers</w:t>
            </w:r>
          </w:p>
        </w:tc>
        <w:tc>
          <w:tcPr>
            <w:tcW w:w="28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718,126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352,152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(325,926)</w:t>
            </w:r>
          </w:p>
        </w:tc>
        <w:tc>
          <w:tcPr>
            <w:tcW w:w="3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744,352</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636,349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313,699</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(305,137)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644,911</w:t>
            </w:r>
          </w:p>
        </w:tc>
        <w:tc>
          <w:tcPr>
            <w:tcW w:w="80" w:type="dxa"/>
            <w:vAlign w:val="bottom"/>
          </w:tcPr>
          <w:p>
            <w:pPr>
              <w:spacing w:after="0"/>
              <w:rPr>
                <w:sz w:val="17"/>
                <w:szCs w:val="17"/>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81,777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38,453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(20,789)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99,441</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10,842</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87,677</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135,361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17,828</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(21,937)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131,252</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94,041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225</w:t>
            </w: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94,266</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(947)</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(223,574)</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9,558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(213,754)</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(16,094)</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(6,298)</w:t>
            </w: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 loss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of related equity 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8,808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(223,536)</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(6,536)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(220,052)</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8,932</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9,258</w:t>
            </w:r>
          </w:p>
        </w:tc>
        <w:tc>
          <w:tcPr>
            <w:tcW w:w="80" w:type="dxa"/>
            <w:vAlign w:val="bottom"/>
          </w:tcPr>
          <w:p>
            <w:pPr>
              <w:spacing w:after="0"/>
              <w:rPr>
                <w:sz w:val="18"/>
                <w:szCs w:val="18"/>
                <w:color w:val="auto"/>
              </w:rPr>
            </w:pP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equity in loss of related</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8,638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(223,692)</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(15,468)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(229,310)</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(229,209)</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(243,820)</w:t>
            </w: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(224,982)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698,011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(229,310)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(235,182)</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(223,692)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(240,450)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699,324</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(229,310)</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410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10,912</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10,912</w:t>
            </w:r>
          </w:p>
        </w:tc>
        <w:tc>
          <w:tcPr>
            <w:tcW w:w="8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(240,222)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(235,182)</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(223,692)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(240,450)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699,324</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(240,222)</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w w:val="91"/>
              </w:rPr>
              <w:t>F-38</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2"/>
              </w:rPr>
              <w:t>LLC (Parent)</w:t>
            </w:r>
          </w:p>
        </w:tc>
        <w:tc>
          <w:tcPr>
            <w:tcW w:w="42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Co-Issuers</w:t>
            </w:r>
          </w:p>
        </w:tc>
        <w:tc>
          <w:tcPr>
            <w:tcW w:w="400" w:type="dxa"/>
            <w:vAlign w:val="bottom"/>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Non-Guarantors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42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80" w:type="dxa"/>
            <w:vAlign w:val="bottom"/>
          </w:tcPr>
          <w:p>
            <w:pPr>
              <w:spacing w:after="0"/>
              <w:rPr>
                <w:sz w:val="14"/>
                <w:szCs w:val="14"/>
                <w:color w:val="auto"/>
              </w:rPr>
            </w:pPr>
          </w:p>
        </w:tc>
      </w:tr>
      <w:tr>
        <w:trPr>
          <w:trHeight w:val="196"/>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914,445</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$ 431,339</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5"/>
              </w:rPr>
              <w:t>(408,128)</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937,656</w:t>
            </w:r>
          </w:p>
        </w:tc>
        <w:tc>
          <w:tcPr>
            <w:tcW w:w="80" w:type="dxa"/>
            <w:vAlign w:val="bottom"/>
            <w:shd w:val="clear" w:color="auto" w:fill="CCEEFF"/>
          </w:tcPr>
          <w:p>
            <w:pPr>
              <w:spacing w:after="0"/>
              <w:rPr>
                <w:sz w:val="17"/>
                <w:szCs w:val="17"/>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723,844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406,669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5"/>
              </w:rPr>
              <w:t>(401,514)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728,999</w:t>
            </w:r>
          </w:p>
        </w:tc>
        <w:tc>
          <w:tcPr>
            <w:tcW w:w="80" w:type="dxa"/>
            <w:vAlign w:val="bottom"/>
          </w:tcPr>
          <w:p>
            <w:pPr>
              <w:spacing w:after="0"/>
              <w:rPr>
                <w:sz w:val="17"/>
                <w:szCs w:val="17"/>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190,601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24,670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208,657</w:t>
            </w:r>
          </w:p>
        </w:tc>
        <w:tc>
          <w:tcPr>
            <w:tcW w:w="80" w:type="dxa"/>
            <w:vAlign w:val="bottom"/>
            <w:shd w:val="clear" w:color="auto" w:fill="CCEEFF"/>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107,326</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15,501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123,211</w:t>
            </w:r>
          </w:p>
        </w:tc>
        <w:tc>
          <w:tcPr>
            <w:tcW w:w="80" w:type="dxa"/>
            <w:vAlign w:val="bottom"/>
          </w:tcPr>
          <w:p>
            <w:pPr>
              <w:spacing w:after="0"/>
              <w:rPr>
                <w:sz w:val="18"/>
                <w:szCs w:val="18"/>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101,318</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11,018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107,590</w:t>
            </w:r>
          </w:p>
        </w:tc>
        <w:tc>
          <w:tcPr>
            <w:tcW w:w="80" w:type="dxa"/>
            <w:vAlign w:val="bottom"/>
            <w:shd w:val="clear" w:color="auto" w:fill="CCEEFF"/>
          </w:tcPr>
          <w:p>
            <w:pPr>
              <w:spacing w:after="0"/>
              <w:rPr>
                <w:sz w:val="17"/>
                <w:szCs w:val="17"/>
                <w:color w:val="auto"/>
              </w:rPr>
            </w:pPr>
          </w:p>
        </w:tc>
      </w:tr>
      <w:tr>
        <w:trPr>
          <w:trHeight w:val="210"/>
        </w:trPr>
        <w:tc>
          <w:tcPr>
            <w:tcW w:w="374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36,234</w:t>
            </w:r>
          </w:p>
        </w:tc>
        <w:tc>
          <w:tcPr>
            <w:tcW w:w="80" w:type="dxa"/>
            <w:vAlign w:val="bottom"/>
          </w:tcPr>
          <w:p>
            <w:pPr>
              <w:spacing w:after="0"/>
              <w:rPr>
                <w:sz w:val="18"/>
                <w:szCs w:val="18"/>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(1,876)</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(54,277)</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(58,378)</w:t>
            </w: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Other income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(13,731)</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(35,577)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(40,704)</w:t>
            </w:r>
          </w:p>
        </w:tc>
      </w:tr>
      <w:tr>
        <w:trPr>
          <w:trHeight w:val="206"/>
        </w:trPr>
        <w:tc>
          <w:tcPr>
            <w:tcW w:w="37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37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loss of related equity investment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w w:val="98"/>
              </w:rPr>
              <w:t>(15,607)</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(89,854)</w:t>
            </w:r>
          </w:p>
        </w:tc>
        <w:tc>
          <w:tcPr>
            <w:tcW w:w="9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6,750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(99,082)</w:t>
            </w: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18"/>
                <w:szCs w:val="18"/>
                <w:color w:val="auto"/>
              </w:rPr>
            </w:pPr>
          </w:p>
        </w:tc>
      </w:tr>
      <w:tr>
        <w:trPr>
          <w:trHeight w:val="206"/>
        </w:trPr>
        <w:tc>
          <w:tcPr>
            <w:tcW w:w="37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equity in loss of related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37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Investment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w w:val="98"/>
              </w:rPr>
              <w:t>(15,770)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(89,854)</w:t>
            </w:r>
          </w:p>
        </w:tc>
        <w:tc>
          <w:tcPr>
            <w:tcW w:w="9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5,097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(100,898)</w:t>
            </w: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(100,364)</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(78,445)</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(86,985)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265,794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(100,898)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(94,215)</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(89,854)</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 (81,888)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265,957</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(100,898)</w:t>
            </w: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74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9,928</w:t>
            </w:r>
          </w:p>
        </w:tc>
        <w:tc>
          <w:tcPr>
            <w:tcW w:w="100" w:type="dxa"/>
            <w:vAlign w:val="bottom"/>
          </w:tcPr>
          <w:p>
            <w:pPr>
              <w:spacing w:after="0"/>
              <w:rPr>
                <w:sz w:val="17"/>
                <w:szCs w:val="17"/>
                <w:color w:val="auto"/>
              </w:rPr>
            </w:pPr>
          </w:p>
        </w:tc>
        <w:tc>
          <w:tcPr>
            <w:tcW w:w="102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9,928</w:t>
            </w:r>
          </w:p>
        </w:tc>
        <w:tc>
          <w:tcPr>
            <w:tcW w:w="80" w:type="dxa"/>
            <w:vAlign w:val="bottom"/>
          </w:tcPr>
          <w:p>
            <w:pPr>
              <w:spacing w:after="0"/>
              <w:rPr>
                <w:sz w:val="17"/>
                <w:szCs w:val="17"/>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(110,826)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(94,215)</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(89,854)</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 (81,888)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265,957</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(110,826)</w:t>
            </w: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F-39</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2004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MagnaChip</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2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424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LLC (Parent)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Co-Issuers</w:t>
            </w:r>
          </w:p>
        </w:tc>
        <w:tc>
          <w:tcPr>
            <w:tcW w:w="40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Non-Guarantors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38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Eliminations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60" w:type="dxa"/>
            <w:vAlign w:val="bottom"/>
          </w:tcPr>
          <w:p>
            <w:pPr>
              <w:spacing w:after="0"/>
              <w:rPr>
                <w:sz w:val="14"/>
                <w:szCs w:val="14"/>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241,149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$116,639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5"/>
              </w:rPr>
              <w:t>(114,206)</w:t>
            </w:r>
          </w:p>
        </w:tc>
        <w:tc>
          <w:tcPr>
            <w:tcW w:w="34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243,582</w:t>
            </w:r>
          </w:p>
        </w:tc>
        <w:tc>
          <w:tcPr>
            <w:tcW w:w="6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203,089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114,063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5"/>
              </w:rPr>
              <w:t>(112,691)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204,461</w:t>
            </w:r>
          </w:p>
        </w:tc>
        <w:tc>
          <w:tcPr>
            <w:tcW w:w="60" w:type="dxa"/>
            <w:vAlign w:val="bottom"/>
          </w:tcPr>
          <w:p>
            <w:pPr>
              <w:spacing w:after="0"/>
              <w:rPr>
                <w:sz w:val="17"/>
                <w:szCs w:val="17"/>
                <w:color w:val="auto"/>
              </w:rPr>
            </w:pPr>
          </w:p>
        </w:tc>
      </w:tr>
      <w:tr>
        <w:trPr>
          <w:trHeight w:val="27"/>
        </w:trPr>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38,060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(1,515)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39,121</w:t>
            </w:r>
          </w:p>
        </w:tc>
        <w:tc>
          <w:tcPr>
            <w:tcW w:w="60" w:type="dxa"/>
            <w:vAlign w:val="bottom"/>
            <w:shd w:val="clear" w:color="auto" w:fill="CCEEFF"/>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27,174</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29,784</w:t>
            </w:r>
          </w:p>
        </w:tc>
        <w:tc>
          <w:tcPr>
            <w:tcW w:w="60" w:type="dxa"/>
            <w:vAlign w:val="bottom"/>
          </w:tcPr>
          <w:p>
            <w:pPr>
              <w:spacing w:after="0"/>
              <w:rPr>
                <w:sz w:val="18"/>
                <w:szCs w:val="18"/>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22,058</w:t>
            </w:r>
          </w:p>
        </w:tc>
        <w:tc>
          <w:tcPr>
            <w:tcW w:w="60" w:type="dxa"/>
            <w:vAlign w:val="bottom"/>
            <w:shd w:val="clear" w:color="auto" w:fill="CCEEFF"/>
          </w:tcPr>
          <w:p>
            <w:pPr>
              <w:spacing w:after="0"/>
              <w:rPr>
                <w:sz w:val="17"/>
                <w:szCs w:val="17"/>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(11,172)</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(12,721)</w:t>
            </w:r>
          </w:p>
        </w:tc>
      </w:tr>
      <w:tr>
        <w:trPr>
          <w:trHeight w:val="27"/>
        </w:trPr>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11,908</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7,857</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(8,732)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13,621</w:t>
            </w:r>
          </w:p>
        </w:tc>
        <w:tc>
          <w:tcPr>
            <w:tcW w:w="60" w:type="dxa"/>
            <w:vAlign w:val="bottom"/>
            <w:shd w:val="clear" w:color="auto" w:fill="CCEEFF"/>
          </w:tcPr>
          <w:p>
            <w:pPr>
              <w:spacing w:after="0"/>
              <w:rPr>
                <w:sz w:val="17"/>
                <w:szCs w:val="17"/>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8"/>
                <w:szCs w:val="18"/>
                <w:color w:val="auto"/>
              </w:rPr>
              <w:t>Income (loss) before income taxes, equity in</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4240" w:type="dxa"/>
            <w:vAlign w:val="bottom"/>
          </w:tcPr>
          <w:p>
            <w:pPr>
              <w:ind w:left="220"/>
              <w:spacing w:after="0" w:line="200" w:lineRule="exact"/>
              <w:rPr>
                <w:sz w:val="20"/>
                <w:szCs w:val="20"/>
                <w:color w:val="auto"/>
              </w:rPr>
            </w:pPr>
            <w:r>
              <w:rPr>
                <w:rFonts w:ascii="Arial" w:cs="Arial" w:eastAsia="Arial" w:hAnsi="Arial"/>
                <w:sz w:val="18"/>
                <w:szCs w:val="18"/>
                <w:color w:val="auto"/>
              </w:rPr>
              <w:t>earnings (loss) of related equity investment</w:t>
            </w: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2,586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0"/>
              <w:spacing w:after="0" w:line="200" w:lineRule="exact"/>
              <w:rPr>
                <w:sz w:val="20"/>
                <w:szCs w:val="20"/>
                <w:color w:val="auto"/>
              </w:rPr>
            </w:pPr>
            <w:r>
              <w:rPr>
                <w:rFonts w:ascii="Arial" w:cs="Arial" w:eastAsia="Arial" w:hAnsi="Arial"/>
                <w:sz w:val="18"/>
                <w:szCs w:val="18"/>
                <w:color w:val="auto"/>
              </w:rPr>
              <w:t>11,888</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(3,315)</w:t>
            </w:r>
          </w:p>
        </w:tc>
        <w:tc>
          <w:tcPr>
            <w:tcW w:w="1300" w:type="dxa"/>
            <w:vAlign w:val="bottom"/>
            <w:gridSpan w:val="3"/>
          </w:tcPr>
          <w:p>
            <w:pPr>
              <w:jc w:val="right"/>
              <w:ind w:right="320"/>
              <w:spacing w:after="0" w:line="200" w:lineRule="exact"/>
              <w:rPr>
                <w:sz w:val="20"/>
                <w:szCs w:val="20"/>
                <w:color w:val="auto"/>
              </w:rPr>
            </w:pPr>
            <w:r>
              <w:rPr>
                <w:rFonts w:ascii="Arial" w:cs="Arial" w:eastAsia="Arial" w:hAnsi="Arial"/>
                <w:sz w:val="18"/>
                <w:szCs w:val="18"/>
                <w:color w:val="auto"/>
              </w:rPr>
              <w:t>(8,744)</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(1,515)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900</w:t>
            </w:r>
          </w:p>
        </w:tc>
        <w:tc>
          <w:tcPr>
            <w:tcW w:w="6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6,105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620</w:t>
            </w: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7"/>
                <w:szCs w:val="17"/>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8"/>
                <w:szCs w:val="18"/>
                <w:color w:val="auto"/>
              </w:rPr>
              <w:t>Income (loss) before equity in earnings (loss) of</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4240" w:type="dxa"/>
            <w:vAlign w:val="bottom"/>
          </w:tcPr>
          <w:p>
            <w:pPr>
              <w:ind w:left="220"/>
              <w:spacing w:after="0" w:line="200" w:lineRule="exact"/>
              <w:rPr>
                <w:sz w:val="20"/>
                <w:szCs w:val="20"/>
                <w:color w:val="auto"/>
              </w:rPr>
            </w:pPr>
            <w:r>
              <w:rPr>
                <w:rFonts w:ascii="Arial" w:cs="Arial" w:eastAsia="Arial" w:hAnsi="Arial"/>
                <w:sz w:val="18"/>
                <w:szCs w:val="18"/>
                <w:color w:val="auto"/>
              </w:rPr>
              <w:t>related Investment</w:t>
            </w: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2,586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0"/>
              <w:spacing w:after="0" w:line="200" w:lineRule="exact"/>
              <w:rPr>
                <w:sz w:val="20"/>
                <w:szCs w:val="20"/>
                <w:color w:val="auto"/>
              </w:rPr>
            </w:pPr>
            <w:r>
              <w:rPr>
                <w:rFonts w:ascii="Arial" w:cs="Arial" w:eastAsia="Arial" w:hAnsi="Arial"/>
                <w:sz w:val="18"/>
                <w:szCs w:val="18"/>
                <w:color w:val="auto"/>
              </w:rPr>
              <w:t>11,888</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(9,420)</w:t>
            </w:r>
          </w:p>
        </w:tc>
        <w:tc>
          <w:tcPr>
            <w:tcW w:w="1300" w:type="dxa"/>
            <w:vAlign w:val="bottom"/>
            <w:gridSpan w:val="3"/>
          </w:tcPr>
          <w:p>
            <w:pPr>
              <w:jc w:val="right"/>
              <w:ind w:right="320"/>
              <w:spacing w:after="0" w:line="200" w:lineRule="exact"/>
              <w:rPr>
                <w:sz w:val="20"/>
                <w:szCs w:val="20"/>
                <w:color w:val="auto"/>
              </w:rPr>
            </w:pPr>
            <w:r>
              <w:rPr>
                <w:rFonts w:ascii="Arial" w:cs="Arial" w:eastAsia="Arial" w:hAnsi="Arial"/>
                <w:sz w:val="18"/>
                <w:szCs w:val="18"/>
                <w:color w:val="auto"/>
              </w:rPr>
              <w:t>(9,364)</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(1,515)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(5,825)</w:t>
            </w:r>
          </w:p>
        </w:tc>
      </w:tr>
      <w:tr>
        <w:trPr>
          <w:trHeight w:val="27"/>
        </w:trPr>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(loss) of related investment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(8,411)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5"/>
              </w:rPr>
              <w:t>(20,581)</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(9,420)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38,412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(5,825)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(8,693)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(9,420)</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 (18,784)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36,897</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(5,825)</w:t>
            </w:r>
          </w:p>
        </w:tc>
      </w:tr>
      <w:tr>
        <w:trPr>
          <w:trHeight w:val="20"/>
        </w:trPr>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13,428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13,428</w:t>
            </w:r>
          </w:p>
        </w:tc>
        <w:tc>
          <w:tcPr>
            <w:tcW w:w="60" w:type="dxa"/>
            <w:vAlign w:val="bottom"/>
            <w:shd w:val="clear" w:color="auto" w:fill="CCEEFF"/>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Net income (loss) attributable to common units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(19,253)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(8,693)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(9,420)</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 (18,784)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36,897</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(19,253)</w:t>
            </w:r>
          </w:p>
        </w:tc>
      </w:tr>
      <w:tr>
        <w:trPr>
          <w:trHeight w:val="20"/>
        </w:trPr>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820"/>
              <w:spacing w:after="0"/>
              <w:rPr>
                <w:sz w:val="20"/>
                <w:szCs w:val="20"/>
                <w:color w:val="auto"/>
              </w:rPr>
            </w:pPr>
            <w:r>
              <w:rPr>
                <w:rFonts w:ascii="Arial" w:cs="Arial" w:eastAsia="Arial" w:hAnsi="Arial"/>
                <w:sz w:val="18"/>
                <w:szCs w:val="18"/>
                <w:color w:val="auto"/>
              </w:rPr>
              <w:t>F-40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892</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72,608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15,352</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86,488</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34,971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55,676</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718</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5,244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28,133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15,862</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12,843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(21,829)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379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17,472</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232,859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87,356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(94,002)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244,064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334,809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336,279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117,101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22,628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(167,545)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(246,126)</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(77,489)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491,160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791,648</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633,987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21,349</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41,972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(167,166)</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584,343</w:t>
            </w: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726,741</w:t>
            </w:r>
          </w:p>
        </w:tc>
        <w:tc>
          <w:tcPr>
            <w:tcW w:w="3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677,654</w:t>
            </w:r>
          </w:p>
        </w:tc>
        <w:tc>
          <w:tcPr>
            <w:tcW w:w="200" w:type="dxa"/>
            <w:vAlign w:val="bottom"/>
          </w:tcPr>
          <w:p>
            <w:pPr>
              <w:spacing w:after="0"/>
              <w:rPr>
                <w:sz w:val="13"/>
                <w:szCs w:val="13"/>
                <w:color w:val="auto"/>
              </w:rPr>
            </w:pP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(1,051,519)</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67,002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40,191</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51,803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3,135</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22,040</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17,078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333</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1,844</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142,689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69,249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(93,964)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121,449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750,000</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621,000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804,635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62,550</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753,474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827,430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898,956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(1,542,641)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937,220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117,374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117,374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52,721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136,229</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39,005</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55,778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1,401</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155,415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108,239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(265,055)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(370,314)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(338,112)</w:t>
            </w:r>
          </w:p>
        </w:tc>
        <w:tc>
          <w:tcPr>
            <w:tcW w:w="3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(323,358)</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(412,488)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1,073,958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31,351</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28,249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(86,769)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unitholders’ equity</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(284,541)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(169,131)</w:t>
            </w:r>
          </w:p>
        </w:tc>
        <w:tc>
          <w:tcPr>
            <w:tcW w:w="300" w:type="dxa"/>
            <w:vAlign w:val="bottom"/>
          </w:tcPr>
          <w:p>
            <w:pPr>
              <w:spacing w:after="0"/>
              <w:rPr>
                <w:sz w:val="14"/>
                <w:szCs w:val="14"/>
                <w:color w:val="auto"/>
              </w:rPr>
            </w:pPr>
          </w:p>
        </w:tc>
        <w:tc>
          <w:tcPr>
            <w:tcW w:w="11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(100,689)</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(221,302)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491,122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(284,541)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8" w:lineRule="exact"/>
              <w:rPr>
                <w:sz w:val="20"/>
                <w:szCs w:val="20"/>
                <w:color w:val="auto"/>
              </w:rPr>
            </w:pPr>
            <w:r>
              <w:rPr>
                <w:rFonts w:ascii="Arial" w:cs="Arial" w:eastAsia="Arial" w:hAnsi="Arial"/>
                <w:sz w:val="14"/>
                <w:szCs w:val="14"/>
                <w:color w:val="auto"/>
              </w:rPr>
              <w:t>Total liabilities, redeemable convertible preferred units</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and unitholders’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(167,166)</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584,343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726,741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677,654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(1,051,519)</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FOR THE YEARS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2004—(Continued)</w:t>
      </w: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209</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841</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63,435</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22,089</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2,837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131,669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55,057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(74,673)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82,348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35,013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718</w:t>
            </w:r>
          </w:p>
        </w:tc>
        <w:tc>
          <w:tcPr>
            <w:tcW w:w="3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7,792</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20,097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(54,119)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22,382</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9,987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(28,284)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35,222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23,941</w:t>
            </w:r>
          </w:p>
        </w:tc>
        <w:tc>
          <w:tcPr>
            <w:tcW w:w="3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298,068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110,944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(158,385)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309,790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484,019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485,077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165,369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26,020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191,389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(38,942)</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144,131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(130,945)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774,199</w:t>
            </w:r>
          </w:p>
        </w:tc>
        <w:tc>
          <w:tcPr>
            <w:tcW w:w="3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621,311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(1,395,510)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24,153</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45,370</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(26,263)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60,978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783,351</w:t>
            </w:r>
          </w:p>
        </w:tc>
        <w:tc>
          <w:tcPr>
            <w:tcW w:w="3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992,826</w:t>
            </w:r>
          </w:p>
        </w:tc>
        <w:tc>
          <w:tcPr>
            <w:tcW w:w="3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914,595</w:t>
            </w:r>
          </w:p>
        </w:tc>
        <w:tc>
          <w:tcPr>
            <w:tcW w:w="200" w:type="dxa"/>
            <w:vAlign w:val="bottom"/>
          </w:tcPr>
          <w:p>
            <w:pPr>
              <w:spacing w:after="0"/>
              <w:rPr>
                <w:sz w:val="13"/>
                <w:szCs w:val="13"/>
                <w:color w:val="auto"/>
              </w:rPr>
            </w:pP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(1,711,103)</w:t>
            </w: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1,040,647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94,581</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74,003</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(74,673)</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440</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68,703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19,344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(54,119)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3,139</w:t>
            </w:r>
          </w:p>
        </w:tc>
        <w:tc>
          <w:tcPr>
            <w:tcW w:w="3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24,560</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26,331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(25,062)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162</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3,746</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3,741</w:t>
            </w:r>
          </w:p>
        </w:tc>
        <w:tc>
          <w:tcPr>
            <w:tcW w:w="3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191,590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129,094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(157,076)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168,349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750,000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621,311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774,199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(1,395,510)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54,854</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5,272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28,187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(26,263)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753,741</w:t>
            </w:r>
          </w:p>
        </w:tc>
        <w:tc>
          <w:tcPr>
            <w:tcW w:w="3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873,027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931,750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(1,578,849)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980,669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106,462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106,462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106,462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53,092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102,986</w:t>
            </w:r>
          </w:p>
        </w:tc>
        <w:tc>
          <w:tcPr>
            <w:tcW w:w="3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39,005</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58,364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(200,355)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1,027</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155,212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(228,228)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(130,092)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(102,930)</w:t>
            </w:r>
          </w:p>
        </w:tc>
        <w:tc>
          <w:tcPr>
            <w:tcW w:w="3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(99,666)</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(172,038)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374,634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28,347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28,527</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25,248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(78,305)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unitholders’ equity</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(46,484)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29,610</w:t>
            </w:r>
          </w:p>
        </w:tc>
        <w:tc>
          <w:tcPr>
            <w:tcW w:w="32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119,799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(17,155)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(132,254)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(46,484)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8" w:lineRule="exact"/>
              <w:rPr>
                <w:sz w:val="20"/>
                <w:szCs w:val="20"/>
                <w:color w:val="auto"/>
              </w:rPr>
            </w:pPr>
            <w:r>
              <w:rPr>
                <w:rFonts w:ascii="Arial" w:cs="Arial" w:eastAsia="Arial" w:hAnsi="Arial"/>
                <w:sz w:val="14"/>
                <w:szCs w:val="14"/>
                <w:color w:val="auto"/>
              </w:rPr>
              <w:t>Total liabilities, redeemable convertible preferred units</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and unitholders’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60,978</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783,351</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992,826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914,595</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(1,711,103)</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1,040,647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(229,310)</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(235,182)</w:t>
            </w: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(223,692)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(240,450)</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699,324</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income (loss) to net cash provided by</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184,430</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11,478</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2,791</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(17,449)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(54,564)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17,825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1,362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92,858</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Unit/stock-based compensation</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229,209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243,820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224,982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(698,011)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2,838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53,839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(29,879)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32,884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5,450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(11,283)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1,954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(34,451)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(33,851)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29,879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(29,954)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11,283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(4,495)</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6,455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6,521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9,752</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(1,475)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(9,678)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(8,402)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3,223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(8,589)</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444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35,167</w:t>
            </w:r>
          </w:p>
        </w:tc>
        <w:tc>
          <w:tcPr>
            <w:tcW w:w="12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(5,235)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30,470</w:t>
            </w: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(38,194)</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(2,085)</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2,819</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3,002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(1,485)</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(32,220)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(33,385)</w:t>
            </w: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6,226</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9,173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63,435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321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892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72,608</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15,352</w:t>
            </w:r>
          </w:p>
        </w:tc>
        <w:tc>
          <w:tcPr>
            <w:tcW w:w="200" w:type="dxa"/>
            <w:vAlign w:val="bottom"/>
          </w:tcPr>
          <w:p>
            <w:pPr>
              <w:spacing w:after="0"/>
              <w:rPr>
                <w:sz w:val="13"/>
                <w:szCs w:val="13"/>
                <w:color w:val="auto"/>
              </w:rPr>
            </w:pP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LLC (Parent)</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(100,898)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(94,215)</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(89,854)</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(81,888)</w:t>
            </w: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265,957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income (loss) to net cash provided by</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20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196,669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16,486</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2,628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21,841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(16,288)</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(21,433)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(830)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33,576</w:t>
            </w: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100,364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78,445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86,985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(265,794)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290</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(31,412)</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(13,816)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19,416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(3,312)</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(241)</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63,970</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(19,536)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17,802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(12,935)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29,438</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14,906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(62,561)</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(17,802)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(5,591)</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17,549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(19,153)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(16,505)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1,878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19,153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163</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(4,968)</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(13,820)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(31,266)</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31,936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(2,682)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(935)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(4,618)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83,209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25,332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103,647</w:t>
            </w: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(62,113)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(2,174)</w:t>
            </w: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rPr>
              <w:t>Acquisition of business, net of cash acquired of $4,620 for the</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year ended December 31, 2005</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(9,897)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Increase in short-term inter-company loans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long-term inter-company loans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(1,009)</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Decrease in short-term inter-company loans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3,650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10,307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2,045</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2,636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(51,917)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(11,330)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(64,072)</w:t>
            </w: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1,009</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(757)</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(29,776)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issuance cost paid</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(14,767)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2,395</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(2,177)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(2,360)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33,764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28,178</w:t>
            </w: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29,671</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58,396</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209</w:t>
            </w:r>
          </w:p>
        </w:tc>
        <w:tc>
          <w:tcPr>
            <w:tcW w:w="3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841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63,435</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22,089</w:t>
            </w:r>
          </w:p>
        </w:tc>
        <w:tc>
          <w:tcPr>
            <w:tcW w:w="180" w:type="dxa"/>
            <w:vAlign w:val="bottom"/>
          </w:tcPr>
          <w:p>
            <w:pPr>
              <w:spacing w:after="0"/>
              <w:rPr>
                <w:sz w:val="13"/>
                <w:szCs w:val="13"/>
                <w:color w:val="auto"/>
              </w:rPr>
            </w:pPr>
          </w:p>
        </w:tc>
        <w:tc>
          <w:tcPr>
            <w:tcW w:w="32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2004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MagnaChip</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LLC (Parent)</w:t>
            </w:r>
          </w:p>
        </w:tc>
        <w:tc>
          <w:tcPr>
            <w:tcW w:w="1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(5,825)</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(8,693)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(9,420)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(18,784)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36,897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income (loss) to net cash provided by</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45,847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3,397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152</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(7,914)</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(32,733)</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7,384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8,411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20,581</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9,420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(38,412)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(55,968)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(42,559)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55,257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36,137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(1,172)</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(810)</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(55,266)</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(1,651)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3,053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(34,196)</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56,392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(55,257)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(29,266)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189</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121,181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(7,428)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1,128</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16,257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6,235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(5,909)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(5,909)</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(4,194)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(1,815)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5,909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6,965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2,877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(2,898)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Others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(1,003)</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(28,923)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(1,276)</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38,535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9,030</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17,285</w:t>
            </w: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(23,261)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business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(488,152)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Increase in restricted cash</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(12,350)</w:t>
            </w: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 (purchase) of related investment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(26,026)</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(194,015)</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199,318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of intercompany loans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291,824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(398,250)</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(619,991)</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726,417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(2,033)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312,547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(424,276)</w:t>
            </w:r>
          </w:p>
        </w:tc>
        <w:tc>
          <w:tcPr>
            <w:tcW w:w="300" w:type="dxa"/>
            <w:vAlign w:val="bottom"/>
          </w:tcPr>
          <w:p>
            <w:pPr>
              <w:spacing w:after="0"/>
              <w:rPr>
                <w:sz w:val="13"/>
                <w:szCs w:val="13"/>
                <w:color w:val="auto"/>
              </w:rPr>
            </w:pPr>
          </w:p>
        </w:tc>
        <w:tc>
          <w:tcPr>
            <w:tcW w:w="10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(525,897)</w:t>
            </w:r>
          </w:p>
        </w:tc>
        <w:tc>
          <w:tcPr>
            <w:tcW w:w="120" w:type="dxa"/>
            <w:vAlign w:val="bottom"/>
          </w:tcPr>
          <w:p>
            <w:pPr>
              <w:spacing w:after="0"/>
              <w:rPr>
                <w:sz w:val="13"/>
                <w:szCs w:val="13"/>
                <w:color w:val="auto"/>
              </w:rPr>
            </w:pPr>
          </w:p>
        </w:tc>
        <w:tc>
          <w:tcPr>
            <w:tcW w:w="9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(814,092)</w:t>
            </w: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925,735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(525,983)</w:t>
            </w: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rPr>
              <w:t>Proceeds from issuance of Senior Secured and Subordinated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Notes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41,000</w:t>
            </w:r>
          </w:p>
        </w:tc>
        <w:tc>
          <w:tcPr>
            <w:tcW w:w="3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721</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50,212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(91,213)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663,878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669,396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(1,287,407)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1,429</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203,208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26,351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(230,988)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redeemable convertible preferred units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(332,824)</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(321,030)</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653,854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long-term borrowings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(347,718)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Redemption of redeemable convertible preferred units</w:t>
            </w: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(406,786)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(406,786)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preferred dividends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Debt issuance costs paid</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(22,020)</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(5,615)</w:t>
            </w: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(22,476)</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22,476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tcPr>
          <w:p>
            <w:pPr>
              <w:spacing w:after="0"/>
              <w:rPr>
                <w:sz w:val="13"/>
                <w:szCs w:val="13"/>
                <w:color w:val="auto"/>
              </w:rPr>
            </w:pPr>
          </w:p>
        </w:tc>
        <w:tc>
          <w:tcPr>
            <w:tcW w:w="10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(411,221)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415,109</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514,458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424,929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(933,278)</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7,624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(127,597)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(10,443)</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29,662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(380,106)</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(488,484)</w:t>
            </w: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129,983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13,644</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403,244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546,880</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2,386</w:t>
            </w:r>
          </w:p>
        </w:tc>
        <w:tc>
          <w:tcPr>
            <w:tcW w:w="180" w:type="dxa"/>
            <w:vAlign w:val="bottom"/>
          </w:tcPr>
          <w:p>
            <w:pPr>
              <w:spacing w:after="0"/>
              <w:rPr>
                <w:sz w:val="13"/>
                <w:szCs w:val="13"/>
                <w:color w:val="auto"/>
              </w:rPr>
            </w:pP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3,201</w:t>
            </w: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29,671</w:t>
            </w:r>
          </w:p>
        </w:tc>
        <w:tc>
          <w:tcPr>
            <w:tcW w:w="3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23,138</w:t>
            </w:r>
          </w:p>
        </w:tc>
        <w:tc>
          <w:tcPr>
            <w:tcW w:w="3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58,396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61,934</w:t>
            </w:r>
          </w:p>
        </w:tc>
        <w:tc>
          <w:tcPr>
            <w:tcW w:w="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89,173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124,342</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94,100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57,846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7,050</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10,775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298,201</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244,064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281,022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115,496</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139,729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47,541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742,260</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121,221</w:t>
            </w:r>
          </w:p>
        </w:tc>
        <w:tc>
          <w:tcPr>
            <w:tcW w:w="400" w:type="dxa"/>
            <w:vAlign w:val="bottom"/>
          </w:tcPr>
          <w:p>
            <w:pPr>
              <w:spacing w:after="0"/>
              <w:rPr>
                <w:sz w:val="17"/>
                <w:szCs w:val="17"/>
                <w:color w:val="auto"/>
              </w:rPr>
            </w:pPr>
          </w:p>
        </w:tc>
        <w:tc>
          <w:tcPr>
            <w:tcW w:w="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62,399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accounts payable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31,713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30,181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23,647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50,601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238,878</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121,449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750,000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severance benefits, net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72,307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7,039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1,068,224</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937,220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Series A redeemable convertible preferred units; 60,000 units authorized, 50,091 units issued and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2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0 unit outstanding at September 30, 2007 and December 31, 2006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line="200"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820" w:type="dxa"/>
            <w:vAlign w:val="bottom"/>
          </w:tcPr>
          <w:p>
            <w:pPr>
              <w:ind w:left="440"/>
              <w:spacing w:after="0" w:line="206" w:lineRule="exact"/>
              <w:rPr>
                <w:sz w:val="20"/>
                <w:szCs w:val="20"/>
                <w:color w:val="auto"/>
              </w:rPr>
            </w:pPr>
            <w:r>
              <w:rPr>
                <w:rFonts w:ascii="Arial" w:cs="Arial" w:eastAsia="Arial" w:hAnsi="Arial"/>
                <w:sz w:val="18"/>
                <w:szCs w:val="18"/>
                <w:color w:val="auto"/>
              </w:rPr>
              <w:t>Series B redeemable convertible preferred units; 550,000 units authorized, 450,692 units issued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ind w:left="660"/>
              <w:spacing w:after="0" w:line="200" w:lineRule="exact"/>
              <w:rPr>
                <w:sz w:val="20"/>
                <w:szCs w:val="20"/>
                <w:color w:val="auto"/>
              </w:rPr>
            </w:pPr>
            <w:r>
              <w:rPr>
                <w:rFonts w:ascii="Arial" w:cs="Arial" w:eastAsia="Arial" w:hAnsi="Arial"/>
                <w:sz w:val="18"/>
                <w:szCs w:val="18"/>
                <w:color w:val="auto"/>
              </w:rPr>
              <w:t>and 93,997 units outstanding at September 30, 2007 and December 31, 2006</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126,237</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117,374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redeemable convertible preferred units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126,237</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Unitholders’ equity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Common units; 65,000,000 units authorized, 52,831,722 and 52,720,784 units issued and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2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outstanding at September 30, 2007 and December 31, 2006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0" w:lineRule="exact"/>
              <w:rPr>
                <w:sz w:val="20"/>
                <w:szCs w:val="20"/>
                <w:color w:val="auto"/>
              </w:rPr>
            </w:pPr>
            <w:r>
              <w:rPr>
                <w:rFonts w:ascii="Arial" w:cs="Arial" w:eastAsia="Arial" w:hAnsi="Arial"/>
                <w:sz w:val="18"/>
                <w:szCs w:val="18"/>
                <w:color w:val="auto"/>
              </w:rPr>
              <w:t>52,832</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52,721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2,698</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(531,803)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(370,314)</w:t>
            </w: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24,072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30,601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unitholders’ equity</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(452,201)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(284,541)</w:t>
            </w:r>
          </w:p>
        </w:tc>
        <w:tc>
          <w:tcPr>
            <w:tcW w:w="0" w:type="dxa"/>
            <w:vAlign w:val="bottom"/>
          </w:tcPr>
          <w:p>
            <w:pPr>
              <w:spacing w:after="0"/>
              <w:rPr>
                <w:sz w:val="1"/>
                <w:szCs w:val="1"/>
                <w:color w:val="auto"/>
              </w:rPr>
            </w:pPr>
          </w:p>
        </w:tc>
      </w:tr>
      <w:tr>
        <w:trPr>
          <w:trHeight w:val="210"/>
        </w:trPr>
        <w:tc>
          <w:tcPr>
            <w:tcW w:w="8820" w:type="dxa"/>
            <w:vAlign w:val="bottom"/>
          </w:tcPr>
          <w:p>
            <w:pPr>
              <w:ind w:left="8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742,260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25"/>
        </w:trPr>
        <w:tc>
          <w:tcPr>
            <w:tcW w:w="64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380"/>
              <w:spacing w:after="0" w:line="125" w:lineRule="exact"/>
              <w:rPr>
                <w:sz w:val="20"/>
                <w:szCs w:val="20"/>
                <w:color w:val="auto"/>
              </w:rPr>
            </w:pPr>
            <w:r>
              <w:rPr>
                <w:rFonts w:ascii="Arial" w:cs="Arial" w:eastAsia="Arial" w:hAnsi="Arial"/>
                <w:sz w:val="14"/>
                <w:szCs w:val="14"/>
                <w:b w:val="1"/>
                <w:bCs w:val="1"/>
                <w:color w:val="auto"/>
                <w:w w:val="98"/>
              </w:rPr>
              <w:t>September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4"/>
              <w:spacing w:after="0" w:line="125" w:lineRule="exact"/>
              <w:rPr>
                <w:sz w:val="20"/>
                <w:szCs w:val="20"/>
                <w:color w:val="auto"/>
              </w:rPr>
            </w:pPr>
            <w:r>
              <w:rPr>
                <w:rFonts w:ascii="Arial" w:cs="Arial" w:eastAsia="Arial" w:hAnsi="Arial"/>
                <w:sz w:val="14"/>
                <w:szCs w:val="14"/>
                <w:b w:val="1"/>
                <w:bCs w:val="1"/>
                <w:color w:val="auto"/>
              </w:rPr>
              <w:t>October 1,</w:t>
            </w:r>
          </w:p>
        </w:tc>
        <w:tc>
          <w:tcPr>
            <w:tcW w:w="60" w:type="dxa"/>
            <w:vAlign w:val="bottom"/>
          </w:tcPr>
          <w:p>
            <w:pPr>
              <w:spacing w:after="0"/>
              <w:rPr>
                <w:sz w:val="10"/>
                <w:szCs w:val="10"/>
                <w:color w:val="auto"/>
              </w:rPr>
            </w:pPr>
          </w:p>
        </w:tc>
      </w:tr>
      <w:tr>
        <w:trPr>
          <w:trHeight w:val="165"/>
        </w:trPr>
        <w:tc>
          <w:tcPr>
            <w:tcW w:w="6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545,881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582,039</w:t>
            </w:r>
          </w:p>
        </w:tc>
        <w:tc>
          <w:tcPr>
            <w:tcW w:w="60" w:type="dxa"/>
            <w:vAlign w:val="bottom"/>
            <w:shd w:val="clear" w:color="auto" w:fill="CCEEFF"/>
          </w:tcPr>
          <w:p>
            <w:pPr>
              <w:spacing w:after="0"/>
              <w:rPr>
                <w:sz w:val="17"/>
                <w:szCs w:val="17"/>
                <w:color w:val="auto"/>
              </w:rPr>
            </w:pPr>
          </w:p>
        </w:tc>
      </w:tr>
      <w:tr>
        <w:trPr>
          <w:trHeight w:val="210"/>
        </w:trPr>
        <w:tc>
          <w:tcPr>
            <w:tcW w:w="64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471,861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500,579</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74,020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81,460</w:t>
            </w:r>
          </w:p>
        </w:tc>
        <w:tc>
          <w:tcPr>
            <w:tcW w:w="60" w:type="dxa"/>
            <w:vAlign w:val="bottom"/>
            <w:shd w:val="clear" w:color="auto" w:fill="CCEEFF"/>
          </w:tcPr>
          <w:p>
            <w:pPr>
              <w:spacing w:after="0"/>
              <w:rPr>
                <w:sz w:val="17"/>
                <w:szCs w:val="17"/>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66,368</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101,089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95,868</w:t>
            </w:r>
          </w:p>
        </w:tc>
        <w:tc>
          <w:tcPr>
            <w:tcW w:w="60" w:type="dxa"/>
            <w:vAlign w:val="bottom"/>
            <w:shd w:val="clear" w:color="auto" w:fill="CCEEFF"/>
          </w:tcPr>
          <w:p>
            <w:pPr>
              <w:spacing w:after="0"/>
              <w:rPr>
                <w:sz w:val="17"/>
                <w:szCs w:val="17"/>
                <w:color w:val="auto"/>
              </w:rPr>
            </w:pPr>
          </w:p>
        </w:tc>
      </w:tr>
      <w:tr>
        <w:trPr>
          <w:trHeight w:val="210"/>
        </w:trPr>
        <w:tc>
          <w:tcPr>
            <w:tcW w:w="646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12,084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93,948</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(111,057)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(174,724)</w:t>
            </w: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Other income (expenses)</w:t>
            </w:r>
          </w:p>
        </w:tc>
        <w:tc>
          <w:tcPr>
            <w:tcW w:w="2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(44,704)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(43,031)</w:t>
            </w:r>
          </w:p>
        </w:tc>
      </w:tr>
      <w:tr>
        <w:trPr>
          <w:trHeight w:val="210"/>
        </w:trPr>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Foreign currency gain, net</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40,914</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(144,429)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(176,841)</w:t>
            </w:r>
          </w:p>
        </w:tc>
      </w:tr>
      <w:tr>
        <w:trPr>
          <w:trHeight w:val="217"/>
        </w:trPr>
        <w:tc>
          <w:tcPr>
            <w:tcW w:w="6460" w:type="dxa"/>
            <w:vAlign w:val="bottom"/>
          </w:tcPr>
          <w:p>
            <w:pPr>
              <w:spacing w:after="0"/>
              <w:rPr>
                <w:sz w:val="20"/>
                <w:szCs w:val="20"/>
                <w:color w:val="auto"/>
              </w:rPr>
            </w:pPr>
            <w:r>
              <w:rPr>
                <w:rFonts w:ascii="Arial" w:cs="Arial" w:eastAsia="Arial" w:hAnsi="Arial"/>
                <w:sz w:val="18"/>
                <w:szCs w:val="18"/>
                <w:color w:val="auto"/>
              </w:rPr>
              <w:t>Income tax expenses</w:t>
            </w:r>
          </w:p>
        </w:tc>
        <w:tc>
          <w:tcPr>
            <w:tcW w:w="2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(151,072)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(183,672)</w:t>
            </w:r>
          </w:p>
        </w:tc>
      </w:tr>
      <w:tr>
        <w:trPr>
          <w:trHeight w:val="20"/>
        </w:trPr>
        <w:tc>
          <w:tcPr>
            <w:tcW w:w="6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646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8,070</w:t>
            </w:r>
          </w:p>
        </w:tc>
        <w:tc>
          <w:tcPr>
            <w:tcW w:w="6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(159,935)</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(191,742)</w:t>
            </w:r>
          </w:p>
        </w:tc>
      </w:tr>
      <w:tr>
        <w:trPr>
          <w:trHeight w:val="20"/>
        </w:trPr>
        <w:tc>
          <w:tcPr>
            <w:tcW w:w="6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460" w:type="dxa"/>
            <w:vAlign w:val="bottom"/>
          </w:tcPr>
          <w:p>
            <w:pPr>
              <w:spacing w:after="0" w:line="196" w:lineRule="exact"/>
              <w:rPr>
                <w:sz w:val="20"/>
                <w:szCs w:val="20"/>
                <w:color w:val="auto"/>
              </w:rPr>
            </w:pPr>
            <w:r>
              <w:rPr>
                <w:rFonts w:ascii="Arial" w:cs="Arial" w:eastAsia="Arial" w:hAnsi="Arial"/>
                <w:sz w:val="18"/>
                <w:szCs w:val="18"/>
                <w:color w:val="auto"/>
              </w:rPr>
              <w:t>Net loss per common units—Basic and diluted</w:t>
            </w:r>
          </w:p>
        </w:tc>
        <w:tc>
          <w:tcPr>
            <w:tcW w:w="2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(3.03)</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(3.62)</w:t>
            </w:r>
          </w:p>
        </w:tc>
      </w:tr>
      <w:tr>
        <w:trPr>
          <w:trHeight w:val="20"/>
        </w:trPr>
        <w:tc>
          <w:tcPr>
            <w:tcW w:w="6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units—Basic and diluted</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52,769,273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52,975,152</w:t>
            </w:r>
          </w:p>
        </w:tc>
        <w:tc>
          <w:tcPr>
            <w:tcW w:w="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8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Accumulated</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80"/>
              <w:spacing w:after="0" w:line="13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0"/>
                <w:szCs w:val="10"/>
                <w:color w:val="auto"/>
              </w:rPr>
            </w:pPr>
          </w:p>
        </w:tc>
        <w:tc>
          <w:tcPr>
            <w:tcW w:w="1140" w:type="dxa"/>
            <w:vAlign w:val="bottom"/>
            <w:gridSpan w:val="2"/>
          </w:tcPr>
          <w:p>
            <w:pPr>
              <w:jc w:val="right"/>
              <w:ind w:right="30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300" w:type="dxa"/>
            <w:vAlign w:val="bottom"/>
            <w:gridSpan w:val="3"/>
          </w:tcPr>
          <w:p>
            <w:pPr>
              <w:jc w:val="center"/>
              <w:ind w:right="280"/>
              <w:spacing w:after="0" w:line="122" w:lineRule="exact"/>
              <w:rPr>
                <w:sz w:val="20"/>
                <w:szCs w:val="20"/>
                <w:color w:val="auto"/>
              </w:rPr>
            </w:pPr>
            <w:r>
              <w:rPr>
                <w:rFonts w:ascii="Arial" w:cs="Arial" w:eastAsia="Arial" w:hAnsi="Arial"/>
                <w:sz w:val="14"/>
                <w:szCs w:val="14"/>
                <w:b w:val="1"/>
                <w:bCs w:val="1"/>
                <w:color w:val="auto"/>
                <w:w w:val="97"/>
              </w:rPr>
              <w:t>Comprehensive</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2007</w:t>
            </w: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Income</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January 1, 2007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52,720,784</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$52,721</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2,451</w:t>
            </w:r>
          </w:p>
        </w:tc>
        <w:tc>
          <w:tcPr>
            <w:tcW w:w="1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(370,314)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30,601</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 (284,541)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420"/>
              <w:spacing w:after="0" w:line="202" w:lineRule="exact"/>
              <w:rPr>
                <w:sz w:val="20"/>
                <w:szCs w:val="20"/>
                <w:color w:val="auto"/>
              </w:rPr>
            </w:pPr>
            <w:r>
              <w:rPr>
                <w:rFonts w:ascii="Arial" w:cs="Arial" w:eastAsia="Arial" w:hAnsi="Arial"/>
                <w:sz w:val="18"/>
                <w:szCs w:val="18"/>
                <w:color w:val="auto"/>
              </w:rPr>
              <w:t>Exercise of unit options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110,938</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Unit-based compensation</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420"/>
              <w:spacing w:after="0" w:line="202" w:lineRule="exact"/>
              <w:rPr>
                <w:sz w:val="20"/>
                <w:szCs w:val="20"/>
                <w:color w:val="auto"/>
              </w:rPr>
            </w:pPr>
            <w:r>
              <w:rPr>
                <w:rFonts w:ascii="Arial" w:cs="Arial" w:eastAsia="Arial" w:hAnsi="Arial"/>
                <w:sz w:val="18"/>
                <w:szCs w:val="18"/>
                <w:color w:val="auto"/>
              </w:rPr>
              <w:t>Dividends accrued on preferred units</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(8,863)</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2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Impact on beginning accumulated deficit from adoption of</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2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FIN 48</w:t>
            </w:r>
          </w:p>
        </w:tc>
        <w:tc>
          <w:tcPr>
            <w:tcW w:w="900" w:type="dxa"/>
            <w:vAlign w:val="bottom"/>
            <w:shd w:val="clear" w:color="auto" w:fill="CCEEFF"/>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(1,554)</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0"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420"/>
              <w:spacing w:after="0" w:line="202" w:lineRule="exact"/>
              <w:rPr>
                <w:sz w:val="20"/>
                <w:szCs w:val="20"/>
                <w:color w:val="auto"/>
              </w:rPr>
            </w:pPr>
            <w:r>
              <w:rPr>
                <w:rFonts w:ascii="Arial" w:cs="Arial" w:eastAsia="Arial" w:hAnsi="Arial"/>
                <w:sz w:val="18"/>
                <w:szCs w:val="18"/>
                <w:color w:val="auto"/>
              </w:rPr>
              <w:t>Comprehensive income (loss):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(151,072)</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860"/>
              <w:spacing w:after="0" w:line="202" w:lineRule="exact"/>
              <w:rPr>
                <w:sz w:val="20"/>
                <w:szCs w:val="20"/>
                <w:color w:val="auto"/>
              </w:rPr>
            </w:pPr>
            <w:r>
              <w:rPr>
                <w:rFonts w:ascii="Arial" w:cs="Arial" w:eastAsia="Arial" w:hAnsi="Arial"/>
                <w:sz w:val="18"/>
                <w:szCs w:val="18"/>
                <w:color w:val="auto"/>
              </w:rPr>
              <w:t>Fair valuation of derivatives</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(2,260)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Foreign currency translation adjustments</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(4,269)</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Total comprehensive loss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(157,601)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September 30, 2007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52,831,722</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52,832</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2,698</w:t>
            </w:r>
          </w:p>
        </w:tc>
        <w:tc>
          <w:tcPr>
            <w:tcW w:w="1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(531,803)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24,072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(452,201)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2200" w:type="dxa"/>
            <w:vAlign w:val="bottom"/>
            <w:gridSpan w:val="5"/>
            <w:vMerge w:val="continue"/>
          </w:tcPr>
          <w:p>
            <w:pPr>
              <w:spacing w:after="0"/>
              <w:rPr>
                <w:sz w:val="13"/>
                <w:szCs w:val="13"/>
                <w:color w:val="auto"/>
              </w:rPr>
            </w:pPr>
          </w:p>
        </w:tc>
        <w:tc>
          <w:tcPr>
            <w:tcW w:w="96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17"/>
              <w:spacing w:after="0" w:line="152"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00"/>
              <w:spacing w:after="0" w:line="125" w:lineRule="exact"/>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right"/>
              <w:ind w:right="320"/>
              <w:spacing w:after="0" w:line="125" w:lineRule="exact"/>
              <w:rPr>
                <w:sz w:val="20"/>
                <w:szCs w:val="20"/>
                <w:color w:val="auto"/>
              </w:rPr>
            </w:pPr>
            <w:r>
              <w:rPr>
                <w:rFonts w:ascii="Arial" w:cs="Arial" w:eastAsia="Arial" w:hAnsi="Arial"/>
                <w:sz w:val="14"/>
                <w:szCs w:val="14"/>
                <w:b w:val="1"/>
                <w:bCs w:val="1"/>
                <w:color w:val="auto"/>
                <w:w w:val="97"/>
              </w:rPr>
              <w:t>Accumulated</w:t>
            </w:r>
          </w:p>
        </w:tc>
        <w:tc>
          <w:tcPr>
            <w:tcW w:w="11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7"/>
              </w:rPr>
              <w:t>Comprehensive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October 1, 2006</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January 1, 2006</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53,091,570</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$ 53,092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(130,092)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28,347</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Exercise of unit options</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46,062</w:t>
            </w: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Repurchase of units issued</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(416,848)</w:t>
            </w:r>
          </w:p>
        </w:tc>
        <w:tc>
          <w:tcPr>
            <w:tcW w:w="10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Unit-based compensation</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Dividends accrued on preferred units</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(8,070)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Comprehensive income (loss):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(183,672)</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(183,672)</w:t>
            </w:r>
          </w:p>
        </w:tc>
        <w:tc>
          <w:tcPr>
            <w:tcW w:w="0" w:type="dxa"/>
            <w:vAlign w:val="bottom"/>
          </w:tcPr>
          <w:p>
            <w:pPr>
              <w:spacing w:after="0"/>
              <w:rPr>
                <w:sz w:val="1"/>
                <w:szCs w:val="1"/>
                <w:color w:val="auto"/>
              </w:rPr>
            </w:pPr>
          </w:p>
        </w:tc>
      </w:tr>
      <w:tr>
        <w:trPr>
          <w:trHeight w:val="203"/>
        </w:trPr>
        <w:tc>
          <w:tcPr>
            <w:tcW w:w="4780" w:type="dxa"/>
            <w:vAlign w:val="bottom"/>
          </w:tcPr>
          <w:p>
            <w:pPr>
              <w:ind w:left="880"/>
              <w:spacing w:after="0" w:line="202" w:lineRule="exact"/>
              <w:rPr>
                <w:sz w:val="20"/>
                <w:szCs w:val="20"/>
                <w:color w:val="auto"/>
              </w:rPr>
            </w:pPr>
            <w:r>
              <w:rPr>
                <w:rFonts w:ascii="Arial" w:cs="Arial" w:eastAsia="Arial" w:hAnsi="Arial"/>
                <w:sz w:val="18"/>
                <w:szCs w:val="18"/>
                <w:color w:val="auto"/>
              </w:rPr>
              <w:t>Fair valuation of derivatives</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3,241</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440"/>
              <w:spacing w:after="0"/>
              <w:rPr>
                <w:sz w:val="20"/>
                <w:szCs w:val="20"/>
                <w:color w:val="auto"/>
              </w:rPr>
            </w:pPr>
            <w:r>
              <w:rPr>
                <w:rFonts w:ascii="Arial" w:cs="Arial" w:eastAsia="Arial" w:hAnsi="Arial"/>
                <w:sz w:val="18"/>
                <w:szCs w:val="18"/>
                <w:color w:val="auto"/>
              </w:rPr>
              <w:t>Total comprehensive loss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(180,344)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Balance at October 1, 2006</w:t>
            </w: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52,720,784</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$ 52,721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2,378</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(321,834)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31,675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(235,060)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5"/>
        </w:trPr>
        <w:tc>
          <w:tcPr>
            <w:tcW w:w="9100" w:type="dxa"/>
            <w:vAlign w:val="bottom"/>
          </w:tcPr>
          <w:p>
            <w:pPr>
              <w:spacing w:after="0"/>
              <w:rPr>
                <w:sz w:val="10"/>
                <w:szCs w:val="10"/>
                <w:color w:val="auto"/>
              </w:rPr>
            </w:pPr>
          </w:p>
        </w:tc>
        <w:tc>
          <w:tcPr>
            <w:tcW w:w="144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b w:val="1"/>
                <w:bCs w:val="1"/>
                <w:color w:val="auto"/>
              </w:rPr>
              <w:t>October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1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(151,072)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 (183,672)</w:t>
            </w: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138,787</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Provision for severance benefits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13,985</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10,031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2,913</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Gain on foreign currency translation, net</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(9,623)</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(43,297)</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Impairment charges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10,106</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(46,487)</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36,804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(34,528)</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(212)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655</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56,699</w:t>
            </w:r>
          </w:p>
        </w:tc>
        <w:tc>
          <w:tcPr>
            <w:tcW w:w="5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(39,955)</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accounts payable</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(5,012)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(16,870)</w:t>
            </w: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6,118</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8,242</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2,939</w:t>
            </w:r>
          </w:p>
        </w:tc>
        <w:tc>
          <w:tcPr>
            <w:tcW w:w="5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Payment of severance benefits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(5,913)</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(1,183)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(13,225)</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plant, property and equipment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(63,967)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(26,274)</w:t>
            </w: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Payments for intellectual property registration</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(955)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disposal of plant, property and equipment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Proceeds from disposal of intangible assets</w:t>
            </w:r>
          </w:p>
        </w:tc>
        <w:tc>
          <w:tcPr>
            <w:tcW w:w="160" w:type="dxa"/>
            <w:vAlign w:val="bottom"/>
          </w:tcPr>
          <w:p>
            <w:pPr>
              <w:spacing w:after="0"/>
              <w:rPr>
                <w:sz w:val="17"/>
                <w:szCs w:val="17"/>
                <w:color w:val="auto"/>
              </w:rPr>
            </w:pPr>
          </w:p>
        </w:tc>
        <w:tc>
          <w:tcPr>
            <w:tcW w:w="12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restricted cash</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5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(64,436)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of unit options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Repurchase of common units</w:t>
            </w:r>
          </w:p>
        </w:tc>
        <w:tc>
          <w:tcPr>
            <w:tcW w:w="160" w:type="dxa"/>
            <w:vAlign w:val="bottom"/>
          </w:tcPr>
          <w:p>
            <w:pPr>
              <w:spacing w:after="0"/>
              <w:rPr>
                <w:sz w:val="17"/>
                <w:szCs w:val="17"/>
                <w:color w:val="auto"/>
              </w:rPr>
            </w:pPr>
          </w:p>
        </w:tc>
        <w:tc>
          <w:tcPr>
            <w:tcW w:w="12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short-term borrowings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70,397</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Repayment of short-term borrowings</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(20,000)</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50,508</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(86)</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(27,239)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89,173</w:t>
            </w:r>
          </w:p>
        </w:tc>
        <w:tc>
          <w:tcPr>
            <w:tcW w:w="5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color w:val="auto"/>
              </w:rPr>
              <w:t>End of the period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61,934</w:t>
            </w:r>
          </w:p>
        </w:tc>
        <w:tc>
          <w:tcPr>
            <w:tcW w:w="5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$ 107,489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36" w:lineRule="exact"/>
        <w:rPr>
          <w:sz w:val="20"/>
          <w:szCs w:val="20"/>
          <w:color w:val="auto"/>
        </w:rPr>
      </w:pPr>
    </w:p>
    <w:p>
      <w:pPr>
        <w:ind w:right="8580" w:firstLine="8"/>
        <w:spacing w:after="0" w:line="341" w:lineRule="auto"/>
        <w:tabs>
          <w:tab w:leader="none" w:pos="195"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 results of operations for the nine-month period ended September 30, 2007 are not necessarily indicative of the results to be expected for a full year or for any other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February 2007, the Financial Accounting Standards Board (“FASB”) issued Statements of Financial Accounting Standards (“SFAS”)</w:t>
      </w:r>
    </w:p>
    <w:p>
      <w:pPr>
        <w:ind w:right="20"/>
        <w:spacing w:after="0" w:line="275" w:lineRule="auto"/>
        <w:rPr>
          <w:sz w:val="20"/>
          <w:szCs w:val="20"/>
          <w:color w:val="auto"/>
        </w:rPr>
      </w:pPr>
      <w:r>
        <w:rPr>
          <w:rFonts w:ascii="Arial" w:cs="Arial" w:eastAsia="Arial" w:hAnsi="Arial"/>
          <w:sz w:val="16"/>
          <w:szCs w:val="16"/>
          <w:color w:val="auto"/>
        </w:rPr>
        <w:t>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which provides companies with an option to report selected financial assets and liabilities at fair 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The Company is currently evaluating the impact that the adoption may have on its consolidated financial statements.</w:t>
      </w:r>
    </w:p>
    <w:p>
      <w:pPr>
        <w:spacing w:after="0" w:line="111"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as of September 30, 2007 and December 31, 2006 consist of the following:</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440" w:type="dxa"/>
            <w:vAlign w:val="bottom"/>
            <w:gridSpan w:val="4"/>
          </w:tcPr>
          <w:p>
            <w:pPr>
              <w:ind w:left="310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Finished goods</w:t>
            </w:r>
          </w:p>
        </w:tc>
        <w:tc>
          <w:tcPr>
            <w:tcW w:w="3300" w:type="dxa"/>
            <w:vAlign w:val="bottom"/>
            <w:gridSpan w:val="2"/>
            <w:shd w:val="clear" w:color="auto" w:fill="CCEEFF"/>
          </w:tcPr>
          <w:p>
            <w:pPr>
              <w:ind w:left="310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23,010</w:t>
            </w:r>
          </w:p>
        </w:tc>
        <w:tc>
          <w:tcPr>
            <w:tcW w:w="4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16,169</w:t>
            </w:r>
          </w:p>
        </w:tc>
        <w:tc>
          <w:tcPr>
            <w:tcW w:w="60" w:type="dxa"/>
            <w:vAlign w:val="bottom"/>
            <w:shd w:val="clear" w:color="auto" w:fill="CCEEFF"/>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Semi-finished goods and work-in-process</w:t>
            </w: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72,517</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39,492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9,259</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11,774</w:t>
            </w:r>
          </w:p>
        </w:tc>
        <w:tc>
          <w:tcPr>
            <w:tcW w:w="60" w:type="dxa"/>
            <w:vAlign w:val="bottom"/>
            <w:shd w:val="clear" w:color="auto" w:fill="CCEEFF"/>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Materials in-transit</w:t>
            </w: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1,581</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2,063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allowances</w:t>
            </w: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(12,267)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(11,652)</w:t>
            </w:r>
          </w:p>
        </w:tc>
      </w:tr>
      <w:tr>
        <w:trPr>
          <w:trHeight w:val="20"/>
        </w:trPr>
        <w:tc>
          <w:tcPr>
            <w:tcW w:w="39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4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3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94,100</w:t>
            </w:r>
          </w:p>
        </w:tc>
        <w:tc>
          <w:tcPr>
            <w:tcW w:w="40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57,846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00" w:type="dxa"/>
            <w:vAlign w:val="bottom"/>
            <w:gridSpan w:val="2"/>
          </w:tcPr>
          <w:p>
            <w:pPr>
              <w:ind w:left="740"/>
              <w:spacing w:after="0"/>
              <w:rPr>
                <w:sz w:val="20"/>
                <w:szCs w:val="20"/>
                <w:color w:val="auto"/>
              </w:rPr>
            </w:pPr>
            <w:r>
              <w:rPr>
                <w:rFonts w:ascii="Arial" w:cs="Arial" w:eastAsia="Arial" w:hAnsi="Arial"/>
                <w:sz w:val="18"/>
                <w:szCs w:val="18"/>
                <w:color w:val="auto"/>
              </w:rPr>
              <w:t>F-51</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Plant and Equipment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plant and equipment as of September 30, 2007 and December 31, 2006 comprise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Buildings and related structures</w:t>
            </w:r>
          </w:p>
        </w:tc>
        <w:tc>
          <w:tcPr>
            <w:tcW w:w="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154,619</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162,383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425,973</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369,683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 and others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53,321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42,772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633,913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(365,596)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(252,814)</w:t>
            </w:r>
          </w:p>
        </w:tc>
        <w:tc>
          <w:tcPr>
            <w:tcW w:w="0" w:type="dxa"/>
            <w:vAlign w:val="bottom"/>
          </w:tcPr>
          <w:p>
            <w:pPr>
              <w:spacing w:after="0"/>
              <w:rPr>
                <w:sz w:val="1"/>
                <w:szCs w:val="1"/>
                <w:color w:val="auto"/>
              </w:rPr>
            </w:pPr>
          </w:p>
        </w:tc>
      </w:tr>
      <w:tr>
        <w:trPr>
          <w:trHeight w:val="203"/>
        </w:trPr>
        <w:tc>
          <w:tcPr>
            <w:tcW w:w="79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Land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12,705</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in-progress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60" w:type="dxa"/>
            <w:vAlign w:val="bottom"/>
            <w:gridSpan w:val="2"/>
          </w:tcPr>
          <w:p>
            <w:pPr>
              <w:ind w:left="8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281,022</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Intangible Assets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60" w:type="dxa"/>
            <w:vAlign w:val="bottom"/>
            <w:gridSpan w:val="2"/>
          </w:tcPr>
          <w:p>
            <w:pPr>
              <w:ind w:left="580"/>
              <w:spacing w:after="0"/>
              <w:rPr>
                <w:sz w:val="20"/>
                <w:szCs w:val="20"/>
                <w:color w:val="auto"/>
              </w:rPr>
            </w:pPr>
            <w:r>
              <w:rPr>
                <w:rFonts w:ascii="Arial" w:cs="Arial" w:eastAsia="Arial" w:hAnsi="Arial"/>
                <w:sz w:val="18"/>
                <w:szCs w:val="18"/>
                <w:color w:val="auto"/>
              </w:rPr>
              <w:t>Intangible assets as of September 30, 2007 and December 31, 2006 are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w:t>
            </w:r>
          </w:p>
        </w:tc>
        <w:tc>
          <w:tcPr>
            <w:tcW w:w="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21,672</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172,817</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170,209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14,245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Intellectual property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9,991</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9,742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(103,229)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(76,606)</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tcPr>
          <w:p>
            <w:pPr>
              <w:ind w:left="860"/>
              <w:spacing w:after="0"/>
              <w:rPr>
                <w:sz w:val="20"/>
                <w:szCs w:val="20"/>
                <w:color w:val="auto"/>
              </w:rPr>
            </w:pPr>
            <w:r>
              <w:rPr>
                <w:rFonts w:ascii="Arial" w:cs="Arial" w:eastAsia="Arial" w:hAnsi="Arial"/>
                <w:sz w:val="18"/>
                <w:szCs w:val="18"/>
                <w:color w:val="auto"/>
              </w:rPr>
              <w:t>Intangible assets, net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115,496</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accrued warranty liabilities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95"/>
              </w:rPr>
              <w:t>October 1,</w:t>
            </w:r>
          </w:p>
        </w:tc>
        <w:tc>
          <w:tcPr>
            <w:tcW w:w="60" w:type="dxa"/>
            <w:vAlign w:val="bottom"/>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220" w:type="dxa"/>
            <w:vAlign w:val="bottom"/>
            <w:gridSpan w:val="2"/>
            <w:shd w:val="clear" w:color="auto" w:fill="CCEEFF"/>
          </w:tcPr>
          <w:p>
            <w:pPr>
              <w:ind w:left="20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4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1,036</w:t>
            </w:r>
          </w:p>
        </w:tc>
        <w:tc>
          <w:tcPr>
            <w:tcW w:w="60" w:type="dxa"/>
            <w:vAlign w:val="bottom"/>
            <w:shd w:val="clear" w:color="auto" w:fill="CCEEFF"/>
          </w:tcPr>
          <w:p>
            <w:pPr>
              <w:spacing w:after="0"/>
              <w:rPr>
                <w:sz w:val="17"/>
                <w:szCs w:val="17"/>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Addition to (reversal of) warranty reserve</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346</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(563)</w:t>
            </w: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made</w:t>
            </w:r>
          </w:p>
        </w:tc>
        <w:tc>
          <w:tcPr>
            <w:tcW w:w="2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(272)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r>
      <w:tr>
        <w:trPr>
          <w:trHeight w:val="210"/>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Translation adjustments</w:t>
            </w:r>
          </w:p>
        </w:tc>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2220" w:type="dxa"/>
            <w:vAlign w:val="bottom"/>
            <w:gridSpan w:val="2"/>
            <w:shd w:val="clear" w:color="auto" w:fill="CCEEFF"/>
          </w:tcPr>
          <w:p>
            <w:pPr>
              <w:ind w:left="20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4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borrowings</w:t>
      </w:r>
    </w:p>
    <w:p>
      <w:pPr>
        <w:spacing w:after="0" w:line="99"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is charged at current rates when drawn upon.</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Presently, borrowings under the credit agreement bear interest equal to the 3-month London Inter-bank Offering Rate (“LIBOR”) plus 4.75% or Alternate Base Rate (“ABR”) plus 3.75%. Additionally, the Company is required to pay the administrative agent for the account of each lender a commitment fee equal to 0.5% on the average daily unused amount of the commitment of each Lender during the period from December 23, 2004 to but excluding the date on which such commitments terminate. At September 30, 2007, the Company had borrowed $50.6 million under this credit agreement.</w:t>
      </w:r>
    </w:p>
    <w:p>
      <w:pPr>
        <w:spacing w:after="0" w:line="157"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September 28, 2007, the Company entered into the Eighth Amendment to Credit Agreement, dated as of September 28, 2007 (the “Eighth Amendment”), with MagnaChip Semiconductor S.A. and MagnaChip Semiconductor Finance Company, as borrowers, the Subsidiary Guarantors party thereto, the Lenders party thereto, and UBS AG, Stamford Branch, as administrative agent and collateral agent. Under the Eighth Amendment, among other things, the financial covenants regarding total leverage, interest coverage, capital expenditure limitations and minimum levels of EBITDA and liquidity were modified. In addition, the monthly requirement of the obligors to provide certain financial and other reports to the lenders were modified.</w:t>
      </w:r>
    </w:p>
    <w:p>
      <w:pPr>
        <w:spacing w:after="0" w:line="156"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On November 13, 2007, the Company entered into the Ninth Amendment and Waiver to Credit Agreement, dated as of November 13, 2007 (the “Ninth Amendment”), with MagnaChip Semiconductor S.A. and MagnaChip Semiconductor Finance Company, as borrowers, the Subsidiary Guarantors party thereto, the Lenders party thereto, and UBS AG, Stamford Branch, as administrative agent and collateral agent. Under the Ninth Amendment, the lenders under the senior secured credit facility waived certain provisions of the credit agreement to permit us to consummate the corporate reorganization and this offering, and to use the proceeds from the offering as described in this prospectus. Pursuant to the Ninth Amendment, the Company will become a guarantor, and grant a security interest with respect to the obligations, under the senior secured credit facility upon the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consummation of the corporate reorganization, and the credit agreement will be amended effective as of the corporate reorganization to provide for such guarantee and the grant of such security interest.</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Details of short-term borrowings as of September 30, 2007 are presented as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w w:val="94"/>
              </w:rPr>
              <w:t>Amount of</w:t>
            </w:r>
          </w:p>
        </w:tc>
      </w:tr>
      <w:tr>
        <w:trPr>
          <w:trHeight w:val="165"/>
        </w:trPr>
        <w:tc>
          <w:tcPr>
            <w:tcW w:w="6620" w:type="dxa"/>
            <w:vAlign w:val="bottom"/>
          </w:tcPr>
          <w:p>
            <w:pPr>
              <w:spacing w:after="0"/>
              <w:rPr>
                <w:sz w:val="14"/>
                <w:szCs w:val="1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2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Annual interest rate (%)</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principal</w:t>
            </w: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Euro dollar Revolving Loan</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2007-12-21</w:t>
            </w:r>
          </w:p>
        </w:tc>
        <w:tc>
          <w:tcPr>
            <w:tcW w:w="22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 month LIBOR + 4.75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ABR Revolving Loan</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2007-12-28</w:t>
            </w:r>
          </w:p>
        </w:tc>
        <w:tc>
          <w:tcPr>
            <w:tcW w:w="220" w:type="dxa"/>
            <w:vAlign w:val="bottom"/>
          </w:tcPr>
          <w:p>
            <w:pPr>
              <w:spacing w:after="0"/>
              <w:rPr>
                <w:sz w:val="17"/>
                <w:szCs w:val="17"/>
                <w:color w:val="auto"/>
              </w:rPr>
            </w:pPr>
          </w:p>
        </w:tc>
        <w:tc>
          <w:tcPr>
            <w:tcW w:w="2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ABR + 3.75</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Banker’s Usance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10,601</w:t>
            </w:r>
          </w:p>
        </w:tc>
      </w:tr>
      <w:tr>
        <w:trPr>
          <w:trHeight w:val="210"/>
        </w:trPr>
        <w:tc>
          <w:tcPr>
            <w:tcW w:w="6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50,601</w:t>
            </w:r>
          </w:p>
        </w:tc>
      </w:tr>
      <w:tr>
        <w:trPr>
          <w:trHeight w:val="20"/>
        </w:trPr>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Borrowings</w:t>
      </w:r>
    </w:p>
    <w:p>
      <w:pPr>
        <w:spacing w:after="0" w:line="99" w:lineRule="exact"/>
        <w:rPr>
          <w:sz w:val="20"/>
          <w:szCs w:val="20"/>
          <w:color w:val="auto"/>
        </w:rPr>
      </w:pPr>
    </w:p>
    <w:p>
      <w:pPr>
        <w:ind w:right="200" w:firstLine="571"/>
        <w:spacing w:after="0" w:line="281" w:lineRule="auto"/>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 $500 million aggregate principal amount of Second Priority Senior Secured Notes consisting of $300 million aggregate principal</w:t>
      </w:r>
    </w:p>
    <w:p>
      <w:pPr>
        <w:spacing w:after="0" w:line="1" w:lineRule="exact"/>
        <w:rPr>
          <w:sz w:val="20"/>
          <w:szCs w:val="20"/>
          <w:color w:val="auto"/>
        </w:rPr>
      </w:pPr>
    </w:p>
    <w:p>
      <w:pPr>
        <w:ind w:right="520"/>
        <w:spacing w:after="0" w:line="234" w:lineRule="auto"/>
        <w:rPr>
          <w:sz w:val="20"/>
          <w:szCs w:val="20"/>
          <w:color w:val="auto"/>
        </w:rPr>
      </w:pPr>
      <w:r>
        <w:rPr>
          <w:rFonts w:ascii="Arial" w:cs="Arial" w:eastAsia="Arial" w:hAnsi="Arial"/>
          <w:sz w:val="17"/>
          <w:szCs w:val="17"/>
          <w:color w:val="auto"/>
        </w:rPr>
        <w:t xml:space="preserve">amount of Floating Rate Second Priority Senior Secured Notes and $200 million aggregate principal amount of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At the same time, such subsidiaries issued $250 million aggregate principal amount of 8% Senior Subordinated Notes.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Details of long-term borrowings as of September 30, 2007 and December 31, 2006 are presented as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Amount of</w:t>
            </w:r>
          </w:p>
        </w:tc>
      </w:tr>
      <w:tr>
        <w:trPr>
          <w:trHeight w:val="165"/>
        </w:trPr>
        <w:tc>
          <w:tcPr>
            <w:tcW w:w="684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4"/>
                <w:szCs w:val="14"/>
                <w:color w:val="auto"/>
              </w:rPr>
            </w:pPr>
          </w:p>
        </w:tc>
        <w:tc>
          <w:tcPr>
            <w:tcW w:w="23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Annual interest rate (%)</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principal</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Floating Rate Second Priority Senior Secured Notes</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2011</w:t>
            </w:r>
          </w:p>
        </w:tc>
        <w:tc>
          <w:tcPr>
            <w:tcW w:w="26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 month LIBOR + 3.250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300,000</w:t>
            </w: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2011</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6.875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8% Senior Subordinated Notes</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2014</w:t>
            </w: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r>
      <w:tr>
        <w:trPr>
          <w:trHeight w:val="210"/>
        </w:trPr>
        <w:tc>
          <w:tcPr>
            <w:tcW w:w="6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w:t>
            </w:r>
          </w:p>
        </w:tc>
      </w:tr>
      <w:tr>
        <w:trPr>
          <w:trHeight w:val="20"/>
        </w:trPr>
        <w:tc>
          <w:tcPr>
            <w:tcW w:w="6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senior secured revolving credit facility and Second Priority Senior Secured Notes are collateralized by substantially all of the assets of the Company. The notes are due in full upon maturity.</w:t>
      </w:r>
    </w:p>
    <w:p>
      <w:pPr>
        <w:spacing w:after="0" w:line="155" w:lineRule="exact"/>
        <w:rPr>
          <w:sz w:val="20"/>
          <w:szCs w:val="20"/>
          <w:color w:val="auto"/>
        </w:rPr>
      </w:pPr>
    </w:p>
    <w:p>
      <w:pPr>
        <w:ind w:right="220" w:firstLine="571"/>
        <w:spacing w:after="0" w:line="275" w:lineRule="auto"/>
        <w:rPr>
          <w:sz w:val="20"/>
          <w:szCs w:val="20"/>
          <w:color w:val="auto"/>
        </w:rPr>
      </w:pPr>
      <w:r>
        <w:rPr>
          <w:rFonts w:ascii="Arial" w:cs="Arial" w:eastAsia="Arial" w:hAnsi="Arial"/>
          <w:sz w:val="16"/>
          <w:szCs w:val="16"/>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29" w:lineRule="exact"/>
        <w:rPr>
          <w:sz w:val="20"/>
          <w:szCs w:val="20"/>
          <w:color w:val="auto"/>
        </w:rPr>
      </w:pPr>
    </w:p>
    <w:p>
      <w:pPr>
        <w:ind w:right="340" w:firstLine="571"/>
        <w:spacing w:after="0" w:line="237" w:lineRule="auto"/>
        <w:rPr>
          <w:sz w:val="20"/>
          <w:szCs w:val="20"/>
          <w:color w:val="auto"/>
        </w:rPr>
      </w:pPr>
      <w:r>
        <w:rPr>
          <w:rFonts w:ascii="Arial" w:cs="Arial" w:eastAsia="Arial" w:hAnsi="Arial"/>
          <w:sz w:val="18"/>
          <w:szCs w:val="18"/>
          <w:color w:val="auto"/>
        </w:rPr>
        <w:t>As of September 30, 2007, the Company and all of its subsidiaries except for MagnaChip Semiconductor (Shanghai) Company Limited have jointly and severally guaranteed each series of the Second Priority Senior Secured Notes on a second priority senior secured basis. As of September 30, 2007, the Company and its subsidiaries except for MagnaChip Semiconductor Ltd. (Korea) and MagnaChip Semiconductor (Shanghai) Company Limited have jointly and severally guaranteed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Senior Subordinated Notes on an unsecured, senior subordinated basis. In addition, the Company and each of its current and future direct and indirect subsidiaries (subject to certain exceptions) will be guarantors of the Second Priority Senior Secured Notes and Senior Subordinated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of three-month LIBOR plus 3.25% to a fixed interest rate of 7.34% on the Company’s Floating Rate Second Priority Senior Secured Notes (the “Notes”). This Swap will be in effect until June 15, 2008.</w:t>
      </w:r>
    </w:p>
    <w:p>
      <w:pPr>
        <w:spacing w:after="0" w:line="136" w:lineRule="exact"/>
        <w:rPr>
          <w:sz w:val="20"/>
          <w:szCs w:val="20"/>
          <w:color w:val="auto"/>
        </w:rPr>
      </w:pPr>
    </w:p>
    <w:p>
      <w:pPr>
        <w:ind w:right="100" w:firstLine="571"/>
        <w:spacing w:after="0" w:line="243" w:lineRule="auto"/>
        <w:rPr>
          <w:sz w:val="20"/>
          <w:szCs w:val="20"/>
          <w:color w:val="auto"/>
        </w:rPr>
      </w:pPr>
      <w:r>
        <w:rPr>
          <w:rFonts w:ascii="Arial" w:cs="Arial" w:eastAsia="Arial" w:hAnsi="Arial"/>
          <w:sz w:val="18"/>
          <w:szCs w:val="18"/>
          <w:color w:val="auto"/>
        </w:rPr>
        <w:t xml:space="preserve">The Swap qualifies as an effective cash flow hedge under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52" w:lineRule="exact"/>
        <w:rPr>
          <w:sz w:val="20"/>
          <w:szCs w:val="20"/>
          <w:color w:val="auto"/>
        </w:rPr>
      </w:pPr>
    </w:p>
    <w:p>
      <w:pPr>
        <w:ind w:right="160" w:firstLine="571"/>
        <w:spacing w:after="0" w:line="281" w:lineRule="auto"/>
        <w:rPr>
          <w:sz w:val="20"/>
          <w:szCs w:val="20"/>
          <w:color w:val="auto"/>
        </w:rPr>
      </w:pPr>
      <w:r>
        <w:rPr>
          <w:rFonts w:ascii="Arial" w:cs="Arial" w:eastAsia="Arial" w:hAnsi="Arial"/>
          <w:sz w:val="16"/>
          <w:szCs w:val="16"/>
          <w:color w:val="auto"/>
        </w:rPr>
        <w:t>For the nine-month period ended September 30, 2007, the Company recorded changes in the fair value of the Swap amounting to $2,260 thousand, under other comprehensive income in the accompanying condensed consolidated financial statements. In addition, during the same period, the Company recognized interest income of $2,888 thousand, which represents the differences between fixed and variable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Severance Benefits</w:t>
      </w:r>
    </w:p>
    <w:p>
      <w:pPr>
        <w:spacing w:after="0" w:line="99"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September 30, 2007, 96% of all employees of the Company were eligible for severance benefits.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4"/>
                <w:szCs w:val="14"/>
                <w:b w:val="1"/>
                <w:bCs w:val="1"/>
                <w:color w:val="auto"/>
              </w:rPr>
              <w:t>October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360" w:type="dxa"/>
            <w:vAlign w:val="bottom"/>
            <w:gridSpan w:val="2"/>
            <w:shd w:val="clear" w:color="auto" w:fill="CCEEFF"/>
          </w:tcPr>
          <w:p>
            <w:pPr>
              <w:ind w:left="114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64,642</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$ 56,967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Provisions</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13,985</w:t>
            </w:r>
          </w:p>
        </w:tc>
        <w:tc>
          <w:tcPr>
            <w:tcW w:w="3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Severance payments</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(5,913)</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Effect of foreign currency translation and other</w:t>
            </w:r>
          </w:p>
        </w:tc>
        <w:tc>
          <w:tcPr>
            <w:tcW w:w="1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74,039</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(813)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Group Severance insurance plan</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(919)</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3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72,307</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$ 61,778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660"/>
              <w:spacing w:after="0"/>
              <w:rPr>
                <w:sz w:val="20"/>
                <w:szCs w:val="20"/>
                <w:color w:val="auto"/>
              </w:rPr>
            </w:pPr>
            <w:r>
              <w:rPr>
                <w:rFonts w:ascii="Arial" w:cs="Arial" w:eastAsia="Arial" w:hAnsi="Arial"/>
                <w:sz w:val="18"/>
                <w:szCs w:val="18"/>
                <w:color w:val="auto"/>
              </w:rPr>
              <w:t>F-55</w:t>
            </w: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The severance benefits are funded approximately 2.34% and 2.83% as of September 30, 2007 and October 1, 2006,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expects to pay the following future benefits to its employees upon their normal retirement age: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38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Severance benefit</w:t>
            </w: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2008</w:t>
            </w: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214"/>
        </w:trPr>
        <w:tc>
          <w:tcPr>
            <w:tcW w:w="7380" w:type="dxa"/>
            <w:vAlign w:val="bottom"/>
          </w:tcPr>
          <w:p>
            <w:pPr>
              <w:spacing w:after="0"/>
              <w:rPr>
                <w:sz w:val="20"/>
                <w:szCs w:val="20"/>
                <w:color w:val="auto"/>
              </w:rPr>
            </w:pPr>
            <w:r>
              <w:rPr>
                <w:rFonts w:ascii="Arial" w:cs="Arial" w:eastAsia="Arial" w:hAnsi="Arial"/>
                <w:sz w:val="18"/>
                <w:szCs w:val="18"/>
                <w:color w:val="auto"/>
              </w:rPr>
              <w:t>2013 – 2017</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5,289</w:t>
            </w:r>
          </w:p>
        </w:tc>
      </w:tr>
    </w:tbl>
    <w:p>
      <w:pPr>
        <w:spacing w:after="0" w:line="154"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Convertible Preferred Units</w:t>
      </w:r>
    </w:p>
    <w:p>
      <w:pPr>
        <w:spacing w:after="0" w:line="99" w:lineRule="exact"/>
        <w:rPr>
          <w:sz w:val="20"/>
          <w:szCs w:val="20"/>
          <w:color w:val="auto"/>
        </w:rPr>
      </w:pPr>
    </w:p>
    <w:p>
      <w:pPr>
        <w:ind w:right="340" w:firstLine="571"/>
        <w:spacing w:after="0" w:line="237" w:lineRule="auto"/>
        <w:rPr>
          <w:sz w:val="20"/>
          <w:szCs w:val="20"/>
          <w:color w:val="auto"/>
        </w:rPr>
      </w:pPr>
      <w:r>
        <w:rPr>
          <w:rFonts w:ascii="Arial" w:cs="Arial" w:eastAsia="Arial" w:hAnsi="Arial"/>
          <w:sz w:val="18"/>
          <w:szCs w:val="18"/>
          <w:color w:val="auto"/>
        </w:rPr>
        <w:t>The Company issued 49,727 units as Series A redeemable convertible preferred units (the “Series A”) and 447,420 units as Series B redeemable convertible preferred units (the “Series B”) on September 23, 2004 and additionally issued 364 units of Series A and 3,272 units of Series B on November 30, 2004, respectively. All of Series A were redeemed by cash on December 27, 2004 and some of the Series B were redeemed by cash on December 15, 2004 and December 27, 2004.</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Series B for the nine months ended September 30, 2007 and October 1, 2006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7740" w:type="dxa"/>
            <w:vAlign w:val="bottom"/>
          </w:tcPr>
          <w:p>
            <w:pPr>
              <w:spacing w:after="0"/>
              <w:rPr>
                <w:sz w:val="10"/>
                <w:szCs w:val="10"/>
                <w:color w:val="auto"/>
              </w:rPr>
            </w:pPr>
          </w:p>
        </w:tc>
        <w:tc>
          <w:tcPr>
            <w:tcW w:w="1720" w:type="dxa"/>
            <w:vAlign w:val="bottom"/>
            <w:gridSpan w:val="5"/>
          </w:tcPr>
          <w:p>
            <w:pPr>
              <w:jc w:val="right"/>
              <w:ind w:right="320"/>
              <w:spacing w:after="0" w:line="125"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0"/>
                <w:szCs w:val="10"/>
                <w:color w:val="auto"/>
              </w:rPr>
            </w:pPr>
          </w:p>
        </w:tc>
        <w:tc>
          <w:tcPr>
            <w:tcW w:w="1740" w:type="dxa"/>
            <w:vAlign w:val="bottom"/>
            <w:gridSpan w:val="5"/>
          </w:tcPr>
          <w:p>
            <w:pPr>
              <w:jc w:val="right"/>
              <w:ind w:right="457"/>
              <w:spacing w:after="0" w:line="125"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0"/>
                <w:szCs w:val="10"/>
                <w:color w:val="auto"/>
              </w:rPr>
            </w:pPr>
          </w:p>
        </w:tc>
      </w:tr>
      <w:tr>
        <w:trPr>
          <w:trHeight w:val="178"/>
        </w:trPr>
        <w:tc>
          <w:tcPr>
            <w:tcW w:w="77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3"/>
        </w:trPr>
        <w:tc>
          <w:tcPr>
            <w:tcW w:w="7740" w:type="dxa"/>
            <w:vAlign w:val="bottom"/>
          </w:tcPr>
          <w:p>
            <w:pPr>
              <w:spacing w:after="0"/>
              <w:rPr>
                <w:sz w:val="12"/>
                <w:szCs w:val="12"/>
                <w:color w:val="auto"/>
              </w:rPr>
            </w:pPr>
          </w:p>
        </w:tc>
        <w:tc>
          <w:tcPr>
            <w:tcW w:w="640" w:type="dxa"/>
            <w:vAlign w:val="bottom"/>
            <w:tcBorders>
              <w:bottom w:val="single" w:sz="8" w:color="auto"/>
            </w:tcBorders>
          </w:tcPr>
          <w:p>
            <w:pPr>
              <w:ind w:left="160"/>
              <w:spacing w:after="0" w:line="143" w:lineRule="exact"/>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00"/>
              <w:spacing w:after="0" w:line="14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86"/>
              <w:spacing w:after="0" w:line="143" w:lineRule="exact"/>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period</w:t>
            </w:r>
          </w:p>
        </w:tc>
        <w:tc>
          <w:tcPr>
            <w:tcW w:w="6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93,997</w:t>
            </w:r>
          </w:p>
        </w:tc>
        <w:tc>
          <w:tcPr>
            <w:tcW w:w="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117,374</w:t>
            </w:r>
          </w:p>
        </w:tc>
        <w:tc>
          <w:tcPr>
            <w:tcW w:w="90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93,997</w:t>
            </w:r>
          </w:p>
        </w:tc>
        <w:tc>
          <w:tcPr>
            <w:tcW w:w="3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106,462</w:t>
            </w:r>
          </w:p>
        </w:tc>
        <w:tc>
          <w:tcPr>
            <w:tcW w:w="20" w:type="dxa"/>
            <w:vAlign w:val="bottom"/>
          </w:tcPr>
          <w:p>
            <w:pPr>
              <w:spacing w:after="0"/>
              <w:rPr>
                <w:sz w:val="17"/>
                <w:szCs w:val="17"/>
                <w:color w:val="auto"/>
              </w:rPr>
            </w:pPr>
          </w:p>
        </w:tc>
      </w:tr>
      <w:tr>
        <w:trPr>
          <w:trHeight w:val="210"/>
        </w:trPr>
        <w:tc>
          <w:tcPr>
            <w:tcW w:w="7740" w:type="dxa"/>
            <w:vAlign w:val="bottom"/>
          </w:tcPr>
          <w:p>
            <w:pPr>
              <w:spacing w:after="0" w:line="202" w:lineRule="exact"/>
              <w:rPr>
                <w:sz w:val="20"/>
                <w:szCs w:val="20"/>
                <w:color w:val="auto"/>
              </w:rPr>
            </w:pPr>
            <w:r>
              <w:rPr>
                <w:rFonts w:ascii="Arial" w:cs="Arial" w:eastAsia="Arial" w:hAnsi="Arial"/>
                <w:sz w:val="18"/>
                <w:szCs w:val="18"/>
                <w:color w:val="auto"/>
              </w:rPr>
              <w:t>Accrual of preferred dividends</w:t>
            </w:r>
          </w:p>
        </w:tc>
        <w:tc>
          <w:tcPr>
            <w:tcW w:w="640" w:type="dxa"/>
            <w:vAlign w:val="bottom"/>
            <w:tcBorders>
              <w:bottom w:val="single" w:sz="8" w:color="auto"/>
            </w:tcBorders>
          </w:tcPr>
          <w:p>
            <w:pPr>
              <w:ind w:left="3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8,863</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ind w:right="26"/>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8,070</w:t>
            </w:r>
          </w:p>
        </w:tc>
        <w:tc>
          <w:tcPr>
            <w:tcW w:w="20" w:type="dxa"/>
            <w:vAlign w:val="bottom"/>
          </w:tcPr>
          <w:p>
            <w:pPr>
              <w:spacing w:after="0"/>
              <w:rPr>
                <w:sz w:val="18"/>
                <w:szCs w:val="18"/>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 of period</w:t>
            </w: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93,997</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126,237</w:t>
            </w: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93,997</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114,532</w:t>
            </w:r>
          </w:p>
        </w:tc>
        <w:tc>
          <w:tcPr>
            <w:tcW w:w="2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Unit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illustrates the computation of basic and diluted loss per common unit for the nine-month period ended September 30,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2007 and October 1, 2006:</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25"/>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420"/>
              <w:spacing w:after="0" w:line="125" w:lineRule="exact"/>
              <w:rPr>
                <w:sz w:val="20"/>
                <w:szCs w:val="20"/>
                <w:color w:val="auto"/>
              </w:rPr>
            </w:pPr>
            <w:r>
              <w:rPr>
                <w:rFonts w:ascii="Arial" w:cs="Arial" w:eastAsia="Arial" w:hAnsi="Arial"/>
                <w:sz w:val="14"/>
                <w:szCs w:val="14"/>
                <w:b w:val="1"/>
                <w:bCs w:val="1"/>
                <w:color w:val="auto"/>
                <w:w w:val="98"/>
              </w:rPr>
              <w:t>September 30,</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8"/>
              <w:spacing w:after="0" w:line="125" w:lineRule="exact"/>
              <w:rPr>
                <w:sz w:val="20"/>
                <w:szCs w:val="20"/>
                <w:color w:val="auto"/>
              </w:rPr>
            </w:pPr>
            <w:r>
              <w:rPr>
                <w:rFonts w:ascii="Arial" w:cs="Arial" w:eastAsia="Arial" w:hAnsi="Arial"/>
                <w:sz w:val="14"/>
                <w:szCs w:val="14"/>
                <w:b w:val="1"/>
                <w:bCs w:val="1"/>
                <w:color w:val="auto"/>
              </w:rPr>
              <w:t>October 1,</w:t>
            </w:r>
          </w:p>
        </w:tc>
        <w:tc>
          <w:tcPr>
            <w:tcW w:w="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(151,072)</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(183,672)</w:t>
            </w:r>
          </w:p>
        </w:tc>
      </w:tr>
      <w:tr>
        <w:trPr>
          <w:trHeight w:val="210"/>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Dividends to preferred unitholders</w:t>
            </w:r>
          </w:p>
        </w:tc>
        <w:tc>
          <w:tcPr>
            <w:tcW w:w="1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8,863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8,070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(159,935)</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(191,742)</w:t>
            </w:r>
          </w:p>
        </w:tc>
      </w:tr>
      <w:tr>
        <w:trPr>
          <w:trHeight w:val="20"/>
        </w:trPr>
        <w:tc>
          <w:tcPr>
            <w:tcW w:w="52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5240" w:type="dxa"/>
            <w:vAlign w:val="bottom"/>
            <w:gridSpan w:val="2"/>
          </w:tcPr>
          <w:p>
            <w:pPr>
              <w:spacing w:after="0" w:line="196" w:lineRule="exact"/>
              <w:rPr>
                <w:sz w:val="20"/>
                <w:szCs w:val="20"/>
                <w:color w:val="auto"/>
              </w:rPr>
            </w:pPr>
            <w:r>
              <w:rPr>
                <w:rFonts w:ascii="Arial" w:cs="Arial" w:eastAsia="Arial" w:hAnsi="Arial"/>
                <w:sz w:val="18"/>
                <w:szCs w:val="18"/>
                <w:color w:val="auto"/>
              </w:rPr>
              <w:t>Weighted-average common units outstanding</w:t>
            </w:r>
          </w:p>
        </w:tc>
        <w:tc>
          <w:tcPr>
            <w:tcW w:w="1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52,769,273</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52,975,152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per unit</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(3.03)</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loss per unit as they would have an anti-dilutive effect on the calculation:</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06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9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October 1,</w:t>
            </w:r>
          </w:p>
        </w:tc>
      </w:tr>
      <w:tr>
        <w:trPr>
          <w:trHeight w:val="176"/>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units</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93,997</w:t>
            </w: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93,997</w:t>
            </w:r>
          </w:p>
        </w:tc>
      </w:tr>
      <w:tr>
        <w:trPr>
          <w:trHeight w:val="203"/>
        </w:trPr>
        <w:tc>
          <w:tcPr>
            <w:tcW w:w="7460" w:type="dxa"/>
            <w:vAlign w:val="bottom"/>
            <w:gridSpan w:val="2"/>
          </w:tcPr>
          <w:p>
            <w:pPr>
              <w:spacing w:after="0" w:line="202" w:lineRule="exact"/>
              <w:rPr>
                <w:sz w:val="20"/>
                <w:szCs w:val="20"/>
                <w:color w:val="auto"/>
              </w:rPr>
            </w:pPr>
            <w:r>
              <w:rPr>
                <w:rFonts w:ascii="Arial" w:cs="Arial" w:eastAsia="Arial" w:hAnsi="Arial"/>
                <w:sz w:val="18"/>
                <w:szCs w:val="18"/>
                <w:color w:val="auto"/>
              </w:rPr>
              <w:t>Options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4,956,434</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4,909,152</w:t>
            </w: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w:t>
            </w:r>
          </w:p>
        </w:tc>
        <w:tc>
          <w:tcPr>
            <w:tcW w:w="106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5,079,254</w:t>
            </w:r>
          </w:p>
        </w:tc>
      </w:tr>
    </w:tbl>
    <w:p>
      <w:pPr>
        <w:spacing w:after="0" w:line="165" w:lineRule="exact"/>
        <w:rPr>
          <w:sz w:val="20"/>
          <w:szCs w:val="20"/>
          <w:color w:val="auto"/>
        </w:rPr>
      </w:pPr>
    </w:p>
    <w:p>
      <w:pPr>
        <w:jc w:val="both"/>
        <w:ind w:right="260" w:firstLine="571"/>
        <w:spacing w:after="0" w:line="238" w:lineRule="auto"/>
        <w:rPr>
          <w:sz w:val="20"/>
          <w:szCs w:val="20"/>
          <w:color w:val="auto"/>
        </w:rPr>
      </w:pPr>
      <w:r>
        <w:rPr>
          <w:rFonts w:ascii="Arial" w:cs="Arial" w:eastAsia="Arial" w:hAnsi="Arial"/>
          <w:sz w:val="18"/>
          <w:szCs w:val="18"/>
          <w:color w:val="auto"/>
        </w:rPr>
        <w:t>In connection with the acquisition of the Company’s business from Hynix Semiconductor Inc. on October 6, 2004, the Company issued a warrant to Hynix which enabled Hynix to purchase 5,079,254 common units of the Company at an exercise price of $1.00 per unit. This warrant expired unexercised in accordance with its terms on October 6, 2006.</w:t>
      </w:r>
    </w:p>
    <w:p>
      <w:pPr>
        <w:spacing w:after="0" w:line="213" w:lineRule="exact"/>
        <w:rPr>
          <w:sz w:val="20"/>
          <w:szCs w:val="20"/>
          <w:color w:val="auto"/>
        </w:rPr>
      </w:pPr>
    </w:p>
    <w:p>
      <w:pPr>
        <w:ind w:right="7840" w:firstLine="8"/>
        <w:spacing w:after="0" w:line="331" w:lineRule="auto"/>
        <w:tabs>
          <w:tab w:leader="none" w:pos="293"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Impairment Charges </w:t>
      </w:r>
      <w:r>
        <w:rPr>
          <w:rFonts w:ascii="Arial" w:cs="Arial" w:eastAsia="Arial" w:hAnsi="Arial"/>
          <w:sz w:val="18"/>
          <w:szCs w:val="18"/>
          <w:b w:val="1"/>
          <w:bCs w:val="1"/>
          <w:i w:val="1"/>
          <w:iCs w:val="1"/>
          <w:color w:val="auto"/>
        </w:rPr>
        <w:t>Assets impairment</w:t>
      </w:r>
    </w:p>
    <w:p>
      <w:pPr>
        <w:ind w:firstLine="571"/>
        <w:spacing w:after="0" w:line="278" w:lineRule="auto"/>
        <w:rPr>
          <w:sz w:val="20"/>
          <w:szCs w:val="20"/>
          <w:color w:val="auto"/>
        </w:rPr>
      </w:pPr>
      <w:r>
        <w:rPr>
          <w:rFonts w:ascii="Arial" w:cs="Arial" w:eastAsia="Arial" w:hAnsi="Arial"/>
          <w:sz w:val="16"/>
          <w:szCs w:val="16"/>
          <w:color w:val="auto"/>
        </w:rPr>
        <w:t xml:space="preserve">In the Second Quarter of 2007, the Company recognized impairment charges of $10,106 thousand under SFAS No. 144, </w:t>
      </w:r>
      <w:r>
        <w:rPr>
          <w:rFonts w:ascii="Arial" w:cs="Arial" w:eastAsia="Arial" w:hAnsi="Arial"/>
          <w:sz w:val="16"/>
          <w:szCs w:val="16"/>
          <w:i w:val="1"/>
          <w:iCs w:val="1"/>
          <w:color w:val="auto"/>
        </w:rPr>
        <w:t>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or Disposal of Long Lived Assets </w:t>
      </w:r>
      <w:r>
        <w:rPr>
          <w:rFonts w:ascii="Arial" w:cs="Arial" w:eastAsia="Arial" w:hAnsi="Arial"/>
          <w:sz w:val="16"/>
          <w:szCs w:val="16"/>
          <w:color w:val="auto"/>
        </w:rPr>
        <w:t>(“SFAS No. 144”). The Impairment charges were recorded related to the closure of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5-inch wafer fabrication facilities that has generated losses and no longer supported the Company’s strategic technology roadmap. In the Second Quarter of 2006, the Company recorded impairment charges of $92,540 thousand under SFAS No. 144. The impairment charges were recorded against one of our fabrication facilities and certain related technology and customer-based intangible assets (the “asset group”).</w:t>
      </w:r>
    </w:p>
    <w:p>
      <w:pPr>
        <w:spacing w:after="0" w:line="127"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SFAS No. 144 requires the Company to evaluate the recoverability of certain long-lived assets whenever events or changes in circumstances indicate that the carrying amount may not be recoverable. The net book value of the asset group before the impairment charges as of July 1, 2007 and July 2, 2006 were approximately $10,228 and $185,985 thousand, respectively.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The impairment charge was measured as an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79"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 xml:space="preserve">In the second quarter of 2007, the Company recognized $1,978 thousand of restructuring under SFAS No. 146, </w:t>
      </w:r>
      <w:r>
        <w:rPr>
          <w:rFonts w:ascii="Arial" w:cs="Arial" w:eastAsia="Arial" w:hAnsi="Arial"/>
          <w:sz w:val="18"/>
          <w:szCs w:val="18"/>
          <w:i w:val="1"/>
          <w:iCs w:val="1"/>
          <w:color w:val="auto"/>
        </w:rPr>
        <w:t>Accounting for Costs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Associated with Exit or Disposal Activities </w:t>
      </w:r>
      <w:r>
        <w:rPr>
          <w:rFonts w:ascii="Arial" w:cs="Arial" w:eastAsia="Arial" w:hAnsi="Arial"/>
          <w:sz w:val="18"/>
          <w:szCs w:val="18"/>
          <w:color w:val="auto"/>
        </w:rPr>
        <w:t>(“SFAS No. 146”)</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restructuring charges were related to the closure of the Company’s 5-inch wafer</w:t>
      </w:r>
      <w:r>
        <w:rPr>
          <w:rFonts w:ascii="Arial" w:cs="Arial" w:eastAsia="Arial" w:hAnsi="Arial"/>
          <w:sz w:val="18"/>
          <w:szCs w:val="18"/>
          <w:i w:val="1"/>
          <w:iCs w:val="1"/>
          <w:color w:val="auto"/>
        </w:rPr>
        <w:t xml:space="preserve"> </w:t>
      </w:r>
      <w:r>
        <w:rPr>
          <w:rFonts w:ascii="Arial" w:cs="Arial" w:eastAsia="Arial" w:hAnsi="Arial"/>
          <w:sz w:val="18"/>
          <w:szCs w:val="18"/>
          <w:color w:val="auto"/>
        </w:rPr>
        <w:t>fabrication facilities to be completed within the next several months. These charges consist of one-time termination benefits, transfer of machinery and other associated costs. In the second quarter of 2006, the Company recorded restructuring charges of $1,144 thousand in accordance with SFAS No. 146. These charges were incurred in association with changes in the Company’s management and the early retirement of certain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Uncertainty in Income Taxes</w:t>
      </w:r>
    </w:p>
    <w:p>
      <w:pPr>
        <w:spacing w:after="0" w:line="99"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Company, including its subsidiaries files income tax returns in Korea, Japan, Taiwan, U.S. and various other jurisdictions. The Company is subject to income tax examinations by tax authorities of these jurisdictions for all years since the beginning of its operation in October 2004.</w:t>
      </w:r>
    </w:p>
    <w:p>
      <w:pPr>
        <w:spacing w:after="0" w:line="136"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 xml:space="preserve">The Company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on January 1, 2007. As a result of the implementation of FIN No. 48, the Company recognized a $1,554 thousand increase in the liability for unrecognized tax benefits, which was accounted for as a reduction to the January 1, 2007 balance of accumulated deficits. The total amount of unrecognized tax benefits as of the date of adoption was $6,773 thousand and it is related to the temporary difference arising from timing of expensing certain inventories. There was no change in total amount of unrecognized tax benefits during the three months ended September 30, 2007.</w:t>
      </w:r>
    </w:p>
    <w:p>
      <w:pPr>
        <w:spacing w:after="0" w:line="159" w:lineRule="exact"/>
        <w:rPr>
          <w:sz w:val="20"/>
          <w:szCs w:val="20"/>
          <w:color w:val="auto"/>
        </w:rPr>
      </w:pPr>
    </w:p>
    <w:p>
      <w:pPr>
        <w:ind w:right="300" w:firstLine="571"/>
        <w:spacing w:after="0" w:line="237" w:lineRule="auto"/>
        <w:rPr>
          <w:sz w:val="20"/>
          <w:szCs w:val="20"/>
          <w:color w:val="auto"/>
        </w:rPr>
      </w:pPr>
      <w:r>
        <w:rPr>
          <w:rFonts w:ascii="Arial" w:cs="Arial" w:eastAsia="Arial" w:hAnsi="Arial"/>
          <w:sz w:val="18"/>
          <w:szCs w:val="18"/>
          <w:color w:val="auto"/>
        </w:rPr>
        <w:t>The Company recognizes interest and penalties accrued related to unrecognized tax benefits as income tax expenses. The Company recognized $41 thousand and $121 thousand of interest and penalties, respectively, for the three and nine months ended September 30, 2007. Total interest and penalties accrued as of September 30, 2007 and as of the FIN No. 48 adoption date were $670 thousand and $530 thousand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6"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 Relate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allocates resources to and assesses the performance of each segment using information about its revenue and gross profit.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identify or allocate assets by segments, nor does the CODM evaluate operating segments using discrete asset information. In addition, the Company does not allocate operating expense, interest income or expense, other income or expense, or income tax to the segments. Management does not evaluate segments based on these criteria.</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4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4"/>
                <w:szCs w:val="14"/>
                <w:b w:val="1"/>
                <w:bCs w:val="1"/>
                <w:color w:val="auto"/>
                <w:w w:val="98"/>
              </w:rPr>
              <w:t>October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2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242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223,327</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215,116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Imaging Solutions</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51,568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47,691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217,611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280,838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All other</w:t>
            </w: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53,375</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segment net sales</w:t>
            </w:r>
          </w:p>
        </w:tc>
        <w:tc>
          <w:tcPr>
            <w:tcW w:w="242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545,881</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582,039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5280" w:type="dxa"/>
            <w:vAlign w:val="bottom"/>
            <w:gridSpan w:val="2"/>
          </w:tcPr>
          <w:p>
            <w:pPr>
              <w:spacing w:after="0"/>
              <w:rPr>
                <w:sz w:val="4"/>
                <w:szCs w:val="4"/>
                <w:color w:val="auto"/>
              </w:rPr>
            </w:pPr>
          </w:p>
        </w:tc>
        <w:tc>
          <w:tcPr>
            <w:tcW w:w="2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242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19,885</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5280" w:type="dxa"/>
            <w:vAlign w:val="bottom"/>
            <w:gridSpan w:val="2"/>
          </w:tcPr>
          <w:p>
            <w:pPr>
              <w:spacing w:after="0"/>
              <w:rPr>
                <w:sz w:val="20"/>
                <w:szCs w:val="20"/>
                <w:color w:val="auto"/>
              </w:rPr>
            </w:pPr>
            <w:r>
              <w:rPr>
                <w:rFonts w:ascii="Arial" w:cs="Arial" w:eastAsia="Arial" w:hAnsi="Arial"/>
                <w:sz w:val="18"/>
                <w:szCs w:val="18"/>
                <w:color w:val="auto"/>
              </w:rPr>
              <w:t>Imaging Solutions</w:t>
            </w: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56"/>
        </w:trPr>
        <w:tc>
          <w:tcPr>
            <w:tcW w:w="5280" w:type="dxa"/>
            <w:vAlign w:val="bottom"/>
            <w:gridSpan w:val="2"/>
          </w:tcPr>
          <w:p>
            <w:pPr>
              <w:spacing w:after="0"/>
              <w:rPr>
                <w:sz w:val="4"/>
                <w:szCs w:val="4"/>
                <w:color w:val="auto"/>
              </w:rPr>
            </w:pPr>
          </w:p>
        </w:tc>
        <w:tc>
          <w:tcPr>
            <w:tcW w:w="2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31,747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2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19,871</w:t>
            </w: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segment gross profit</w:t>
            </w:r>
          </w:p>
        </w:tc>
        <w:tc>
          <w:tcPr>
            <w:tcW w:w="242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74,020</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320" w:firstLine="8"/>
        <w:spacing w:after="0" w:line="384" w:lineRule="auto"/>
        <w:tabs>
          <w:tab w:leader="none" w:pos="293"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Advisory Agreements</w:t>
      </w:r>
    </w:p>
    <w:p>
      <w:pPr>
        <w:ind w:right="160" w:firstLine="571"/>
        <w:spacing w:after="0" w:line="268" w:lineRule="auto"/>
        <w:rPr>
          <w:sz w:val="20"/>
          <w:szCs w:val="20"/>
          <w:color w:val="auto"/>
        </w:rPr>
      </w:pPr>
      <w:r>
        <w:rPr>
          <w:rFonts w:ascii="Arial" w:cs="Arial" w:eastAsia="Arial" w:hAnsi="Arial"/>
          <w:sz w:val="16"/>
          <w:szCs w:val="16"/>
          <w:color w:val="auto"/>
        </w:rPr>
        <w:t>Advisory agreements were entered into as of October 6, 2004 by and between the Company and each of the advisors including Court Square Advisor, LLC (successor in interest to CVC Management LLC) (“Court Square”), CVC Capital Partners Asia Limited (“CVC Capital”) and Francisco Partners Management LLC (“Francisco Partners”). The Company is to pay each of Court Square and Francisco Partners an annual advisory fee the amount of which shall be the greater of $1,379,163 per annum or 0.14777% per annum of annual consolidated revenue, and is also to pay CVC Capital an annual advisory fee the amount of which shall be the greater of $741,673 per annum or 0.07946% per annum of annual consolidated revenue plus reasonable out-of-pocket expenses for an initial term of 10 years, subject to termination by either party upon written notice 90 days prior to the expiration of the initial term or any extension thereof. During the year ended December 31, 2005 and the three-month period ended December 31, 2004 (successor company), the Company accrued $3,545 thousand and $890 thousand of accrued expenses under these agreements, respectively, which is included in selling, general and administrative expenses in the accompanying consolidated financial statements. During the year ended December 31, 2006, due to lower financial performances, the advisors agreed to waive the advisory fee and, therefore, the Company did not accrue any expenses. Effective June 30, 2007,</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parties to the advisory agreements entered into the First Amendment to Advisory Agreement under which all rights and obligations of the parties terminate except for indemnity and liability provisions. The Amendment provides that upon a firmly underwritten public offering of common equity of the Company with net proceeds of $50 million or more, the Company must pay a termination fee to the advisors in the amount of all advisory fees not paid under the advisory agreements plus the net present value of all advisory fees that would have been payable through October 6, 2014 had the advisory agreements not been amended.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Incentives</w:t>
      </w:r>
    </w:p>
    <w:p>
      <w:pPr>
        <w:spacing w:after="0" w:line="97"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The Company has committed to its employees that it will pay an IPO incentive to all non-executive employees who are employed by the Company at the closing date of the Company’s initial public offering. The incentive is estimated to be $30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Consolidating Financial Statements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56" w:lineRule="exact"/>
        <w:rPr>
          <w:sz w:val="20"/>
          <w:szCs w:val="20"/>
          <w:color w:val="auto"/>
        </w:rPr>
      </w:pPr>
    </w:p>
    <w:p>
      <w:pPr>
        <w:ind w:right="320" w:firstLine="571"/>
        <w:spacing w:after="0" w:line="237" w:lineRule="auto"/>
        <w:rPr>
          <w:sz w:val="20"/>
          <w:szCs w:val="20"/>
          <w:color w:val="auto"/>
        </w:rPr>
      </w:pPr>
      <w:r>
        <w:rPr>
          <w:rFonts w:ascii="Arial" w:cs="Arial" w:eastAsia="Arial" w:hAnsi="Arial"/>
          <w:sz w:val="18"/>
          <w:szCs w:val="18"/>
          <w:color w:val="auto"/>
        </w:rPr>
        <w:t>Below are condensed consolidating balance sheets as of September 30, 2007 and December 31, 2006, condensed consolidating statements of operations for the three months and nine months ended September 30, 2007 and October 1, 2006 and condensed consolidating statement of cash flows for the nine months ended September 30, 2007 and October 1, 2006 of those entities that guarantee the Senior Subordinated Notes, those that do not, MagnaChip Semiconductor LLC, and the co-issuers.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60"/>
          </w:cols>
          <w:pgMar w:left="240" w:top="460" w:right="2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LLC (Parent)</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Co-Issuers</w:t>
            </w:r>
          </w:p>
        </w:tc>
        <w:tc>
          <w:tcPr>
            <w:tcW w:w="28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Eliminations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532,544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235,186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(221,849)</w:t>
            </w:r>
          </w:p>
        </w:tc>
        <w:tc>
          <w:tcPr>
            <w:tcW w:w="3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545,881</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471,123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204,483</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(203,745)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471,861</w:t>
            </w:r>
          </w:p>
        </w:tc>
        <w:tc>
          <w:tcPr>
            <w:tcW w:w="80" w:type="dxa"/>
            <w:vAlign w:val="bottom"/>
          </w:tcPr>
          <w:p>
            <w:pPr>
              <w:spacing w:after="0"/>
              <w:rPr>
                <w:sz w:val="17"/>
                <w:szCs w:val="17"/>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61,421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30,703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74,020</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10,272</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71,904</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101,813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16,681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(17,405)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101,089</w:t>
            </w:r>
          </w:p>
        </w:tc>
        <w:tc>
          <w:tcPr>
            <w:tcW w:w="80" w:type="dxa"/>
            <w:vAlign w:val="bottom"/>
            <w:shd w:val="clear" w:color="auto" w:fill="CCEEFF"/>
          </w:tcPr>
          <w:p>
            <w:pPr>
              <w:spacing w:after="0"/>
              <w:rPr>
                <w:sz w:val="17"/>
                <w:szCs w:val="17"/>
                <w:color w:val="auto"/>
              </w:rPr>
            </w:pPr>
          </w:p>
        </w:tc>
      </w:tr>
      <w:tr>
        <w:trPr>
          <w:trHeight w:val="210"/>
        </w:trPr>
        <w:tc>
          <w:tcPr>
            <w:tcW w:w="410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12,084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12,084</w:t>
            </w:r>
          </w:p>
        </w:tc>
        <w:tc>
          <w:tcPr>
            <w:tcW w:w="80" w:type="dxa"/>
            <w:vAlign w:val="bottom"/>
          </w:tcPr>
          <w:p>
            <w:pPr>
              <w:spacing w:after="0"/>
              <w:rPr>
                <w:sz w:val="18"/>
                <w:szCs w:val="18"/>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(926)</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(112,924)</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(111,057)</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(28,045)</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(9,840)</w:t>
            </w: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(33,372)</w:t>
            </w: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earnings (loss) of related equity 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3,586</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(140,969)</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(6,090)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(144,429)</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6,400</w:t>
            </w: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6,643</w:t>
            </w:r>
          </w:p>
        </w:tc>
        <w:tc>
          <w:tcPr>
            <w:tcW w:w="80" w:type="dxa"/>
            <w:vAlign w:val="bottom"/>
          </w:tcPr>
          <w:p>
            <w:pPr>
              <w:spacing w:after="0"/>
              <w:rPr>
                <w:sz w:val="18"/>
                <w:szCs w:val="18"/>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equity in loss of related 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3,458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(141,084)</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(12,490)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(151,072)</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(150,752)</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(154,605)</w:t>
            </w: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(141,451)</w:t>
            </w:r>
          </w:p>
        </w:tc>
        <w:tc>
          <w:tcPr>
            <w:tcW w:w="1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w w:val="92"/>
              </w:rPr>
              <w:t>446,808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(151,072)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(151,147)</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(141,084)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(153,941)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2"/>
              </w:rPr>
              <w:t>446,172</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(151,072)</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410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8,863</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8,863</w:t>
            </w:r>
          </w:p>
        </w:tc>
        <w:tc>
          <w:tcPr>
            <w:tcW w:w="8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(159,935)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(151,147)</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(141,084)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(153,941)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2"/>
              </w:rPr>
              <w:t>446,172</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(159,935)</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w w:val="91"/>
              </w:rPr>
              <w:t>F-61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LLC (Parent)</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Co-Issuers</w:t>
            </w:r>
          </w:p>
        </w:tc>
        <w:tc>
          <w:tcPr>
            <w:tcW w:w="28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561,282</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291,357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(270,600)</w:t>
            </w:r>
          </w:p>
        </w:tc>
        <w:tc>
          <w:tcPr>
            <w:tcW w:w="3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582,039</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494,361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263,159</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(256,941)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500,579</w:t>
            </w:r>
          </w:p>
        </w:tc>
        <w:tc>
          <w:tcPr>
            <w:tcW w:w="80" w:type="dxa"/>
            <w:vAlign w:val="bottom"/>
          </w:tcPr>
          <w:p>
            <w:pPr>
              <w:spacing w:after="0"/>
              <w:rPr>
                <w:sz w:val="17"/>
                <w:szCs w:val="17"/>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66,921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28,198</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81,460</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56,969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8,619</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66,368</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99,798</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10,813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(14,743)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95,868</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93,723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225</w:t>
            </w: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93,948</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(748)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(183,569)</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8,541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(174,724)</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(10,734)</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(2,117)</w:t>
            </w: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 loss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of related equity 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5,386</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(181,088)</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(2,193)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(176,841)</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6,659</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8"/>
                <w:szCs w:val="18"/>
                <w:color w:val="auto"/>
              </w:rPr>
            </w:pP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equity in loss of related</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5,264</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(181,138)</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(8,852)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(183,672)</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(183,588)</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(193,848)</w:t>
            </w: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(181,611)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559,047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(183,672)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(188,584)</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(181,138)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(190,463)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560,185</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(183,672)</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410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8,070</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8,070</w:t>
            </w:r>
          </w:p>
        </w:tc>
        <w:tc>
          <w:tcPr>
            <w:tcW w:w="8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(191,742)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(188,584)</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(181,138)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(190,463)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560,185</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(191,742)</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w w:val="91"/>
              </w:rPr>
              <w:t>F-62</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22,091</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34,888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4,677</w:t>
            </w: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127,648</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56,286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(59,592)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89,563</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5,042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718</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6,349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(19,749)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Short-term inter-company loans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15,773</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11,048</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(26,747)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11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279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58,582</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269,496</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116,437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(146,593)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298,201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278,077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96,477</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19,202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(326,133)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(406,325)</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(225,189)</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957,647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804,809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634,445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(1,439,254)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41,417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(20,632)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860"/>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(325,854)</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474,008</w:t>
            </w:r>
          </w:p>
        </w:tc>
        <w:tc>
          <w:tcPr>
            <w:tcW w:w="4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685,467</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557,654</w:t>
            </w:r>
          </w:p>
        </w:tc>
        <w:tc>
          <w:tcPr>
            <w:tcW w:w="3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(649,015)</w:t>
            </w: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742,260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128,517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52,296</w:t>
            </w: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(59,592)</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49,234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(19,749)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11,674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24,264</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17,657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Borrowings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40,000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30,601</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2,913</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5,010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52,141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235,529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97,186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(146,088)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238,878</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Long-term borrowings</w:t>
            </w:r>
          </w:p>
        </w:tc>
        <w:tc>
          <w:tcPr>
            <w:tcW w:w="80" w:type="dxa"/>
            <w:vAlign w:val="bottom"/>
          </w:tcPr>
          <w:p>
            <w:pPr>
              <w:spacing w:after="0"/>
              <w:rPr>
                <w:sz w:val="13"/>
                <w:szCs w:val="13"/>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621,000</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818,254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(1,439,254)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71,878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5,287</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22,384</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(20,632)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802,141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933,694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938,253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(1,605,974)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1,068,224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units</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126,237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126,237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126,237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126,237</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52,832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136,229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39,005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55,778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(231,012)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155,618</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107,659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(264,906)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(531,803)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(490,813)</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(465,996)</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(567,983)</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1,524,792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24,072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24,822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23,146</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23,947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(71,915)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unitholders’ equity</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(452,201)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(328,133)</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(248,227)</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(380,599)</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956,959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(452,201)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 redeemable convertible preferred units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1060"/>
              <w:spacing w:after="0" w:line="149" w:lineRule="exact"/>
              <w:rPr>
                <w:sz w:val="20"/>
                <w:szCs w:val="20"/>
                <w:color w:val="auto"/>
              </w:rPr>
            </w:pPr>
            <w:r>
              <w:rPr>
                <w:rFonts w:ascii="Arial" w:cs="Arial" w:eastAsia="Arial" w:hAnsi="Arial"/>
                <w:sz w:val="14"/>
                <w:szCs w:val="14"/>
                <w:color w:val="auto"/>
              </w:rPr>
              <w:t>and unitholders’ equity</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(325,854)</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474,008</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685,467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557,654</w:t>
            </w: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(649,015)</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742,260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892</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72,608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15,352</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86,488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34,971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55,676</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718</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5,244</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28,133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15,862</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12,843</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6,692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(21,829)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17,472</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232,859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(94,002)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244,064</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gridSpan w:val="2"/>
          </w:tcPr>
          <w:p>
            <w:pPr>
              <w:spacing w:after="0" w:line="155" w:lineRule="exact"/>
              <w:rPr>
                <w:sz w:val="20"/>
                <w:szCs w:val="20"/>
                <w:color w:val="auto"/>
              </w:rPr>
            </w:pPr>
            <w:r>
              <w:rPr>
                <w:rFonts w:ascii="Arial" w:cs="Arial" w:eastAsia="Arial" w:hAnsi="Arial"/>
                <w:sz w:val="14"/>
                <w:szCs w:val="14"/>
                <w:color w:val="auto"/>
              </w:rPr>
              <w:t>Property, plant and equipment, net</w:t>
            </w:r>
          </w:p>
        </w:tc>
        <w:tc>
          <w:tcPr>
            <w:tcW w:w="80" w:type="dxa"/>
            <w:vAlign w:val="bottom"/>
          </w:tcPr>
          <w:p>
            <w:pPr>
              <w:spacing w:after="0"/>
              <w:rPr>
                <w:sz w:val="13"/>
                <w:szCs w:val="13"/>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334,809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1,470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336,279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117,101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22,628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(167,545)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(246,126)</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(77,489)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491,160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791,648</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633,987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21,349</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41,972</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9,702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(167,166)</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584,343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726,741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677,654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(1,051,519)</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67,002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40,191</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51,803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3,135</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22,040</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17,078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333</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1,844</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142,689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69,249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(93,964)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121,449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750,000</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621,000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804,635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62,550</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753,474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827,430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898,956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(1,542,641)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937,220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117,374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117,374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52,721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136,229</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39,005</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55,778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1,401</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155,415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108,239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(265,055)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(370,314)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(338,112)</w:t>
            </w:r>
          </w:p>
        </w:tc>
        <w:tc>
          <w:tcPr>
            <w:tcW w:w="3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(323,358)</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(412,488)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1,073,958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31,351</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28,249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(86,769)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unitholders’ equity</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(284,541)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(169,131)</w:t>
            </w:r>
          </w:p>
        </w:tc>
        <w:tc>
          <w:tcPr>
            <w:tcW w:w="300" w:type="dxa"/>
            <w:vAlign w:val="bottom"/>
          </w:tcPr>
          <w:p>
            <w:pPr>
              <w:spacing w:after="0"/>
              <w:rPr>
                <w:sz w:val="14"/>
                <w:szCs w:val="14"/>
                <w:color w:val="auto"/>
              </w:rPr>
            </w:pPr>
          </w:p>
        </w:tc>
        <w:tc>
          <w:tcPr>
            <w:tcW w:w="11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(100,689)</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(221,302)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491,122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(284,541)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8" w:lineRule="exact"/>
              <w:rPr>
                <w:sz w:val="20"/>
                <w:szCs w:val="20"/>
                <w:color w:val="auto"/>
              </w:rPr>
            </w:pPr>
            <w:r>
              <w:rPr>
                <w:rFonts w:ascii="Arial" w:cs="Arial" w:eastAsia="Arial" w:hAnsi="Arial"/>
                <w:sz w:val="14"/>
                <w:szCs w:val="14"/>
                <w:color w:val="auto"/>
              </w:rPr>
              <w:t>Total liabilities, redeemable convertible preferred units</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and unitholders’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(167,166)</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584,343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726,741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677,654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(1,051,519)</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Cash flow from operating activities:</w:t>
            </w:r>
          </w:p>
        </w:tc>
        <w:tc>
          <w:tcPr>
            <w:tcW w:w="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(151,072)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(151,147)</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(141,084)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(153,941)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446,172</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(151,072)</w:t>
            </w:r>
          </w:p>
        </w:tc>
        <w:tc>
          <w:tcPr>
            <w:tcW w:w="0" w:type="dxa"/>
            <w:vAlign w:val="bottom"/>
          </w:tcPr>
          <w:p>
            <w:pPr>
              <w:spacing w:after="0"/>
              <w:rPr>
                <w:sz w:val="1"/>
                <w:szCs w:val="1"/>
                <w:color w:val="auto"/>
              </w:rPr>
            </w:pPr>
          </w:p>
        </w:tc>
      </w:tr>
      <w:tr>
        <w:trPr>
          <w:trHeight w:val="148"/>
        </w:trPr>
        <w:tc>
          <w:tcPr>
            <w:tcW w:w="474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loss to net cash provided by (used in)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2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135,507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3,280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138,787</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13,857</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128</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13,985</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2,180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733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(Gain) loss on foreign currency translation, net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(10,042)</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13,580</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10,130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10,106</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Loss of related investment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150,752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154,605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141,451</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(446,808)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(40,196)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(21,089)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(46,487)</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(32,252)</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(2,742)</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(34,528)</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(1,017)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8,397</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(7,592)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655</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59,565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11,932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(14,798)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56,699</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(7,710)</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(4,894)</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7,592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1,838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(4,917)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6,118</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9,364</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(3,792)</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8,242</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1,028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2,385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(5,913)</w:t>
            </w: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(5,913)</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(1,696)</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ind w:left="8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(152)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(6,009)</w:t>
            </w:r>
          </w:p>
        </w:tc>
        <w:tc>
          <w:tcPr>
            <w:tcW w:w="140" w:type="dxa"/>
            <w:vAlign w:val="bottom"/>
          </w:tcPr>
          <w:p>
            <w:pPr>
              <w:spacing w:after="0"/>
              <w:rPr>
                <w:sz w:val="13"/>
                <w:szCs w:val="13"/>
                <w:color w:val="auto"/>
              </w:rPr>
            </w:pPr>
          </w:p>
        </w:tc>
        <w:tc>
          <w:tcPr>
            <w:tcW w:w="9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(8,662)</w:t>
            </w:r>
          </w:p>
        </w:tc>
        <w:tc>
          <w:tcPr>
            <w:tcW w:w="16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399</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(13,225)</w:t>
            </w:r>
          </w:p>
        </w:tc>
        <w:tc>
          <w:tcPr>
            <w:tcW w:w="0" w:type="dxa"/>
            <w:vAlign w:val="bottom"/>
          </w:tcPr>
          <w:p>
            <w:pPr>
              <w:spacing w:after="0"/>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(62,285)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(1,682)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(63,967)</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(1,115)</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699</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(421)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Increase in short-term loans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787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(579)</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ind w:left="8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tcPr>
          <w:p>
            <w:pPr>
              <w:spacing w:after="0"/>
              <w:rPr>
                <w:sz w:val="13"/>
                <w:szCs w:val="13"/>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(61,914)</w:t>
            </w:r>
          </w:p>
        </w:tc>
        <w:tc>
          <w:tcPr>
            <w:tcW w:w="140" w:type="dxa"/>
            <w:vAlign w:val="bottom"/>
          </w:tcPr>
          <w:p>
            <w:pPr>
              <w:spacing w:after="0"/>
              <w:rPr>
                <w:sz w:val="13"/>
                <w:szCs w:val="13"/>
                <w:color w:val="auto"/>
              </w:rPr>
            </w:pPr>
          </w:p>
        </w:tc>
        <w:tc>
          <w:tcPr>
            <w:tcW w:w="9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(22,716)</w:t>
            </w: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40,194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(64,436)</w:t>
            </w:r>
          </w:p>
        </w:tc>
        <w:tc>
          <w:tcPr>
            <w:tcW w:w="0" w:type="dxa"/>
            <w:vAlign w:val="bottom"/>
          </w:tcPr>
          <w:p>
            <w:pPr>
              <w:spacing w:after="0"/>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unit options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30,397</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70,397</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ind w:left="8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30,397</w:t>
            </w:r>
          </w:p>
        </w:tc>
        <w:tc>
          <w:tcPr>
            <w:tcW w:w="140" w:type="dxa"/>
            <w:vAlign w:val="bottom"/>
          </w:tcPr>
          <w:p>
            <w:pPr>
              <w:spacing w:after="0"/>
              <w:rPr>
                <w:sz w:val="13"/>
                <w:szCs w:val="13"/>
                <w:color w:val="auto"/>
              </w:rPr>
            </w:pP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50,508</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703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ind w:left="880"/>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21,199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(37,720)</w:t>
            </w:r>
          </w:p>
        </w:tc>
        <w:tc>
          <w:tcPr>
            <w:tcW w:w="140" w:type="dxa"/>
            <w:vAlign w:val="bottom"/>
          </w:tcPr>
          <w:p>
            <w:pPr>
              <w:spacing w:after="0"/>
              <w:rPr>
                <w:sz w:val="13"/>
                <w:szCs w:val="13"/>
                <w:color w:val="auto"/>
              </w:rPr>
            </w:pPr>
          </w:p>
        </w:tc>
        <w:tc>
          <w:tcPr>
            <w:tcW w:w="9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(10,675)</w:t>
            </w:r>
          </w:p>
        </w:tc>
        <w:tc>
          <w:tcPr>
            <w:tcW w:w="16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(27,239)</w:t>
            </w:r>
          </w:p>
        </w:tc>
        <w:tc>
          <w:tcPr>
            <w:tcW w:w="0" w:type="dxa"/>
            <w:vAlign w:val="bottom"/>
          </w:tcPr>
          <w:p>
            <w:pPr>
              <w:spacing w:after="0"/>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72,608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15,352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278</w:t>
            </w:r>
          </w:p>
        </w:tc>
        <w:tc>
          <w:tcPr>
            <w:tcW w:w="22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22,091</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34,888</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4,677</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61,934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1, 2006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from operating activities</w:t>
            </w:r>
          </w:p>
        </w:tc>
        <w:tc>
          <w:tcPr>
            <w:tcW w:w="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(183,672)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(188,584)</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(181,138)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(190,463)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560,185</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(183,672)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loss to net cash provided by (used in)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0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142,376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3,105</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10,029</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(10,882)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(43,674)</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11,259</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long-lived assets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92,540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Loss of related investment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183,588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193,848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181,611</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(559,047)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1,687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(2,663)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2,419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42,450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14,719</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(20,365)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32,150</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3,444</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4,070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4,173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(6,616)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1,405</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(36,691)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(23,629)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(23,807)</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1,756</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6,616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1,721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1,278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(8,594)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(3,778)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(320)</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(6,197)</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9,040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(1,794)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(2,982)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(7,116)</w:t>
            </w: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5,533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(2,419)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2,768</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648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38,692</w:t>
            </w:r>
          </w:p>
        </w:tc>
        <w:tc>
          <w:tcPr>
            <w:tcW w:w="140" w:type="dxa"/>
            <w:vAlign w:val="bottom"/>
          </w:tcPr>
          <w:p>
            <w:pPr>
              <w:spacing w:after="0"/>
              <w:rPr>
                <w:sz w:val="13"/>
                <w:szCs w:val="13"/>
                <w:color w:val="auto"/>
              </w:rPr>
            </w:pPr>
          </w:p>
        </w:tc>
        <w:tc>
          <w:tcPr>
            <w:tcW w:w="9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(3,344)</w:t>
            </w:r>
          </w:p>
        </w:tc>
        <w:tc>
          <w:tcPr>
            <w:tcW w:w="16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36,571</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(25,574)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(700)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Payments for intellectual property registration</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(1,687)</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2,748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2,801</w:t>
            </w: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2,985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(704)</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(19,431)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(755)</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(20,186)</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unit options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Effect of exchange rate on cash and cash equivalents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5,524</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(623)</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24,785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(4,722)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20,915</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63,435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22,089</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413</w:t>
            </w:r>
          </w:p>
        </w:tc>
        <w:tc>
          <w:tcPr>
            <w:tcW w:w="22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1,489</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88,220</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17,367</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107,489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760"/>
        <w:spacing w:after="0"/>
        <w:rPr>
          <w:sz w:val="20"/>
          <w:szCs w:val="20"/>
          <w:color w:val="auto"/>
        </w:rPr>
      </w:pPr>
      <w:r>
        <w:rPr>
          <w:rFonts w:ascii="Arial" w:cs="Arial" w:eastAsia="Arial" w:hAnsi="Arial"/>
          <w:sz w:val="24"/>
          <w:szCs w:val="24"/>
          <w:color w:val="auto"/>
        </w:rPr>
        <w:t>Shares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Corporation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856615</wp:posOffset>
            </wp:positionV>
            <wp:extent cx="15347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1774190</wp:posOffset>
            </wp:positionV>
            <wp:extent cx="15347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1079500</wp:posOffset>
            </wp:positionV>
            <wp:extent cx="1886585" cy="4286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865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5300" w:val="left"/>
          <w:tab w:leader="none" w:pos="984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4"/>
          <w:szCs w:val="24"/>
          <w:b w:val="1"/>
          <w:bCs w:val="1"/>
          <w:color w:val="auto"/>
        </w:rPr>
        <w:t>UBS Investment Bank</w:t>
      </w:r>
      <w:r>
        <w:rPr>
          <w:sz w:val="20"/>
          <w:szCs w:val="20"/>
          <w:color w:val="auto"/>
        </w:rPr>
        <w:tab/>
      </w:r>
      <w:r>
        <w:rPr>
          <w:rFonts w:ascii="Arial" w:cs="Arial" w:eastAsia="Arial" w:hAnsi="Arial"/>
          <w:sz w:val="24"/>
          <w:szCs w:val="24"/>
          <w:b w:val="1"/>
          <w:bCs w:val="1"/>
          <w:color w:val="auto"/>
        </w:rPr>
        <w:t>Credit Suisse</w:t>
      </w:r>
    </w:p>
    <w:p>
      <w:pPr>
        <w:spacing w:after="0" w:line="116" w:lineRule="exact"/>
        <w:rPr>
          <w:sz w:val="20"/>
          <w:szCs w:val="20"/>
          <w:color w:val="auto"/>
        </w:rPr>
      </w:pPr>
    </w:p>
    <w:p>
      <w:pPr>
        <w:ind w:left="2620"/>
        <w:spacing w:after="0"/>
        <w:tabs>
          <w:tab w:leader="none" w:pos="7720" w:val="left"/>
        </w:tabs>
        <w:rPr>
          <w:sz w:val="20"/>
          <w:szCs w:val="20"/>
          <w:color w:val="auto"/>
        </w:rPr>
      </w:pPr>
      <w:r>
        <w:rPr>
          <w:rFonts w:ascii="Arial" w:cs="Arial" w:eastAsia="Arial" w:hAnsi="Arial"/>
          <w:sz w:val="24"/>
          <w:szCs w:val="24"/>
          <w:b w:val="1"/>
          <w:bCs w:val="1"/>
          <w:color w:val="auto"/>
        </w:rPr>
        <w:t>Citi</w:t>
      </w:r>
      <w:r>
        <w:rPr>
          <w:sz w:val="20"/>
          <w:szCs w:val="20"/>
          <w:color w:val="auto"/>
        </w:rPr>
        <w:tab/>
      </w:r>
      <w:r>
        <w:rPr>
          <w:rFonts w:ascii="Arial" w:cs="Arial" w:eastAsia="Arial" w:hAnsi="Arial"/>
          <w:sz w:val="24"/>
          <w:szCs w:val="24"/>
          <w:b w:val="1"/>
          <w:bCs w:val="1"/>
          <w:color w:val="auto"/>
        </w:rPr>
        <w:t>Lehman Brothers</w:t>
      </w:r>
    </w:p>
    <w:p>
      <w:pPr>
        <w:spacing w:after="0" w:line="116" w:lineRule="exact"/>
        <w:rPr>
          <w:sz w:val="20"/>
          <w:szCs w:val="20"/>
          <w:color w:val="auto"/>
        </w:rPr>
      </w:pPr>
    </w:p>
    <w:p>
      <w:pPr>
        <w:ind w:left="1600"/>
        <w:spacing w:after="0"/>
        <w:tabs>
          <w:tab w:leader="none" w:pos="7860" w:val="left"/>
        </w:tabs>
        <w:rPr>
          <w:sz w:val="20"/>
          <w:szCs w:val="20"/>
          <w:color w:val="auto"/>
        </w:rPr>
      </w:pPr>
      <w:r>
        <w:rPr>
          <w:rFonts w:ascii="Arial" w:cs="Arial" w:eastAsia="Arial" w:hAnsi="Arial"/>
          <w:sz w:val="24"/>
          <w:szCs w:val="24"/>
          <w:b w:val="1"/>
          <w:bCs w:val="1"/>
          <w:color w:val="auto"/>
        </w:rPr>
        <w:t>Jefferies &amp; Company</w:t>
      </w:r>
      <w:r>
        <w:rPr>
          <w:sz w:val="20"/>
          <w:szCs w:val="20"/>
          <w:color w:val="auto"/>
        </w:rPr>
        <w:tab/>
      </w:r>
      <w:r>
        <w:rPr>
          <w:rFonts w:ascii="Arial" w:cs="Arial" w:eastAsia="Arial" w:hAnsi="Arial"/>
          <w:sz w:val="24"/>
          <w:szCs w:val="24"/>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455295</wp:posOffset>
            </wp:positionV>
            <wp:extent cx="15347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00" w:firstLine="571"/>
        <w:spacing w:after="0" w:line="249" w:lineRule="auto"/>
        <w:rPr>
          <w:sz w:val="20"/>
          <w:szCs w:val="20"/>
          <w:color w:val="auto"/>
        </w:rPr>
      </w:pPr>
      <w:r>
        <w:rPr>
          <w:rFonts w:ascii="Arial" w:cs="Arial" w:eastAsia="Arial" w:hAnsi="Arial"/>
          <w:sz w:val="18"/>
          <w:szCs w:val="18"/>
          <w:b w:val="1"/>
          <w:bCs w:val="1"/>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9"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The following table sets forth all expenses other than the underwriting discount, payable by the registrant in connection with the sale of the common stock being registered. All amounts shown are estimates except for the SEC registration fee.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New York Stock Exchange Listing Fee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1,400,000</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Printing Expenses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525,000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Blue Sky Fees</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FINRA Fees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Agent’s Fees</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2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127,347</w:t>
            </w: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3,900,000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Officers and Directors.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Section 145 of the Delaware General Corporation Law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or who is threatened to be made a party by reason of such person being or having been a director, officer, employee of or agent to the registrant. The statute provides that it is not exclusive of other rights to which those seeking indemnification may be entitled under any bylaw, agreement, vote of stockholders or disinterested directors or otherwise.</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permitted by the DGCL, our amended and restated certificate of incorporation includes a provision that eliminates the personal liability of our directors for monetary damages for breach of fiduciary duty as a director, except for liability (1) for any breach of the director’s duty of loyalty to us or our stockholders; (2) for acts or omissions not in good faith or that involve intentional misconduct or a knowing violation of the law; (3) under Section 174 of the DGCL regarding unlawful dividends and stock purchases; or (4) arising as a result of any transaction from which the director derived an improper personal benefit.</w:t>
      </w:r>
    </w:p>
    <w:p>
      <w:pPr>
        <w:spacing w:after="0" w:line="157" w:lineRule="exact"/>
        <w:rPr>
          <w:sz w:val="20"/>
          <w:szCs w:val="20"/>
          <w:color w:val="auto"/>
        </w:rPr>
      </w:pPr>
    </w:p>
    <w:p>
      <w:pPr>
        <w:ind w:right="280" w:firstLine="571"/>
        <w:spacing w:after="0" w:line="236" w:lineRule="auto"/>
        <w:rPr>
          <w:sz w:val="20"/>
          <w:szCs w:val="20"/>
          <w:color w:val="auto"/>
        </w:rPr>
      </w:pPr>
      <w:r>
        <w:rPr>
          <w:rFonts w:ascii="Arial" w:cs="Arial" w:eastAsia="Arial" w:hAnsi="Arial"/>
          <w:sz w:val="18"/>
          <w:szCs w:val="18"/>
          <w:color w:val="auto"/>
        </w:rPr>
        <w:t>As permitted by the DGCL, our amended and restated certificate of incorporation provides that (1) we are required to indemnify our directors and officers to the fullest extent permitted by the DGCL, subject to certain exceptions; (2) we are permitted to indemnify our other employees and agents to the extent that we indemnify our officers and directors, unless otherwise required by law, our amended and restated certificate of incorporation or agreements; (3) we are required to advance expenses, as incurred, to our directors and officers in connection with any legal proceeding, subject to certain exceptions; and (4) the rights conferred in our amended and restated certificate of incorporation are not exclusive.</w:t>
      </w:r>
    </w:p>
    <w:p>
      <w:pPr>
        <w:spacing w:after="0" w:line="156"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At present, we are not aware of any pending or threatened litigation or proceeding involving any of our directors, officers, employees or agents in which indemnification would be required or permitted.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charter provisions are necessary to attract and retain qualified persons as directors and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relates to sales of securities that have occurred since November 2004 that have not been registered under the Securities Act:</w:t>
      </w:r>
    </w:p>
    <w:p>
      <w:pPr>
        <w:spacing w:after="0" w:line="100"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Immediately prior to this offering, as part of our corporate reorganization, shares of our common stock will be issued in exchange for the common units and some of the Series B preferred units of MagnaChip Semiconductor LLC, and shares of our Series B preferred stock will be issued in exchange for the remaining Series B preferred units of MagnaChip Semiconductor LLC. The issuance of shares of our stock pursuant to such corporate reorganization will be exempt from registration under either Section 4(2) of the Securities Act and/or Regulation S promulgated thereunder.</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October 25, 2007, one of our former employees exercised options to acquire 1,500 of our common units at a purchase price of</w:t>
      </w:r>
    </w:p>
    <w:p>
      <w:pPr>
        <w:spacing w:after="0" w:line="234" w:lineRule="auto"/>
        <w:rPr>
          <w:sz w:val="20"/>
          <w:szCs w:val="20"/>
          <w:color w:val="auto"/>
        </w:rPr>
      </w:pPr>
      <w:r>
        <w:rPr>
          <w:rFonts w:ascii="Arial" w:cs="Arial" w:eastAsia="Arial" w:hAnsi="Arial"/>
          <w:sz w:val="18"/>
          <w:szCs w:val="18"/>
          <w:color w:val="auto"/>
        </w:rPr>
        <w:t>$2,000.00. Because the offering transaction took place outside the U.S. and the optionee was not a U.S. person, these securities were exempt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registration under Regulation S of the Securities Act of 1933, as amended.</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August 22, 2007, one of our former executives exercised options to acquire 30,937.50 of our common units at a purchase price of</w:t>
      </w:r>
    </w:p>
    <w:p>
      <w:pPr>
        <w:spacing w:after="0"/>
        <w:rPr>
          <w:sz w:val="20"/>
          <w:szCs w:val="20"/>
          <w:color w:val="auto"/>
        </w:rPr>
      </w:pPr>
      <w:r>
        <w:rPr>
          <w:rFonts w:ascii="Arial" w:cs="Arial" w:eastAsia="Arial" w:hAnsi="Arial"/>
          <w:sz w:val="16"/>
          <w:szCs w:val="16"/>
          <w:color w:val="auto"/>
        </w:rPr>
        <w:t>$30,937. Because the offering transaction took place outside the U.S. and the optionee was not a U.S. person, these securities were exempt from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registration under Regulation S.</w:t>
      </w:r>
    </w:p>
    <w:p>
      <w:pPr>
        <w:spacing w:after="0" w:line="158"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On May 4, 2007, one of our former executives exercised options to acquire 80,000 of our common units for an aggregate purchase price of $80,000. These securities were exempt from registration under Section 4(2) of the Securities Act, by reason of the fact that the offering was a limited private placement to one knowledgeable investor who agreed not to resell the securities to the public.</w:t>
      </w:r>
    </w:p>
    <w:p>
      <w:pPr>
        <w:spacing w:after="0" w:line="154"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On August 24, 2006, one of our subsidiary’s former employees exercised options to acquire 4,375 of our common units for an aggregate purchase price of $5,998. Because the offering transaction took place outside the U.S. and the optionee was not a U.S. person, these securities were exempt from registration under Regulation S.</w:t>
      </w:r>
    </w:p>
    <w:p>
      <w:pPr>
        <w:spacing w:after="0" w:line="154"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In April 2006, certain of our subsidiary’s employees and former employees exercised options to acquire an aggregate of 2,812 of our common units at an aggregate purchase price of $8,050. Because the offering transactions took place outside the U.S. and none of the optionees was a U.S. persons, these securities were exempt from registration under Regulation S.</w:t>
      </w:r>
    </w:p>
    <w:p>
      <w:pPr>
        <w:spacing w:after="0" w:line="154" w:lineRule="exact"/>
        <w:rPr>
          <w:sz w:val="20"/>
          <w:szCs w:val="20"/>
          <w:color w:val="auto"/>
        </w:rPr>
      </w:pPr>
    </w:p>
    <w:p>
      <w:pPr>
        <w:jc w:val="both"/>
        <w:ind w:right="340" w:firstLine="571"/>
        <w:spacing w:after="0" w:line="238" w:lineRule="auto"/>
        <w:rPr>
          <w:sz w:val="20"/>
          <w:szCs w:val="20"/>
          <w:color w:val="auto"/>
        </w:rPr>
      </w:pPr>
      <w:r>
        <w:rPr>
          <w:rFonts w:ascii="Arial" w:cs="Arial" w:eastAsia="Arial" w:hAnsi="Arial"/>
          <w:sz w:val="18"/>
          <w:szCs w:val="18"/>
          <w:color w:val="auto"/>
        </w:rPr>
        <w:t>In March 2006, certain of our employees exercised options to acquire an aggregate of 18,750.25 of our common units for an aggregate purchase price of $42,007. Because the offering transactions took place outside the U.S. and none of the optionees was a U.S. person, these securities were exempt from registration under Regulation S.</w:t>
      </w:r>
    </w:p>
    <w:p>
      <w:pPr>
        <w:spacing w:after="0" w:line="154"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In February 2006, certain of our employees exercised options to acquire an aggregate of 12,187.50 of our common units for an aggregate purchase price of $18,585. Because the offering transactions took place outside the U.S. and none of the optionees was a U.S. person, these securities were exempt from registration under Regulation S.</w:t>
      </w:r>
    </w:p>
    <w:p>
      <w:pPr>
        <w:spacing w:after="0" w:line="154"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In January 2006, certain of our employees exercised options to acquire an aggregate of 4,812.50 of our common units for an aggregate purchase price of $9,347. Because the offering transactions took place outside the U.S. and none of the optionees was a U.S. person, these securities were exempt from registration under Regulation 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In December 2005, certain of our employees exercised options to acquire an aggregate of 4,250 of our common units for an aggregate purchase price of $12,316. Because the transactions took place outside the U.S. and none of the optionees was a U.S. person, these securities were exempt from registration under Regulation S.</w:t>
      </w:r>
    </w:p>
    <w:p>
      <w:pPr>
        <w:spacing w:after="0" w:line="154"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On December 9, 2005, ISETEX, Inc., one of our consultants, exercised options to acquire 50,000 of our common units for an aggregate purchase price of $100,000. These securities were exempt from registration under Section 4(2) of the Securities Act by reason of the fact that the offering was a limited private placement to one knowledgeable investor who agreed not to resell the securities to the public.</w:t>
      </w:r>
    </w:p>
    <w:p>
      <w:pPr>
        <w:spacing w:after="0" w:line="154" w:lineRule="exact"/>
        <w:rPr>
          <w:sz w:val="20"/>
          <w:szCs w:val="20"/>
          <w:color w:val="auto"/>
        </w:rPr>
      </w:pPr>
    </w:p>
    <w:p>
      <w:pPr>
        <w:ind w:right="240" w:firstLine="571"/>
        <w:spacing w:after="0" w:line="281" w:lineRule="auto"/>
        <w:rPr>
          <w:sz w:val="20"/>
          <w:szCs w:val="20"/>
          <w:color w:val="auto"/>
        </w:rPr>
      </w:pPr>
      <w:r>
        <w:rPr>
          <w:rFonts w:ascii="Arial" w:cs="Arial" w:eastAsia="Arial" w:hAnsi="Arial"/>
          <w:sz w:val="16"/>
          <w:szCs w:val="16"/>
          <w:color w:val="auto"/>
        </w:rPr>
        <w:t>On December 23, 2004, our subsidiaries, MagnaChip Semiconductor S.A. and MagnaChip Semiconductor Finance Company, sold (and certain of our subsidiaries guaranteed) $300 million aggregate principal amount of floating rate second priority senior secured notes due 2011,</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 xml:space="preserve">$200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$250 million aggregate principal amount of 8% senior subordinated notes due 2014. We received proceeds of approximately $291.9 million, $194.2 million and $243.4 million, respectively, pursuant to the sale of such notes. The initial purchasers of the foregoing notes were UBS Securities LLC, Citigroup Global Markets Inc., Goldman Sachs &amp; Co., J.P. Morgan Securities Inc. and Deutsche Bank Securities Inc. The issuance of the notes to the initial purchasers was made in reliance on Section 4(2) under the Securities Act and the notes were subsequently resold by the initial purchasers pursuant to Rule 144A and Regulation S thereunder.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640" w:type="dxa"/>
            <w:vAlign w:val="bottom"/>
          </w:tcPr>
          <w:p>
            <w:pPr>
              <w:spacing w:after="0"/>
              <w:rPr>
                <w:sz w:val="20"/>
                <w:szCs w:val="20"/>
                <w:color w:val="auto"/>
              </w:rPr>
            </w:pPr>
            <w:r>
              <w:rPr>
                <w:rFonts w:ascii="Arial" w:cs="Arial" w:eastAsia="Arial" w:hAnsi="Arial"/>
                <w:sz w:val="18"/>
                <w:szCs w:val="18"/>
                <w:color w:val="auto"/>
              </w:rPr>
              <w:t>1.1</w:t>
            </w:r>
          </w:p>
        </w:tc>
        <w:tc>
          <w:tcPr>
            <w:tcW w:w="10560" w:type="dxa"/>
            <w:vAlign w:val="bottom"/>
          </w:tcPr>
          <w:p>
            <w:pPr>
              <w:ind w:left="300"/>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10560" w:type="dxa"/>
            <w:vAlign w:val="bottom"/>
          </w:tcPr>
          <w:p>
            <w:pPr>
              <w:ind w:left="300"/>
              <w:spacing w:after="0"/>
              <w:rPr>
                <w:sz w:val="20"/>
                <w:szCs w:val="20"/>
                <w:color w:val="auto"/>
              </w:rPr>
            </w:pPr>
            <w:r>
              <w:rPr>
                <w:rFonts w:ascii="Arial" w:cs="Arial" w:eastAsia="Arial" w:hAnsi="Arial"/>
                <w:sz w:val="18"/>
                <w:szCs w:val="18"/>
                <w:color w:val="auto"/>
                <w:w w:val="98"/>
              </w:rPr>
              <w:t>Business Transfer Agreement, dated as of June 12, 2004, between Hynix Semiconductor Inc. and MagnaChip Semiconductor, Ltd.</w:t>
            </w:r>
          </w:p>
        </w:tc>
      </w:tr>
      <w:tr>
        <w:trPr>
          <w:trHeight w:val="211"/>
        </w:trPr>
        <w:tc>
          <w:tcPr>
            <w:tcW w:w="64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(Korea)(1)</w:t>
            </w:r>
          </w:p>
        </w:tc>
      </w:tr>
      <w:tr>
        <w:trPr>
          <w:trHeight w:val="262"/>
        </w:trPr>
        <w:tc>
          <w:tcPr>
            <w:tcW w:w="640" w:type="dxa"/>
            <w:vAlign w:val="bottom"/>
          </w:tcPr>
          <w:p>
            <w:pPr>
              <w:spacing w:after="0"/>
              <w:rPr>
                <w:sz w:val="20"/>
                <w:szCs w:val="20"/>
                <w:color w:val="auto"/>
              </w:rPr>
            </w:pPr>
            <w:r>
              <w:rPr>
                <w:rFonts w:ascii="Arial" w:cs="Arial" w:eastAsia="Arial" w:hAnsi="Arial"/>
                <w:sz w:val="18"/>
                <w:szCs w:val="18"/>
                <w:color w:val="auto"/>
              </w:rPr>
              <w:t>2.2</w:t>
            </w:r>
          </w:p>
        </w:tc>
        <w:tc>
          <w:tcPr>
            <w:tcW w:w="10560" w:type="dxa"/>
            <w:vAlign w:val="bottom"/>
          </w:tcPr>
          <w:p>
            <w:pPr>
              <w:ind w:left="300"/>
              <w:spacing w:after="0"/>
              <w:rPr>
                <w:sz w:val="20"/>
                <w:szCs w:val="20"/>
                <w:color w:val="auto"/>
              </w:rPr>
            </w:pPr>
            <w:r>
              <w:rPr>
                <w:rFonts w:ascii="Arial" w:cs="Arial" w:eastAsia="Arial" w:hAnsi="Arial"/>
                <w:sz w:val="18"/>
                <w:szCs w:val="18"/>
                <w:color w:val="auto"/>
                <w:w w:val="97"/>
              </w:rPr>
              <w:t>First Amendment to Business Transfer Agreement, dated as of October 6, 2004, between Hynix Semiconductor Inc. and MagnaChip</w:t>
            </w:r>
          </w:p>
        </w:tc>
      </w:tr>
      <w:tr>
        <w:trPr>
          <w:trHeight w:val="211"/>
        </w:trPr>
        <w:tc>
          <w:tcPr>
            <w:tcW w:w="64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Semiconductor, Ltd. (Korea)(1)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Certificate of Formation of MagnaChip Semiconductor LLC (formerly System Semiconductor Holding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Certificate of Amendment to Certificate of Formation of MagnaChip Semiconductor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10560" w:type="dxa"/>
            <w:vAlign w:val="bottom"/>
          </w:tcPr>
          <w:p>
            <w:pPr>
              <w:ind w:left="300"/>
              <w:spacing w:after="0"/>
              <w:rPr>
                <w:sz w:val="20"/>
                <w:szCs w:val="20"/>
                <w:color w:val="auto"/>
              </w:rPr>
            </w:pPr>
            <w:r>
              <w:rPr>
                <w:rFonts w:ascii="Arial" w:cs="Arial" w:eastAsia="Arial" w:hAnsi="Arial"/>
                <w:sz w:val="18"/>
                <w:szCs w:val="18"/>
                <w:color w:val="auto"/>
              </w:rPr>
              <w:t>Third Amended and Restated Limited Liability Company Operating Agreement of MagnaChip Semiconductor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3.4</w:t>
            </w:r>
          </w:p>
        </w:tc>
        <w:tc>
          <w:tcPr>
            <w:tcW w:w="10560" w:type="dxa"/>
            <w:vAlign w:val="bottom"/>
          </w:tcPr>
          <w:p>
            <w:pPr>
              <w:ind w:left="300"/>
              <w:spacing w:after="0"/>
              <w:rPr>
                <w:sz w:val="20"/>
                <w:szCs w:val="20"/>
                <w:color w:val="auto"/>
              </w:rPr>
            </w:pPr>
            <w:r>
              <w:rPr>
                <w:rFonts w:ascii="Arial" w:cs="Arial" w:eastAsia="Arial" w:hAnsi="Arial"/>
                <w:sz w:val="18"/>
                <w:szCs w:val="18"/>
                <w:color w:val="auto"/>
              </w:rPr>
              <w:t>Articles of Incorporation of MagnaChip Semiconductor S.A.(1)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3.5</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Certificate of Incorporation of MagnaChip Semiconductor Finance Company(1)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3.6</w:t>
            </w:r>
          </w:p>
        </w:tc>
        <w:tc>
          <w:tcPr>
            <w:tcW w:w="10560" w:type="dxa"/>
            <w:vAlign w:val="bottom"/>
          </w:tcPr>
          <w:p>
            <w:pPr>
              <w:ind w:left="300"/>
              <w:spacing w:after="0"/>
              <w:rPr>
                <w:sz w:val="20"/>
                <w:szCs w:val="20"/>
                <w:color w:val="auto"/>
              </w:rPr>
            </w:pPr>
            <w:r>
              <w:rPr>
                <w:rFonts w:ascii="Arial" w:cs="Arial" w:eastAsia="Arial" w:hAnsi="Arial"/>
                <w:sz w:val="18"/>
                <w:szCs w:val="18"/>
                <w:color w:val="auto"/>
              </w:rPr>
              <w:t>Bylaws of MagnaChip Semiconductor Finance Company(1)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3.7</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Certificate of Formation for MagnaChip Semiconductor SA Holdings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3.8</w:t>
            </w:r>
          </w:p>
        </w:tc>
        <w:tc>
          <w:tcPr>
            <w:tcW w:w="10560" w:type="dxa"/>
            <w:vAlign w:val="bottom"/>
          </w:tcPr>
          <w:p>
            <w:pPr>
              <w:ind w:left="300"/>
              <w:spacing w:after="0"/>
              <w:rPr>
                <w:sz w:val="20"/>
                <w:szCs w:val="20"/>
                <w:color w:val="auto"/>
              </w:rPr>
            </w:pPr>
            <w:r>
              <w:rPr>
                <w:rFonts w:ascii="Arial" w:cs="Arial" w:eastAsia="Arial" w:hAnsi="Arial"/>
                <w:sz w:val="18"/>
                <w:szCs w:val="18"/>
                <w:color w:val="auto"/>
              </w:rPr>
              <w:t>Limited Liability Company Agreement of MagnaChip Semiconductor SA Holdings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3.9</w:t>
            </w:r>
          </w:p>
        </w:tc>
        <w:tc>
          <w:tcPr>
            <w:tcW w:w="10560" w:type="dxa"/>
            <w:vAlign w:val="bottom"/>
          </w:tcPr>
          <w:p>
            <w:pPr>
              <w:ind w:left="300"/>
              <w:spacing w:after="0"/>
              <w:rPr>
                <w:sz w:val="20"/>
                <w:szCs w:val="20"/>
                <w:color w:val="auto"/>
              </w:rPr>
            </w:pPr>
            <w:r>
              <w:rPr>
                <w:rFonts w:ascii="Arial" w:cs="Arial" w:eastAsia="Arial" w:hAnsi="Arial"/>
                <w:sz w:val="18"/>
                <w:szCs w:val="18"/>
                <w:color w:val="auto"/>
              </w:rPr>
              <w:t>Deed of Amendment to the Articles of Association of MagnaChip Semiconductor B.V. (English translation)(1)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00"/>
              <w:spacing w:after="0"/>
              <w:rPr>
                <w:sz w:val="20"/>
                <w:szCs w:val="20"/>
                <w:color w:val="auto"/>
              </w:rPr>
            </w:pPr>
            <w:r>
              <w:rPr>
                <w:rFonts w:ascii="Arial" w:cs="Arial" w:eastAsia="Arial" w:hAnsi="Arial"/>
                <w:sz w:val="18"/>
                <w:szCs w:val="18"/>
                <w:color w:val="auto"/>
              </w:rPr>
              <w:t>Articles of Incorporation of MagnaChip Semiconductor, Ltd. (Korea)(1)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3.14</w:t>
            </w:r>
          </w:p>
        </w:tc>
        <w:tc>
          <w:tcPr>
            <w:tcW w:w="10560" w:type="dxa"/>
            <w:vAlign w:val="bottom"/>
          </w:tcPr>
          <w:p>
            <w:pPr>
              <w:ind w:left="300"/>
              <w:spacing w:after="0"/>
              <w:rPr>
                <w:sz w:val="20"/>
                <w:szCs w:val="20"/>
                <w:color w:val="auto"/>
              </w:rPr>
            </w:pPr>
            <w:r>
              <w:rPr>
                <w:rFonts w:ascii="Arial" w:cs="Arial" w:eastAsia="Arial" w:hAnsi="Arial"/>
                <w:sz w:val="18"/>
                <w:szCs w:val="18"/>
                <w:color w:val="auto"/>
              </w:rPr>
              <w:t>Memorandum of Association of MagnaChip Semiconductor Ltd. (Hong Kong)(1)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3.15</w:t>
            </w:r>
          </w:p>
        </w:tc>
        <w:tc>
          <w:tcPr>
            <w:tcW w:w="10560" w:type="dxa"/>
            <w:vAlign w:val="bottom"/>
          </w:tcPr>
          <w:p>
            <w:pPr>
              <w:ind w:left="300"/>
              <w:spacing w:after="0"/>
              <w:rPr>
                <w:sz w:val="20"/>
                <w:szCs w:val="20"/>
                <w:color w:val="auto"/>
              </w:rPr>
            </w:pPr>
            <w:r>
              <w:rPr>
                <w:rFonts w:ascii="Arial" w:cs="Arial" w:eastAsia="Arial" w:hAnsi="Arial"/>
                <w:sz w:val="18"/>
                <w:szCs w:val="18"/>
                <w:color w:val="auto"/>
              </w:rPr>
              <w:t>Articles of Association of MagnaChip Semiconductor Ltd. (Hong Kong)(1)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3.16</w:t>
            </w:r>
          </w:p>
        </w:tc>
        <w:tc>
          <w:tcPr>
            <w:tcW w:w="10560" w:type="dxa"/>
            <w:vAlign w:val="bottom"/>
          </w:tcPr>
          <w:p>
            <w:pPr>
              <w:ind w:left="300"/>
              <w:spacing w:after="0"/>
              <w:rPr>
                <w:sz w:val="20"/>
                <w:szCs w:val="20"/>
                <w:color w:val="auto"/>
              </w:rPr>
            </w:pPr>
            <w:r>
              <w:rPr>
                <w:rFonts w:ascii="Arial" w:cs="Arial" w:eastAsia="Arial" w:hAnsi="Arial"/>
                <w:sz w:val="18"/>
                <w:szCs w:val="18"/>
                <w:color w:val="auto"/>
              </w:rPr>
              <w:t>Memorandum of Association of MagnaChip Semiconductor Ltd. (United Kingdom)(1)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3.17</w:t>
            </w:r>
          </w:p>
        </w:tc>
        <w:tc>
          <w:tcPr>
            <w:tcW w:w="10560" w:type="dxa"/>
            <w:vAlign w:val="bottom"/>
          </w:tcPr>
          <w:p>
            <w:pPr>
              <w:ind w:left="300"/>
              <w:spacing w:after="0"/>
              <w:rPr>
                <w:sz w:val="20"/>
                <w:szCs w:val="20"/>
                <w:color w:val="auto"/>
              </w:rPr>
            </w:pPr>
            <w:r>
              <w:rPr>
                <w:rFonts w:ascii="Arial" w:cs="Arial" w:eastAsia="Arial" w:hAnsi="Arial"/>
                <w:sz w:val="18"/>
                <w:szCs w:val="18"/>
                <w:color w:val="auto"/>
              </w:rPr>
              <w:t>Articles of Association of MagnaChip Semiconductor Ltd. (United Kingdom)(1)</w:t>
            </w:r>
          </w:p>
        </w:tc>
      </w:tr>
      <w:tr>
        <w:trPr>
          <w:trHeight w:val="351"/>
        </w:trPr>
        <w:tc>
          <w:tcPr>
            <w:tcW w:w="64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820" w:type="dxa"/>
            <w:vAlign w:val="bottom"/>
          </w:tcPr>
          <w:p>
            <w:pPr>
              <w:spacing w:after="0"/>
              <w:rPr>
                <w:sz w:val="20"/>
                <w:szCs w:val="20"/>
                <w:color w:val="auto"/>
              </w:rPr>
            </w:pPr>
            <w:r>
              <w:rPr>
                <w:rFonts w:ascii="Arial" w:cs="Arial" w:eastAsia="Arial" w:hAnsi="Arial"/>
                <w:sz w:val="18"/>
                <w:szCs w:val="18"/>
                <w:color w:val="auto"/>
              </w:rPr>
              <w:t>3.18</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Incorporation of MagnaChip Semiconductor Ltd. (Taiwan) (English translation)(1)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3.19</w:t>
            </w:r>
          </w:p>
        </w:tc>
        <w:tc>
          <w:tcPr>
            <w:tcW w:w="10300" w:type="dxa"/>
            <w:vAlign w:val="bottom"/>
          </w:tcPr>
          <w:p>
            <w:pPr>
              <w:ind w:left="340"/>
              <w:spacing w:after="0"/>
              <w:rPr>
                <w:sz w:val="20"/>
                <w:szCs w:val="20"/>
                <w:color w:val="auto"/>
              </w:rPr>
            </w:pPr>
            <w:r>
              <w:rPr>
                <w:rFonts w:ascii="Arial" w:cs="Arial" w:eastAsia="Arial" w:hAnsi="Arial"/>
                <w:sz w:val="18"/>
                <w:szCs w:val="18"/>
                <w:color w:val="auto"/>
              </w:rPr>
              <w:t>Merger Agreement by and between ISRON Corporation and MagnaChip Semiconductor Inc. dated December 21, 2005, as</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rPr>
              <w:t>amended on February 22, 2006, including Articles of Incorporation of MagnaChip Semiconductor Inc. (formerly ISRON</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Corporation) (Japan) (English translation)(2)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340"/>
              <w:spacing w:after="0"/>
              <w:rPr>
                <w:sz w:val="20"/>
                <w:szCs w:val="20"/>
                <w:color w:val="auto"/>
              </w:rPr>
            </w:pPr>
            <w:r>
              <w:rPr>
                <w:rFonts w:ascii="Arial" w:cs="Arial" w:eastAsia="Arial" w:hAnsi="Arial"/>
                <w:sz w:val="18"/>
                <w:szCs w:val="18"/>
                <w:color w:val="auto"/>
              </w:rPr>
              <w:t>Bylaws of MagnaChip Semiconductor, Inc. (formerly IC Media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tcPr>
          <w:p>
            <w:pPr>
              <w:ind w:left="340"/>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3.23</w:t>
            </w:r>
          </w:p>
        </w:tc>
        <w:tc>
          <w:tcPr>
            <w:tcW w:w="10300" w:type="dxa"/>
            <w:vAlign w:val="bottom"/>
          </w:tcPr>
          <w:p>
            <w:pPr>
              <w:ind w:left="340"/>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3.24</w:t>
            </w:r>
          </w:p>
        </w:tc>
        <w:tc>
          <w:tcPr>
            <w:tcW w:w="10300" w:type="dxa"/>
            <w:vAlign w:val="bottom"/>
          </w:tcPr>
          <w:p>
            <w:pPr>
              <w:ind w:left="340"/>
              <w:spacing w:after="0"/>
              <w:rPr>
                <w:sz w:val="20"/>
                <w:szCs w:val="20"/>
                <w:color w:val="auto"/>
              </w:rPr>
            </w:pPr>
            <w:r>
              <w:rPr>
                <w:rFonts w:ascii="Arial" w:cs="Arial" w:eastAsia="Arial" w:hAnsi="Arial"/>
                <w:sz w:val="18"/>
                <w:szCs w:val="18"/>
                <w:color w:val="auto"/>
              </w:rPr>
              <w:t>Memorandum of Association of IC Media International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3.25</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Association of IC Media International Corporation(1)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3.26</w:t>
            </w:r>
          </w:p>
        </w:tc>
        <w:tc>
          <w:tcPr>
            <w:tcW w:w="10300" w:type="dxa"/>
            <w:vAlign w:val="bottom"/>
          </w:tcPr>
          <w:p>
            <w:pPr>
              <w:ind w:left="340"/>
              <w:spacing w:after="0"/>
              <w:rPr>
                <w:sz w:val="20"/>
                <w:szCs w:val="20"/>
                <w:color w:val="auto"/>
              </w:rPr>
            </w:pPr>
            <w:r>
              <w:rPr>
                <w:rFonts w:ascii="Arial" w:cs="Arial" w:eastAsia="Arial" w:hAnsi="Arial"/>
                <w:sz w:val="18"/>
                <w:szCs w:val="18"/>
                <w:color w:val="auto"/>
              </w:rPr>
              <w:t>Memorandum of Association of MagnaChip Semiconductor Holding Company Limited (formerly IC Media Holding Company</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Limited)(1)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3.27</w:t>
            </w:r>
          </w:p>
        </w:tc>
        <w:tc>
          <w:tcPr>
            <w:tcW w:w="10300" w:type="dxa"/>
            <w:vAlign w:val="bottom"/>
          </w:tcPr>
          <w:p>
            <w:pPr>
              <w:ind w:left="340"/>
              <w:spacing w:after="0"/>
              <w:rPr>
                <w:sz w:val="20"/>
                <w:szCs w:val="20"/>
                <w:color w:val="auto"/>
              </w:rPr>
            </w:pPr>
            <w:r>
              <w:rPr>
                <w:rFonts w:ascii="Arial" w:cs="Arial" w:eastAsia="Arial" w:hAnsi="Arial"/>
                <w:sz w:val="18"/>
                <w:szCs w:val="18"/>
                <w:color w:val="auto"/>
                <w:w w:val="97"/>
              </w:rPr>
              <w:t>Articles of Association of MagnaChip Semiconductor Holding Company Limited (formerly IC Media Holding Company Limited)(1)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3.27.a</w:t>
            </w:r>
          </w:p>
        </w:tc>
        <w:tc>
          <w:tcPr>
            <w:tcW w:w="10300" w:type="dxa"/>
            <w:vAlign w:val="bottom"/>
          </w:tcPr>
          <w:p>
            <w:pPr>
              <w:ind w:left="340"/>
              <w:spacing w:after="0"/>
              <w:rPr>
                <w:sz w:val="20"/>
                <w:szCs w:val="20"/>
                <w:color w:val="auto"/>
              </w:rPr>
            </w:pPr>
            <w:r>
              <w:rPr>
                <w:rFonts w:ascii="Arial" w:cs="Arial" w:eastAsia="Arial" w:hAnsi="Arial"/>
                <w:sz w:val="18"/>
                <w:szCs w:val="18"/>
                <w:color w:val="auto"/>
                <w:w w:val="99"/>
              </w:rPr>
              <w:t>Amendment to Memorandum and Articles of Association of MagnaChip Semiconductor Holding Company Limited (formerly IC</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Media Holding Company Limited)(2)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3.28</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Incorporation of IC Media Technology Corporation (English translation)(1)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3.29</w:t>
            </w:r>
          </w:p>
        </w:tc>
        <w:tc>
          <w:tcPr>
            <w:tcW w:w="10300" w:type="dxa"/>
            <w:vAlign w:val="bottom"/>
          </w:tcPr>
          <w:p>
            <w:pPr>
              <w:ind w:left="340"/>
              <w:spacing w:after="0"/>
              <w:rPr>
                <w:sz w:val="20"/>
                <w:szCs w:val="20"/>
                <w:color w:val="auto"/>
              </w:rPr>
            </w:pPr>
            <w:r>
              <w:rPr>
                <w:rFonts w:ascii="Arial" w:cs="Arial" w:eastAsia="Arial" w:hAnsi="Arial"/>
                <w:sz w:val="18"/>
                <w:szCs w:val="18"/>
                <w:color w:val="auto"/>
                <w:w w:val="98"/>
              </w:rPr>
              <w:t>Agreement and Plan of Merger by and between IC Media Corporation and MagnaChip Semiconductor, Inc., including Amended</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rPr>
              <w:t>and Restated Articles of Incorporation, as filed with the State of California Secretary of State on November 17, 2005, and as</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corrected on February 6, 2006(2)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3.30</w:t>
            </w:r>
          </w:p>
        </w:tc>
        <w:tc>
          <w:tcPr>
            <w:tcW w:w="10300" w:type="dxa"/>
            <w:vAlign w:val="bottom"/>
          </w:tcPr>
          <w:p>
            <w:pPr>
              <w:ind w:left="340"/>
              <w:spacing w:after="0"/>
              <w:rPr>
                <w:sz w:val="20"/>
                <w:szCs w:val="20"/>
                <w:color w:val="auto"/>
              </w:rPr>
            </w:pPr>
            <w:r>
              <w:rPr>
                <w:rFonts w:ascii="Arial" w:cs="Arial" w:eastAsia="Arial" w:hAnsi="Arial"/>
                <w:sz w:val="18"/>
                <w:szCs w:val="18"/>
                <w:color w:val="auto"/>
              </w:rPr>
              <w:t>Amended and Restated Certificate of Incorporation of MagnaChip Semiconductor Corporation*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3.31</w:t>
            </w:r>
          </w:p>
        </w:tc>
        <w:tc>
          <w:tcPr>
            <w:tcW w:w="10300" w:type="dxa"/>
            <w:vAlign w:val="bottom"/>
          </w:tcPr>
          <w:p>
            <w:pPr>
              <w:ind w:left="340"/>
              <w:spacing w:after="0"/>
              <w:rPr>
                <w:sz w:val="20"/>
                <w:szCs w:val="20"/>
                <w:color w:val="auto"/>
              </w:rPr>
            </w:pPr>
            <w:r>
              <w:rPr>
                <w:rFonts w:ascii="Arial" w:cs="Arial" w:eastAsia="Arial" w:hAnsi="Arial"/>
                <w:sz w:val="18"/>
                <w:szCs w:val="18"/>
                <w:color w:val="auto"/>
              </w:rPr>
              <w:t>Amended and Restated Bylaws of MagnaChip Semiconductor Corporation*</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3.32</w:t>
            </w:r>
          </w:p>
        </w:tc>
        <w:tc>
          <w:tcPr>
            <w:tcW w:w="10300" w:type="dxa"/>
            <w:vAlign w:val="bottom"/>
          </w:tcPr>
          <w:p>
            <w:pPr>
              <w:ind w:left="340"/>
              <w:spacing w:after="0"/>
              <w:rPr>
                <w:sz w:val="20"/>
                <w:szCs w:val="20"/>
                <w:color w:val="auto"/>
              </w:rPr>
            </w:pPr>
            <w:r>
              <w:rPr>
                <w:rFonts w:ascii="Arial" w:cs="Arial" w:eastAsia="Arial" w:hAnsi="Arial"/>
                <w:sz w:val="18"/>
                <w:szCs w:val="18"/>
                <w:color w:val="auto"/>
                <w:w w:val="97"/>
              </w:rPr>
              <w:t>Agreement and Plan of Merger by and among MagnaChip Semiconductor Corporation, MagnaChip Semiconductor LLC and MC</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MergerSub LLC*</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0300" w:type="dxa"/>
            <w:vAlign w:val="bottom"/>
          </w:tcPr>
          <w:p>
            <w:pPr>
              <w:ind w:left="3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w w:val="98"/>
              </w:rPr>
              <w:t>Company, the guarantors as named therein and The Bank of New York, as trustee for the Floating Rate Second Priority Senior</w:t>
            </w:r>
          </w:p>
        </w:tc>
      </w:tr>
      <w:tr>
        <w:trPr>
          <w:trHeight w:val="270"/>
        </w:trPr>
        <w:tc>
          <w:tcPr>
            <w:tcW w:w="820" w:type="dxa"/>
            <w:vAlign w:val="bottom"/>
          </w:tcPr>
          <w:p>
            <w:pPr>
              <w:spacing w:after="0"/>
              <w:rPr>
                <w:sz w:val="23"/>
                <w:szCs w:val="23"/>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 xml:space="preserve">Secured Notes due 2011 and the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2011(1)</w:t>
            </w:r>
          </w:p>
        </w:tc>
      </w:tr>
      <w:tr>
        <w:trPr>
          <w:trHeight w:val="211"/>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0300" w:type="dxa"/>
            <w:vAlign w:val="bottom"/>
          </w:tcPr>
          <w:p>
            <w:pPr>
              <w:ind w:left="340"/>
              <w:spacing w:after="0"/>
              <w:rPr>
                <w:sz w:val="20"/>
                <w:szCs w:val="20"/>
                <w:color w:val="auto"/>
              </w:rPr>
            </w:pPr>
            <w:r>
              <w:rPr>
                <w:rFonts w:ascii="Arial" w:cs="Arial" w:eastAsia="Arial" w:hAnsi="Arial"/>
                <w:sz w:val="18"/>
                <w:szCs w:val="18"/>
                <w:color w:val="auto"/>
              </w:rPr>
              <w:t>Form of Floating Rate Second Priority Senior Secured Notes due 2011 and related guarantees (included in Exhibit 4.1)(1)</w:t>
            </w:r>
          </w:p>
        </w:tc>
      </w:tr>
      <w:tr>
        <w:trPr>
          <w:trHeight w:val="329"/>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0300" w:type="dxa"/>
            <w:vAlign w:val="bottom"/>
          </w:tcPr>
          <w:p>
            <w:pPr>
              <w:ind w:left="340"/>
              <w:spacing w:after="0"/>
              <w:rPr>
                <w:sz w:val="20"/>
                <w:szCs w:val="20"/>
                <w:color w:val="auto"/>
              </w:rPr>
            </w:pPr>
            <w:r>
              <w:rPr>
                <w:rFonts w:ascii="Arial" w:cs="Arial" w:eastAsia="Arial" w:hAnsi="Arial"/>
                <w:sz w:val="18"/>
                <w:szCs w:val="18"/>
                <w:color w:val="auto"/>
              </w:rPr>
              <w:t xml:space="preserve">Form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related guarantees (included in Exhibit 4.1)(1)</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4.4</w:t>
            </w: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w w:val="99"/>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w w:val="97"/>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10300" w:type="dxa"/>
            <w:vAlign w:val="bottom"/>
          </w:tcPr>
          <w:p>
            <w:pPr>
              <w:ind w:left="3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w w:val="99"/>
              </w:rPr>
              <w:t>Company, the guarantors as named therein and The Bank of New York, as trustee for the 8% Senior Subordinated Notes due</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2014(1)</w:t>
            </w:r>
          </w:p>
        </w:tc>
      </w:tr>
    </w:tbl>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0" w:type="dxa"/>
            <w:vAlign w:val="bottom"/>
          </w:tcPr>
          <w:p>
            <w:pPr>
              <w:ind w:left="100"/>
              <w:spacing w:after="0"/>
              <w:rPr>
                <w:sz w:val="20"/>
                <w:szCs w:val="20"/>
                <w:color w:val="auto"/>
              </w:rPr>
            </w:pPr>
            <w:r>
              <w:rPr>
                <w:rFonts w:ascii="Arial" w:cs="Arial" w:eastAsia="Arial" w:hAnsi="Arial"/>
                <w:sz w:val="18"/>
                <w:szCs w:val="18"/>
                <w:color w:val="auto"/>
              </w:rPr>
              <w:t>4.6</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8% Senior Subordinated Notes due 2014 and related guarantees (included in Exhibit 4.5)(1)</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4.7</w:t>
            </w:r>
          </w:p>
        </w:tc>
        <w:tc>
          <w:tcPr>
            <w:tcW w:w="10580" w:type="dxa"/>
            <w:vAlign w:val="bottom"/>
          </w:tcPr>
          <w:p>
            <w:pPr>
              <w:ind w:left="340"/>
              <w:spacing w:after="0"/>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5.1</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Opinion of Dechert LLP*</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340"/>
              <w:spacing w:after="0"/>
              <w:rPr>
                <w:sz w:val="20"/>
                <w:szCs w:val="20"/>
                <w:color w:val="auto"/>
              </w:rPr>
            </w:pPr>
            <w:r>
              <w:rPr>
                <w:rFonts w:ascii="Arial" w:cs="Arial" w:eastAsia="Arial" w:hAnsi="Arial"/>
                <w:sz w:val="18"/>
                <w:szCs w:val="18"/>
                <w:color w:val="auto"/>
              </w:rPr>
              <w:t>Purchase Agreement, dated as of December 16, 2004, among MagnaChip Semiconductor S.A., MagnaChip Semiconductor</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Finance Company, UBS Securities LLC, Citigroup Global Markets Inc., Goldman, Sachs &amp; Co., J.P. Morgan Securities Inc. and</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Deutsche Bank Securities Inc.(1)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340"/>
              <w:spacing w:after="0"/>
              <w:rPr>
                <w:sz w:val="20"/>
                <w:szCs w:val="20"/>
                <w:color w:val="auto"/>
              </w:rPr>
            </w:pPr>
            <w:r>
              <w:rPr>
                <w:rFonts w:ascii="Arial" w:cs="Arial" w:eastAsia="Arial" w:hAnsi="Arial"/>
                <w:sz w:val="18"/>
                <w:szCs w:val="18"/>
                <w:color w:val="auto"/>
                <w:w w:val="99"/>
              </w:rPr>
              <w:t>Credit Agreement,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Company, the guarantors named therein, the lenders named therein, UBS Securities LLC, Korea Exchange Bank, UBS AG,</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Stamford Branch and UBS Loan Finance LLC(1)</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10.3.a</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First Amendment to Credit Agreement and Waiver, dated as of May 6, 2005, to the Credit Agreement, dated as of December 23,</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9"/>
              </w:rPr>
              <w:t>2004, among MagnaChip Semiconductor S.A., MagnaChip Semiconductor Finance Company, the guarantors named therein, the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lenders named therein, UBS Securities LLC, Korea Exchange Bank, UBS AG, Stamford Branch and UBS Loan Finance LLC(1)</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10.3.b</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Second Amendment to Credit Agreement and Waiver dated as of June 21, 2005, to the Credit Agreement, dated as of</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7"/>
              </w:rPr>
              <w:t>December 23, 2004, among MagnaChip Semiconductor S.A., MagnaChip Semiconductor Finance Company, the guarantors named</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7"/>
              </w:rPr>
              <w:t>therein, the lenders named therein, UBS Securities LLC, Korea Exchange Bank, UBS AG, Stamford Branch and UBS Loan Finance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LLC(1)</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10.3.c</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Third Amendment to Credit Agreement dated as of March 27, 2006, to the Credit Agreement, dated as of December 23, 2004,</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8"/>
              </w:rPr>
              <w:t>among MagnaChip Semiconductor S.A., MagnaChip Semiconductor Finance Company, the guarantors named therein, the lenders</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named therein, UBS Securities LLC, Korea Exchange Bank, UBS AG, Stamford Branch and UBS Loan Finance LLC(2)</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10.3.d</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7"/>
              </w:rPr>
              <w:t>Fourth Amendment to Credit Agreement, dated as of July 26, 2006, by and among MagnaChip Semiconductor S.A. and MagnaChip</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Lenders party thereto, UBS AG, Stamford Branch, as administrative agent and collateral agent, and U.S. Bank National</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Association(3)</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10.3.e</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Fifth Amendment to Credit Agreement, dated as of December 29, 2006, by and among MagnaChip Semiconductor S.A. and</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agent(4)</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10.3.f</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7"/>
              </w:rPr>
              <w:t>Sixth Amendment to Credit Agreement dated as of March 26, 2007, by and among MagnaChip Semiconductor S.A. and MagnaChip</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Lenders party thereto, and UBS AG, Stamford Branch, as administrative agent and collateral agent(9)</w:t>
            </w: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10.3.g</w:t>
            </w:r>
          </w:p>
        </w:tc>
        <w:tc>
          <w:tcPr>
            <w:tcW w:w="10500" w:type="dxa"/>
            <w:vAlign w:val="bottom"/>
          </w:tcPr>
          <w:p>
            <w:pPr>
              <w:ind w:left="340"/>
              <w:spacing w:after="0"/>
              <w:rPr>
                <w:sz w:val="20"/>
                <w:szCs w:val="20"/>
                <w:color w:val="auto"/>
              </w:rPr>
            </w:pPr>
            <w:r>
              <w:rPr>
                <w:rFonts w:ascii="Arial" w:cs="Arial" w:eastAsia="Arial" w:hAnsi="Arial"/>
                <w:sz w:val="18"/>
                <w:szCs w:val="18"/>
                <w:color w:val="auto"/>
              </w:rPr>
              <w:t>Seventh Amendment to Credit Agreement, dated as of June 28, 2007, by and among MagnaChip Semiconductor S.A. and</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 (10)</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10.3.h</w:t>
            </w: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Waiver to Credit Agreement, dated as of August 13, 2007, by and among MagnaChip Semiconductor S.A. and MagnaChip</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as borrowers, the Lenders party thereto, and UBS AG, Stamford Branch, as administrative</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agent and collateral agent(11)</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10.3.i</w:t>
            </w: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Eighth Amendment to Credit Agreement, dated as of September 28, 2007, by and among MagnaChip Semiconductor S.A. and</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agent(12)</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10.3.j</w:t>
            </w: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w w:val="99"/>
              </w:rPr>
              <w:t>Ninth Amendment and Waiver to Credit Agreement, dated as of November 13, 2007, by and among MagnaChip Semiconductor</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w w:val="97"/>
              </w:rPr>
              <w:t>S.A. and MagnaChip Semiconductor Finance Company, as borrowers, MagnaChip Semiconductor LLC, the Subsidiary Guarantors</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party thereto, the Lenders party thereto, and UBS AG, Stamford Branch, as administrative agent and collateral agent</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Intercreditor Agreement dated as of December 23, 2004 among MagnaChip Semiconductor Finance Company, the other Pledgors</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party thereto, UBS AG, Stamford Branch, The Bank of New York and U.S. Bank National Association(1)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340"/>
              <w:spacing w:after="0"/>
              <w:rPr>
                <w:sz w:val="20"/>
                <w:szCs w:val="20"/>
                <w:color w:val="auto"/>
              </w:rPr>
            </w:pPr>
            <w:r>
              <w:rPr>
                <w:rFonts w:ascii="Arial" w:cs="Arial" w:eastAsia="Arial" w:hAnsi="Arial"/>
                <w:sz w:val="18"/>
                <w:szCs w:val="18"/>
                <w:color w:val="auto"/>
              </w:rPr>
              <w:t>Second Amended and Restated Securityholders’ Agreement of MagnaChip Semiconductor LLC(1)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10.5a</w:t>
            </w:r>
          </w:p>
        </w:tc>
        <w:tc>
          <w:tcPr>
            <w:tcW w:w="10500" w:type="dxa"/>
            <w:vAlign w:val="bottom"/>
          </w:tcPr>
          <w:p>
            <w:pPr>
              <w:ind w:left="340"/>
              <w:spacing w:after="0"/>
              <w:rPr>
                <w:sz w:val="20"/>
                <w:szCs w:val="20"/>
                <w:color w:val="auto"/>
              </w:rPr>
            </w:pPr>
            <w:r>
              <w:rPr>
                <w:rFonts w:ascii="Arial" w:cs="Arial" w:eastAsia="Arial" w:hAnsi="Arial"/>
                <w:sz w:val="18"/>
                <w:szCs w:val="18"/>
                <w:color w:val="auto"/>
              </w:rPr>
              <w:t>Third Amended and Restated Securityholders’ Agreement*</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340"/>
              <w:spacing w:after="0"/>
              <w:rPr>
                <w:sz w:val="20"/>
                <w:szCs w:val="20"/>
                <w:color w:val="auto"/>
              </w:rPr>
            </w:pPr>
            <w:r>
              <w:rPr>
                <w:rFonts w:ascii="Arial" w:cs="Arial" w:eastAsia="Arial" w:hAnsi="Arial"/>
                <w:sz w:val="18"/>
                <w:szCs w:val="18"/>
                <w:color w:val="auto"/>
                <w:w w:val="98"/>
              </w:rPr>
              <w:t>Intellectual Property License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340"/>
              <w:spacing w:after="0"/>
              <w:rPr>
                <w:sz w:val="20"/>
                <w:szCs w:val="20"/>
                <w:color w:val="auto"/>
              </w:rPr>
            </w:pPr>
            <w:r>
              <w:rPr>
                <w:rFonts w:ascii="Arial" w:cs="Arial" w:eastAsia="Arial" w:hAnsi="Arial"/>
                <w:sz w:val="18"/>
                <w:szCs w:val="18"/>
                <w:color w:val="auto"/>
              </w:rPr>
              <w:t>Trademark License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340"/>
              <w:spacing w:after="0"/>
              <w:rPr>
                <w:sz w:val="20"/>
                <w:szCs w:val="20"/>
                <w:color w:val="auto"/>
              </w:rPr>
            </w:pPr>
            <w:r>
              <w:rPr>
                <w:rFonts w:ascii="Arial" w:cs="Arial" w:eastAsia="Arial" w:hAnsi="Arial"/>
                <w:sz w:val="18"/>
                <w:szCs w:val="18"/>
                <w:color w:val="auto"/>
              </w:rPr>
              <w:t>Building Lease Agreement for Warehouses, dated as of October 6, 2004, by and between Hynix Semiconductor Inc. and</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MagnaChip 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10.9.a</w:t>
            </w:r>
          </w:p>
        </w:tc>
        <w:tc>
          <w:tcPr>
            <w:tcW w:w="10500" w:type="dxa"/>
            <w:vAlign w:val="bottom"/>
          </w:tcPr>
          <w:p>
            <w:pPr>
              <w:ind w:left="340"/>
              <w:spacing w:after="0"/>
              <w:rPr>
                <w:sz w:val="20"/>
                <w:szCs w:val="20"/>
                <w:color w:val="auto"/>
              </w:rPr>
            </w:pPr>
            <w:r>
              <w:rPr>
                <w:rFonts w:ascii="Arial" w:cs="Arial" w:eastAsia="Arial" w:hAnsi="Arial"/>
                <w:sz w:val="18"/>
                <w:szCs w:val="18"/>
                <w:color w:val="auto"/>
              </w:rPr>
              <w:t>First Amendment to Building Lease Agreement for Warehouses,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40"/>
              <w:spacing w:after="0"/>
              <w:rPr>
                <w:sz w:val="20"/>
                <w:szCs w:val="20"/>
                <w:color w:val="auto"/>
              </w:rPr>
            </w:pPr>
            <w:r>
              <w:rPr>
                <w:rFonts w:ascii="Arial" w:cs="Arial" w:eastAsia="Arial" w:hAnsi="Arial"/>
                <w:sz w:val="18"/>
                <w:szCs w:val="18"/>
                <w:color w:val="auto"/>
              </w:rPr>
              <w:t>Building Lease Agreement for M4 Building, dated as of October 6, 2004, by and between Hynix Semiconductor Inc. and</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40"/>
              <w:spacing w:after="0"/>
              <w:rPr>
                <w:sz w:val="20"/>
                <w:szCs w:val="20"/>
                <w:color w:val="auto"/>
              </w:rPr>
            </w:pPr>
            <w:r>
              <w:rPr>
                <w:rFonts w:ascii="Arial" w:cs="Arial" w:eastAsia="Arial" w:hAnsi="Arial"/>
                <w:sz w:val="18"/>
                <w:szCs w:val="18"/>
                <w:color w:val="auto"/>
              </w:rPr>
              <w:t>Building Lease Agreement for R, C1 and C2 Buildings, dated as of October 6, 2004, by and between Hynix Semiconductor Inc.</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and MagnaChip 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10.11.a</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First Amendment to Building Lease Agreement for R, C1 and C2 Buildings,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Land Lease and Easement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10.12.a</w:t>
            </w:r>
          </w:p>
        </w:tc>
        <w:tc>
          <w:tcPr>
            <w:tcW w:w="10500" w:type="dxa"/>
            <w:vAlign w:val="bottom"/>
          </w:tcPr>
          <w:p>
            <w:pPr>
              <w:ind w:left="340"/>
              <w:spacing w:after="0"/>
              <w:rPr>
                <w:sz w:val="20"/>
                <w:szCs w:val="20"/>
                <w:color w:val="auto"/>
              </w:rPr>
            </w:pPr>
            <w:r>
              <w:rPr>
                <w:rFonts w:ascii="Arial" w:cs="Arial" w:eastAsia="Arial" w:hAnsi="Arial"/>
                <w:sz w:val="18"/>
                <w:szCs w:val="18"/>
                <w:color w:val="auto"/>
              </w:rPr>
              <w:t>First Amendment to Land Lease and Easement Agreement,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420" w:type="dxa"/>
            <w:vAlign w:val="bottom"/>
          </w:tcPr>
          <w:p>
            <w:pPr>
              <w:ind w:left="340"/>
              <w:spacing w:after="0"/>
              <w:rPr>
                <w:sz w:val="20"/>
                <w:szCs w:val="20"/>
                <w:color w:val="auto"/>
              </w:rPr>
            </w:pPr>
            <w:r>
              <w:rPr>
                <w:rFonts w:ascii="Arial" w:cs="Arial" w:eastAsia="Arial" w:hAnsi="Arial"/>
                <w:sz w:val="18"/>
                <w:szCs w:val="18"/>
                <w:color w:val="auto"/>
              </w:rPr>
              <w:t>Wafer Foundry Service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420" w:type="dxa"/>
            <w:vAlign w:val="bottom"/>
          </w:tcPr>
          <w:p>
            <w:pPr>
              <w:ind w:left="340"/>
              <w:spacing w:after="0"/>
              <w:rPr>
                <w:sz w:val="20"/>
                <w:szCs w:val="20"/>
                <w:color w:val="auto"/>
              </w:rPr>
            </w:pPr>
            <w:r>
              <w:rPr>
                <w:rFonts w:ascii="Arial" w:cs="Arial" w:eastAsia="Arial" w:hAnsi="Arial"/>
                <w:sz w:val="18"/>
                <w:szCs w:val="18"/>
                <w:color w:val="auto"/>
              </w:rPr>
              <w:t>Wafer Mask Production and Supply Agreement, dated as of October 6, 2004, by and between Hynix Semiconductor Inc. and</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10.14.a</w:t>
            </w:r>
          </w:p>
        </w:tc>
        <w:tc>
          <w:tcPr>
            <w:tcW w:w="10420" w:type="dxa"/>
            <w:vAlign w:val="bottom"/>
          </w:tcPr>
          <w:p>
            <w:pPr>
              <w:ind w:left="340"/>
              <w:spacing w:after="0"/>
              <w:rPr>
                <w:sz w:val="20"/>
                <w:szCs w:val="20"/>
                <w:color w:val="auto"/>
              </w:rPr>
            </w:pPr>
            <w:r>
              <w:rPr>
                <w:rFonts w:ascii="Arial" w:cs="Arial" w:eastAsia="Arial" w:hAnsi="Arial"/>
                <w:sz w:val="18"/>
                <w:szCs w:val="18"/>
                <w:color w:val="auto"/>
              </w:rPr>
              <w:t>First Amendment to Wafer Mask Production and Supply Agreement, dated as of December 30, 2005, by and between Hynix</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(Korea)(2)(6)</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420" w:type="dxa"/>
            <w:vAlign w:val="bottom"/>
          </w:tcPr>
          <w:p>
            <w:pPr>
              <w:ind w:left="340"/>
              <w:spacing w:after="0"/>
              <w:rPr>
                <w:sz w:val="20"/>
                <w:szCs w:val="20"/>
                <w:color w:val="auto"/>
              </w:rPr>
            </w:pPr>
            <w:r>
              <w:rPr>
                <w:rFonts w:ascii="Arial" w:cs="Arial" w:eastAsia="Arial" w:hAnsi="Arial"/>
                <w:sz w:val="18"/>
                <w:szCs w:val="18"/>
                <w:color w:val="auto"/>
              </w:rPr>
              <w:t>General Service Supply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10.15.a</w:t>
            </w:r>
          </w:p>
        </w:tc>
        <w:tc>
          <w:tcPr>
            <w:tcW w:w="10420" w:type="dxa"/>
            <w:vAlign w:val="bottom"/>
          </w:tcPr>
          <w:p>
            <w:pPr>
              <w:ind w:left="340"/>
              <w:spacing w:after="0"/>
              <w:rPr>
                <w:sz w:val="20"/>
                <w:szCs w:val="20"/>
                <w:color w:val="auto"/>
              </w:rPr>
            </w:pPr>
            <w:r>
              <w:rPr>
                <w:rFonts w:ascii="Arial" w:cs="Arial" w:eastAsia="Arial" w:hAnsi="Arial"/>
                <w:sz w:val="18"/>
                <w:szCs w:val="18"/>
                <w:color w:val="auto"/>
                <w:w w:val="98"/>
              </w:rPr>
              <w:t>First Amendment to General Service Supply Agreement, dated as of December 30, 2005, by and between Hynix Semiconductor</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420" w:type="dxa"/>
            <w:vAlign w:val="bottom"/>
          </w:tcPr>
          <w:p>
            <w:pPr>
              <w:ind w:left="340"/>
              <w:spacing w:after="0"/>
              <w:rPr>
                <w:sz w:val="20"/>
                <w:szCs w:val="20"/>
                <w:color w:val="auto"/>
              </w:rPr>
            </w:pPr>
            <w:r>
              <w:rPr>
                <w:rFonts w:ascii="Arial" w:cs="Arial" w:eastAsia="Arial" w:hAnsi="Arial"/>
                <w:sz w:val="18"/>
                <w:szCs w:val="18"/>
                <w:color w:val="auto"/>
              </w:rPr>
              <w:t>IT and FA Service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10.16.a</w:t>
            </w:r>
          </w:p>
        </w:tc>
        <w:tc>
          <w:tcPr>
            <w:tcW w:w="10420" w:type="dxa"/>
            <w:vAlign w:val="bottom"/>
          </w:tcPr>
          <w:p>
            <w:pPr>
              <w:ind w:left="340"/>
              <w:spacing w:after="0"/>
              <w:rPr>
                <w:sz w:val="20"/>
                <w:szCs w:val="20"/>
                <w:color w:val="auto"/>
              </w:rPr>
            </w:pPr>
            <w:r>
              <w:rPr>
                <w:rFonts w:ascii="Arial" w:cs="Arial" w:eastAsia="Arial" w:hAnsi="Arial"/>
                <w:sz w:val="18"/>
                <w:szCs w:val="18"/>
                <w:color w:val="auto"/>
                <w:w w:val="99"/>
              </w:rPr>
              <w:t>First Amendment to IT and FA Service Agreement, dated as of December 30, 2005, by and between Hynix Semiconductor Inc.</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and MagnaChip Semiconductor, Ltd. (Korea)(2)</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Youm Huh(1)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October 1, 2004, by and between MagnaChip Semiconductor, Ltd. (Korea) and Jerry Baker(1)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Robert</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Krakauer(1)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0420" w:type="dxa"/>
            <w:vAlign w:val="bottom"/>
          </w:tcPr>
          <w:p>
            <w:pPr>
              <w:ind w:left="340"/>
              <w:spacing w:after="0"/>
              <w:rPr>
                <w:sz w:val="20"/>
                <w:szCs w:val="20"/>
                <w:color w:val="auto"/>
              </w:rPr>
            </w:pPr>
            <w:r>
              <w:rPr>
                <w:rFonts w:ascii="Arial" w:cs="Arial" w:eastAsia="Arial" w:hAnsi="Arial"/>
                <w:sz w:val="18"/>
                <w:szCs w:val="18"/>
                <w:color w:val="auto"/>
                <w:w w:val="97"/>
              </w:rPr>
              <w:t>Service Agreement, dated as of December 29, 2004, by and between MagnaChip Semiconductor, Ltd. (Korea) and Victoria Miller</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Nam(1)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Tae Young</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Hwang(1)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May 16, 2005, by and among MagnaChip Semiconductor, Ltd. (Korea),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Inc. (California) and Jason Hartlove(1)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April 14, 2005 by and between MagnaChip Semiconductor, Ltd. (Korea) and Dale Lindly(1)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LLC Equity Incentive Plan(1)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LLC California Equity Incentive Plan(1)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10420" w:type="dxa"/>
            <w:vAlign w:val="bottom"/>
          </w:tcPr>
          <w:p>
            <w:pPr>
              <w:ind w:left="340"/>
              <w:spacing w:after="0"/>
              <w:rPr>
                <w:sz w:val="20"/>
                <w:szCs w:val="20"/>
                <w:color w:val="auto"/>
              </w:rPr>
            </w:pPr>
            <w:r>
              <w:rPr>
                <w:rFonts w:ascii="Arial" w:cs="Arial" w:eastAsia="Arial" w:hAnsi="Arial"/>
                <w:sz w:val="18"/>
                <w:szCs w:val="18"/>
                <w:color w:val="auto"/>
                <w:w w:val="98"/>
              </w:rPr>
              <w:t>R&amp;D Equipment Utilization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10.26.a</w:t>
            </w:r>
          </w:p>
        </w:tc>
        <w:tc>
          <w:tcPr>
            <w:tcW w:w="10420" w:type="dxa"/>
            <w:vAlign w:val="bottom"/>
          </w:tcPr>
          <w:p>
            <w:pPr>
              <w:ind w:left="340"/>
              <w:spacing w:after="0"/>
              <w:rPr>
                <w:sz w:val="20"/>
                <w:szCs w:val="20"/>
                <w:color w:val="auto"/>
              </w:rPr>
            </w:pPr>
            <w:r>
              <w:rPr>
                <w:rFonts w:ascii="Arial" w:cs="Arial" w:eastAsia="Arial" w:hAnsi="Arial"/>
                <w:sz w:val="18"/>
                <w:szCs w:val="18"/>
                <w:color w:val="auto"/>
              </w:rPr>
              <w:t>First Amendment to R&amp;D Equipment Utilization Agreement, dated as of December 30, 2005, by and between Hynix</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10.27</w:t>
            </w:r>
          </w:p>
        </w:tc>
        <w:tc>
          <w:tcPr>
            <w:tcW w:w="10420" w:type="dxa"/>
            <w:vAlign w:val="bottom"/>
          </w:tcPr>
          <w:p>
            <w:pPr>
              <w:ind w:left="340"/>
              <w:spacing w:after="0"/>
              <w:rPr>
                <w:sz w:val="20"/>
                <w:szCs w:val="20"/>
                <w:color w:val="auto"/>
              </w:rPr>
            </w:pPr>
            <w:r>
              <w:rPr>
                <w:rFonts w:ascii="Arial" w:cs="Arial" w:eastAsia="Arial" w:hAnsi="Arial"/>
                <w:sz w:val="18"/>
                <w:szCs w:val="18"/>
                <w:color w:val="auto"/>
              </w:rPr>
              <w:t>License Agreement (ModularBCD), dated as of March 18, 2005, by and between Advanced Analogic Technologies, Inc. and</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10.28</w:t>
            </w:r>
          </w:p>
        </w:tc>
        <w:tc>
          <w:tcPr>
            <w:tcW w:w="10420" w:type="dxa"/>
            <w:vAlign w:val="bottom"/>
          </w:tcPr>
          <w:p>
            <w:pPr>
              <w:ind w:left="340"/>
              <w:spacing w:after="0"/>
              <w:rPr>
                <w:sz w:val="20"/>
                <w:szCs w:val="20"/>
                <w:color w:val="auto"/>
              </w:rPr>
            </w:pPr>
            <w:r>
              <w:rPr>
                <w:rFonts w:ascii="Arial" w:cs="Arial" w:eastAsia="Arial" w:hAnsi="Arial"/>
                <w:sz w:val="18"/>
                <w:szCs w:val="18"/>
                <w:color w:val="auto"/>
              </w:rPr>
              <w:t>License Agreement (TrenchDMOS), dated as of March 18, 2005, by and between Advanced Analogic Technologies, Inc. and</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0420" w:type="dxa"/>
            <w:vAlign w:val="bottom"/>
          </w:tcPr>
          <w:p>
            <w:pPr>
              <w:ind w:left="340"/>
              <w:spacing w:after="0"/>
              <w:rPr>
                <w:sz w:val="20"/>
                <w:szCs w:val="20"/>
                <w:color w:val="auto"/>
              </w:rPr>
            </w:pPr>
            <w:r>
              <w:rPr>
                <w:rFonts w:ascii="Arial" w:cs="Arial" w:eastAsia="Arial" w:hAnsi="Arial"/>
                <w:sz w:val="18"/>
                <w:szCs w:val="18"/>
                <w:color w:val="auto"/>
                <w:w w:val="97"/>
              </w:rPr>
              <w:t>RFID Development and Licensing Agreement, dated as of March 29, 2004, by and between Celis Semiconductor Corporation and</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Ltd. (Korea) (successor in interest to Hynix Semiconductor Inc.)(1)(5)</w:t>
            </w:r>
          </w:p>
        </w:tc>
      </w:tr>
    </w:tbl>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40"/>
          </w:cols>
          <w:pgMar w:left="240" w:top="460" w:right="3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Technology License Agreement, dated as of July 2001, by and between ARM Limited and MagnaChip Semiconductor, Ltd. (Korea)</w:t>
      </w:r>
    </w:p>
    <w:p>
      <w:pPr>
        <w:ind w:left="1040"/>
        <w:spacing w:after="0"/>
        <w:rPr>
          <w:sz w:val="20"/>
          <w:szCs w:val="20"/>
          <w:color w:val="auto"/>
        </w:rPr>
      </w:pPr>
      <w:r>
        <w:rPr>
          <w:rFonts w:ascii="Arial" w:cs="Arial" w:eastAsia="Arial" w:hAnsi="Arial"/>
          <w:sz w:val="18"/>
          <w:szCs w:val="18"/>
          <w:color w:val="auto"/>
        </w:rPr>
        <w:t>(successor in interest to Hynix Semiconductor Inc.)(1)(5)</w:t>
      </w:r>
    </w:p>
    <w:p>
      <w:pPr>
        <w:spacing w:after="0" w:line="63"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Technology License Agreement, dated as of December 16, 1996, by and between Advanced RISC Machines Limited and MagnaChip Semiconductor, Ltd. (Korea) (successor in interest to LG Semicon Company Limited)(1)(5)</w:t>
      </w:r>
    </w:p>
    <w:p>
      <w:pPr>
        <w:spacing w:after="0" w:line="60" w:lineRule="exact"/>
        <w:rPr>
          <w:sz w:val="20"/>
          <w:szCs w:val="20"/>
          <w:color w:val="auto"/>
        </w:rPr>
      </w:pPr>
    </w:p>
    <w:p>
      <w:pPr>
        <w:ind w:left="1040" w:right="280" w:hanging="1039"/>
        <w:spacing w:after="0" w:line="239"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ARM7201TDSP Device License Agreement, dated as of August 26, 1997, by and between Advanced RISC Machines Limited and MagnaChip Semiconductor, Ltd. (Korea) (successor in interest to LG Semicon Company Limited)(1)(5)</w:t>
      </w:r>
    </w:p>
    <w:p>
      <w:pPr>
        <w:spacing w:after="0" w:line="60" w:lineRule="exact"/>
        <w:rPr>
          <w:sz w:val="20"/>
          <w:szCs w:val="20"/>
          <w:color w:val="auto"/>
        </w:rPr>
      </w:pPr>
    </w:p>
    <w:p>
      <w:pPr>
        <w:ind w:left="1040" w:right="320" w:hanging="1039"/>
        <w:spacing w:after="0" w:line="239" w:lineRule="auto"/>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Technology License Agreement, dated as of August 22, 2001, by and between ARM Limited and MagnaChip Semiconductor, Ltd. (Korea) (successor in interest to Hynix Semiconductor Inc.)(1)(5)</w:t>
      </w:r>
    </w:p>
    <w:p>
      <w:pPr>
        <w:spacing w:after="0" w:line="60" w:lineRule="exact"/>
        <w:rPr>
          <w:sz w:val="20"/>
          <w:szCs w:val="20"/>
          <w:color w:val="auto"/>
        </w:rPr>
      </w:pPr>
    </w:p>
    <w:p>
      <w:pPr>
        <w:ind w:left="1040" w:right="540" w:hanging="1039"/>
        <w:spacing w:after="0" w:line="239" w:lineRule="auto"/>
        <w:tabs>
          <w:tab w:leader="none" w:pos="10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Technology License Agreement, dated as of May 20, 2004, by and between ARM Limited and MagnaChip Semiconductor, Ltd. (Korea) (successor in interest to Hynix Semiconductor Inc.)(1)</w:t>
      </w:r>
    </w:p>
    <w:p>
      <w:pPr>
        <w:spacing w:after="0" w:line="60" w:lineRule="exact"/>
        <w:rPr>
          <w:sz w:val="20"/>
          <w:szCs w:val="20"/>
          <w:color w:val="auto"/>
        </w:rPr>
      </w:pPr>
    </w:p>
    <w:p>
      <w:pPr>
        <w:ind w:left="1040" w:right="140" w:hanging="1039"/>
        <w:spacing w:after="0" w:line="239" w:lineRule="auto"/>
        <w:tabs>
          <w:tab w:leader="none" w:pos="10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Interest Rate Swap Transaction Letter Agreement, dated as of June 30, 2005, by and between MagnaChip Semiconductor S.A. and Deutsche Bank AG(7)</w:t>
      </w:r>
    </w:p>
    <w:p>
      <w:pPr>
        <w:spacing w:after="0" w:line="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Service Agreement, dated as of May 27, 2006, by and between MagnaChip Semiconductor, Ltd. (Korea) and Sang Park(8)</w:t>
      </w:r>
    </w:p>
    <w:p>
      <w:pPr>
        <w:spacing w:after="0"/>
        <w:tabs>
          <w:tab w:leader="none" w:pos="10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Consulting Agreement, dated as of January 1, 2006, by and between MagnaChip Semiconductor, Ltd. (Korea) and Jerry Baker (9)</w:t>
      </w:r>
    </w:p>
    <w:p>
      <w:pPr>
        <w:spacing w:after="0"/>
        <w:tabs>
          <w:tab w:leader="none" w:pos="10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2008 Equity Incentive Plan*</w:t>
      </w:r>
    </w:p>
    <w:p>
      <w:pPr>
        <w:spacing w:after="0"/>
        <w:tabs>
          <w:tab w:leader="none" w:pos="10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2008 Employee Stock Purchase Plan*</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Option Agreement, dated as of October 6, 2004, by and between MagnaChip Semiconductor LLC and Tae Young Hwang</w:t>
      </w:r>
    </w:p>
    <w:p>
      <w:pPr>
        <w:spacing w:after="0" w:line="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Option Agreement, dated as of October 6, 2004, by and between MagnaChip Semiconductor LLC and Chan Hee Lee</w:t>
      </w:r>
    </w:p>
    <w:p>
      <w:pPr>
        <w:spacing w:after="0"/>
        <w:tabs>
          <w:tab w:leader="none" w:pos="10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Option Agreement, dated as of November 30, 2004, by and between MagnaChip Semiconductor LLC and Robert Krakauer</w:t>
      </w:r>
    </w:p>
    <w:p>
      <w:pPr>
        <w:spacing w:after="0" w:line="1" w:lineRule="exact"/>
        <w:rPr>
          <w:sz w:val="20"/>
          <w:szCs w:val="20"/>
          <w:color w:val="auto"/>
        </w:rPr>
      </w:pPr>
    </w:p>
    <w:p>
      <w:pPr>
        <w:ind w:left="1040" w:right="500" w:hanging="1039"/>
        <w:spacing w:after="0" w:line="234" w:lineRule="auto"/>
        <w:tabs>
          <w:tab w:leader="none" w:pos="10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Restricted Unit Subscription Agreement, dated as of November 30, 2004, by and between MagnaChip Semiconductor LLC and Robert Krakauer</w:t>
      </w:r>
    </w:p>
    <w:p>
      <w:pPr>
        <w:spacing w:after="0"/>
        <w:tabs>
          <w:tab w:leader="none" w:pos="10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Option Agreement, dated as of November 30, 2004, by and between MagnaChip Semiconductor LLC and Robert Krakauer</w:t>
      </w:r>
    </w:p>
    <w:p>
      <w:pPr>
        <w:spacing w:after="0" w:line="1" w:lineRule="exact"/>
        <w:rPr>
          <w:sz w:val="20"/>
          <w:szCs w:val="20"/>
          <w:color w:val="auto"/>
        </w:rPr>
      </w:pPr>
    </w:p>
    <w:p>
      <w:pPr>
        <w:ind w:left="1040" w:right="500" w:hanging="1039"/>
        <w:spacing w:after="0" w:line="239" w:lineRule="auto"/>
        <w:tabs>
          <w:tab w:leader="none" w:pos="10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Restricted Unit Subscription Agreement, dated as of November 30, 2004, by and between MagnaChip Semiconductor LLC and Robert Krakauer</w:t>
      </w:r>
    </w:p>
    <w:p>
      <w:pPr>
        <w:spacing w:after="0" w:line="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Option Agreement, dated as of November 30, 2004, by and between MagnaChip Semiconductor LLC and Victoria Miller Nam</w:t>
      </w:r>
    </w:p>
    <w:p>
      <w:pPr>
        <w:spacing w:after="0" w:line="9" w:lineRule="exact"/>
        <w:rPr>
          <w:sz w:val="20"/>
          <w:szCs w:val="20"/>
          <w:color w:val="auto"/>
        </w:rPr>
      </w:pPr>
    </w:p>
    <w:p>
      <w:pPr>
        <w:ind w:left="1040" w:right="500" w:hanging="1039"/>
        <w:spacing w:after="0" w:line="239" w:lineRule="auto"/>
        <w:tabs>
          <w:tab w:leader="none" w:pos="102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Restricted Unit Subscription Agreement, dated as of November 30, 2004, by and between MagnaChip Semiconductor LLC and Victoria Miller Nam</w:t>
      </w:r>
    </w:p>
    <w:p>
      <w:pPr>
        <w:spacing w:after="0" w:line="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6"/>
          <w:szCs w:val="16"/>
          <w:color w:val="auto"/>
        </w:rPr>
        <w:t>Option Agreement, dated as of December 30, 2004, by and between MagnaChip Semiconductor LLC and Jerry M. Baker</w:t>
      </w:r>
    </w:p>
    <w:p>
      <w:pPr>
        <w:ind w:left="1040" w:right="60" w:hanging="1039"/>
        <w:spacing w:after="0" w:line="234" w:lineRule="auto"/>
        <w:tabs>
          <w:tab w:leader="none" w:pos="102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Restricted Unit Subscription Agreement, dated as of December 30, 2004, by and between MagnaChip Semiconductor LLC and Jerry M. Baker</w:t>
      </w:r>
    </w:p>
    <w:p>
      <w:pPr>
        <w:spacing w:after="0" w:line="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Option Agreement, dated as of January 19, 2006, by and between MagnaChip Semiconductor LLC and Armando Geday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0" w:type="dxa"/>
            <w:vAlign w:val="bottom"/>
          </w:tcPr>
          <w:p>
            <w:pPr>
              <w:spacing w:after="0"/>
              <w:rPr>
                <w:sz w:val="20"/>
                <w:szCs w:val="20"/>
                <w:color w:val="auto"/>
              </w:rPr>
            </w:pPr>
            <w:r>
              <w:rPr>
                <w:rFonts w:ascii="Arial" w:cs="Arial" w:eastAsia="Arial" w:hAnsi="Arial"/>
                <w:sz w:val="18"/>
                <w:szCs w:val="18"/>
                <w:color w:val="auto"/>
              </w:rPr>
              <w:t>10.51</w:t>
            </w:r>
          </w:p>
        </w:tc>
        <w:tc>
          <w:tcPr>
            <w:tcW w:w="10160" w:type="dxa"/>
            <w:vAlign w:val="bottom"/>
          </w:tcPr>
          <w:p>
            <w:pPr>
              <w:ind w:left="300"/>
              <w:spacing w:after="0"/>
              <w:rPr>
                <w:sz w:val="20"/>
                <w:szCs w:val="20"/>
                <w:color w:val="auto"/>
              </w:rPr>
            </w:pPr>
            <w:r>
              <w:rPr>
                <w:rFonts w:ascii="Arial" w:cs="Arial" w:eastAsia="Arial" w:hAnsi="Arial"/>
                <w:sz w:val="18"/>
                <w:szCs w:val="18"/>
                <w:color w:val="auto"/>
              </w:rPr>
              <w:t>Option Agreement, dated as of March 9, 2006, by and between MagnaChip Semiconductor LLC and Tae Young Hwang</w:t>
            </w:r>
          </w:p>
        </w:tc>
      </w:tr>
      <w:tr>
        <w:trPr>
          <w:trHeight w:val="208"/>
        </w:trPr>
        <w:tc>
          <w:tcPr>
            <w:tcW w:w="740" w:type="dxa"/>
            <w:vAlign w:val="bottom"/>
          </w:tcPr>
          <w:p>
            <w:pPr>
              <w:spacing w:after="0"/>
              <w:rPr>
                <w:sz w:val="20"/>
                <w:szCs w:val="20"/>
                <w:color w:val="auto"/>
              </w:rPr>
            </w:pPr>
            <w:r>
              <w:rPr>
                <w:rFonts w:ascii="Arial" w:cs="Arial" w:eastAsia="Arial" w:hAnsi="Arial"/>
                <w:sz w:val="18"/>
                <w:szCs w:val="18"/>
                <w:color w:val="auto"/>
              </w:rPr>
              <w:t>10.52</w:t>
            </w:r>
          </w:p>
        </w:tc>
        <w:tc>
          <w:tcPr>
            <w:tcW w:w="10160" w:type="dxa"/>
            <w:vAlign w:val="bottom"/>
          </w:tcPr>
          <w:p>
            <w:pPr>
              <w:ind w:left="300"/>
              <w:spacing w:after="0"/>
              <w:rPr>
                <w:sz w:val="20"/>
                <w:szCs w:val="20"/>
                <w:color w:val="auto"/>
              </w:rPr>
            </w:pPr>
            <w:r>
              <w:rPr>
                <w:rFonts w:ascii="Arial" w:cs="Arial" w:eastAsia="Arial" w:hAnsi="Arial"/>
                <w:sz w:val="18"/>
                <w:szCs w:val="18"/>
                <w:color w:val="auto"/>
              </w:rPr>
              <w:t>Option Agreement, dated as of March 9, 2006, by and between MagnaChip Semiconductor LLC and Robert Krakauer</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10.53</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March 9, 2006, by and between MagnaChip Semiconductor LLC and Chan Hee Lee</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10.54</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March 9, 2006, by and between MagnaChip Semiconductor LLC and Victoria Miller Nam</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10.55</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May 27, 2006, by and between MagnaChip Semiconductor LLC and Sang Park</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10.56</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January 25, 2007, by and between MagnaChip Semiconductor LLC and R. Douglas Norby</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10.57</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w w:val="97"/>
              </w:rPr>
              <w:t>Service Agreement, dated as of October 1, 2004, by and between MagnaChip Semiconductor, Ltd. and Chan Hee Lee (English</w:t>
            </w:r>
          </w:p>
        </w:tc>
      </w:tr>
      <w:tr>
        <w:trPr>
          <w:trHeight w:val="203"/>
        </w:trPr>
        <w:tc>
          <w:tcPr>
            <w:tcW w:w="740" w:type="dxa"/>
            <w:vAlign w:val="bottom"/>
          </w:tcPr>
          <w:p>
            <w:pPr>
              <w:spacing w:after="0"/>
              <w:rPr>
                <w:sz w:val="17"/>
                <w:szCs w:val="17"/>
                <w:color w:val="auto"/>
              </w:rPr>
            </w:pP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translation)</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21.1</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Subsidiaries of the Registrant*</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23.1</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Consent of Samil PricewaterhouseCoopers</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23.2</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Consent of Dechert LLP (contained in Exhibit 5.1)*</w:t>
            </w:r>
          </w:p>
        </w:tc>
      </w:tr>
      <w:tr>
        <w:trPr>
          <w:trHeight w:val="211"/>
        </w:trPr>
        <w:tc>
          <w:tcPr>
            <w:tcW w:w="740" w:type="dxa"/>
            <w:vAlign w:val="bottom"/>
          </w:tcPr>
          <w:p>
            <w:pPr>
              <w:spacing w:after="0"/>
              <w:rPr>
                <w:sz w:val="20"/>
                <w:szCs w:val="20"/>
                <w:color w:val="auto"/>
              </w:rPr>
            </w:pPr>
            <w:r>
              <w:rPr>
                <w:rFonts w:ascii="Arial" w:cs="Arial" w:eastAsia="Arial" w:hAnsi="Arial"/>
                <w:sz w:val="18"/>
                <w:szCs w:val="18"/>
                <w:color w:val="auto"/>
              </w:rPr>
              <w:t>24</w:t>
            </w:r>
          </w:p>
        </w:tc>
        <w:tc>
          <w:tcPr>
            <w:tcW w:w="10160" w:type="dxa"/>
            <w:vAlign w:val="bottom"/>
          </w:tcPr>
          <w:p>
            <w:pPr>
              <w:ind w:left="30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5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Footnotes:</w:t>
      </w:r>
    </w:p>
    <w:p>
      <w:pPr>
        <w:spacing w:after="0" w:line="99" w:lineRule="exact"/>
        <w:rPr>
          <w:sz w:val="20"/>
          <w:szCs w:val="20"/>
          <w:color w:val="auto"/>
        </w:rPr>
      </w:pPr>
    </w:p>
    <w:p>
      <w:pPr>
        <w:ind w:left="680" w:right="100" w:hanging="672"/>
        <w:spacing w:after="0" w:line="234"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21(a), “Exhibits,” of MagnaChip Semiconductor LLC’s Registration Statement on Form S-4, as amended (File No. 33-126019), which became effective July 20, 2005.</w:t>
      </w:r>
    </w:p>
    <w:p>
      <w:pPr>
        <w:spacing w:after="0" w:line="1" w:lineRule="exact"/>
        <w:rPr>
          <w:rFonts w:ascii="Arial" w:cs="Arial" w:eastAsia="Arial" w:hAnsi="Arial"/>
          <w:sz w:val="18"/>
          <w:szCs w:val="18"/>
          <w:color w:val="auto"/>
        </w:rPr>
      </w:pPr>
    </w:p>
    <w:p>
      <w:pPr>
        <w:ind w:left="680" w:hanging="672"/>
        <w:spacing w:after="0" w:line="234"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15, “Exhibits, Financial Statement Schedules and Reports on Form 8-K,” of MagnaChip Semiconductor LLC’s Annual Report on Form 10-K for the period ended December 31, 2005 filed on March 31, 2006 (File No. 33-126019-09).</w:t>
      </w:r>
    </w:p>
    <w:p>
      <w:pPr>
        <w:spacing w:after="0" w:line="2"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July 25, 2006 (File No. 33-126019-09).</w:t>
      </w:r>
    </w:p>
    <w:p>
      <w:pPr>
        <w:spacing w:after="0" w:line="1" w:lineRule="exact"/>
        <w:rPr>
          <w:rFonts w:ascii="Arial" w:cs="Arial" w:eastAsia="Arial" w:hAnsi="Arial"/>
          <w:sz w:val="18"/>
          <w:szCs w:val="18"/>
          <w:color w:val="auto"/>
        </w:rPr>
      </w:pPr>
    </w:p>
    <w:p>
      <w:pPr>
        <w:ind w:left="680" w:right="640" w:hanging="672"/>
        <w:spacing w:after="0" w:line="264" w:lineRule="auto"/>
        <w:tabs>
          <w:tab w:leader="none" w:pos="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Incorporated by reference to an identically numbered exhibit filed in response to Item 9.01, “Financial Statements and Exhibits,” of MagnaChip Semiconductor LLC’s Current Report on Form 8-K dated December 29, 2006 (File No. 33-126019-09).</w:t>
      </w:r>
    </w:p>
    <w:p>
      <w:pPr>
        <w:ind w:left="680" w:hanging="672"/>
        <w:spacing w:after="0" w:line="234"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and granted confidential treatment by the SEC.</w:t>
      </w:r>
    </w:p>
    <w:p>
      <w:pPr>
        <w:ind w:left="680" w:hanging="672"/>
        <w:spacing w:after="0" w:line="234"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confidential treatment request.</w:t>
      </w:r>
    </w:p>
    <w:p>
      <w:pPr>
        <w:ind w:left="680" w:right="260" w:hanging="672"/>
        <w:spacing w:after="0" w:line="234"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Quarterly Report on Form 10-Q for the quarter ended July 3, 2005 (File No. 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May 27, 2006 (File No. 33-126019-09).</w:t>
      </w:r>
    </w:p>
    <w:p>
      <w:pPr>
        <w:spacing w:after="0" w:line="1" w:lineRule="exact"/>
        <w:rPr>
          <w:rFonts w:ascii="Arial" w:cs="Arial" w:eastAsia="Arial" w:hAnsi="Arial"/>
          <w:sz w:val="18"/>
          <w:szCs w:val="18"/>
          <w:color w:val="auto"/>
        </w:rPr>
      </w:pPr>
    </w:p>
    <w:p>
      <w:pPr>
        <w:ind w:left="680" w:right="260" w:hanging="672"/>
        <w:spacing w:after="0" w:line="239"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Annual Report on Form 10-K for the year ended December 31, 2006 (File No. 33-126019-09).</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80" w:right="620" w:hanging="672"/>
        <w:spacing w:after="0" w:line="234"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June 28, 2007 (File No. 33-126019-09).</w:t>
      </w:r>
    </w:p>
    <w:p>
      <w:pPr>
        <w:spacing w:after="0" w:line="1" w:lineRule="exact"/>
        <w:rPr>
          <w:rFonts w:ascii="Arial" w:cs="Arial" w:eastAsia="Arial" w:hAnsi="Arial"/>
          <w:sz w:val="18"/>
          <w:szCs w:val="18"/>
          <w:color w:val="auto"/>
        </w:rPr>
      </w:pPr>
    </w:p>
    <w:p>
      <w:pPr>
        <w:ind w:left="680" w:right="20" w:hanging="672"/>
        <w:spacing w:after="0" w:line="234"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6, “Exhibits,” of MagnaChip Semiconductor LLC’s Quarterly Report on Form 10-Q for the quarter ended July 1, 2007 (File No. 33-126019-09).</w:t>
      </w:r>
    </w:p>
    <w:p>
      <w:pPr>
        <w:spacing w:after="0" w:line="1" w:lineRule="exact"/>
        <w:rPr>
          <w:rFonts w:ascii="Arial" w:cs="Arial" w:eastAsia="Arial" w:hAnsi="Arial"/>
          <w:sz w:val="18"/>
          <w:szCs w:val="18"/>
          <w:color w:val="auto"/>
        </w:rPr>
      </w:pPr>
    </w:p>
    <w:p>
      <w:pPr>
        <w:ind w:left="680" w:right="1040" w:hanging="672"/>
        <w:spacing w:after="0" w:line="239"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9.01, “Financial Statements and Exhibits,” of MagnaChip Semiconductor LLC’s Current Report on Form 8-K dated September 28, 2007 (File No. 33-126019-09).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9" w:lineRule="exact"/>
        <w:rPr>
          <w:sz w:val="20"/>
          <w:szCs w:val="20"/>
          <w:color w:val="auto"/>
        </w:rPr>
      </w:pPr>
    </w:p>
    <w:p>
      <w:pPr>
        <w:ind w:right="1060" w:firstLine="571"/>
        <w:spacing w:after="0" w:line="239" w:lineRule="auto"/>
        <w:rPr>
          <w:sz w:val="20"/>
          <w:szCs w:val="20"/>
          <w:color w:val="auto"/>
        </w:rPr>
      </w:pPr>
      <w:r>
        <w:rPr>
          <w:rFonts w:ascii="Arial" w:cs="Arial" w:eastAsia="Arial" w:hAnsi="Arial"/>
          <w:sz w:val="18"/>
          <w:szCs w:val="18"/>
          <w:color w:val="auto"/>
        </w:rPr>
        <w:t>We hereby undertake to provide to the underwriters at the closing specified in the underwriting agreement, certificates in such denominations and registered in such names as required by the underwriters to permit prompt delivery to each purchaser.</w:t>
      </w:r>
    </w:p>
    <w:p>
      <w:pPr>
        <w:spacing w:after="0" w:line="155" w:lineRule="exact"/>
        <w:rPr>
          <w:sz w:val="20"/>
          <w:szCs w:val="20"/>
          <w:color w:val="auto"/>
        </w:rPr>
      </w:pPr>
    </w:p>
    <w:p>
      <w:pPr>
        <w:ind w:right="20" w:firstLine="571"/>
        <w:spacing w:after="0" w:line="27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hereby undertake that:</w:t>
      </w:r>
    </w:p>
    <w:p>
      <w:pPr>
        <w:spacing w:after="0" w:line="77" w:lineRule="exact"/>
        <w:rPr>
          <w:sz w:val="20"/>
          <w:szCs w:val="20"/>
          <w:color w:val="auto"/>
        </w:rPr>
      </w:pPr>
    </w:p>
    <w:p>
      <w:pPr>
        <w:ind w:left="580" w:firstLine="541"/>
        <w:spacing w:after="0" w:line="237" w:lineRule="auto"/>
        <w:tabs>
          <w:tab w:leader="none" w:pos="13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3" w:lineRule="exact"/>
        <w:rPr>
          <w:rFonts w:ascii="Arial" w:cs="Arial" w:eastAsia="Arial" w:hAnsi="Arial"/>
          <w:sz w:val="18"/>
          <w:szCs w:val="18"/>
          <w:color w:val="auto"/>
        </w:rPr>
      </w:pPr>
    </w:p>
    <w:p>
      <w:pPr>
        <w:ind w:left="580" w:right="120" w:firstLine="541"/>
        <w:spacing w:after="0" w:line="238" w:lineRule="auto"/>
        <w:tabs>
          <w:tab w:leader="none" w:pos="13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Pursuant to the requirements of the Securities Act of 1933, MagnaChip Semiconductor LLC certifies that it has reasonable grounds to believe that it meets all of the requirements for filing on Form S-1 and has duly caused this Registration Statement on Form S-1 to be signed on its behalf by the undersigned, thereunto duly authorized, in Seoul, The Republic of Korea on November 13, 2007.</w:t>
      </w:r>
    </w:p>
    <w:p>
      <w:pPr>
        <w:spacing w:after="0" w:line="27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LLC</w:t>
      </w:r>
    </w:p>
    <w:p>
      <w:pPr>
        <w:spacing w:after="0" w:line="212" w:lineRule="exact"/>
        <w:rPr>
          <w:sz w:val="20"/>
          <w:szCs w:val="20"/>
          <w:color w:val="auto"/>
        </w:rPr>
      </w:pPr>
    </w:p>
    <w:p>
      <w:pPr>
        <w:ind w:left="6860"/>
        <w:spacing w:after="0"/>
        <w:tabs>
          <w:tab w:leader="none" w:pos="850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-4445</wp:posOffset>
            </wp:positionV>
            <wp:extent cx="26587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Sang Park, Chief Executive</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Officer (Principal Executive Officer)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58" w:lineRule="exact"/>
        <w:rPr>
          <w:sz w:val="20"/>
          <w:szCs w:val="20"/>
          <w:color w:val="auto"/>
        </w:rPr>
      </w:pPr>
    </w:p>
    <w:p>
      <w:pPr>
        <w:ind w:right="20" w:firstLine="571"/>
        <w:spacing w:after="0" w:line="273" w:lineRule="auto"/>
        <w:rPr>
          <w:sz w:val="20"/>
          <w:szCs w:val="20"/>
          <w:color w:val="auto"/>
        </w:rPr>
      </w:pPr>
      <w:r>
        <w:rPr>
          <w:rFonts w:ascii="Arial" w:cs="Arial" w:eastAsia="Arial" w:hAnsi="Arial"/>
          <w:sz w:val="16"/>
          <w:szCs w:val="16"/>
          <w:b w:val="1"/>
          <w:bCs w:val="1"/>
          <w:color w:val="auto"/>
        </w:rPr>
        <w:t>K</w:t>
      </w:r>
      <w:r>
        <w:rPr>
          <w:rFonts w:ascii="Arial" w:cs="Arial" w:eastAsia="Arial" w:hAnsi="Arial"/>
          <w:sz w:val="13"/>
          <w:szCs w:val="13"/>
          <w:b w:val="1"/>
          <w:bCs w:val="1"/>
          <w:color w:val="auto"/>
        </w:rPr>
        <w:t>NOW</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LL</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ERSONS</w:t>
      </w:r>
      <w:r>
        <w:rPr>
          <w:rFonts w:ascii="Arial" w:cs="Arial" w:eastAsia="Arial" w:hAnsi="Arial"/>
          <w:sz w:val="16"/>
          <w:szCs w:val="16"/>
          <w:b w:val="1"/>
          <w:bCs w:val="1"/>
          <w:color w:val="auto"/>
        </w:rPr>
        <w:t xml:space="preserve"> B</w:t>
      </w:r>
      <w:r>
        <w:rPr>
          <w:rFonts w:ascii="Arial" w:cs="Arial" w:eastAsia="Arial" w:hAnsi="Arial"/>
          <w:sz w:val="13"/>
          <w:szCs w:val="13"/>
          <w:b w:val="1"/>
          <w:bCs w:val="1"/>
          <w:color w:val="auto"/>
        </w:rPr>
        <w:t>Y</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HESE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RESENTS</w:t>
      </w:r>
      <w:r>
        <w:rPr>
          <w:rFonts w:ascii="Arial" w:cs="Arial" w:eastAsia="Arial" w:hAnsi="Arial"/>
          <w:sz w:val="16"/>
          <w:szCs w:val="16"/>
          <w:b w:val="1"/>
          <w:bCs w:val="1"/>
          <w:color w:val="auto"/>
        </w:rPr>
        <w:t xml:space="preserve">, </w:t>
      </w:r>
      <w:r>
        <w:rPr>
          <w:rFonts w:ascii="Arial" w:cs="Arial" w:eastAsia="Arial" w:hAnsi="Arial"/>
          <w:sz w:val="16"/>
          <w:szCs w:val="16"/>
          <w:color w:val="auto"/>
        </w:rPr>
        <w:t>that each person whose signature appears below constitutes and appoints Sang Park and</w:t>
      </w:r>
      <w:r>
        <w:rPr>
          <w:rFonts w:ascii="Arial" w:cs="Arial" w:eastAsia="Arial" w:hAnsi="Arial"/>
          <w:sz w:val="16"/>
          <w:szCs w:val="16"/>
          <w:b w:val="1"/>
          <w:bCs w:val="1"/>
          <w:color w:val="auto"/>
        </w:rPr>
        <w:t xml:space="preserve"> </w:t>
      </w:r>
      <w:r>
        <w:rPr>
          <w:rFonts w:ascii="Arial" w:cs="Arial" w:eastAsia="Arial" w:hAnsi="Arial"/>
          <w:sz w:val="16"/>
          <w:szCs w:val="16"/>
          <w:color w:val="auto"/>
        </w:rPr>
        <w:t>Robert Krakauer and each or either one of them, as his or her true and lawful attorney-in-fact and agent, with full power of substitution and resubstitution, for him and in his name, place and stead, in any and all capacities, to sign any and all amendments (including post-effective amendments and registration statements filed pursuant to Rule 462(b) under the Securities Act)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30" w:lineRule="exact"/>
        <w:rPr>
          <w:sz w:val="20"/>
          <w:szCs w:val="20"/>
          <w:color w:val="auto"/>
        </w:rPr>
      </w:pPr>
    </w:p>
    <w:p>
      <w:pPr>
        <w:ind w:right="740" w:firstLine="571"/>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below by the following persons on behalf of MagnaChip Semiconductor LLC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center"/>
              <w:ind w:right="1487"/>
              <w:spacing w:after="0"/>
              <w:rPr>
                <w:sz w:val="20"/>
                <w:szCs w:val="20"/>
                <w:color w:val="auto"/>
              </w:rPr>
            </w:pPr>
            <w:r>
              <w:rPr>
                <w:rFonts w:ascii="Arial" w:cs="Arial" w:eastAsia="Arial" w:hAnsi="Arial"/>
                <w:sz w:val="14"/>
                <w:szCs w:val="14"/>
                <w:b w:val="1"/>
                <w:bCs w:val="1"/>
                <w:color w:val="auto"/>
                <w:w w:val="95"/>
              </w:rPr>
              <w:t>Signature</w:t>
            </w:r>
          </w:p>
        </w:tc>
        <w:tc>
          <w:tcPr>
            <w:tcW w:w="120" w:type="dxa"/>
            <w:vAlign w:val="bottom"/>
          </w:tcPr>
          <w:p>
            <w:pPr>
              <w:spacing w:after="0"/>
              <w:rPr>
                <w:sz w:val="15"/>
                <w:szCs w:val="15"/>
                <w:color w:val="auto"/>
              </w:rPr>
            </w:pPr>
          </w:p>
        </w:tc>
        <w:tc>
          <w:tcPr>
            <w:tcW w:w="38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29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Date</w:t>
            </w:r>
          </w:p>
        </w:tc>
      </w:tr>
      <w:tr>
        <w:trPr>
          <w:trHeight w:val="412"/>
        </w:trPr>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2780" w:type="dxa"/>
            <w:vAlign w:val="bottom"/>
            <w:tcBorders>
              <w:bottom w:val="single" w:sz="8" w:color="auto"/>
            </w:tcBorders>
          </w:tcPr>
          <w:p>
            <w:pPr>
              <w:jc w:val="center"/>
              <w:ind w:right="1447"/>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Chairman of the</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94"/>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tcPr>
          <w:p>
            <w:pPr>
              <w:jc w:val="center"/>
              <w:ind w:right="1487"/>
              <w:spacing w:after="0"/>
              <w:rPr>
                <w:sz w:val="20"/>
                <w:szCs w:val="20"/>
                <w:color w:val="auto"/>
              </w:rPr>
            </w:pPr>
            <w:r>
              <w:rPr>
                <w:rFonts w:ascii="Arial" w:cs="Arial" w:eastAsia="Arial" w:hAnsi="Arial"/>
                <w:sz w:val="14"/>
                <w:szCs w:val="14"/>
                <w:b w:val="1"/>
                <w:bCs w:val="1"/>
                <w:color w:val="auto"/>
                <w:w w:val="96"/>
              </w:rPr>
              <w:t>Sang Park</w:t>
            </w:r>
          </w:p>
        </w:tc>
        <w:tc>
          <w:tcPr>
            <w:tcW w:w="120" w:type="dxa"/>
            <w:vAlign w:val="bottom"/>
          </w:tcPr>
          <w:p>
            <w:pPr>
              <w:spacing w:after="0"/>
              <w:rPr>
                <w:sz w:val="16"/>
                <w:szCs w:val="16"/>
                <w:color w:val="auto"/>
              </w:rPr>
            </w:pP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w w:val="97"/>
              </w:rPr>
              <w:t>Board of Directors (Principal Executive Officer)</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07"/>
        </w:trPr>
        <w:tc>
          <w:tcPr>
            <w:tcW w:w="13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3000" w:type="dxa"/>
            <w:vAlign w:val="bottom"/>
            <w:tcBorders>
              <w:bottom w:val="single" w:sz="8" w:color="auto"/>
            </w:tcBorders>
            <w:gridSpan w:val="2"/>
          </w:tcPr>
          <w:p>
            <w:pPr>
              <w:jc w:val="center"/>
              <w:ind w:right="1227"/>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J. K</w:t>
            </w:r>
            <w:r>
              <w:rPr>
                <w:rFonts w:ascii="Arial" w:cs="Arial" w:eastAsia="Arial" w:hAnsi="Arial"/>
                <w:sz w:val="14"/>
                <w:szCs w:val="14"/>
                <w:color w:val="auto"/>
              </w:rPr>
              <w:t>RAKAUER</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President, Chief Financial Officer and 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94"/>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tcPr>
          <w:p>
            <w:pPr>
              <w:jc w:val="center"/>
              <w:ind w:right="1507"/>
              <w:spacing w:after="0"/>
              <w:rPr>
                <w:sz w:val="20"/>
                <w:szCs w:val="20"/>
                <w:color w:val="auto"/>
              </w:rPr>
            </w:pPr>
            <w:r>
              <w:rPr>
                <w:rFonts w:ascii="Arial" w:cs="Arial" w:eastAsia="Arial" w:hAnsi="Arial"/>
                <w:sz w:val="14"/>
                <w:szCs w:val="14"/>
                <w:b w:val="1"/>
                <w:bCs w:val="1"/>
                <w:color w:val="auto"/>
                <w:w w:val="95"/>
              </w:rPr>
              <w:t>Robert J. Krakauer</w:t>
            </w:r>
          </w:p>
        </w:tc>
        <w:tc>
          <w:tcPr>
            <w:tcW w:w="120" w:type="dxa"/>
            <w:vAlign w:val="bottom"/>
          </w:tcPr>
          <w:p>
            <w:pPr>
              <w:spacing w:after="0"/>
              <w:rPr>
                <w:sz w:val="16"/>
                <w:szCs w:val="16"/>
                <w:color w:val="auto"/>
              </w:rPr>
            </w:pP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07"/>
        </w:trPr>
        <w:tc>
          <w:tcPr>
            <w:tcW w:w="1360" w:type="dxa"/>
            <w:vAlign w:val="bottom"/>
            <w:tcBorders>
              <w:bottom w:val="single" w:sz="8" w:color="auto"/>
            </w:tcBorders>
          </w:tcPr>
          <w:p>
            <w:pPr>
              <w:jc w:val="center"/>
              <w:ind w:left="1052"/>
              <w:spacing w:after="0"/>
              <w:rPr>
                <w:sz w:val="20"/>
                <w:szCs w:val="20"/>
                <w:color w:val="auto"/>
              </w:rPr>
            </w:pPr>
            <w:r>
              <w:rPr>
                <w:rFonts w:ascii="Arial" w:cs="Arial" w:eastAsia="Arial" w:hAnsi="Arial"/>
                <w:sz w:val="18"/>
                <w:szCs w:val="18"/>
                <w:color w:val="auto"/>
                <w:w w:val="94"/>
              </w:rPr>
              <w:t>/s/</w:t>
            </w:r>
          </w:p>
        </w:tc>
        <w:tc>
          <w:tcPr>
            <w:tcW w:w="3000" w:type="dxa"/>
            <w:vAlign w:val="bottom"/>
            <w:tcBorders>
              <w:bottom w:val="single" w:sz="8" w:color="auto"/>
            </w:tcBorders>
            <w:gridSpan w:val="2"/>
          </w:tcPr>
          <w:p>
            <w:pPr>
              <w:jc w:val="center"/>
              <w:ind w:right="1227"/>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ARGARET</w:t>
            </w:r>
            <w:r>
              <w:rPr>
                <w:rFonts w:ascii="Arial" w:cs="Arial" w:eastAsia="Arial" w:hAnsi="Arial"/>
                <w:sz w:val="18"/>
                <w:szCs w:val="18"/>
                <w:color w:val="auto"/>
              </w:rPr>
              <w:t xml:space="preserve"> S</w:t>
            </w:r>
            <w:r>
              <w:rPr>
                <w:rFonts w:ascii="Arial" w:cs="Arial" w:eastAsia="Arial" w:hAnsi="Arial"/>
                <w:sz w:val="14"/>
                <w:szCs w:val="14"/>
                <w:color w:val="auto"/>
              </w:rPr>
              <w:t>AKAI</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Senior Vice President, Finance (Principal</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94"/>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tcPr>
          <w:p>
            <w:pPr>
              <w:jc w:val="center"/>
              <w:ind w:right="1507"/>
              <w:spacing w:after="0"/>
              <w:rPr>
                <w:sz w:val="20"/>
                <w:szCs w:val="20"/>
                <w:color w:val="auto"/>
              </w:rPr>
            </w:pPr>
            <w:r>
              <w:rPr>
                <w:rFonts w:ascii="Arial" w:cs="Arial" w:eastAsia="Arial" w:hAnsi="Arial"/>
                <w:sz w:val="14"/>
                <w:szCs w:val="14"/>
                <w:b w:val="1"/>
                <w:bCs w:val="1"/>
                <w:color w:val="auto"/>
                <w:w w:val="96"/>
              </w:rPr>
              <w:t>Margaret Sakai</w:t>
            </w:r>
          </w:p>
        </w:tc>
        <w:tc>
          <w:tcPr>
            <w:tcW w:w="120" w:type="dxa"/>
            <w:vAlign w:val="bottom"/>
          </w:tcPr>
          <w:p>
            <w:pPr>
              <w:spacing w:after="0"/>
              <w:rPr>
                <w:sz w:val="16"/>
                <w:szCs w:val="16"/>
                <w:color w:val="auto"/>
              </w:rPr>
            </w:pP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Accounting Officer)</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07"/>
        </w:trPr>
        <w:tc>
          <w:tcPr>
            <w:tcW w:w="1360" w:type="dxa"/>
            <w:vAlign w:val="bottom"/>
            <w:tcBorders>
              <w:bottom w:val="single" w:sz="8" w:color="auto"/>
            </w:tcBorders>
          </w:tcPr>
          <w:p>
            <w:pPr>
              <w:jc w:val="center"/>
              <w:ind w:left="1092"/>
              <w:spacing w:after="0"/>
              <w:rPr>
                <w:sz w:val="20"/>
                <w:szCs w:val="20"/>
                <w:color w:val="auto"/>
              </w:rPr>
            </w:pPr>
            <w:r>
              <w:rPr>
                <w:rFonts w:ascii="Arial" w:cs="Arial" w:eastAsia="Arial" w:hAnsi="Arial"/>
                <w:sz w:val="18"/>
                <w:szCs w:val="18"/>
                <w:color w:val="auto"/>
                <w:w w:val="94"/>
              </w:rPr>
              <w:t>/s/</w:t>
            </w:r>
          </w:p>
        </w:tc>
        <w:tc>
          <w:tcPr>
            <w:tcW w:w="3000" w:type="dxa"/>
            <w:vAlign w:val="bottom"/>
            <w:tcBorders>
              <w:bottom w:val="single" w:sz="8" w:color="auto"/>
            </w:tcBorders>
            <w:gridSpan w:val="2"/>
          </w:tcPr>
          <w:p>
            <w:pPr>
              <w:jc w:val="center"/>
              <w:ind w:right="1227"/>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ERRY</w:t>
            </w:r>
            <w:r>
              <w:rPr>
                <w:rFonts w:ascii="Arial" w:cs="Arial" w:eastAsia="Arial" w:hAnsi="Arial"/>
                <w:sz w:val="18"/>
                <w:szCs w:val="18"/>
                <w:color w:val="auto"/>
              </w:rPr>
              <w:t xml:space="preserve"> M. B</w:t>
            </w:r>
            <w:r>
              <w:rPr>
                <w:rFonts w:ascii="Arial" w:cs="Arial" w:eastAsia="Arial" w:hAnsi="Arial"/>
                <w:sz w:val="14"/>
                <w:szCs w:val="14"/>
                <w:color w:val="auto"/>
              </w:rPr>
              <w:t>AKER</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7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tcPr>
          <w:p>
            <w:pPr>
              <w:jc w:val="center"/>
              <w:ind w:right="1507"/>
              <w:spacing w:after="0"/>
              <w:rPr>
                <w:sz w:val="20"/>
                <w:szCs w:val="20"/>
                <w:color w:val="auto"/>
              </w:rPr>
            </w:pPr>
            <w:r>
              <w:rPr>
                <w:rFonts w:ascii="Arial" w:cs="Arial" w:eastAsia="Arial" w:hAnsi="Arial"/>
                <w:sz w:val="14"/>
                <w:szCs w:val="14"/>
                <w:b w:val="1"/>
                <w:bCs w:val="1"/>
                <w:color w:val="auto"/>
                <w:w w:val="95"/>
              </w:rPr>
              <w:t>Jerry M. Baker</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158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/s/</w:t>
            </w:r>
          </w:p>
        </w:tc>
        <w:tc>
          <w:tcPr>
            <w:tcW w:w="2780" w:type="dxa"/>
            <w:vAlign w:val="bottom"/>
            <w:tcBorders>
              <w:bottom w:val="single" w:sz="8" w:color="auto"/>
            </w:tcBorders>
          </w:tcPr>
          <w:p>
            <w:pPr>
              <w:jc w:val="center"/>
              <w:ind w:right="1447"/>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IPANJAN</w:t>
            </w:r>
            <w:r>
              <w:rPr>
                <w:rFonts w:ascii="Arial" w:cs="Arial" w:eastAsia="Arial" w:hAnsi="Arial"/>
                <w:sz w:val="18"/>
                <w:szCs w:val="18"/>
                <w:color w:val="auto"/>
              </w:rPr>
              <w:t xml:space="preserve"> D</w:t>
            </w:r>
            <w:r>
              <w:rPr>
                <w:rFonts w:ascii="Arial" w:cs="Arial" w:eastAsia="Arial" w:hAnsi="Arial"/>
                <w:sz w:val="14"/>
                <w:szCs w:val="14"/>
                <w:color w:val="auto"/>
              </w:rPr>
              <w:t>EB</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7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tcPr>
          <w:p>
            <w:pPr>
              <w:jc w:val="center"/>
              <w:ind w:right="1487"/>
              <w:spacing w:after="0"/>
              <w:rPr>
                <w:sz w:val="20"/>
                <w:szCs w:val="20"/>
                <w:color w:val="auto"/>
              </w:rPr>
            </w:pPr>
            <w:r>
              <w:rPr>
                <w:rFonts w:ascii="Arial" w:cs="Arial" w:eastAsia="Arial" w:hAnsi="Arial"/>
                <w:sz w:val="14"/>
                <w:szCs w:val="14"/>
                <w:b w:val="1"/>
                <w:bCs w:val="1"/>
                <w:color w:val="auto"/>
                <w:w w:val="96"/>
              </w:rPr>
              <w:t>Dipanjan Deb</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346"/>
        </w:trPr>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ind w:left="1060"/>
              <w:spacing w:after="0"/>
              <w:rPr>
                <w:sz w:val="20"/>
                <w:szCs w:val="20"/>
                <w:color w:val="auto"/>
              </w:rPr>
            </w:pPr>
            <w:r>
              <w:rPr>
                <w:rFonts w:ascii="Arial" w:cs="Arial" w:eastAsia="Arial" w:hAnsi="Arial"/>
                <w:sz w:val="18"/>
                <w:szCs w:val="18"/>
                <w:color w:val="auto"/>
              </w:rPr>
              <w:t>II-11</w:t>
            </w: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center"/>
              <w:ind w:right="1284"/>
              <w:spacing w:after="0"/>
              <w:rPr>
                <w:sz w:val="20"/>
                <w:szCs w:val="20"/>
                <w:color w:val="auto"/>
              </w:rPr>
            </w:pPr>
            <w:r>
              <w:rPr>
                <w:rFonts w:ascii="Arial" w:cs="Arial" w:eastAsia="Arial" w:hAnsi="Arial"/>
                <w:sz w:val="14"/>
                <w:szCs w:val="14"/>
                <w:b w:val="1"/>
                <w:bCs w:val="1"/>
                <w:color w:val="auto"/>
                <w:w w:val="95"/>
              </w:rPr>
              <w:t>Signature</w:t>
            </w:r>
          </w:p>
        </w:tc>
        <w:tc>
          <w:tcPr>
            <w:tcW w:w="120" w:type="dxa"/>
            <w:vAlign w:val="bottom"/>
          </w:tcPr>
          <w:p>
            <w:pPr>
              <w:spacing w:after="0"/>
              <w:rPr>
                <w:sz w:val="15"/>
                <w:szCs w:val="15"/>
                <w:color w:val="auto"/>
              </w:rPr>
            </w:pPr>
          </w:p>
        </w:tc>
        <w:tc>
          <w:tcPr>
            <w:tcW w:w="38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29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Date</w:t>
            </w:r>
          </w:p>
        </w:tc>
      </w:tr>
      <w:tr>
        <w:trPr>
          <w:trHeight w:val="412"/>
        </w:trPr>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1244"/>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RMANDO</w:t>
            </w:r>
            <w:r>
              <w:rPr>
                <w:rFonts w:ascii="Arial" w:cs="Arial" w:eastAsia="Arial" w:hAnsi="Arial"/>
                <w:sz w:val="18"/>
                <w:szCs w:val="18"/>
                <w:color w:val="auto"/>
              </w:rPr>
              <w:t xml:space="preserve"> G</w:t>
            </w:r>
            <w:r>
              <w:rPr>
                <w:rFonts w:ascii="Arial" w:cs="Arial" w:eastAsia="Arial" w:hAnsi="Arial"/>
                <w:sz w:val="14"/>
                <w:szCs w:val="14"/>
                <w:color w:val="auto"/>
              </w:rPr>
              <w:t>EDAY</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72"/>
        </w:trPr>
        <w:tc>
          <w:tcPr>
            <w:tcW w:w="1380" w:type="dxa"/>
            <w:vAlign w:val="bottom"/>
          </w:tcPr>
          <w:p>
            <w:pPr>
              <w:spacing w:after="0"/>
              <w:rPr>
                <w:sz w:val="14"/>
                <w:szCs w:val="14"/>
                <w:color w:val="auto"/>
              </w:rPr>
            </w:pPr>
          </w:p>
        </w:tc>
        <w:tc>
          <w:tcPr>
            <w:tcW w:w="2980" w:type="dxa"/>
            <w:vAlign w:val="bottom"/>
          </w:tcPr>
          <w:p>
            <w:pPr>
              <w:jc w:val="center"/>
              <w:ind w:right="1304"/>
              <w:spacing w:after="0"/>
              <w:rPr>
                <w:sz w:val="20"/>
                <w:szCs w:val="20"/>
                <w:color w:val="auto"/>
              </w:rPr>
            </w:pPr>
            <w:r>
              <w:rPr>
                <w:rFonts w:ascii="Arial" w:cs="Arial" w:eastAsia="Arial" w:hAnsi="Arial"/>
                <w:sz w:val="14"/>
                <w:szCs w:val="14"/>
                <w:b w:val="1"/>
                <w:bCs w:val="1"/>
                <w:color w:val="auto"/>
                <w:w w:val="96"/>
              </w:rPr>
              <w:t>Armando Geday</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13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OY</w:t>
            </w:r>
            <w:r>
              <w:rPr>
                <w:rFonts w:ascii="Arial" w:cs="Arial" w:eastAsia="Arial" w:hAnsi="Arial"/>
                <w:sz w:val="18"/>
                <w:szCs w:val="18"/>
                <w:color w:val="auto"/>
              </w:rPr>
              <w:t xml:space="preserve"> K</w:t>
            </w:r>
            <w:r>
              <w:rPr>
                <w:rFonts w:ascii="Arial" w:cs="Arial" w:eastAsia="Arial" w:hAnsi="Arial"/>
                <w:sz w:val="14"/>
                <w:szCs w:val="14"/>
                <w:color w:val="auto"/>
              </w:rPr>
              <w:t>UAN</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72"/>
        </w:trPr>
        <w:tc>
          <w:tcPr>
            <w:tcW w:w="1380" w:type="dxa"/>
            <w:vAlign w:val="bottom"/>
          </w:tcPr>
          <w:p>
            <w:pPr>
              <w:spacing w:after="0"/>
              <w:rPr>
                <w:sz w:val="14"/>
                <w:szCs w:val="14"/>
                <w:color w:val="auto"/>
              </w:rPr>
            </w:pPr>
          </w:p>
        </w:tc>
        <w:tc>
          <w:tcPr>
            <w:tcW w:w="2980" w:type="dxa"/>
            <w:vAlign w:val="bottom"/>
          </w:tcPr>
          <w:p>
            <w:pPr>
              <w:jc w:val="center"/>
              <w:ind w:right="1304"/>
              <w:spacing w:after="0"/>
              <w:rPr>
                <w:sz w:val="20"/>
                <w:szCs w:val="20"/>
                <w:color w:val="auto"/>
              </w:rPr>
            </w:pPr>
            <w:r>
              <w:rPr>
                <w:rFonts w:ascii="Arial" w:cs="Arial" w:eastAsia="Arial" w:hAnsi="Arial"/>
                <w:sz w:val="14"/>
                <w:szCs w:val="14"/>
                <w:b w:val="1"/>
                <w:bCs w:val="1"/>
                <w:color w:val="auto"/>
                <w:w w:val="97"/>
              </w:rPr>
              <w:t>Roy Kuan</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436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HOKION</w:t>
            </w:r>
            <w:r>
              <w:rPr>
                <w:rFonts w:ascii="Arial" w:cs="Arial" w:eastAsia="Arial" w:hAnsi="Arial"/>
                <w:sz w:val="18"/>
                <w:szCs w:val="18"/>
                <w:color w:val="auto"/>
              </w:rPr>
              <w:t xml:space="preserve"> P</w:t>
            </w:r>
            <w:r>
              <w:rPr>
                <w:rFonts w:ascii="Arial" w:cs="Arial" w:eastAsia="Arial" w:hAnsi="Arial"/>
                <w:sz w:val="14"/>
                <w:szCs w:val="14"/>
                <w:color w:val="auto"/>
              </w:rPr>
              <w:t>OTAMIANOS</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72"/>
        </w:trPr>
        <w:tc>
          <w:tcPr>
            <w:tcW w:w="1380" w:type="dxa"/>
            <w:vAlign w:val="bottom"/>
          </w:tcPr>
          <w:p>
            <w:pPr>
              <w:spacing w:after="0"/>
              <w:rPr>
                <w:sz w:val="14"/>
                <w:szCs w:val="14"/>
                <w:color w:val="auto"/>
              </w:rPr>
            </w:pPr>
          </w:p>
        </w:tc>
        <w:tc>
          <w:tcPr>
            <w:tcW w:w="2980" w:type="dxa"/>
            <w:vAlign w:val="bottom"/>
          </w:tcPr>
          <w:p>
            <w:pPr>
              <w:jc w:val="center"/>
              <w:ind w:right="1284"/>
              <w:spacing w:after="0"/>
              <w:rPr>
                <w:sz w:val="20"/>
                <w:szCs w:val="20"/>
                <w:color w:val="auto"/>
              </w:rPr>
            </w:pPr>
            <w:r>
              <w:rPr>
                <w:rFonts w:ascii="Arial" w:cs="Arial" w:eastAsia="Arial" w:hAnsi="Arial"/>
                <w:sz w:val="14"/>
                <w:szCs w:val="14"/>
                <w:b w:val="1"/>
                <w:bCs w:val="1"/>
                <w:color w:val="auto"/>
                <w:w w:val="96"/>
              </w:rPr>
              <w:t>Phokion Potamianos</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13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 D</w:t>
            </w:r>
            <w:r>
              <w:rPr>
                <w:rFonts w:ascii="Arial" w:cs="Arial" w:eastAsia="Arial" w:hAnsi="Arial"/>
                <w:sz w:val="14"/>
                <w:szCs w:val="14"/>
                <w:color w:val="auto"/>
              </w:rPr>
              <w:t>OUGLAS</w:t>
            </w:r>
            <w:r>
              <w:rPr>
                <w:rFonts w:ascii="Arial" w:cs="Arial" w:eastAsia="Arial" w:hAnsi="Arial"/>
                <w:sz w:val="18"/>
                <w:szCs w:val="18"/>
                <w:color w:val="auto"/>
              </w:rPr>
              <w:t xml:space="preserve"> N</w:t>
            </w:r>
            <w:r>
              <w:rPr>
                <w:rFonts w:ascii="Arial" w:cs="Arial" w:eastAsia="Arial" w:hAnsi="Arial"/>
                <w:sz w:val="14"/>
                <w:szCs w:val="14"/>
                <w:color w:val="auto"/>
              </w:rPr>
              <w:t>ORBY</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72"/>
        </w:trPr>
        <w:tc>
          <w:tcPr>
            <w:tcW w:w="1380" w:type="dxa"/>
            <w:vAlign w:val="bottom"/>
          </w:tcPr>
          <w:p>
            <w:pPr>
              <w:spacing w:after="0"/>
              <w:rPr>
                <w:sz w:val="14"/>
                <w:szCs w:val="14"/>
                <w:color w:val="auto"/>
              </w:rPr>
            </w:pPr>
          </w:p>
        </w:tc>
        <w:tc>
          <w:tcPr>
            <w:tcW w:w="2980" w:type="dxa"/>
            <w:vAlign w:val="bottom"/>
          </w:tcPr>
          <w:p>
            <w:pPr>
              <w:jc w:val="center"/>
              <w:ind w:right="1304"/>
              <w:spacing w:after="0"/>
              <w:rPr>
                <w:sz w:val="20"/>
                <w:szCs w:val="20"/>
                <w:color w:val="auto"/>
              </w:rPr>
            </w:pPr>
            <w:r>
              <w:rPr>
                <w:rFonts w:ascii="Arial" w:cs="Arial" w:eastAsia="Arial" w:hAnsi="Arial"/>
                <w:sz w:val="14"/>
                <w:szCs w:val="14"/>
                <w:b w:val="1"/>
                <w:bCs w:val="1"/>
                <w:color w:val="auto"/>
                <w:w w:val="95"/>
              </w:rPr>
              <w:t>R. Douglas Norby</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13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1324"/>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AUL</w:t>
            </w:r>
            <w:r>
              <w:rPr>
                <w:rFonts w:ascii="Arial" w:cs="Arial" w:eastAsia="Arial" w:hAnsi="Arial"/>
                <w:sz w:val="18"/>
                <w:szCs w:val="18"/>
                <w:color w:val="auto"/>
              </w:rPr>
              <w:t xml:space="preserve"> C. S</w:t>
            </w:r>
            <w:r>
              <w:rPr>
                <w:rFonts w:ascii="Arial" w:cs="Arial" w:eastAsia="Arial" w:hAnsi="Arial"/>
                <w:sz w:val="14"/>
                <w:szCs w:val="14"/>
                <w:color w:val="auto"/>
              </w:rPr>
              <w:t>CHORR</w:t>
            </w:r>
            <w:r>
              <w:rPr>
                <w:rFonts w:ascii="Arial" w:cs="Arial" w:eastAsia="Arial" w:hAnsi="Arial"/>
                <w:sz w:val="18"/>
                <w:szCs w:val="18"/>
                <w:color w:val="auto"/>
              </w:rPr>
              <w:t xml:space="preserve"> IV</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72"/>
        </w:trPr>
        <w:tc>
          <w:tcPr>
            <w:tcW w:w="1380" w:type="dxa"/>
            <w:vAlign w:val="bottom"/>
          </w:tcPr>
          <w:p>
            <w:pPr>
              <w:spacing w:after="0"/>
              <w:rPr>
                <w:sz w:val="14"/>
                <w:szCs w:val="14"/>
                <w:color w:val="auto"/>
              </w:rPr>
            </w:pPr>
          </w:p>
        </w:tc>
        <w:tc>
          <w:tcPr>
            <w:tcW w:w="2980" w:type="dxa"/>
            <w:vAlign w:val="bottom"/>
          </w:tcPr>
          <w:p>
            <w:pPr>
              <w:jc w:val="center"/>
              <w:ind w:right="1284"/>
              <w:spacing w:after="0"/>
              <w:rPr>
                <w:sz w:val="20"/>
                <w:szCs w:val="20"/>
                <w:color w:val="auto"/>
              </w:rPr>
            </w:pPr>
            <w:r>
              <w:rPr>
                <w:rFonts w:ascii="Arial" w:cs="Arial" w:eastAsia="Arial" w:hAnsi="Arial"/>
                <w:sz w:val="14"/>
                <w:szCs w:val="14"/>
                <w:b w:val="1"/>
                <w:bCs w:val="1"/>
                <w:color w:val="auto"/>
                <w:w w:val="96"/>
              </w:rPr>
              <w:t>Paul C. Schorr IV</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F. T</w:t>
            </w:r>
            <w:r>
              <w:rPr>
                <w:rFonts w:ascii="Arial" w:cs="Arial" w:eastAsia="Arial" w:hAnsi="Arial"/>
                <w:sz w:val="14"/>
                <w:szCs w:val="14"/>
                <w:color w:val="auto"/>
              </w:rPr>
              <w:t>HOMAS</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November 13, 2007</w:t>
            </w:r>
          </w:p>
        </w:tc>
      </w:tr>
      <w:tr>
        <w:trPr>
          <w:trHeight w:val="172"/>
        </w:trPr>
        <w:tc>
          <w:tcPr>
            <w:tcW w:w="1380" w:type="dxa"/>
            <w:vAlign w:val="bottom"/>
          </w:tcPr>
          <w:p>
            <w:pPr>
              <w:spacing w:after="0"/>
              <w:rPr>
                <w:sz w:val="14"/>
                <w:szCs w:val="14"/>
                <w:color w:val="auto"/>
              </w:rPr>
            </w:pPr>
          </w:p>
        </w:tc>
        <w:tc>
          <w:tcPr>
            <w:tcW w:w="2980" w:type="dxa"/>
            <w:vAlign w:val="bottom"/>
          </w:tcPr>
          <w:p>
            <w:pPr>
              <w:jc w:val="center"/>
              <w:ind w:right="1304"/>
              <w:spacing w:after="0"/>
              <w:rPr>
                <w:sz w:val="20"/>
                <w:szCs w:val="20"/>
                <w:color w:val="auto"/>
              </w:rPr>
            </w:pPr>
            <w:r>
              <w:rPr>
                <w:rFonts w:ascii="Arial" w:cs="Arial" w:eastAsia="Arial" w:hAnsi="Arial"/>
                <w:sz w:val="14"/>
                <w:szCs w:val="14"/>
                <w:b w:val="1"/>
                <w:bCs w:val="1"/>
                <w:color w:val="auto"/>
                <w:w w:val="96"/>
              </w:rPr>
              <w:t>David F. Thomas</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346"/>
        </w:trPr>
        <w:tc>
          <w:tcPr>
            <w:tcW w:w="1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ind w:left="1060"/>
              <w:spacing w:after="0"/>
              <w:rPr>
                <w:sz w:val="20"/>
                <w:szCs w:val="20"/>
                <w:color w:val="auto"/>
              </w:rPr>
            </w:pPr>
            <w:r>
              <w:rPr>
                <w:rFonts w:ascii="Arial" w:cs="Arial" w:eastAsia="Arial" w:hAnsi="Arial"/>
                <w:sz w:val="18"/>
                <w:szCs w:val="18"/>
                <w:color w:val="auto"/>
              </w:rPr>
              <w:t>II-12</w:t>
            </w: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380" w:type="dxa"/>
            <w:vAlign w:val="bottom"/>
          </w:tcPr>
          <w:p>
            <w:pPr>
              <w:ind w:left="3840"/>
              <w:spacing w:after="0"/>
              <w:rPr>
                <w:sz w:val="20"/>
                <w:szCs w:val="20"/>
                <w:color w:val="auto"/>
              </w:rPr>
            </w:pPr>
            <w:r>
              <w:rPr>
                <w:rFonts w:ascii="Arial" w:cs="Arial" w:eastAsia="Arial" w:hAnsi="Arial"/>
                <w:sz w:val="18"/>
                <w:szCs w:val="18"/>
                <w:b w:val="1"/>
                <w:bCs w:val="1"/>
                <w:color w:val="auto"/>
              </w:rPr>
              <w:t>INDEX TO EXHIBITS</w:t>
            </w:r>
          </w:p>
        </w:tc>
      </w:tr>
      <w:tr>
        <w:trPr>
          <w:trHeight w:val="347"/>
        </w:trPr>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24"/>
                <w:szCs w:val="2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82"/>
        </w:trPr>
        <w:tc>
          <w:tcPr>
            <w:tcW w:w="600" w:type="dxa"/>
            <w:vAlign w:val="bottom"/>
          </w:tcPr>
          <w:p>
            <w:pPr>
              <w:ind w:left="10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600" w:type="dxa"/>
            <w:vAlign w:val="bottom"/>
          </w:tcPr>
          <w:p>
            <w:pPr>
              <w:ind w:left="10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9"/>
              </w:rPr>
              <w:t>Business Transfer Agreement, dated as of June 12, 2004, between Hynix Semiconductor Inc. and MagnaChip Semiconductor, Ltd.</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(Korea)(1)</w:t>
            </w:r>
          </w:p>
        </w:tc>
      </w:tr>
      <w:tr>
        <w:trPr>
          <w:trHeight w:val="262"/>
        </w:trPr>
        <w:tc>
          <w:tcPr>
            <w:tcW w:w="600" w:type="dxa"/>
            <w:vAlign w:val="bottom"/>
          </w:tcPr>
          <w:p>
            <w:pPr>
              <w:ind w:left="10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First Amendment to Business Transfer Agreement, dated as of October 6, 2004, between Hynix Semiconductor Inc. and MagnaChip</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Semiconductor, Ltd. (Korea)(1)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Formation of MagnaChip Semiconductor LLC (formerly System Semiconductor Holding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Amendment to Certificate of Formation of MagnaChip Semiconductor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Third Amended and Restated Limited Liability Company Operating Agreement of MagnaChip Semiconductor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Incorporation of MagnaChip Semiconductor S.A.(1)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Incorporation of MagnaChip Semiconductor Finance Company(1)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Bylaws of MagnaChip Semiconductor Finance Company(1)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Formation for MagnaChip Semiconductor SA Holdings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Limited Liability Company Agreement of MagnaChip Semiconductor SA Holdings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Deed of Amendment to the Articles of Association of MagnaChip Semiconductor B.V. (English translation)(1)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Incorporation of MagnaChip Semiconductor, Ltd. (Korea)(1)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Memorandum of Association of MagnaChip Semiconductor Ltd. (Hong Kong)(1)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3.15</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Association of MagnaChip Semiconductor Ltd. (Hong Kong)(1)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3.16</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Memorandum of Association of MagnaChip Semiconductor Ltd. (United Kingdom)(1)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3.17</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Association of MagnaChip Semiconductor Ltd. (United Kingdom)(1)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3.18</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Incorporation of MagnaChip Semiconductor Ltd. (Taiwan) (English translation)(1)</w:t>
            </w:r>
          </w:p>
        </w:tc>
      </w:tr>
      <w:tr>
        <w:trPr>
          <w:trHeight w:val="262"/>
        </w:trPr>
        <w:tc>
          <w:tcPr>
            <w:tcW w:w="600" w:type="dxa"/>
            <w:vAlign w:val="bottom"/>
          </w:tcPr>
          <w:p>
            <w:pPr>
              <w:ind w:left="100"/>
              <w:spacing w:after="0"/>
              <w:rPr>
                <w:sz w:val="20"/>
                <w:szCs w:val="20"/>
                <w:color w:val="auto"/>
              </w:rPr>
            </w:pPr>
            <w:r>
              <w:rPr>
                <w:rFonts w:ascii="Arial" w:cs="Arial" w:eastAsia="Arial" w:hAnsi="Arial"/>
                <w:sz w:val="18"/>
                <w:szCs w:val="18"/>
                <w:color w:val="auto"/>
              </w:rPr>
              <w:t>3.19</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Merger Agreement by and between ISRON Corporation and MagnaChip Semiconductor Inc. dated December 21, 2005, as amended</w:t>
            </w:r>
          </w:p>
        </w:tc>
      </w:tr>
      <w:tr>
        <w:trPr>
          <w:trHeight w:val="203"/>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on February 22, 2006, including Articles of Incorporation of MagnaChip Semiconductor Inc. (formerly ISRON Corporation) (Japan)</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(English translation)(2)</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Bylaws of MagnaChip Semiconductor, Inc. (formerly IC Media Corporation)(1)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3.23</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Memorandum of Association of IC Media International Corporation(1)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3.25</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Association of IC Media International Corporation(1)</w:t>
            </w:r>
          </w:p>
        </w:tc>
      </w:tr>
      <w:tr>
        <w:trPr>
          <w:trHeight w:val="262"/>
        </w:trPr>
        <w:tc>
          <w:tcPr>
            <w:tcW w:w="600" w:type="dxa"/>
            <w:vAlign w:val="bottom"/>
          </w:tcPr>
          <w:p>
            <w:pPr>
              <w:ind w:left="100"/>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Memorandum of Association of MagnaChip Semiconductor Holding Company Limited (formerly IC Media Holding Company Limited)</w:t>
            </w:r>
          </w:p>
        </w:tc>
      </w:tr>
      <w:tr>
        <w:trPr>
          <w:trHeight w:val="211"/>
        </w:trPr>
        <w:tc>
          <w:tcPr>
            <w:tcW w:w="600" w:type="dxa"/>
            <w:vAlign w:val="bottom"/>
          </w:tcPr>
          <w:p>
            <w:pPr>
              <w:spacing w:after="0"/>
              <w:rPr>
                <w:sz w:val="18"/>
                <w:szCs w:val="18"/>
                <w:color w:val="auto"/>
              </w:rPr>
            </w:pPr>
          </w:p>
        </w:tc>
        <w:tc>
          <w:tcPr>
            <w:tcW w:w="10820" w:type="dxa"/>
            <w:vAlign w:val="bottom"/>
            <w:gridSpan w:val="2"/>
          </w:tcPr>
          <w:p>
            <w:pPr>
              <w:ind w:left="440"/>
              <w:spacing w:after="0"/>
              <w:rPr>
                <w:sz w:val="20"/>
                <w:szCs w:val="20"/>
                <w:color w:val="auto"/>
              </w:rPr>
            </w:pPr>
            <w:r>
              <w:rPr>
                <w:rFonts w:ascii="Arial" w:cs="Arial" w:eastAsia="Arial" w:hAnsi="Arial"/>
                <w:sz w:val="18"/>
                <w:szCs w:val="18"/>
                <w:color w:val="auto"/>
              </w:rPr>
              <w:t>(1)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3.27</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Association of MagnaChip Semiconductor Holding Company Limited (formerly IC Media Holding Company Limited)(1)</w:t>
            </w: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73"/>
        </w:trPr>
        <w:tc>
          <w:tcPr>
            <w:tcW w:w="820" w:type="dxa"/>
            <w:vAlign w:val="bottom"/>
          </w:tcPr>
          <w:p>
            <w:pPr>
              <w:ind w:left="100"/>
              <w:spacing w:after="0"/>
              <w:rPr>
                <w:sz w:val="20"/>
                <w:szCs w:val="20"/>
                <w:color w:val="auto"/>
              </w:rPr>
            </w:pPr>
            <w:r>
              <w:rPr>
                <w:rFonts w:ascii="Arial" w:cs="Arial" w:eastAsia="Arial" w:hAnsi="Arial"/>
                <w:sz w:val="18"/>
                <w:szCs w:val="18"/>
                <w:color w:val="auto"/>
              </w:rPr>
              <w:t>3.27.a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Amendment to Memorandum and Articles of Association of MagnaChip Semiconductor Holding Company Limited (formerly IC</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Media Holding Company Limited)(2)</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3.28</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Articles of Incorporation of IC Media Technology Corporation (English translation)(1)</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3.29</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Agreement and Plan of Merger by and between IC Media Corporation and MagnaChip Semiconductor, Inc., including Amended</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and Restated Articles of Incorporation, as filed with the State of California Secretary of State on November 17, 2005, and as</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corrected on February 6, 2006(2)</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3.30</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Amended and Restated Certificate of Incorporation of MagnaChip Semiconductor Corporation*</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3.31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Amended and Restated Bylaws of MagnaChip Semiconductor Corporation*</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3.32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Agreement and Plan of Merger by and among MagnaChip Semiconductor Corporation, MagnaChip Semiconductor LLC and MC</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MergerSub LLC*</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4.1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Company, the guarantors as named therein and The Bank of New York, as trustee for the Floating Rate Second Priority Senior</w:t>
            </w:r>
          </w:p>
        </w:tc>
      </w:tr>
      <w:tr>
        <w:trPr>
          <w:trHeight w:val="270"/>
        </w:trPr>
        <w:tc>
          <w:tcPr>
            <w:tcW w:w="820" w:type="dxa"/>
            <w:vAlign w:val="bottom"/>
          </w:tcPr>
          <w:p>
            <w:pPr>
              <w:spacing w:after="0"/>
              <w:rPr>
                <w:sz w:val="23"/>
                <w:szCs w:val="23"/>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 xml:space="preserve">Secured Notes due 2011 and the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2011(1)</w:t>
            </w:r>
          </w:p>
        </w:tc>
      </w:tr>
      <w:tr>
        <w:trPr>
          <w:trHeight w:val="211"/>
        </w:trPr>
        <w:tc>
          <w:tcPr>
            <w:tcW w:w="820" w:type="dxa"/>
            <w:vAlign w:val="bottom"/>
          </w:tcPr>
          <w:p>
            <w:pPr>
              <w:ind w:left="100"/>
              <w:spacing w:after="0"/>
              <w:rPr>
                <w:sz w:val="20"/>
                <w:szCs w:val="20"/>
                <w:color w:val="auto"/>
              </w:rPr>
            </w:pPr>
            <w:r>
              <w:rPr>
                <w:rFonts w:ascii="Arial" w:cs="Arial" w:eastAsia="Arial" w:hAnsi="Arial"/>
                <w:sz w:val="18"/>
                <w:szCs w:val="18"/>
                <w:color w:val="auto"/>
              </w:rPr>
              <w:t>4.2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Form of Floating Rate Second Priority Senior Secured Notes due 2011 and related guarantees (included in Exhibit 4.1)(1)</w:t>
            </w:r>
          </w:p>
        </w:tc>
      </w:tr>
      <w:tr>
        <w:trPr>
          <w:trHeight w:val="329"/>
        </w:trPr>
        <w:tc>
          <w:tcPr>
            <w:tcW w:w="820" w:type="dxa"/>
            <w:vAlign w:val="bottom"/>
          </w:tcPr>
          <w:p>
            <w:pPr>
              <w:ind w:left="100"/>
              <w:spacing w:after="0"/>
              <w:rPr>
                <w:sz w:val="20"/>
                <w:szCs w:val="20"/>
                <w:color w:val="auto"/>
              </w:rPr>
            </w:pPr>
            <w:r>
              <w:rPr>
                <w:rFonts w:ascii="Arial" w:cs="Arial" w:eastAsia="Arial" w:hAnsi="Arial"/>
                <w:sz w:val="18"/>
                <w:szCs w:val="18"/>
                <w:color w:val="auto"/>
              </w:rPr>
              <w:t>4.3</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 xml:space="preserve">Form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related guarantees (included in Exhibit 4.1)(1)</w:t>
            </w:r>
          </w:p>
        </w:tc>
      </w:tr>
      <w:tr>
        <w:trPr>
          <w:trHeight w:val="203"/>
        </w:trPr>
        <w:tc>
          <w:tcPr>
            <w:tcW w:w="820" w:type="dxa"/>
            <w:vAlign w:val="bottom"/>
          </w:tcPr>
          <w:p>
            <w:pPr>
              <w:ind w:left="100"/>
              <w:spacing w:after="0" w:line="202" w:lineRule="exact"/>
              <w:rPr>
                <w:sz w:val="20"/>
                <w:szCs w:val="20"/>
                <w:color w:val="auto"/>
              </w:rPr>
            </w:pPr>
            <w:r>
              <w:rPr>
                <w:rFonts w:ascii="Arial" w:cs="Arial" w:eastAsia="Arial" w:hAnsi="Arial"/>
                <w:sz w:val="18"/>
                <w:szCs w:val="18"/>
                <w:color w:val="auto"/>
              </w:rPr>
              <w:t>4.4</w:t>
            </w: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4.5</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Company, the guarantors as named therein and The Bank of New York, as trustee for the 8% Senior Subordinated Notes due</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2014(1)</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4.6</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Form 8% Senior Subordinated Notes due 2014 and related guarantees (included in Exhibit 4.5)(1)</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4.7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5.1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Form of Opinion of Dechert LLP*</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Purchase Agreement, dated as of December 16, 2004, among MagnaChip Semiconductor S.A., MagnaChip Semiconductor</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Finance Company, UBS Securities LLC, Citigroup Global Markets Inc., Goldman, Sachs &amp; Co., J.P. Morgan Securities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Deutsche Bank Securities Inc.(1)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Credit Agreement,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Company, the guarantors named therein, the lenders named therein, UBS Securities LLC, Korea Exchange Bank, UBS AG,</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Stamford Branch and UBS Loan Finance LLC(1)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First Amendment to Credit Agreement and Waiver, dated as of May 6, 2005, to the Credit Agreement, dated as of December 23,</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8"/>
              </w:rPr>
              <w:t>2004, among MagnaChip Semiconductor S.A., MagnaChip Semiconductor Finance Company, the guarantors named therein, the</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lenders named therein, UBS Securities LLC, Korea Exchange Bank, UBS AG, Stamford Branch and UBS Loan Finance LLC(1)</w:t>
            </w: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6"/>
                <w:szCs w:val="16"/>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3"/>
        </w:trPr>
        <w:tc>
          <w:tcPr>
            <w:tcW w:w="720" w:type="dxa"/>
            <w:vAlign w:val="bottom"/>
          </w:tcPr>
          <w:p>
            <w:pPr>
              <w:spacing w:after="0" w:line="193" w:lineRule="exact"/>
              <w:rPr>
                <w:sz w:val="20"/>
                <w:szCs w:val="20"/>
                <w:color w:val="auto"/>
              </w:rPr>
            </w:pPr>
            <w:r>
              <w:rPr>
                <w:rFonts w:ascii="Arial" w:cs="Arial" w:eastAsia="Arial" w:hAnsi="Arial"/>
                <w:sz w:val="18"/>
                <w:szCs w:val="18"/>
                <w:color w:val="auto"/>
              </w:rPr>
              <w:t>10.3.b</w:t>
            </w:r>
          </w:p>
        </w:tc>
        <w:tc>
          <w:tcPr>
            <w:tcW w:w="440" w:type="dxa"/>
            <w:vAlign w:val="bottom"/>
          </w:tcPr>
          <w:p>
            <w:pPr>
              <w:spacing w:after="0"/>
              <w:rPr>
                <w:sz w:val="16"/>
                <w:szCs w:val="16"/>
                <w:color w:val="auto"/>
              </w:rPr>
            </w:pPr>
          </w:p>
        </w:tc>
        <w:tc>
          <w:tcPr>
            <w:tcW w:w="10260" w:type="dxa"/>
            <w:vAlign w:val="bottom"/>
          </w:tcPr>
          <w:p>
            <w:pPr>
              <w:spacing w:after="0" w:line="193" w:lineRule="exact"/>
              <w:rPr>
                <w:sz w:val="20"/>
                <w:szCs w:val="20"/>
                <w:color w:val="auto"/>
              </w:rPr>
            </w:pPr>
            <w:r>
              <w:rPr>
                <w:rFonts w:ascii="Arial" w:cs="Arial" w:eastAsia="Arial" w:hAnsi="Arial"/>
                <w:sz w:val="18"/>
                <w:szCs w:val="18"/>
                <w:color w:val="auto"/>
              </w:rPr>
              <w:t>Second Amendment to Credit Agreement and Waiver dated as of June 21, 2005, to the Credit Agreement, dated as of</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December 23, 2004, among MagnaChip Semiconductor S.A., MagnaChip Semiconductor Finance Company, the guarantors named</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therein, the lenders named therein, UBS Securities LLC, Korea Exchange Bank, UBS AG, Stamford Branch and UBS Loan Finance</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LLC(1)</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10.3.c</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Third Amendment to Credit Agreement dated as of March 27, 2006, to the Credit Agreement, dated as of December 23, 2004,</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8"/>
              </w:rPr>
              <w:t>among MagnaChip Semiconductor S.A., MagnaChip Semiconductor Finance Company, the guarantors named therein, the lenders</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named therein, UBS Securities LLC, Korea Exchange Bank, UBS AG, Stamford Branch and UBS Loan Finance LLC(2)</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10.3.d</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Fourth Amendment to Credit Agreement, dated as of July 26, 2006, by and among MagnaChip Semiconductor S.A. and MagnaChip</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Lenders party thereto, UBS AG, Stamford Branch, as administrative agent and collateral agent, and U.S. Bank National</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Association(3)</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10.3.e</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Fifth Amendment to Credit Agreement, dated as of December 29, 2006, by and among MagnaChip Semiconductor S.A. and</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agent(4)</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10.3.f</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Sixth Amendment to Credit Agreement dated as of March 26, 2007, by and among MagnaChip Semiconductor S.A. and MagnaChip</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Lenders party thereto, and UBS AG, Stamford Branch, as administrative agent and collateral agent(9)</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10.3.g</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Seventh Amendment to Credit Agreement, dated as of June 28, 2007, by and among MagnaChip Semiconductor S.A. and</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agent(10)</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10.3.h</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Waiver to Credit Agreement, dated as of August 13, 2007, by and among MagnaChip Semiconductor S.A. and MagnaChip</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Semiconductor Finance Company, as borrowers, the Lenders party thereto, and UBS AG, Stamford Branch, as administrative agent</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and collateral agent(11)</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10.3.i</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Eighth Amendment to Credit Agreement, dated as of September 28, 2007, by and among MagnaChip Semiconductor S.A. and</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agent(12)</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10.3.j</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Ninth Amendment and Waiver to Credit Agreement, dated as of November 13, 2007, by and among MagnaChip Semiconductor</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8"/>
              </w:rPr>
              <w:t>S.A. and MagnaChip Semiconductor Finance Company, as borrowers, MagnaChip Semiconductor LLC, the Subsidiary Guarantors</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party thereto, the Lenders party thereto, and UBS AG, Stamford Branch, as administrative agent and collateral agent</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8"/>
              </w:rPr>
              <w:t>Intercreditor Agreement dated as of December 23, 2004 among MagnaChip Semiconductor Finance Company, the other Pledgors</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party thereto, UBS AG, Stamford Branch, The Bank of New York and U.S. Bank National Association(1)</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10.5</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Second Amended and Restated Securityholders’ Agreement of MagnaChip Semiconductor LLC(1)</w:t>
            </w:r>
          </w:p>
        </w:tc>
      </w:tr>
      <w:tr>
        <w:trPr>
          <w:trHeight w:val="211"/>
        </w:trPr>
        <w:tc>
          <w:tcPr>
            <w:tcW w:w="720" w:type="dxa"/>
            <w:vAlign w:val="bottom"/>
          </w:tcPr>
          <w:p>
            <w:pPr>
              <w:spacing w:after="0"/>
              <w:rPr>
                <w:sz w:val="20"/>
                <w:szCs w:val="20"/>
                <w:color w:val="auto"/>
              </w:rPr>
            </w:pPr>
            <w:r>
              <w:rPr>
                <w:rFonts w:ascii="Arial" w:cs="Arial" w:eastAsia="Arial" w:hAnsi="Arial"/>
                <w:sz w:val="18"/>
                <w:szCs w:val="18"/>
                <w:color w:val="auto"/>
              </w:rPr>
              <w:t>10.5a</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Third Amended and Restated Securityholders’ Agreement*</w:t>
            </w: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73"/>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Intellectual Property License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Trademark License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Building Lease Agreement for Warehouses, dated as of October 6, 2004, by and between Hynix Semiconductor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10.9.a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Building Lease Agreement for Warehouses,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Building Lease Agreement for M4 Building, dated as of October 6, 2004, by and between Hynix Semiconductor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Building Lease Agreement for R, C1 and C2 Buildings, dated as of October 6, 2004, by and between Hynix Semiconductor Inc.</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and MagnaChip 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10.11.a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7"/>
              </w:rPr>
              <w:t>First Amendment to Building Lease Agreement for R, C1 and C2 Buildings,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Land Lease and Easement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10.12.a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Land Lease and Easement Agreement,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Wafer Foundry Service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Wafer Mask Production and Supply Agreement, dated as of October 6, 2004, by and between Hynix Semiconductor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10.14.a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Wafer Mask Production and Supply Agreement,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(Korea)(2)(6)</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General Service Supply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10.15.a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First Amendment to General Service Supply Agreement, dated as of December 30, 2005, by and between Hynix Semiconductor</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IT and FA Service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10.16.a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IT and FA Service Agreement, dated as of December 30, 2005, by and between Hynix Semiconductor Inc.</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and MagnaChip Semiconductor, Ltd. (Korea)(2)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Youm Huh(1)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October 1, 2004, by and between MagnaChip Semiconductor, Ltd. (Korea) and Jerry Baker(1)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Robert</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Krakauer(1)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Service Agreement, dated as of December 29, 2004, by and between MagnaChip Semiconductor, Ltd. (Korea) and Victoria Miller</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Nam(1)</w:t>
            </w: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73"/>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Tae Young</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Hwang(1)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May 16, 2005, by and among MagnaChip Semiconductor, Ltd. (Korea),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(California) and Jason Hartlove(1)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April 14, 2005 by and between MagnaChip Semiconductor, Ltd. (Korea) and Dale Lindly(1)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LLC Equity Incentive Plan(1)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LLC California Equity Incentive Plan(1)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R&amp;D Equipment Utilization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10.26.a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R&amp;D Equipment Utilization Agreement,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License Agreement (ModularBCD), dated as of March 18, 2005, by and between Advanced Analogic Technologies,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License Agreement (TrenchDMOS), dated as of March 18, 2005, by and between Advanced Analogic Technologies,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RFID Development and Licensing Agreement, dated as of March 29, 2004, by and between Celis Semiconductor Corporation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 (successor in interest to Hynix Semiconductor Inc.)(1)(5)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7"/>
              </w:rPr>
              <w:t>Technology License Agreement, dated as of July 2001, by and between ARM Limited and MagnaChip Semiconductor, Ltd. (Korea)</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(successor in interest to Hynix Semiconductor Inc.)(1)(5)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Technology License Agreement, dated as of December 16, 1996, by and between Advanced RISC Machines Limited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 (successor in interest to LG Semicon Company Limited)(1)(5)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ARM7201TDSP Device License Agreement, dated as of August 26, 1997, by and between Advanced RISC Machines Limited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 (successor in interest to LG Semicon Company Limited)(1)(5)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Technology License Agreement, dated as of August 22, 2001, by and between ARM Limited and MagnaChip Semiconductor, Ltd.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(Korea) (successor in interest to Hynix Semiconductor Inc.)(1)(5)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Technology License Agreement, dated as of May 20, 2004, by and between ARM Limited and MagnaChip Semiconductor, Ltd.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(Korea) (successor in interest to Hynix Semiconductor Inc.)(1)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Interest Rate Swap Transaction Letter Agreement, dated as of June 30, 2005, by and between MagnaChip Semiconductor S.A.</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and Deutsche Bank AG(7)</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May 27, 2006, by and between MagnaChip Semiconductor, Ltd. (Korea) and Sang Park(8)</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Consulting Agreement, dated as of January 1, 2006, by and between MagnaChip Semiconductor, Ltd. (Korea) and Jerry Baker(9)</w:t>
            </w: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82"/>
        </w:trPr>
        <w:tc>
          <w:tcPr>
            <w:tcW w:w="600" w:type="dxa"/>
            <w:vAlign w:val="bottom"/>
          </w:tcPr>
          <w:p>
            <w:pPr>
              <w:spacing w:after="0"/>
              <w:rPr>
                <w:sz w:val="20"/>
                <w:szCs w:val="20"/>
                <w:color w:val="auto"/>
              </w:rPr>
            </w:pPr>
            <w:r>
              <w:rPr>
                <w:rFonts w:ascii="Arial" w:cs="Arial" w:eastAsia="Arial" w:hAnsi="Arial"/>
                <w:sz w:val="18"/>
                <w:szCs w:val="18"/>
                <w:color w:val="auto"/>
              </w:rPr>
              <w:t>10.38</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2008 Equity Incentive Plan*</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10.39</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2008 Employee Stock Purchase Plan*</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10.40</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October 6, 2004, by and between MagnaChip Semiconductor LLC and Tae Young Hwang</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10.41</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October 6, 2004, by and between MagnaChip Semiconductor LLC and Chan Hee Lee</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10.42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w:t>
            </w:r>
          </w:p>
        </w:tc>
      </w:tr>
      <w:tr>
        <w:trPr>
          <w:trHeight w:val="262"/>
        </w:trPr>
        <w:tc>
          <w:tcPr>
            <w:tcW w:w="600" w:type="dxa"/>
            <w:vAlign w:val="bottom"/>
          </w:tcPr>
          <w:p>
            <w:pPr>
              <w:spacing w:after="0"/>
              <w:rPr>
                <w:sz w:val="20"/>
                <w:szCs w:val="20"/>
                <w:color w:val="auto"/>
              </w:rPr>
            </w:pPr>
            <w:r>
              <w:rPr>
                <w:rFonts w:ascii="Arial" w:cs="Arial" w:eastAsia="Arial" w:hAnsi="Arial"/>
                <w:sz w:val="18"/>
                <w:szCs w:val="18"/>
                <w:color w:val="auto"/>
              </w:rPr>
              <w:t>10.43</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Robert Krakauer</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10.44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w:t>
            </w:r>
          </w:p>
        </w:tc>
      </w:tr>
      <w:tr>
        <w:trPr>
          <w:trHeight w:val="262"/>
        </w:trPr>
        <w:tc>
          <w:tcPr>
            <w:tcW w:w="600" w:type="dxa"/>
            <w:vAlign w:val="bottom"/>
          </w:tcPr>
          <w:p>
            <w:pPr>
              <w:spacing w:after="0"/>
              <w:rPr>
                <w:sz w:val="20"/>
                <w:szCs w:val="20"/>
                <w:color w:val="auto"/>
              </w:rPr>
            </w:pPr>
            <w:r>
              <w:rPr>
                <w:rFonts w:ascii="Arial" w:cs="Arial" w:eastAsia="Arial" w:hAnsi="Arial"/>
                <w:sz w:val="18"/>
                <w:szCs w:val="18"/>
                <w:color w:val="auto"/>
              </w:rPr>
              <w:t>10.45</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Robert Krakauer</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10.46</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November 30, 2004, by and between MagnaChip Semiconductor LLC and Victoria Miller Nam</w:t>
            </w:r>
          </w:p>
        </w:tc>
      </w:tr>
      <w:tr>
        <w:trPr>
          <w:trHeight w:val="275"/>
        </w:trPr>
        <w:tc>
          <w:tcPr>
            <w:tcW w:w="600" w:type="dxa"/>
            <w:vAlign w:val="bottom"/>
          </w:tcPr>
          <w:p>
            <w:pPr>
              <w:spacing w:after="0"/>
              <w:rPr>
                <w:sz w:val="20"/>
                <w:szCs w:val="20"/>
                <w:color w:val="auto"/>
              </w:rPr>
            </w:pPr>
            <w:r>
              <w:rPr>
                <w:rFonts w:ascii="Arial" w:cs="Arial" w:eastAsia="Arial" w:hAnsi="Arial"/>
                <w:sz w:val="18"/>
                <w:szCs w:val="18"/>
                <w:color w:val="auto"/>
              </w:rPr>
              <w:t>10.47</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Victoria Miller Nam</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10.48</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December 30, 2004, by and between MagnaChip Semiconductor LLC and Jerry M. Baker</w:t>
            </w:r>
          </w:p>
        </w:tc>
      </w:tr>
      <w:tr>
        <w:trPr>
          <w:trHeight w:val="262"/>
        </w:trPr>
        <w:tc>
          <w:tcPr>
            <w:tcW w:w="600" w:type="dxa"/>
            <w:vAlign w:val="bottom"/>
          </w:tcPr>
          <w:p>
            <w:pPr>
              <w:spacing w:after="0"/>
              <w:rPr>
                <w:sz w:val="20"/>
                <w:szCs w:val="20"/>
                <w:color w:val="auto"/>
              </w:rPr>
            </w:pPr>
            <w:r>
              <w:rPr>
                <w:rFonts w:ascii="Arial" w:cs="Arial" w:eastAsia="Arial" w:hAnsi="Arial"/>
                <w:sz w:val="18"/>
                <w:szCs w:val="18"/>
                <w:color w:val="auto"/>
              </w:rPr>
              <w:t>10.49</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Restricted Unit Subscription Agreement, dated as of December 30, 2004, by and between MagnaChip Semiconductor LLC and Jerry</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 Baker</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January 19, 2006, by and between MagnaChip Semiconductor LLC and Armando Geday</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10.51</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Tae Young Hwang</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10.52</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Robert Krakauer</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10.53</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Chan Hee Lee</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Victoria Miller Nam</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10.55</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May 27, 2006, by and between MagnaChip Semiconductor LLC and Sang Park</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10.56</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January 25, 2007, by and between MagnaChip Semiconductor LLC and R. Douglas Norby</w:t>
            </w:r>
          </w:p>
        </w:tc>
      </w:tr>
      <w:tr>
        <w:trPr>
          <w:trHeight w:val="262"/>
        </w:trPr>
        <w:tc>
          <w:tcPr>
            <w:tcW w:w="600" w:type="dxa"/>
            <w:vAlign w:val="bottom"/>
          </w:tcPr>
          <w:p>
            <w:pPr>
              <w:spacing w:after="0"/>
              <w:rPr>
                <w:sz w:val="20"/>
                <w:szCs w:val="20"/>
                <w:color w:val="auto"/>
              </w:rPr>
            </w:pPr>
            <w:r>
              <w:rPr>
                <w:rFonts w:ascii="Arial" w:cs="Arial" w:eastAsia="Arial" w:hAnsi="Arial"/>
                <w:sz w:val="18"/>
                <w:szCs w:val="18"/>
                <w:color w:val="auto"/>
              </w:rPr>
              <w:t>10.57</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Service Agreement, dated as of October 1, 2004, by and between MagnaChip Semiconductor, Ltd. and Chan Hee Lee (English</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translation)</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Samil PricewaterhouseCoopers</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Dechert LLP (contained in Exhibit 5.1)*</w:t>
            </w:r>
          </w:p>
        </w:tc>
      </w:tr>
    </w:tbl>
    <w:p>
      <w:pPr>
        <w:spacing w:after="0" w:line="59" w:lineRule="exact"/>
        <w:rPr>
          <w:sz w:val="20"/>
          <w:szCs w:val="20"/>
          <w:color w:val="auto"/>
        </w:rPr>
      </w:pPr>
    </w:p>
    <w:p>
      <w:pPr>
        <w:ind w:right="6700" w:firstLine="8"/>
        <w:spacing w:after="0" w:line="505"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Power of Attorney (included on signature page) * 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461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99" w:lineRule="exact"/>
        <w:rPr>
          <w:sz w:val="20"/>
          <w:szCs w:val="20"/>
          <w:color w:val="auto"/>
        </w:rPr>
      </w:pPr>
    </w:p>
    <w:p>
      <w:pPr>
        <w:ind w:left="680" w:right="10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21(a), “Exhibits,” of MagnaChip Semiconductor LLC’s Registration Statement on Form S-4, as amended (File No. 33-126019), which became effective July 20, 2005.</w:t>
      </w:r>
    </w:p>
    <w:p>
      <w:pPr>
        <w:spacing w:after="0" w:line="1" w:lineRule="exact"/>
        <w:rPr>
          <w:rFonts w:ascii="Arial" w:cs="Arial" w:eastAsia="Arial" w:hAnsi="Arial"/>
          <w:sz w:val="18"/>
          <w:szCs w:val="18"/>
          <w:color w:val="auto"/>
        </w:rPr>
      </w:pPr>
    </w:p>
    <w:p>
      <w:pPr>
        <w:ind w:left="68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15, “Exhibits, Financial Statement Schedules and Reports on Form 8-K,” of MagnaChip Semiconductor LLC’s Annual Report on Form 10-K for the period ended December 31, 2005 filed on March 31, 2006 (File No. 33-126019-09).</w:t>
      </w:r>
    </w:p>
    <w:p>
      <w:pPr>
        <w:spacing w:after="0" w:line="2"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July 25, 2006 (File No. 33-126019-09).</w:t>
      </w:r>
    </w:p>
    <w:p>
      <w:pPr>
        <w:spacing w:after="0" w:line="1" w:lineRule="exact"/>
        <w:rPr>
          <w:rFonts w:ascii="Arial" w:cs="Arial" w:eastAsia="Arial" w:hAnsi="Arial"/>
          <w:sz w:val="18"/>
          <w:szCs w:val="18"/>
          <w:color w:val="auto"/>
        </w:rPr>
      </w:pPr>
    </w:p>
    <w:p>
      <w:pPr>
        <w:ind w:left="680" w:right="640" w:hanging="672"/>
        <w:spacing w:after="0" w:line="264" w:lineRule="auto"/>
        <w:tabs>
          <w:tab w:leader="none" w:pos="6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Incorporated by reference to an identically numbered exhibit filed in response to Item 9.01, “Financial Statements and Exhibits,” of MagnaChip Semiconductor LLC’s Current Report on Form 8-K dated December 29, 2006 (File No. 33-126019-09).</w:t>
      </w:r>
    </w:p>
    <w:p>
      <w:pPr>
        <w:ind w:left="68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and granted confidential treatment by the SEC.</w:t>
      </w:r>
    </w:p>
    <w:p>
      <w:pPr>
        <w:ind w:left="68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confidential treatment request.</w:t>
      </w:r>
    </w:p>
    <w:p>
      <w:pPr>
        <w:ind w:left="680" w:right="26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Quarterly Report on Form 10-Q for the quarter ended July 3, 2005 (File No. 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May 27, 2006 (File No. 33-126019-09).</w:t>
      </w:r>
    </w:p>
    <w:p>
      <w:pPr>
        <w:spacing w:after="0" w:line="1" w:lineRule="exact"/>
        <w:rPr>
          <w:rFonts w:ascii="Arial" w:cs="Arial" w:eastAsia="Arial" w:hAnsi="Arial"/>
          <w:sz w:val="18"/>
          <w:szCs w:val="18"/>
          <w:color w:val="auto"/>
        </w:rPr>
      </w:pPr>
    </w:p>
    <w:p>
      <w:pPr>
        <w:ind w:left="680" w:right="26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Annual Report on Form 10-K for the year ended December 31, 2006 (File No. 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June 28, 2007 (File No. 33-126019-09).</w:t>
      </w:r>
    </w:p>
    <w:p>
      <w:pPr>
        <w:spacing w:after="0" w:line="1" w:lineRule="exact"/>
        <w:rPr>
          <w:rFonts w:ascii="Arial" w:cs="Arial" w:eastAsia="Arial" w:hAnsi="Arial"/>
          <w:sz w:val="18"/>
          <w:szCs w:val="18"/>
          <w:color w:val="auto"/>
        </w:rPr>
      </w:pPr>
    </w:p>
    <w:p>
      <w:pPr>
        <w:ind w:left="680" w:right="40" w:hanging="672"/>
        <w:spacing w:after="0" w:line="234"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6, “Exhibits,” of MagnaChip Semiconductor LLC’s Quarterly Report on Form 10-Q for the quarter ended July 1, 2007 (File No. 33-126019-09).</w:t>
      </w:r>
    </w:p>
    <w:p>
      <w:pPr>
        <w:spacing w:after="0" w:line="1" w:lineRule="exact"/>
        <w:rPr>
          <w:rFonts w:ascii="Arial" w:cs="Arial" w:eastAsia="Arial" w:hAnsi="Arial"/>
          <w:sz w:val="18"/>
          <w:szCs w:val="18"/>
          <w:color w:val="auto"/>
        </w:rPr>
      </w:pPr>
    </w:p>
    <w:p>
      <w:pPr>
        <w:ind w:left="680" w:right="1060" w:hanging="672"/>
        <w:spacing w:after="0" w:line="239"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9.01, “Financial Statements and Exhibits,” of MagnaChip Semiconductor LLC’s Current Report on Form 8-K dated September 28, 2007 (File No. 33-126019-09).</w:t>
      </w:r>
    </w:p>
    <w:p>
      <w:pPr>
        <w:sectPr>
          <w:pgSz w:w="11900" w:h="16838" w:orient="portrait"/>
          <w:cols w:equalWidth="0" w:num="1">
            <w:col w:w="11400"/>
          </w:cols>
          <w:pgMar w:left="240" w:top="460" w:right="25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10.3j</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NINTH AMENDMENT AND WAIVER TO CREDIT AGREEMENT</w:t>
      </w:r>
    </w:p>
    <w:p>
      <w:pPr>
        <w:spacing w:after="0" w:line="177" w:lineRule="exact"/>
        <w:rPr>
          <w:sz w:val="20"/>
          <w:szCs w:val="20"/>
          <w:color w:val="auto"/>
        </w:rPr>
      </w:pPr>
    </w:p>
    <w:p>
      <w:pPr>
        <w:ind w:right="140" w:firstLine="913"/>
        <w:spacing w:after="0" w:line="287" w:lineRule="auto"/>
        <w:rPr>
          <w:sz w:val="20"/>
          <w:szCs w:val="20"/>
          <w:color w:val="auto"/>
        </w:rPr>
      </w:pPr>
      <w:r>
        <w:rPr>
          <w:rFonts w:ascii="Arial" w:cs="Arial" w:eastAsia="Arial" w:hAnsi="Arial"/>
          <w:sz w:val="16"/>
          <w:szCs w:val="16"/>
          <w:color w:val="auto"/>
        </w:rPr>
        <w:t>This NINTH AMENDMENT AND WAIVER (as the same may be amended, restated, supplemented, extended or otherwise modified from time to time, this “</w:t>
      </w:r>
      <w:r>
        <w:rPr>
          <w:rFonts w:ascii="Arial" w:cs="Arial" w:eastAsia="Arial" w:hAnsi="Arial"/>
          <w:sz w:val="16"/>
          <w:szCs w:val="16"/>
          <w:b w:val="1"/>
          <w:bCs w:val="1"/>
          <w:color w:val="auto"/>
        </w:rPr>
        <w:t>Amendment and Waiver</w:t>
      </w:r>
      <w:r>
        <w:rPr>
          <w:rFonts w:ascii="Arial" w:cs="Arial" w:eastAsia="Arial" w:hAnsi="Arial"/>
          <w:sz w:val="16"/>
          <w:szCs w:val="16"/>
          <w:color w:val="auto"/>
        </w:rPr>
        <w:t xml:space="preserve">”) is entered into as of November 13, 2007,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74, rue de Merl, B.P. 709, L-2017 Luxembourg, Grand Duchy of Luxembourg, registered with the Luxembourg Register of commerce and companies under the number B 97,483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 COMPANY, a Delaware corporation (together with Luxco, “</w:t>
      </w:r>
      <w:r>
        <w:rPr>
          <w:rFonts w:ascii="Arial" w:cs="Arial" w:eastAsia="Arial" w:hAnsi="Arial"/>
          <w:sz w:val="16"/>
          <w:szCs w:val="16"/>
          <w:b w:val="1"/>
          <w:bCs w:val="1"/>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b w:val="1"/>
          <w:bCs w:val="1"/>
          <w:color w:val="auto"/>
        </w:rPr>
        <w:t>MagnaChip LLC</w:t>
      </w:r>
      <w:r>
        <w:rPr>
          <w:rFonts w:ascii="Arial" w:cs="Arial" w:eastAsia="Arial" w:hAnsi="Arial"/>
          <w:sz w:val="16"/>
          <w:szCs w:val="16"/>
          <w:color w:val="auto"/>
        </w:rPr>
        <w:t>”), the Subsidiary Guarantors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listed on the signature pages hereto (each of Borrowers, MagnaChip LLC and Subsidiary Guarantors are sometimes referred to herein as a “</w:t>
      </w:r>
      <w:r>
        <w:rPr>
          <w:rFonts w:ascii="Arial" w:cs="Arial" w:eastAsia="Arial" w:hAnsi="Arial"/>
          <w:sz w:val="16"/>
          <w:szCs w:val="16"/>
          <w:b w:val="1"/>
          <w:bCs w:val="1"/>
          <w:color w:val="auto"/>
        </w:rPr>
        <w:t>Loan 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Loan Parties</w:t>
      </w:r>
      <w:r>
        <w:rPr>
          <w:rFonts w:ascii="Arial" w:cs="Arial" w:eastAsia="Arial" w:hAnsi="Arial"/>
          <w:sz w:val="16"/>
          <w:szCs w:val="16"/>
          <w:color w:val="auto"/>
        </w:rPr>
        <w:t>”), the Lenders party hereto, UBS AG, STAMFORD BRANCH, as administrative agent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and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and together with the Administrative Agent, the “</w:t>
      </w:r>
      <w:r>
        <w:rPr>
          <w:rFonts w:ascii="Arial" w:cs="Arial" w:eastAsia="Arial" w:hAnsi="Arial"/>
          <w:sz w:val="16"/>
          <w:szCs w:val="16"/>
          <w:b w:val="1"/>
          <w:bCs w:val="1"/>
          <w:color w:val="auto"/>
        </w:rPr>
        <w:t>Agents</w:t>
      </w:r>
      <w:r>
        <w:rPr>
          <w:rFonts w:ascii="Arial" w:cs="Arial" w:eastAsia="Arial" w:hAnsi="Arial"/>
          <w:sz w:val="16"/>
          <w:szCs w:val="16"/>
          <w:color w:val="auto"/>
        </w:rPr>
        <w:t>”, and each an “</w:t>
      </w:r>
      <w:r>
        <w:rPr>
          <w:rFonts w:ascii="Arial" w:cs="Arial" w:eastAsia="Arial" w:hAnsi="Arial"/>
          <w:sz w:val="16"/>
          <w:szCs w:val="16"/>
          <w:b w:val="1"/>
          <w:bCs w:val="1"/>
          <w:color w:val="auto"/>
        </w:rPr>
        <w:t>Agent</w:t>
      </w:r>
      <w:r>
        <w:rPr>
          <w:rFonts w:ascii="Arial" w:cs="Arial" w:eastAsia="Arial" w:hAnsi="Arial"/>
          <w:sz w:val="16"/>
          <w:szCs w:val="16"/>
          <w:color w:val="auto"/>
        </w:rPr>
        <w:t>”) for the Secured Parties and the Issuing Bank.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Borrowers, MagnaChip LLC, the Subsidiary Guarantors, the Lenders, UBS Securities LLC, as lead arranger, as documentation agent and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syndication agent, UBS Loan Finance LLC, as swingline lender, Korea Exchange Bank, as issuing bank and Agents are parties to that certain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as of December 23, 2004 (as the same has been and hereafter may be amended, restated, supplemented or otherwise modified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w:t>
      </w:r>
      <w:r>
        <w:rPr>
          <w:rFonts w:ascii="Arial" w:cs="Arial" w:eastAsia="Arial" w:hAnsi="Arial"/>
          <w:sz w:val="16"/>
          <w:szCs w:val="16"/>
          <w:color w:val="auto"/>
        </w:rPr>
        <w:t>”). Unless otherwise specified herein, all capitalized terms used in this Amendment and Waiver shall have the meanings ascribed to them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w:t>
      </w:r>
    </w:p>
    <w:p>
      <w:pPr>
        <w:spacing w:after="0" w:line="165"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B. The Borrowers have requested that the Agents and the Lenders waive certain provisions of the Credit Agreement to the extent necessary to permit the transactions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IPO Related Transactions</w:t>
      </w:r>
      <w:r>
        <w:rPr>
          <w:rFonts w:ascii="Arial" w:cs="Arial" w:eastAsia="Arial" w:hAnsi="Arial"/>
          <w:sz w:val="18"/>
          <w:szCs w:val="18"/>
          <w:color w:val="auto"/>
        </w:rPr>
        <w:t>”).</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C. The Borrowers have requested that the Agents and the Required Lenders agree to amend certain sections of the Credit Agreement, all upon the terms and subject to the conditions as herein set forth.</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NOW, THEREFORE, in consideration of the foregoing, the covenants and conditions contained herein and other good and valuable consideration, the receipt and sufficiency of which are hereby acknowledged, the parties hereto agree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Waivers</w:t>
      </w:r>
      <w:r>
        <w:rPr>
          <w:rFonts w:ascii="Arial" w:cs="Arial" w:eastAsia="Arial" w:hAnsi="Arial"/>
          <w:sz w:val="18"/>
          <w:szCs w:val="18"/>
          <w:b w:val="1"/>
          <w:bCs w:val="1"/>
          <w:color w:val="auto"/>
        </w:rPr>
        <w:t>.</w:t>
      </w:r>
    </w:p>
    <w:p>
      <w:pPr>
        <w:spacing w:after="0" w:line="96" w:lineRule="exact"/>
        <w:rPr>
          <w:sz w:val="20"/>
          <w:szCs w:val="20"/>
          <w:color w:val="auto"/>
        </w:rPr>
      </w:pPr>
    </w:p>
    <w:p>
      <w:pPr>
        <w:ind w:right="120" w:firstLine="464"/>
        <w:spacing w:after="0" w:line="268"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Agents and Lenders hereby waive the provisions of Section 6.05 of the Credit Agreement to the extent necessary to permit the Reverse Merger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00" w:firstLine="464"/>
        <w:spacing w:after="0" w:line="256"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Agents and Lenders hereby waive the provisions of Sections 6.04 and 6.08 of the Credit Agreement to the extent necessary to permit the exchange of securities of MagnaChip LLC for shares of capital stock of the IPO Issuer pursuant to the Reverse Merger, the issuance of shares of capital stock of the IPO Issuer in connection therewith, and the purchase or redemption of IPO Issuer Series B preferred stock with the proceeds of the Initial Public Offering, all as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216" w:name="page217"/>
    <w:bookmarkEnd w:id="216"/>
    <w:p>
      <w:pPr>
        <w:ind w:right="60" w:firstLine="464"/>
        <w:spacing w:after="0" w:line="268"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Agents and Lenders hereby waive the provisions of Section 6.09 of the Credit Agreement to the extent necessary to permit each of the IPO Related Transactions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Agents and Lenders hereby waive the provisions of Section 6.11(a) of the Credit Agreement to the extent necessary to permit the Notes Repurchase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2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b w:val="1"/>
          <w:bCs w:val="1"/>
          <w:u w:val="single" w:color="auto"/>
          <w:color w:val="auto"/>
        </w:rPr>
        <w:t>IPO Issuer</w:t>
      </w:r>
      <w:r>
        <w:rPr>
          <w:rFonts w:ascii="Arial" w:cs="Arial" w:eastAsia="Arial" w:hAnsi="Arial"/>
          <w:sz w:val="16"/>
          <w:szCs w:val="16"/>
          <w:color w:val="auto"/>
        </w:rPr>
        <w:t>. Substantially contemporaneously with the consummation of the Reverse Merger (the date on which the Reverse Merger and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transactions have occurred is referred to herein as the “</w:t>
      </w:r>
      <w:r>
        <w:rPr>
          <w:rFonts w:ascii="Arial" w:cs="Arial" w:eastAsia="Arial" w:hAnsi="Arial"/>
          <w:sz w:val="16"/>
          <w:szCs w:val="16"/>
          <w:b w:val="1"/>
          <w:bCs w:val="1"/>
          <w:color w:val="auto"/>
        </w:rPr>
        <w:t>Credit Agreement Amendment Date</w:t>
      </w:r>
      <w:r>
        <w:rPr>
          <w:rFonts w:ascii="Arial" w:cs="Arial" w:eastAsia="Arial" w:hAnsi="Arial"/>
          <w:sz w:val="16"/>
          <w:szCs w:val="16"/>
          <w:color w:val="auto"/>
        </w:rPr>
        <w:t>”), the IPO Issuer shall (i) deliver to the Collateral Agent (or the Collateral Trustee, as the case may be) the certificates, if any, representing all of the Equity Interests of MagnaChip LLC, together with undated stock powers or other appropriate instruments of transfer executed and delivered in blank by a duly authorized officer of the holder(s) of such Equity Interests;</w:t>
      </w:r>
    </w:p>
    <w:p>
      <w:pPr>
        <w:spacing w:after="0" w:line="3" w:lineRule="exact"/>
        <w:rPr>
          <w:sz w:val="20"/>
          <w:szCs w:val="20"/>
          <w:color w:val="auto"/>
        </w:rPr>
      </w:pPr>
    </w:p>
    <w:p>
      <w:pPr>
        <w:ind w:right="80" w:firstLine="8"/>
        <w:spacing w:after="0" w:line="287" w:lineRule="auto"/>
        <w:tabs>
          <w:tab w:leader="none" w:pos="2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execute a Joinder Agreement to become a Guarantor and a joinder agreement to the applicable Security Agreement, as contemplated by Section 5.10 of the Credit Agreement, in form and substance reasonably acceptable to the Administrative Agent, and (B) take all actions necessary or advisable in the opinion of the Administrative Agent or the Collateral Agent to cause the Lien created by the applicable Security Agreement to be duly perfected to the extent required by such agreement in accordance with all applicable Requirements of Law, including the filing of financing statements in such jurisdictions as may be reasonably requested by the Administrative Agent or the Collateral Agent; (iii) deliver to Administrative Agent such further certifications of officers of IPO Issuer, MagnaChip LLC, and its Subsidiaries as Administrative Agent may reasonably request, including, without limitation, confirmations as to the non-existence of an Event of Default or Default under the Credit Agreement, the establishment to Administrative Agent’s reasonable satisfaction that the Initial Public Offering will occur promptly following such Reverse Merger and factual support of the aforesaid legal opinion and (iv) deliver Schedule 3.01(a)(1) to the Credit Agreement.</w:t>
      </w:r>
    </w:p>
    <w:p>
      <w:pPr>
        <w:spacing w:after="0" w:line="11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color w:val="auto"/>
        </w:rPr>
        <w:t>. On the Credit Agreement Amendment Date, the following amendments to the Credit Agreement shall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w:t>
      </w:r>
    </w:p>
    <w:p>
      <w:pPr>
        <w:spacing w:after="0" w:line="120" w:lineRule="exact"/>
        <w:rPr>
          <w:sz w:val="20"/>
          <w:szCs w:val="20"/>
          <w:color w:val="auto"/>
        </w:rPr>
      </w:pPr>
    </w:p>
    <w:p>
      <w:pPr>
        <w:ind w:left="900" w:right="2120" w:hanging="436"/>
        <w:spacing w:after="0" w:line="347" w:lineRule="auto"/>
        <w:tabs>
          <w:tab w:leader="none" w:pos="70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color w:val="auto"/>
        </w:rPr>
        <w:t>Change of Control</w:t>
      </w:r>
      <w:r>
        <w:rPr>
          <w:rFonts w:ascii="Arial" w:cs="Arial" w:eastAsia="Arial" w:hAnsi="Arial"/>
          <w:sz w:val="18"/>
          <w:szCs w:val="18"/>
          <w:color w:val="auto"/>
        </w:rPr>
        <w:t>” in Section 1.01 of the Credit Agreement shall be amended and restated as follows: “A “Change in Control” shall be deemed to have occurred if:</w:t>
      </w:r>
    </w:p>
    <w:p>
      <w:pPr>
        <w:spacing w:after="0" w:line="1" w:lineRule="exact"/>
        <w:rPr>
          <w:rFonts w:ascii="Arial" w:cs="Arial" w:eastAsia="Arial" w:hAnsi="Arial"/>
          <w:sz w:val="18"/>
          <w:szCs w:val="18"/>
          <w:color w:val="auto"/>
        </w:rPr>
      </w:pPr>
    </w:p>
    <w:p>
      <w:pPr>
        <w:ind w:left="1140" w:hanging="237"/>
        <w:spacing w:after="0"/>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Holdings at any time ceases to own 100% of the Equity Interests of MagnaChip Semiconductor LLC,</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MagnaChip Semiconductor LLC at any time ceases to own 99% of the Equity Interests of Lux Borrower, 100% of the Equity Interests of the U.S. Sales Subsidiary or 100% of the Equity Interests of MagnaChip SA Holdings,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MagnaChip SA Holdings ceases to own 1% of the Equity Interests of Lux Borrower;</w:t>
      </w:r>
    </w:p>
    <w:p>
      <w:pPr>
        <w:spacing w:after="0" w:line="90" w:lineRule="exact"/>
        <w:rPr>
          <w:rFonts w:ascii="Arial" w:cs="Arial" w:eastAsia="Arial" w:hAnsi="Arial"/>
          <w:sz w:val="18"/>
          <w:szCs w:val="18"/>
          <w:color w:val="auto"/>
        </w:rPr>
      </w:pPr>
    </w:p>
    <w:p>
      <w:pPr>
        <w:ind w:left="460" w:right="580" w:firstLine="443"/>
        <w:spacing w:after="0" w:line="268" w:lineRule="auto"/>
        <w:tabs>
          <w:tab w:leader="none" w:pos="11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Lux Borrower ceases to own 100% of the Equity Interests of each of Dutch Holdco, MagnaChip Semiconductor Finance Company or any Foreign Sales Subsidiary;</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Dutch Holdco ceases to own 100% of the Equity Interests of Korean Opco;</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at any time a change of control occurs under any Material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17" w:name="page218"/>
    <w:bookmarkEnd w:id="217"/>
    <w:p>
      <w:pPr>
        <w:ind w:left="46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an IPO, (i) the Permitted Holders cease to own, or to have the power to vote or direct the voting of, Voting Stock of Holdings representing a majority of the voting power of the total outstanding Voting Stock of Holdings or (ii) the Permitted Holders cease to own Equity Interests representing a majority of the total economic interests of the Equity Interests of Holdings;</w:t>
      </w:r>
    </w:p>
    <w:p>
      <w:pPr>
        <w:spacing w:after="0" w:line="59" w:lineRule="exact"/>
        <w:rPr>
          <w:rFonts w:ascii="Arial" w:cs="Arial" w:eastAsia="Arial" w:hAnsi="Arial"/>
          <w:sz w:val="18"/>
          <w:szCs w:val="18"/>
          <w:color w:val="auto"/>
        </w:rPr>
      </w:pPr>
    </w:p>
    <w:p>
      <w:pPr>
        <w:ind w:left="460" w:firstLine="443"/>
        <w:spacing w:after="0" w:line="253"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following an IPO, (i) the Post IPO Permitted Holders shall fail to own, or to have the power to vote or direct the voting of, Voting Stock of Holdings representing more than 25% of the voting power of the total outstanding Voting Stock of Holdings, (ii) the Post IPO Permitted Holders cease to own Equity Interests representing more than 25% of the total economic interests of the Equity Interests of Holdings or (iii) any “person” or “group” (as such terms are used in Sections 13(d) and 14(d) of the Exchange Act), other than one or more Permitted Holders, is or becomes the beneficial owner (as defined in Rules 13d-3 and 13d-5 under the Exchange Act, except that for purposes of this clause such person or group shall be deemed to have “beneficial ownership” of all securities that such person or group has the right to acquire, whether such right is exercisable immediately or only after the passage of time), directly or indirectly, of Voting Stock of Holdings representing more than 25% of the voting power of the total outstanding Voting Stock of Holdings; or</w:t>
      </w:r>
    </w:p>
    <w:p>
      <w:pPr>
        <w:spacing w:after="0" w:line="64" w:lineRule="exact"/>
        <w:rPr>
          <w:rFonts w:ascii="Arial" w:cs="Arial" w:eastAsia="Arial" w:hAnsi="Arial"/>
          <w:sz w:val="18"/>
          <w:szCs w:val="18"/>
          <w:color w:val="auto"/>
        </w:rPr>
      </w:pPr>
    </w:p>
    <w:p>
      <w:pPr>
        <w:ind w:left="460" w:right="100" w:firstLine="443"/>
        <w:spacing w:after="0" w:line="255" w:lineRule="auto"/>
        <w:tabs>
          <w:tab w:leader="none" w:pos="11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following an IPO, during any period of two consecutive years, individuals who at the beginning of such period constituted the Board of Directors of Holdings (together with any new directors whose election to such Board of Directors or whose nomination for election was approved by a vote of a majority of the members of the Board of Directors of Holdings, which members comprising such majority are then still in office and were either directors at the beginning of such period or whose election or nomination for election was previously so approved) cease for any reason to constitute a majority of the Board of Directors of Holdings.</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For purposes of this definition, a person shall not be deemed to have beneficial ownership of Equity Interests subject to a stock purchase agreement, merger agreement or similar agreement until the consummation of the transactions contemplated by such agreement.”</w:t>
      </w:r>
    </w:p>
    <w:p>
      <w:pPr>
        <w:spacing w:after="0" w:line="132" w:lineRule="exact"/>
        <w:rPr>
          <w:sz w:val="20"/>
          <w:szCs w:val="20"/>
          <w:color w:val="auto"/>
        </w:rPr>
      </w:pPr>
    </w:p>
    <w:p>
      <w:pPr>
        <w:ind w:right="40" w:firstLine="464"/>
        <w:spacing w:after="0" w:line="268"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definition of “Consolidated Net Income” in Section 1.01 of the Credit Agreement, “and” at the end of clause (e) shall be deleted, the period at the end of clause (f) shall be replaced by “; and”, and the following clause shall be added as a new clause (g):</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“(g) expenses incurred in connection with the IPO of Holdings and the other transactions consummated in connection therewith in an amount not to exceed $40,000,000.”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definition of “Fee Letter” in Section 1.01 of the Credit Agreement shall be amended and restated as follows:</w:t>
      </w:r>
    </w:p>
    <w:p>
      <w:pPr>
        <w:spacing w:after="0" w:line="165" w:lineRule="exact"/>
        <w:rPr>
          <w:sz w:val="20"/>
          <w:szCs w:val="20"/>
          <w:color w:val="auto"/>
        </w:rPr>
      </w:pPr>
    </w:p>
    <w:p>
      <w:pPr>
        <w:ind w:right="2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shall mean the confidential Fee Letter, dated December 23, 2004, among MagnaChip Semiconductor LLC, UBS Loan Finance LLC and UBS Securities LLC.</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The definition of “Holdings” in Section 1.01 of the Credit Agreement shall be amended and restated as follows:</w:t>
      </w:r>
    </w:p>
    <w:p>
      <w:pPr>
        <w:spacing w:after="0" w:line="165" w:lineRule="exact"/>
        <w:rPr>
          <w:sz w:val="20"/>
          <w:szCs w:val="20"/>
          <w:color w:val="auto"/>
        </w:rPr>
      </w:pPr>
    </w:p>
    <w:p>
      <w:pPr>
        <w:ind w:right="48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w:t>
      </w:r>
      <w:r>
        <w:rPr>
          <w:rFonts w:ascii="Arial" w:cs="Arial" w:eastAsia="Arial" w:hAnsi="Arial"/>
          <w:sz w:val="18"/>
          <w:szCs w:val="18"/>
          <w:color w:val="auto"/>
        </w:rPr>
        <w:t xml:space="preserve">”, when used in any Loan Document, shall mean MagnaChip Semiconductor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all representations, warranties, covenants (including financial covenants) and obligations (including financial reporting obligations), all references in any Loan Document to “Holdings” as of any time up to the consummation of the Reverse Merger shall mean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18" w:name="page219"/>
    <w:bookmarkEnd w:id="218"/>
    <w:p>
      <w:pPr>
        <w:ind w:right="8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LLC” and all references to “Holdings” upon and after the consummation of the Reverse Merger shall mean “MagnaChip Semiconductor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 The definition of “Management Services Agreements” in Section 1.01 of the Credit Agreement shall be amended and restated as follows:</w:t>
      </w:r>
    </w:p>
    <w:p>
      <w:pPr>
        <w:spacing w:after="0" w:line="188"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Services Agreements</w:t>
      </w:r>
      <w:r>
        <w:rPr>
          <w:rFonts w:ascii="Arial" w:cs="Arial" w:eastAsia="Arial" w:hAnsi="Arial"/>
          <w:sz w:val="18"/>
          <w:szCs w:val="18"/>
          <w:color w:val="auto"/>
        </w:rPr>
        <w:t>” shall mean, collectively (i) that certain Advisory Agreement dated October 6, 2004 by and between MagnaChip Semiconductor LLC, MagnaChip Semiconductor, Ltd. and CVC Management LLC (succeeded in interest by Court Square Advisor, LLC); (ii) that certain Advisory Agreement dated October 6, 2004 by and between MagnaChip Semiconductor LLC, MagnaChip Semiconductor, Ltd. and CVC Capital Partners Asia Limited and (iii) that certain Advisory Agreement dated October 6, 2004 by and between MagnaChip Semiconductor LLC, MagnaChip Semiconductor, Ltd. and Francisco Partners Management, LLC.</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The definition of “Permitted Tax Distributions” in Section 1.01 of the Credit Agreement shall be amended and restated as follows:</w:t>
      </w:r>
    </w:p>
    <w:p>
      <w:pPr>
        <w:spacing w:after="0" w:line="165"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Tax Distributions</w:t>
      </w:r>
      <w:r>
        <w:rPr>
          <w:rFonts w:ascii="Arial" w:cs="Arial" w:eastAsia="Arial" w:hAnsi="Arial"/>
          <w:sz w:val="16"/>
          <w:szCs w:val="16"/>
          <w:color w:val="auto"/>
        </w:rPr>
        <w:t>” means, with respect to any periods during which MagnaChip Semiconductor LLC is treated as a partnership for U.S. federal income tax purposes, payments in respect of tax liabilities of MagnaChip Semiconductor LLC’s investors arising from direct or indirect ownership of MagnaChip Semiconductor LLC’s equity interests. Permitted Tax Distributions shall be calculated by reference to the amount of MagnaChip Semiconductor LLC’s and its Subsidiaries’ income determined to be an amount required to be included in income under section 951 of the Code times 35%. A nationally recognized accounting firm chosen by Holdings shall determine the amount of Permitted Tax Distributions.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The definition of “Post IPO Related Parties” in Section 1.01 of the Credit Agreement shall be amended and restated as follows:</w:t>
      </w:r>
    </w:p>
    <w:p>
      <w:pPr>
        <w:spacing w:after="0" w:line="165" w:lineRule="exact"/>
        <w:rPr>
          <w:sz w:val="20"/>
          <w:szCs w:val="20"/>
          <w:color w:val="auto"/>
        </w:rPr>
      </w:pPr>
    </w:p>
    <w:p>
      <w:pPr>
        <w:ind w:right="18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 IPO Related Parties</w:t>
      </w:r>
      <w:r>
        <w:rPr>
          <w:rFonts w:ascii="Arial" w:cs="Arial" w:eastAsia="Arial" w:hAnsi="Arial"/>
          <w:sz w:val="16"/>
          <w:szCs w:val="16"/>
          <w:color w:val="auto"/>
        </w:rPr>
        <w:t>” shall mean with respect to any person (i) any controlling stockholder, 80% (or more) Subsidiary, or immediate family member (in the case of an individual) of any Post IPO Principal; or (ii) any trust corporation, partnership, limited liability company or other entity, the beneficiaries, stockholders, partners, members, owners or persons beneficially holding an 80% or more controlling interest of which consist of any one or more Post IPO Principals and/or such other persons referred to in the immediately preceding clause (i).</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 The definition of “Senior Secured Note Guarantees” in Section 1.01 of the Credit Agreement shall be amended and restated as follows:</w:t>
      </w:r>
    </w:p>
    <w:p>
      <w:pPr>
        <w:spacing w:after="0" w:line="188"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Note Guarantees</w:t>
      </w:r>
      <w:r>
        <w:rPr>
          <w:rFonts w:ascii="Arial" w:cs="Arial" w:eastAsia="Arial" w:hAnsi="Arial"/>
          <w:sz w:val="18"/>
          <w:szCs w:val="18"/>
          <w:color w:val="auto"/>
        </w:rPr>
        <w:t>” shall mean the guarantees of certain of the Subsidiary Guarantors pursuant to the Senior Secured Notes Indenture and the Korean Opco Senior Secured Notes Guarantee and, if Holdings shall at any time provide a guaranty of the obligations with respect to the Senior Secured Notes Indenture and the Korean Opco Senior Secured Notes, such guaranty.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The definition of “Senior Subordinated Note Guarantees” in Section 1.01 of the Credit Agreement shall be amended and restated as follows:</w:t>
      </w:r>
    </w:p>
    <w:p>
      <w:pPr>
        <w:spacing w:after="0" w:line="188" w:lineRule="exact"/>
        <w:rPr>
          <w:sz w:val="20"/>
          <w:szCs w:val="20"/>
          <w:color w:val="auto"/>
        </w:rPr>
      </w:pPr>
    </w:p>
    <w:p>
      <w:pPr>
        <w:ind w:right="180" w:firstLine="913"/>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Senior Subordinated Note Guarantees</w:t>
      </w:r>
      <w:r>
        <w:rPr>
          <w:rFonts w:ascii="Arial" w:cs="Arial" w:eastAsia="Arial" w:hAnsi="Arial"/>
          <w:sz w:val="15"/>
          <w:szCs w:val="15"/>
          <w:color w:val="auto"/>
        </w:rPr>
        <w:t>” shall mean the guarantees of certain of the Subsidiary Guarantors pursuant to the Senior Subordinated Notes Indenture and, if Holdings shall at any time provide a guaranty of the obligations with respect to the Senior Subordinated Notes Indenture, such guaranty.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19" w:name="page220"/>
    <w:bookmarkEnd w:id="219"/>
    <w:p>
      <w:pPr>
        <w:ind w:right="440" w:firstLine="464"/>
        <w:spacing w:after="0" w:line="268" w:lineRule="auto"/>
        <w:tabs>
          <w:tab w:leader="none" w:pos="666"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definition of “Sponsors” in Section 1.01 of the Credit Agreement, the term “CVC Management LLC” shall be deleted and replaced with the clause “Court Square Advisor, LLC (successor in interest to CVC Management LLC)”.</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definition of “Subsidiary Guarantor” in Section 1.01 of the Credit Agreement shall be amended and restated as follows:</w:t>
      </w:r>
    </w:p>
    <w:p>
      <w:pPr>
        <w:spacing w:after="0" w:line="165" w:lineRule="exact"/>
        <w:rPr>
          <w:sz w:val="20"/>
          <w:szCs w:val="20"/>
          <w:color w:val="auto"/>
        </w:rPr>
      </w:pPr>
    </w:p>
    <w:p>
      <w:pPr>
        <w:ind w:right="3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xml:space="preserve">” shall mean each Subsidiary listed on </w:t>
      </w:r>
      <w:r>
        <w:rPr>
          <w:rFonts w:ascii="Arial" w:cs="Arial" w:eastAsia="Arial" w:hAnsi="Arial"/>
          <w:sz w:val="18"/>
          <w:szCs w:val="18"/>
          <w:u w:val="single" w:color="auto"/>
          <w:color w:val="auto"/>
        </w:rPr>
        <w:t>Schedule 1.01(d)</w:t>
      </w:r>
      <w:r>
        <w:rPr>
          <w:rFonts w:ascii="Arial" w:cs="Arial" w:eastAsia="Arial" w:hAnsi="Arial"/>
          <w:sz w:val="18"/>
          <w:szCs w:val="18"/>
          <w:color w:val="auto"/>
        </w:rPr>
        <w:t xml:space="preserve">, Korean Opco, MagnaChip Semiconductor LLC and each other Subsidiary that is or becomes a party to this Agreement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 Section 1.01 of the Credit Agreement shall be amended to add a new definition, placed in alphabetical order within such Section:</w:t>
      </w:r>
    </w:p>
    <w:p>
      <w:pPr>
        <w:spacing w:after="0" w:line="165" w:lineRule="exact"/>
        <w:rPr>
          <w:sz w:val="20"/>
          <w:szCs w:val="20"/>
          <w:color w:val="auto"/>
        </w:rPr>
      </w:pPr>
    </w:p>
    <w:p>
      <w:pPr>
        <w:ind w:right="10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Reverse Merger</w:t>
      </w:r>
      <w:r>
        <w:rPr>
          <w:rFonts w:ascii="Arial" w:cs="Arial" w:eastAsia="Arial" w:hAnsi="Arial"/>
          <w:sz w:val="16"/>
          <w:szCs w:val="16"/>
          <w:color w:val="auto"/>
        </w:rPr>
        <w:t>” shall mean the merger of a newly formed Delaware limited liability company, which shall be wholly-owned by MagnaChip Semiconductor Corporation and which shall not have engaged in any other business transactions or assumed any liabilities of other parties (except in connection with the IPO of Holdings), with and into MagnaChip Semiconductor LLC shortly before the expected consummation of the IPO of Holdings.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 Clause (a) of Section 3.07 of the Credit Agreement shall be amended and restated as follows:</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 3.07(a)</w:t>
      </w:r>
      <w:r>
        <w:rPr>
          <w:rFonts w:ascii="Arial" w:cs="Arial" w:eastAsia="Arial" w:hAnsi="Arial"/>
          <w:sz w:val="16"/>
          <w:szCs w:val="16"/>
          <w:color w:val="auto"/>
        </w:rPr>
        <w:t xml:space="preserve"> sets forth a list, as of the Closing Date of (i) all the Subsidiaries of MagnaChip Semiconductor LLC and their jurisdictions of organization and (ii) the number of each class of Equity Interests authorized, the number thereof outstanding, and the number of shares covered by all outstanding options, warrants, rights of conversion or purchase and similar rights. </w:t>
      </w:r>
      <w:r>
        <w:rPr>
          <w:rFonts w:ascii="Arial" w:cs="Arial" w:eastAsia="Arial" w:hAnsi="Arial"/>
          <w:sz w:val="16"/>
          <w:szCs w:val="16"/>
          <w:u w:val="single" w:color="auto"/>
          <w:color w:val="auto"/>
        </w:rPr>
        <w:t>Schedule 3.07(a)(1)</w:t>
      </w:r>
      <w:r>
        <w:rPr>
          <w:rFonts w:ascii="Arial" w:cs="Arial" w:eastAsia="Arial" w:hAnsi="Arial"/>
          <w:sz w:val="16"/>
          <w:szCs w:val="16"/>
          <w:color w:val="auto"/>
        </w:rPr>
        <w:t xml:space="preserve"> sets forth a list, as of the date of the date of consummation of the Reverse Merger of (i) all the Subsidiaries of Holdings not included in the preceding clause (a) and their jurisdictions of organization and (ii) the number of each class of Equity Interests authorized, the number thereof outstanding, and the number of shares covered by all outstanding options, warrants, rights of conversion or purchase and similar rights. All Equity Interests of each Company are duly and validly issued and are fully paid and non-assessable, and, other than Holdings, are owned by Holdings, directly or indirectly through Wholly Owned Subsidiaries. All Equity Interests of Borrowers are owned directly or indirectly by Holdings through Wholly Owned Subsidiaries. Each Loan Party is the record and beneficial owner of, and has good and marketable title to, the Equity Interests pledged by it under the Security Documents, free of any and all Liens, rights or claims of other persons, except the security interest created by the Security Documents, and there are no outstanding warrants, options or other rights to purchase, or shareholder, voting trust or similar agreements outstanding with respect to, or property that is convertible into, or that requires the issuance or sale of, any such Equity Interests.”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 Clause (iv) of Section 6.14 of the Credit Agreement shall be amended and restated as follows:</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 xml:space="preserve">“(iv) Holdings or MagnaChip Semiconductor LLC may acquire or form one or more Subsidiaries in connection with a Permitted Acquisition, so long as, in each case, </w:t>
      </w:r>
      <w:r>
        <w:rPr>
          <w:rFonts w:ascii="Arial" w:cs="Arial" w:eastAsia="Arial" w:hAnsi="Arial"/>
          <w:sz w:val="18"/>
          <w:szCs w:val="18"/>
          <w:u w:val="single" w:color="auto"/>
          <w:color w:val="auto"/>
        </w:rPr>
        <w:t>Section 5.10(b)</w:t>
      </w:r>
      <w:r>
        <w:rPr>
          <w:rFonts w:ascii="Arial" w:cs="Arial" w:eastAsia="Arial" w:hAnsi="Arial"/>
          <w:sz w:val="18"/>
          <w:szCs w:val="18"/>
          <w:color w:val="auto"/>
        </w:rPr>
        <w:t xml:space="preserve"> shall be complied with.”</w:t>
      </w:r>
    </w:p>
    <w:p>
      <w:pPr>
        <w:spacing w:after="0" w:line="132" w:lineRule="exact"/>
        <w:rPr>
          <w:sz w:val="20"/>
          <w:szCs w:val="20"/>
          <w:color w:val="auto"/>
        </w:rPr>
      </w:pPr>
    </w:p>
    <w:p>
      <w:pPr>
        <w:ind w:left="920" w:right="5080" w:hanging="456"/>
        <w:spacing w:after="0" w:line="391" w:lineRule="auto"/>
        <w:tabs>
          <w:tab w:leader="none" w:pos="712"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Section 6.15 of the Credit Agreement shall be amended and restated as follows: “Section 6.15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20" w:name="page221"/>
    <w:bookmarkEnd w:id="220"/>
    <w:p>
      <w:pPr>
        <w:ind w:firstLine="921"/>
        <w:spacing w:after="0" w:line="283" w:lineRule="auto"/>
        <w:tabs>
          <w:tab w:leader="none" w:pos="1152" w:val="left"/>
        </w:tabs>
        <w:numPr>
          <w:ilvl w:val="1"/>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 With respect to Holdings, engage in any business activities or have any properties or liabilities, other than its ownership of the Equity Interests of MagnaChip Semiconductor LLC and any other Subsidiary acquired or formed by Holdings in connection with a Permitted Acquisition and (y) with respect to Holdings and MagnaChip Semiconductor LLC, engage in any business activities or have any properties or liabilities, other than (i) the direct or indirect ownership by MagnaChip Semiconductor LLC of the Equity Interests of the Borrowers and the U.S. Sales Subsidiary and by either Holdings or MagnaChip Semiconductor LLC of the Equity Interests of any other Subsidiary acquired or formed by Holdings or MagnaChip Semiconductor LLC in connection with a Permitted Acquisition, (ii) obligations under the Loan Documents, the Senior Secured Note Documents and the Senior Subordinated Note Documents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activities and properties incidental to the foregoing clauses (i) and (ii).</w:t>
      </w:r>
    </w:p>
    <w:p>
      <w:pPr>
        <w:spacing w:after="0" w:line="164" w:lineRule="exact"/>
        <w:rPr>
          <w:rFonts w:ascii="Arial" w:cs="Arial" w:eastAsia="Arial" w:hAnsi="Arial"/>
          <w:sz w:val="18"/>
          <w:szCs w:val="18"/>
          <w:color w:val="auto"/>
        </w:rPr>
      </w:pPr>
    </w:p>
    <w:p>
      <w:pPr>
        <w:ind w:right="240" w:firstLine="921"/>
        <w:spacing w:after="0" w:line="268" w:lineRule="auto"/>
        <w:tabs>
          <w:tab w:leader="none" w:pos="1162"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With respect to Borrowers and the Subsidiaries, engage (directly or indirectly) in any business other than those businesses in which Borrowers and its Subsidiaries are engaged on the Closing Date as described in the Notes Offering Memorandum.”</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Representations, Warranties and Covenants of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To induce the Agents and Lenders to execute and deliver this Amendment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Waiver, each of the Borrowers represents, warrants and covenants that:</w:t>
      </w:r>
    </w:p>
    <w:p>
      <w:pPr>
        <w:spacing w:after="0" w:line="165" w:lineRule="exact"/>
        <w:rPr>
          <w:sz w:val="20"/>
          <w:szCs w:val="20"/>
          <w:color w:val="auto"/>
        </w:rPr>
      </w:pPr>
    </w:p>
    <w:p>
      <w:pPr>
        <w:ind w:firstLine="464"/>
        <w:spacing w:after="0" w:line="291"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execution, delivery and performance by the Loan Parties of this Amendment and Waiver and all documents and instruments delivered in connection herewith and the Credit Agreement and all other Loan Documents have been duly authorized, and this Amendment and Waiver and all documents and instruments delivered in connection herewith and the Credit Agreement and all other Loan Documents are legal, valid and binding obligations of the Loan Parties enforceable against the Loan Parties in accordance with their respective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120" w:lineRule="exact"/>
        <w:rPr>
          <w:rFonts w:ascii="Arial" w:cs="Arial" w:eastAsia="Arial" w:hAnsi="Arial"/>
          <w:sz w:val="16"/>
          <w:szCs w:val="16"/>
          <w:color w:val="auto"/>
        </w:rPr>
      </w:pPr>
    </w:p>
    <w:p>
      <w:pPr>
        <w:ind w:right="40" w:firstLine="464"/>
        <w:spacing w:after="0" w:line="254"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than with respect to any matters related to this Amendment and Waiver, after giving effect to this Amendment and Waiver, each of the representations and warranties made by or on behalf of such Borrower to either Agent or any Lender in any of the Loan Documents was true and correct when made and in all material respects is true and correct on and as of the date of this Amendment and Waiver with the same full force and effect as if each of such representations and warranties had been made by such Loan Party on the date hereof and in this Amendment and Waiver, and each of the agreements and covenants in the Credit Agreement and the other Loan Documents is hereby reaffirmed with the same force and effect as if each were separately stated herein and made as of the date hereof;</w:t>
      </w:r>
    </w:p>
    <w:p>
      <w:pPr>
        <w:spacing w:after="0" w:line="144" w:lineRule="exact"/>
        <w:rPr>
          <w:rFonts w:ascii="Arial" w:cs="Arial" w:eastAsia="Arial" w:hAnsi="Arial"/>
          <w:sz w:val="18"/>
          <w:szCs w:val="18"/>
          <w:color w:val="auto"/>
        </w:rPr>
      </w:pPr>
    </w:p>
    <w:p>
      <w:pPr>
        <w:ind w:right="160" w:firstLine="464"/>
        <w:spacing w:after="0" w:line="290"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Amendment and Waiver or any documents and instruments delivered in connection herewith nor the consummation of the transactions contemplated hereby or thereby (i) does or shall (after giving effect to this Amendment and Waiver) contravene, result in a breach of, or violate (A) any provision of any Loan Party’s corporate charter, bylaws, operating agreement, purchase agreement, or other governing documents, (B) any law or regulation, or any order or decree of any court or government instrumentality, or (C) any indenture, mortgage, deed of trust, lease, agreement or other instrument to which any Loan Party is a party or by which any Loan Party or any of its property is bound or, (ii) except with respect to filing requirements pursuant to applicable securities laws, requires any notice to, registration or filing with, acceptance, consent or approval of, or any other action by, any Governmental Authority;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21" w:name="page222"/>
    <w:bookmarkEnd w:id="221"/>
    <w:p>
      <w:pPr>
        <w:jc w:val="both"/>
        <w:ind w:right="100" w:firstLine="464"/>
        <w:spacing w:after="0" w:line="259"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Agents’ and Lenders’ security interests in the Collateral continue to be valid, binding, and enforceable first-priority security interests which secure the Obligations (subject only to any Liens permitted under the Loan Documents), and no tax or judgment liens are currently of record against any Loan Party or any Subsidiary thereof; and</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recitals to this Amendment and Waiver are and, on the date of the Reverse Merger, Schedule 3.07(a)(1) to the Credit Agreement will be, true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correct.</w:t>
      </w:r>
    </w:p>
    <w:p>
      <w:pPr>
        <w:spacing w:after="0" w:line="164" w:lineRule="exact"/>
        <w:rPr>
          <w:rFonts w:ascii="Arial" w:cs="Arial" w:eastAsia="Arial" w:hAnsi="Arial"/>
          <w:sz w:val="16"/>
          <w:szCs w:val="16"/>
          <w:color w:val="auto"/>
        </w:rPr>
      </w:pPr>
    </w:p>
    <w:p>
      <w:pPr>
        <w:ind w:right="520" w:firstLine="464"/>
        <w:spacing w:after="0" w:line="259" w:lineRule="auto"/>
        <w:tabs>
          <w:tab w:leader="none" w:pos="6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of the date of the Reverse Merger (after giving effect thereto), the only Subsidiary of IPO Issuer other than the Subsidiaries of MagnaChip Semiconductor LLC on the date hereof will be MagnaChip Semiconductor LLC and any other Subsidiaries created or acquired after the date hereof which Subsidiaries have become Guarantors and Loan Parties as required by the Credit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Reference to and Effect Upon the Credit Agreement</w:t>
      </w:r>
      <w:r>
        <w:rPr>
          <w:rFonts w:ascii="Arial" w:cs="Arial" w:eastAsia="Arial" w:hAnsi="Arial"/>
          <w:sz w:val="18"/>
          <w:szCs w:val="18"/>
          <w:b w:val="1"/>
          <w:bCs w:val="1"/>
          <w:color w:val="auto"/>
        </w:rPr>
        <w:t>.</w:t>
      </w:r>
    </w:p>
    <w:p>
      <w:pPr>
        <w:spacing w:after="0" w:line="177" w:lineRule="exact"/>
        <w:rPr>
          <w:sz w:val="20"/>
          <w:szCs w:val="20"/>
          <w:color w:val="auto"/>
        </w:rPr>
      </w:pPr>
    </w:p>
    <w:p>
      <w:pPr>
        <w:ind w:firstLine="921"/>
        <w:spacing w:after="0" w:line="314" w:lineRule="auto"/>
        <w:tabs>
          <w:tab w:leader="none" w:pos="1152" w:val="left"/>
        </w:tabs>
        <w:numPr>
          <w:ilvl w:val="1"/>
          <w:numId w:val="102"/>
        </w:numPr>
        <w:rPr>
          <w:rFonts w:ascii="Arial" w:cs="Arial" w:eastAsia="Arial" w:hAnsi="Arial"/>
          <w:sz w:val="15"/>
          <w:szCs w:val="15"/>
          <w:color w:val="auto"/>
        </w:rPr>
      </w:pPr>
      <w:r>
        <w:rPr>
          <w:rFonts w:ascii="Arial" w:cs="Arial" w:eastAsia="Arial" w:hAnsi="Arial"/>
          <w:sz w:val="15"/>
          <w:szCs w:val="15"/>
          <w:color w:val="auto"/>
        </w:rPr>
        <w:t xml:space="preserve">Except as specifically set forth herein, all terms, conditions, covenants, representations and warranties contained in the Credit Agreement or any other Loan Documents, and all rights of Agents and Lenders and all of the Obligations, shall remain in full force and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of a conflict between the terms and provisions of the Credit Agreement or any other Loan Documents (other than this Amendment), the terms and provisions of the Credit Agreement (as amended hereby, and as the same has been and hereafter may be amended, restated, supplemented or otherwise modified from time to time) shall control. Each Loan Party hereby confirms that the Credit Agreement and the other Loan Documents are in full force and effect and that neither such Loan Party nor any of its Subsidiaries has any defenses, setoffs, claims, or counterclaims to the Obligations under the Credit Agreement or any other Loan Documents.</w:t>
      </w:r>
    </w:p>
    <w:p>
      <w:pPr>
        <w:spacing w:after="0" w:line="104" w:lineRule="exact"/>
        <w:rPr>
          <w:rFonts w:ascii="Arial" w:cs="Arial" w:eastAsia="Arial" w:hAnsi="Arial"/>
          <w:sz w:val="15"/>
          <w:szCs w:val="15"/>
          <w:color w:val="auto"/>
        </w:rPr>
      </w:pPr>
    </w:p>
    <w:p>
      <w:pPr>
        <w:ind w:left="1160" w:hanging="239"/>
        <w:spacing w:after="0"/>
        <w:tabs>
          <w:tab w:leader="none" w:pos="11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Except as expressly set forth herein, the execution, delivery and effectiveness of this Amendment and Waiver shall not directly or indirectly</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constitute a consent or waiver of any past, present or future violations of any provisions of the Credit Agreement or any other Loan Documents, (ii) amend,</w:t>
      </w:r>
    </w:p>
    <w:p>
      <w:pPr>
        <w:spacing w:after="0" w:line="32"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modify or operate as a waiver of any provision of the Credit Agreement or any other Loan Documents or any right, power or remedy of any Agent or any Lender thereunder, or (iii) constitute a course of dealing or other basis for altering any Obligations or any other contract or instrument. Except as expressly set forth herein, each of the Agents and Lenders reserves all of its rights, powers, and remedies under the Credit Agreement, the other Loan Documents, and/or applicable law. All of the provisions of the Credit Agreement and the other Loan Documents, including, without limitation, the time of the essence provisions, are hereby reiterated, and if ever waived, reinstated.</w:t>
      </w:r>
    </w:p>
    <w:p>
      <w:pPr>
        <w:spacing w:after="0" w:line="145" w:lineRule="exact"/>
        <w:rPr>
          <w:rFonts w:ascii="Arial" w:cs="Arial" w:eastAsia="Arial" w:hAnsi="Arial"/>
          <w:sz w:val="16"/>
          <w:szCs w:val="16"/>
          <w:color w:val="auto"/>
        </w:rPr>
      </w:pPr>
    </w:p>
    <w:p>
      <w:pPr>
        <w:jc w:val="both"/>
        <w:ind w:right="380" w:firstLine="921"/>
        <w:spacing w:after="0" w:line="259" w:lineRule="auto"/>
        <w:tabs>
          <w:tab w:leader="none" w:pos="115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Upon the effectiveness of this Amendment and Waiver (and the occurrence of the Credit Agreement Amendment Date), all references to the Credit Agreement in any Loan Document shall mean and be a reference to the Credit Agreement, as amended hereby, and the term “Loan Documents” shall include, without limitation, this Amendment and Waiver.</w:t>
      </w:r>
    </w:p>
    <w:p>
      <w:pPr>
        <w:spacing w:after="0" w:line="13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 xml:space="preserve">SECTION 6. Costs and Expenses. </w:t>
      </w:r>
      <w:r>
        <w:rPr>
          <w:rFonts w:ascii="Arial" w:cs="Arial" w:eastAsia="Arial" w:hAnsi="Arial"/>
          <w:sz w:val="18"/>
          <w:szCs w:val="18"/>
          <w:color w:val="auto"/>
        </w:rPr>
        <w:t>Each of the Borrowers agrees jointly and severally to reimburse Agents and Lenders for all reasonable fees,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the reasonable fees, costs and expenses of counsel or other advisors for advice, assistance, or other representation in connection with this Amendment and Waiver.</w:t>
      </w:r>
    </w:p>
    <w:p>
      <w:pPr>
        <w:spacing w:after="0" w:line="13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INTERNAL LAWS</w:t>
      </w:r>
      <w:r>
        <w:rPr>
          <w:rFonts w:ascii="Arial" w:cs="Arial" w:eastAsia="Arial" w:hAnsi="Arial"/>
          <w:sz w:val="18"/>
          <w:szCs w:val="18"/>
          <w:b w:val="1"/>
          <w:bCs w:val="1"/>
          <w:color w:val="auto"/>
        </w:rPr>
        <w:t xml:space="preserve"> </w:t>
      </w:r>
      <w:r>
        <w:rPr>
          <w:rFonts w:ascii="Arial" w:cs="Arial" w:eastAsia="Arial" w:hAnsi="Arial"/>
          <w:sz w:val="18"/>
          <w:szCs w:val="18"/>
          <w:color w:val="auto"/>
        </w:rPr>
        <w:t>(AS OPPOSED TO CONFLICTS OF LAWS PROVISIONS) OF THE STATE OF NEW YORK.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222" w:name="page223"/>
    <w:bookmarkEnd w:id="222"/>
    <w:p>
      <w:pPr>
        <w:ind w:right="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headings in this Amendment and Waiver are included herein for convenience of reference only and shall not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Waiver for any other purposes.</w:t>
      </w:r>
    </w:p>
    <w:p>
      <w:pPr>
        <w:spacing w:after="0" w:line="120"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and Waiver may be executed in any number of counterparts, each of which when so executed shall be deemed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such counterparts shall constitute one and the same instrument, and all signatures need not appear on any one counterpart. Any party hereto may execute and deliver a counterpart of this Amendment and Waiver by delivering by facsimile transmission a signature page of this Amendment and Waiver signed by such party, and any such facsimile signature shall be treated in all respects as having the same effect as an original signature. Any party delivering by facsimile transmission a counterpart executed by it shall promptly thereafter also deliver a manually signed counterpart of this Amendment and Waiver.</w:t>
      </w:r>
    </w:p>
    <w:p>
      <w:pPr>
        <w:spacing w:after="0" w:line="10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payment and performance of each of the obligations of any of the parties hereunder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conditions to be satisfied by such party.</w:t>
      </w:r>
    </w:p>
    <w:p>
      <w:pPr>
        <w:spacing w:after="0" w:line="120"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agrees to take, and to cause its Subsidiaries to take, all further actions and to execute and deliver, and to</w:t>
      </w:r>
      <w:r>
        <w:rPr>
          <w:rFonts w:ascii="Arial" w:cs="Arial" w:eastAsia="Arial" w:hAnsi="Arial"/>
          <w:sz w:val="18"/>
          <w:szCs w:val="18"/>
          <w:b w:val="1"/>
          <w:bCs w:val="1"/>
          <w:color w:val="auto"/>
        </w:rPr>
        <w:t xml:space="preserve"> </w:t>
      </w:r>
      <w:r>
        <w:rPr>
          <w:rFonts w:ascii="Arial" w:cs="Arial" w:eastAsia="Arial" w:hAnsi="Arial"/>
          <w:sz w:val="18"/>
          <w:szCs w:val="18"/>
          <w:color w:val="auto"/>
        </w:rPr>
        <w:t>cause its Subsidiaries to execute and deliver, all further documents as the Agents, or either of them, may from time to time reasonably request to carry out the transactions contemplated by this Amendment and Waiver.</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Waiver shall become effective at the time that all of the following conditions precedent have been satisfied</w:t>
      </w:r>
      <w:r>
        <w:rPr>
          <w:rFonts w:ascii="Arial" w:cs="Arial" w:eastAsia="Arial" w:hAnsi="Arial"/>
          <w:sz w:val="18"/>
          <w:szCs w:val="18"/>
          <w:b w:val="1"/>
          <w:bCs w:val="1"/>
          <w:color w:val="auto"/>
        </w:rPr>
        <w:t xml:space="preserve"> </w:t>
      </w:r>
      <w:r>
        <w:rPr>
          <w:rFonts w:ascii="Arial" w:cs="Arial" w:eastAsia="Arial" w:hAnsi="Arial"/>
          <w:sz w:val="18"/>
          <w:szCs w:val="18"/>
          <w:color w:val="auto"/>
        </w:rPr>
        <w:t>(or waived) as determined by the Required Lenders in their sole discretion (as evidenced by the Required Lenders’ execution and delivery of this Amendment and Waiver):</w:t>
      </w:r>
    </w:p>
    <w:p>
      <w:pPr>
        <w:spacing w:after="0" w:line="138" w:lineRule="exact"/>
        <w:rPr>
          <w:sz w:val="20"/>
          <w:szCs w:val="20"/>
          <w:color w:val="auto"/>
        </w:rPr>
      </w:pPr>
    </w:p>
    <w:p>
      <w:pPr>
        <w:ind w:right="60" w:firstLine="921"/>
        <w:spacing w:after="0" w:line="268" w:lineRule="auto"/>
        <w:tabs>
          <w:tab w:leader="none" w:pos="115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Amendment and Waiver Executed</w:t>
      </w:r>
      <w:r>
        <w:rPr>
          <w:rFonts w:ascii="Arial" w:cs="Arial" w:eastAsia="Arial" w:hAnsi="Arial"/>
          <w:sz w:val="18"/>
          <w:szCs w:val="18"/>
          <w:color w:val="auto"/>
        </w:rPr>
        <w:t>. Duly executed signature pages for this Amendment and Waiver signed by the Required Lenders and the Loan Parties shall have been delivered to Administrative Agent.</w:t>
      </w:r>
    </w:p>
    <w:p>
      <w:pPr>
        <w:spacing w:after="0" w:line="131" w:lineRule="exact"/>
        <w:rPr>
          <w:rFonts w:ascii="Arial" w:cs="Arial" w:eastAsia="Arial" w:hAnsi="Arial"/>
          <w:sz w:val="18"/>
          <w:szCs w:val="18"/>
          <w:color w:val="auto"/>
        </w:rPr>
      </w:pPr>
    </w:p>
    <w:p>
      <w:pPr>
        <w:ind w:right="380" w:firstLine="921"/>
        <w:spacing w:after="0" w:line="268" w:lineRule="auto"/>
        <w:tabs>
          <w:tab w:leader="none" w:pos="116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contained herein shall be true and correct in all material respects and no Event of Default or Default shall exist on such date.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All of the expenses owing to the Agents under Section 10.03 of the Credit Agreement shall have been paid in full.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Signature Pages Follow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Ninth Amendment and Waiver has been executed by the parties hereto as of the date first written above.</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MAGNACHIP SEMICONDUCTOR S.A., a Luxembourg</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company</w:t>
      </w:r>
    </w:p>
    <w:p>
      <w:pPr>
        <w:spacing w:after="0" w:line="367" w:lineRule="exact"/>
        <w:rPr>
          <w:sz w:val="20"/>
          <w:szCs w:val="20"/>
          <w:color w:val="auto"/>
        </w:rPr>
      </w:pPr>
    </w:p>
    <w:p>
      <w:pPr>
        <w:ind w:left="5940"/>
        <w:spacing w:after="0"/>
        <w:tabs>
          <w:tab w:leader="none" w:pos="642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10795</wp:posOffset>
            </wp:positionV>
            <wp:extent cx="25730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36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MAGNACHIP SEMICONDUCTOR FINANCE COMPANY, a</w:t>
      </w:r>
    </w:p>
    <w:p>
      <w:pPr>
        <w:spacing w:after="0" w:line="3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Delaware limited liability company</w:t>
      </w:r>
    </w:p>
    <w:p>
      <w:pPr>
        <w:spacing w:after="0" w:line="367" w:lineRule="exact"/>
        <w:rPr>
          <w:sz w:val="20"/>
          <w:szCs w:val="20"/>
          <w:color w:val="auto"/>
        </w:rPr>
      </w:pPr>
    </w:p>
    <w:p>
      <w:pPr>
        <w:ind w:left="5940"/>
        <w:spacing w:after="0"/>
        <w:tabs>
          <w:tab w:leader="none" w:pos="642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10795</wp:posOffset>
            </wp:positionV>
            <wp:extent cx="25730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10400"/>
          </w:cols>
          <w:pgMar w:left="1160" w:top="280" w:right="339" w:bottom="1440" w:gutter="0" w:footer="0" w:header="0"/>
        </w:sectPr>
      </w:pPr>
    </w:p>
    <w:bookmarkStart w:id="224" w:name="page225"/>
    <w:bookmarkEnd w:id="22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LLC, a Delaware limited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liability company</w:t>
      </w:r>
    </w:p>
    <w:p>
      <w:pPr>
        <w:spacing w:after="0" w:line="3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80"/>
          </w:cols>
          <w:pgMar w:left="1440" w:top="644" w:right="379" w:bottom="1440" w:gutter="0" w:footer="0" w:header="0"/>
        </w:sectPr>
      </w:pPr>
    </w:p>
    <w:bookmarkStart w:id="225" w:name="page226"/>
    <w:bookmarkEnd w:id="225"/>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p>
    <w:p>
      <w:pPr>
        <w:spacing w:after="0" w:line="37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MAGNACHIP SEMICONDUCTOR, INC., a California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corporation</w:t>
      </w:r>
    </w:p>
    <w:p>
      <w:pPr>
        <w:spacing w:after="0" w:line="3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9620"/>
          </w:cols>
          <w:pgMar w:left="1440" w:top="280" w:right="839" w:bottom="1440" w:gutter="0" w:footer="0" w:header="0"/>
        </w:sectPr>
      </w:pPr>
    </w:p>
    <w:bookmarkStart w:id="226" w:name="page227"/>
    <w:bookmarkEnd w:id="22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SA HOLDINGS LLC,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Delaware limited liability company</w:t>
      </w:r>
    </w:p>
    <w:p>
      <w:pPr>
        <w:spacing w:after="0" w:line="3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10020"/>
          </w:cols>
          <w:pgMar w:left="1440" w:top="280" w:right="439" w:bottom="1440" w:gutter="0" w:footer="0" w:header="0"/>
        </w:sectPr>
      </w:pPr>
    </w:p>
    <w:bookmarkStart w:id="227" w:name="page228"/>
    <w:bookmarkEnd w:id="22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 a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incorporated in England and Wales with registered number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05232381</w:t>
      </w:r>
    </w:p>
    <w:p>
      <w:pPr>
        <w:spacing w:after="0" w:line="3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9880"/>
          </w:cols>
          <w:pgMar w:left="1440" w:top="280" w:right="579" w:bottom="1440" w:gutter="0" w:footer="0" w:header="0"/>
        </w:sectPr>
      </w:pPr>
    </w:p>
    <w:bookmarkStart w:id="228" w:name="page229"/>
    <w:bookmarkEnd w:id="22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 a Japanese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3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9540"/>
          </w:cols>
          <w:pgMar w:left="1440" w:top="280" w:right="91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28"/>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For execution as a deed: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2"/>
        </w:trPr>
        <w:tc>
          <w:tcPr>
            <w:tcW w:w="438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as duly appointed attorney</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pursuant to a power of attorney</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dated</w:t>
            </w:r>
          </w:p>
        </w:tc>
        <w:tc>
          <w:tcPr>
            <w:tcW w:w="3740" w:type="dxa"/>
            <w:vAlign w:val="bottom"/>
          </w:tcPr>
          <w:p>
            <w:pPr>
              <w:spacing w:after="0"/>
              <w:rPr>
                <w:sz w:val="18"/>
                <w:szCs w:val="18"/>
                <w:color w:val="auto"/>
              </w:rPr>
            </w:pP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MAGNACHIP SEMICONDUCTOR</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ind w:left="100"/>
              <w:spacing w:after="0"/>
              <w:rPr>
                <w:sz w:val="20"/>
                <w:szCs w:val="20"/>
                <w:color w:val="auto"/>
              </w:rPr>
            </w:pPr>
            <w:r>
              <w:rPr>
                <w:rFonts w:ascii="Arial" w:cs="Arial" w:eastAsia="Arial" w:hAnsi="Arial"/>
                <w:sz w:val="18"/>
                <w:szCs w:val="18"/>
                <w:color w:val="auto"/>
              </w:rPr>
              <w:t>LIMITED</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488"/>
        </w:trPr>
        <w:tc>
          <w:tcPr>
            <w:tcW w:w="640" w:type="dxa"/>
            <w:vAlign w:val="bottom"/>
          </w:tcPr>
          <w:p>
            <w:pPr>
              <w:spacing w:after="0"/>
              <w:rPr>
                <w:sz w:val="20"/>
                <w:szCs w:val="20"/>
                <w:color w:val="auto"/>
              </w:rPr>
            </w:pPr>
            <w:r>
              <w:rPr>
                <w:rFonts w:ascii="Arial" w:cs="Arial" w:eastAsia="Arial" w:hAnsi="Arial"/>
                <w:sz w:val="18"/>
                <w:szCs w:val="18"/>
                <w:color w:val="auto"/>
                <w:w w:val="89"/>
              </w:rPr>
              <w:t>Witness:</w:t>
            </w:r>
          </w:p>
        </w:tc>
        <w:tc>
          <w:tcPr>
            <w:tcW w:w="3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89"/>
              </w:rPr>
              <w:t>Witness:</w:t>
            </w:r>
          </w:p>
        </w:tc>
      </w:tr>
      <w:tr>
        <w:trPr>
          <w:trHeight w:val="38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rPr>
              <w:t>Name:</w:t>
            </w: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w w:val="87"/>
              </w:rPr>
              <w:t>Address:</w:t>
            </w: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87"/>
              </w:rPr>
              <w:t>Address:</w:t>
            </w:r>
          </w:p>
        </w:tc>
      </w:tr>
      <w:tr>
        <w:trPr>
          <w:trHeight w:val="459"/>
        </w:trPr>
        <w:tc>
          <w:tcPr>
            <w:tcW w:w="4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For execution otherwise than as a deed: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2"/>
        </w:trPr>
        <w:tc>
          <w:tcPr>
            <w:tcW w:w="4380" w:type="dxa"/>
            <w:vAlign w:val="bottom"/>
            <w:gridSpan w:val="2"/>
          </w:tcPr>
          <w:p>
            <w:pPr>
              <w:spacing w:after="0"/>
              <w:rPr>
                <w:sz w:val="20"/>
                <w:szCs w:val="20"/>
                <w:color w:val="auto"/>
              </w:rPr>
            </w:pPr>
            <w:r>
              <w:rPr>
                <w:rFonts w:ascii="Arial" w:cs="Arial" w:eastAsia="Arial" w:hAnsi="Arial"/>
                <w:sz w:val="18"/>
                <w:szCs w:val="18"/>
                <w:color w:val="auto"/>
              </w:rPr>
              <w:t>SIGNED by /s/ Robert Krakauer</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as duly appointed attorney</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pursuant to a power of attorney</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dated</w:t>
            </w:r>
          </w:p>
        </w:tc>
        <w:tc>
          <w:tcPr>
            <w:tcW w:w="3740" w:type="dxa"/>
            <w:vAlign w:val="bottom"/>
          </w:tcPr>
          <w:p>
            <w:pPr>
              <w:spacing w:after="0"/>
              <w:rPr>
                <w:sz w:val="18"/>
                <w:szCs w:val="18"/>
                <w:color w:val="auto"/>
              </w:rPr>
            </w:pP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MAGNACHIP SEMICONDUCTOR</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ind w:left="100"/>
              <w:spacing w:after="0"/>
              <w:rPr>
                <w:sz w:val="20"/>
                <w:szCs w:val="20"/>
                <w:color w:val="auto"/>
              </w:rPr>
            </w:pPr>
            <w:r>
              <w:rPr>
                <w:rFonts w:ascii="Arial" w:cs="Arial" w:eastAsia="Arial" w:hAnsi="Arial"/>
                <w:sz w:val="18"/>
                <w:szCs w:val="18"/>
                <w:color w:val="auto"/>
              </w:rPr>
              <w:t>LIMITED</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10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502"/>
        </w:trPr>
        <w:tc>
          <w:tcPr>
            <w:tcW w:w="640" w:type="dxa"/>
            <w:vAlign w:val="bottom"/>
          </w:tcPr>
          <w:p>
            <w:pPr>
              <w:spacing w:after="0"/>
              <w:rPr>
                <w:sz w:val="20"/>
                <w:szCs w:val="20"/>
                <w:color w:val="auto"/>
              </w:rPr>
            </w:pPr>
            <w:r>
              <w:rPr>
                <w:rFonts w:ascii="Arial" w:cs="Arial" w:eastAsia="Arial" w:hAnsi="Arial"/>
                <w:sz w:val="18"/>
                <w:szCs w:val="18"/>
                <w:color w:val="auto"/>
                <w:w w:val="89"/>
              </w:rPr>
              <w:t>Witness:</w:t>
            </w:r>
          </w:p>
        </w:tc>
        <w:tc>
          <w:tcPr>
            <w:tcW w:w="3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John McFarland</w:t>
            </w:r>
          </w:p>
        </w:tc>
        <w:tc>
          <w:tcPr>
            <w:tcW w:w="8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8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160"/>
              <w:spacing w:after="0"/>
              <w:rPr>
                <w:sz w:val="20"/>
                <w:szCs w:val="20"/>
                <w:color w:val="auto"/>
              </w:rPr>
            </w:pPr>
            <w:r>
              <w:rPr>
                <w:rFonts w:ascii="Arial" w:cs="Arial" w:eastAsia="Arial" w:hAnsi="Arial"/>
                <w:sz w:val="18"/>
                <w:szCs w:val="18"/>
                <w:color w:val="auto"/>
              </w:rPr>
              <w:t>John McFarland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w w:val="87"/>
              </w:rPr>
              <w:t>Address:</w:t>
            </w:r>
          </w:p>
        </w:tc>
        <w:tc>
          <w:tcPr>
            <w:tcW w:w="3740" w:type="dxa"/>
            <w:vAlign w:val="bottom"/>
          </w:tcPr>
          <w:p>
            <w:pPr>
              <w:ind w:left="160"/>
              <w:spacing w:after="0"/>
              <w:rPr>
                <w:sz w:val="20"/>
                <w:szCs w:val="20"/>
                <w:color w:val="auto"/>
              </w:rPr>
            </w:pPr>
            <w:r>
              <w:rPr>
                <w:rFonts w:ascii="Arial" w:cs="Arial" w:eastAsia="Arial" w:hAnsi="Arial"/>
                <w:sz w:val="18"/>
                <w:szCs w:val="18"/>
                <w:color w:val="auto"/>
                <w:w w:val="97"/>
              </w:rPr>
              <w:t>891 Daechi-dong, Gangnam-gu, Seoul, Korea</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-2982595</wp:posOffset>
            </wp:positionV>
            <wp:extent cx="23323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CERTIFICATION LANGUAGE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being a director of MagnaChip Semiconductor Limited, do hereby certify that this document is a true and complete copy of its original.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837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10860"/>
          </w:cols>
          <w:pgMar w:left="240" w:top="274" w:right="79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LTD., a Taiwan company</w:t>
      </w:r>
    </w:p>
    <w:p>
      <w:pPr>
        <w:spacing w:after="0" w:line="374"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10140"/>
          </w:cols>
          <w:pgMar w:left="1440" w:top="280" w:right="319" w:bottom="1440" w:gutter="0" w:footer="0" w:header="0"/>
        </w:sectPr>
      </w:pPr>
    </w:p>
    <w:bookmarkStart w:id="231" w:name="page232"/>
    <w:bookmarkEnd w:id="23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SEMICONDUCTOR B.V.</w:t>
      </w:r>
    </w:p>
    <w:p>
      <w:pPr>
        <w:spacing w:after="0" w:line="367"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Boermans</w:t>
            </w:r>
          </w:p>
        </w:tc>
        <w:tc>
          <w:tcPr>
            <w:tcW w:w="40" w:type="dxa"/>
            <w:vAlign w:val="bottom"/>
          </w:tcPr>
          <w:p>
            <w:pPr>
              <w:spacing w:after="0"/>
              <w:rPr>
                <w:sz w:val="19"/>
                <w:szCs w:val="19"/>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Anne-Marie Kuijpers</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Name: Stefan Boermans</w:t>
            </w:r>
          </w:p>
        </w:tc>
        <w:tc>
          <w:tcPr>
            <w:tcW w:w="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Anne-Marie Kuijpers</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96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10220"/>
          </w:cols>
          <w:pgMar w:left="1440" w:top="280" w:right="239" w:bottom="1440" w:gutter="0" w:footer="0" w:header="0"/>
        </w:sectPr>
      </w:pPr>
    </w:p>
    <w:bookmarkStart w:id="232" w:name="page233"/>
    <w:bookmarkEnd w:id="23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HOLDING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a British Virgin Islands company</w:t>
      </w:r>
    </w:p>
    <w:p>
      <w:pPr>
        <w:spacing w:after="0" w:line="3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10020"/>
          </w:cols>
          <w:pgMar w:left="1440" w:top="280" w:right="439" w:bottom="1440" w:gutter="0" w:footer="0" w:header="0"/>
        </w:sectPr>
      </w:pPr>
    </w:p>
    <w:bookmarkStart w:id="233" w:name="page234"/>
    <w:bookmarkEnd w:id="23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INTERNATIONAL CORPORATION, a Cayman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Islands company</w:t>
      </w:r>
    </w:p>
    <w:p>
      <w:pPr>
        <w:spacing w:after="0" w:line="3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9960"/>
          </w:cols>
          <w:pgMar w:left="1440" w:top="280" w:right="499" w:bottom="1440" w:gutter="0" w:footer="0" w:header="0"/>
        </w:sectPr>
      </w:pPr>
    </w:p>
    <w:bookmarkStart w:id="234" w:name="page235"/>
    <w:bookmarkEnd w:id="23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SECURITIES LLC, as Arranger, Syndication Agent and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Documentation Agent</w:t>
      </w:r>
    </w:p>
    <w:p>
      <w:pPr>
        <w:spacing w:after="0" w:line="3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Mary E. Evans</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pacing w:after="0" w:line="381"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Irja R. Otsa</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pacing w:after="0" w:line="38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UBS AG, STAMFORD BRANCH, as Administrative Agent and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Collateral Agent</w:t>
      </w:r>
    </w:p>
    <w:p>
      <w:pPr>
        <w:spacing w:after="0" w:line="3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Mary E. Evans</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pacing w:after="0" w:line="381"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Irja R. Otsa</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pacing w:after="0" w:line="3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LOAN FINANCE LLC, as Swingline Lender</w:t>
      </w:r>
    </w:p>
    <w:p>
      <w:pPr>
        <w:spacing w:after="0" w:line="374"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Mary E. Evans</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pacing w:after="0" w:line="381"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Irja R. Otsa</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pacing w:after="0" w:line="165"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10200"/>
          </w:cols>
          <w:pgMar w:left="1440" w:top="644" w:right="259" w:bottom="1440" w:gutter="0" w:footer="0" w:header="0"/>
        </w:sectPr>
      </w:pPr>
    </w:p>
    <w:bookmarkStart w:id="235" w:name="page236"/>
    <w:bookmarkEnd w:id="23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374"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Il-Won Joo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Il-Won Joo</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Relationship Manager</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9019"/>
          </w:cols>
          <w:pgMar w:left="1440" w:top="280" w:right="1440"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374"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Sandip Khosla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Sandip Khosla</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9080"/>
          </w:cols>
          <w:pgMar w:left="1440" w:top="280" w:right="1379" w:bottom="1440" w:gutter="0" w:footer="0" w:header="0"/>
        </w:sectPr>
      </w:pPr>
    </w:p>
    <w:bookmarkStart w:id="237" w:name="page238"/>
    <w:bookmarkEnd w:id="237"/>
    <w:p>
      <w:pPr>
        <w:jc w:val="right"/>
        <w:ind w:right="6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374"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Carl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Carl Cho</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9019"/>
          </w:cols>
          <w:pgMar w:left="1440" w:top="280" w:right="1440" w:bottom="1440" w:gutter="0" w:footer="0" w:header="0"/>
        </w:sectPr>
      </w:pPr>
    </w:p>
    <w:bookmarkStart w:id="238" w:name="page239"/>
    <w:bookmarkEnd w:id="238"/>
    <w:p>
      <w:pPr>
        <w:jc w:val="right"/>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374"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William A.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A. Austin</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9019"/>
          </w:cols>
          <w:pgMar w:left="1440" w:top="280" w:right="1440"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pacing w:after="0" w:line="374"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Paul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Paul O’Leary</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DEUTSCHE BANK TRUST COMPANY AMERICAS</w:t>
      </w:r>
    </w:p>
    <w:p>
      <w:pPr>
        <w:spacing w:after="0" w:line="374"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Omayra Laurella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Omarya Laurella</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Signature Page to Ninth Amendment and Waiver</w:t>
      </w:r>
    </w:p>
    <w:p>
      <w:pPr>
        <w:sectPr>
          <w:pgSz w:w="11900" w:h="16838" w:orient="portrait"/>
          <w:cols w:equalWidth="0" w:num="1">
            <w:col w:w="9580"/>
          </w:cols>
          <w:pgMar w:left="1440" w:top="280" w:right="87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06" w:lineRule="exact"/>
        <w:rPr>
          <w:sz w:val="20"/>
          <w:szCs w:val="20"/>
          <w:color w:val="auto"/>
        </w:rPr>
      </w:pPr>
    </w:p>
    <w:p>
      <w:pPr>
        <w:ind w:left="460" w:hanging="452"/>
        <w:spacing w:after="0" w:line="293"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newly formed Delaware limited liability company, which is wholly owned by a newly formed Delaware corporation (“</w:t>
      </w:r>
      <w:r>
        <w:rPr>
          <w:rFonts w:ascii="Arial" w:cs="Arial" w:eastAsia="Arial" w:hAnsi="Arial"/>
          <w:sz w:val="16"/>
          <w:szCs w:val="16"/>
          <w:b w:val="1"/>
          <w:bCs w:val="1"/>
          <w:color w:val="auto"/>
        </w:rPr>
        <w:t>IPO Issuer</w:t>
      </w:r>
      <w:r>
        <w:rPr>
          <w:rFonts w:ascii="Arial" w:cs="Arial" w:eastAsia="Arial" w:hAnsi="Arial"/>
          <w:sz w:val="16"/>
          <w:szCs w:val="16"/>
          <w:color w:val="auto"/>
        </w:rPr>
        <w:t>”) will be merged on or about the effective date of the Form S-1 Registration Statement filed by the IPO Issuer and/or MagnaChip Semiconductor LLC with respect to the Initial Public Offering (as defined below), with and into MagnaChip Semiconductor LLC (the “</w:t>
      </w:r>
      <w:r>
        <w:rPr>
          <w:rFonts w:ascii="Arial" w:cs="Arial" w:eastAsia="Arial" w:hAnsi="Arial"/>
          <w:sz w:val="16"/>
          <w:szCs w:val="16"/>
          <w:b w:val="1"/>
          <w:bCs w:val="1"/>
          <w:color w:val="auto"/>
        </w:rPr>
        <w:t>Reverse Merger</w:t>
      </w:r>
      <w:r>
        <w:rPr>
          <w:rFonts w:ascii="Arial" w:cs="Arial" w:eastAsia="Arial" w:hAnsi="Arial"/>
          <w:sz w:val="16"/>
          <w:szCs w:val="16"/>
          <w:color w:val="auto"/>
        </w:rPr>
        <w:t>”), after which MagnaChip Semiconductor LLC will be wholly owned by the IPO Issuer. Neither IPO Issuer nor the merged limited liability company shall have engaged in any other business transactions or assumed any liabilities of other parties, except for obligations of IPO Issuer and such merged limited liability company with respect to the Initial Public Offering. The name of the IPO Issuer is contemplated to be “MagnaChip Semiconductor Corporation.”</w:t>
      </w:r>
    </w:p>
    <w:p>
      <w:pPr>
        <w:spacing w:after="0" w:line="157"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connection with the Reverse Merger, the common unitholders of MagnaChip Semiconductor LLC will exchange such common units for common stock of the IPO Issuer, and the Series B preferred unitholders of MagnaChip Semiconductor LLC will exchange such Series B preferred units for either common stock or Series B preferred stock of the IPO Issuer. The terms of the Series B preferred stock shall comply with the requirements for Qualified Capital Stock.</w:t>
      </w:r>
    </w:p>
    <w:p>
      <w:pPr>
        <w:spacing w:after="0" w:line="177" w:lineRule="exact"/>
        <w:rPr>
          <w:rFonts w:ascii="Arial" w:cs="Arial" w:eastAsia="Arial" w:hAnsi="Arial"/>
          <w:sz w:val="18"/>
          <w:szCs w:val="18"/>
          <w:color w:val="auto"/>
        </w:rPr>
      </w:pPr>
    </w:p>
    <w:p>
      <w:pPr>
        <w:ind w:left="460" w:right="340" w:hanging="452"/>
        <w:spacing w:after="0" w:line="275"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following the Reverse Merger, the IPO Issuer will consummate a fully underwritten IPO of its common stock (the “</w:t>
      </w:r>
      <w:r>
        <w:rPr>
          <w:rFonts w:ascii="Arial" w:cs="Arial" w:eastAsia="Arial" w:hAnsi="Arial"/>
          <w:sz w:val="18"/>
          <w:szCs w:val="18"/>
          <w:b w:val="1"/>
          <w:bCs w:val="1"/>
          <w:color w:val="auto"/>
        </w:rPr>
        <w:t>Initial Public Offering</w:t>
      </w:r>
      <w:r>
        <w:rPr>
          <w:rFonts w:ascii="Arial" w:cs="Arial" w:eastAsia="Arial" w:hAnsi="Arial"/>
          <w:sz w:val="18"/>
          <w:szCs w:val="18"/>
          <w:color w:val="auto"/>
        </w:rPr>
        <w:t>”) pursuant to which the Loan Parties:</w:t>
      </w:r>
    </w:p>
    <w:p>
      <w:pPr>
        <w:spacing w:after="0" w:line="166"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will pay whatever amount is then required (estimated as of the date hereof to be approximately $50 million) to repay all Loans that are due under the Credit Agreement as of the date of the Initial Public Offering;</w:t>
      </w:r>
    </w:p>
    <w:p>
      <w:pPr>
        <w:spacing w:after="0" w:line="172"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will pay up to $35 million in incentive payments to all of the employees of the Loan Parties other than their senior vice presidents and those officers ranking above such senior vice presidents;</w:t>
      </w:r>
    </w:p>
    <w:p>
      <w:pPr>
        <w:spacing w:after="0" w:line="172" w:lineRule="exact"/>
        <w:rPr>
          <w:rFonts w:ascii="Arial" w:cs="Arial" w:eastAsia="Arial" w:hAnsi="Arial"/>
          <w:sz w:val="18"/>
          <w:szCs w:val="18"/>
          <w:color w:val="auto"/>
        </w:rPr>
      </w:pPr>
    </w:p>
    <w:p>
      <w:pPr>
        <w:ind w:left="900" w:right="180" w:hanging="446"/>
        <w:spacing w:after="0" w:line="268"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will pay amounts under the Management Service Agreements (as amended) in connection with the terminations thereof in an amount not to exceed $10 million;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anticipate repurchasing or redeeming all of the outstanding shares of IPO Issuer Series B preferred stock;</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anticipate paying the underwriting discount with respect to the Initial Public Offering and the expenses of the offering;</w:t>
      </w:r>
    </w:p>
    <w:p>
      <w:pPr>
        <w:spacing w:after="0" w:line="211"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anticipate repurchasing or redeeming for cash a portion of the outstanding Senior Secured Notes and/or Senior Subordinated Notes (collectively, the “</w:t>
      </w:r>
      <w:r>
        <w:rPr>
          <w:rFonts w:ascii="Arial" w:cs="Arial" w:eastAsia="Arial" w:hAnsi="Arial"/>
          <w:sz w:val="18"/>
          <w:szCs w:val="18"/>
          <w:b w:val="1"/>
          <w:bCs w:val="1"/>
          <w:color w:val="auto"/>
        </w:rPr>
        <w:t>Notes Repurchase</w:t>
      </w:r>
      <w:r>
        <w:rPr>
          <w:rFonts w:ascii="Arial" w:cs="Arial" w:eastAsia="Arial" w:hAnsi="Arial"/>
          <w:sz w:val="18"/>
          <w:szCs w:val="18"/>
          <w:color w:val="auto"/>
        </w:rPr>
        <w:t>”); and</w:t>
      </w:r>
    </w:p>
    <w:p>
      <w:pPr>
        <w:spacing w:after="0" w:line="172"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anticipate using or reserving from the remaining cash proceeds an amount to be determined by IPO Issuer for working capital purposes of the IPO Issuer and/or the other Loan Parties.</w:t>
      </w:r>
    </w:p>
    <w:p>
      <w:pPr>
        <w:sectPr>
          <w:pgSz w:w="11900" w:h="16838" w:orient="portrait"/>
          <w:cols w:equalWidth="0" w:num="1">
            <w:col w:w="11420"/>
          </w:cols>
          <w:pgMar w:left="240" w:top="280"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10.40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65"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 xml:space="preserve">OPTION AGREEMENT, dated as of October 6, 2004 between MagnaChip Semiconductor LLC, a Delaware limited liability company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T.Y. Hwang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Grantee</w:t>
      </w:r>
      <w:r>
        <w:rPr>
          <w:rFonts w:ascii="Arial" w:cs="Arial" w:eastAsia="Arial" w:hAnsi="Arial"/>
          <w:sz w:val="18"/>
          <w:szCs w:val="18"/>
          <w:b w:val="1"/>
          <w:bCs w:val="1"/>
          <w:color w:val="auto"/>
        </w:rPr>
        <w:t>”</w:t>
      </w:r>
      <w:r>
        <w:rPr>
          <w:rFonts w:ascii="Arial" w:cs="Arial" w:eastAsia="Arial" w:hAnsi="Arial"/>
          <w:sz w:val="18"/>
          <w:szCs w:val="18"/>
          <w:color w:val="auto"/>
        </w:rPr>
        <w:t>), pursuant to the MagnaChip Semiconductor LLC Equity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Capitalized terms that are not defined herein shall have the meanings given to such terms in the Plan.</w:t>
      </w:r>
    </w:p>
    <w:p>
      <w:pPr>
        <w:spacing w:after="0" w:line="132"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of its wholly-owned subsidiary (the “</w:t>
      </w:r>
      <w:r>
        <w:rPr>
          <w:rFonts w:ascii="Arial" w:cs="Arial" w:eastAsia="Arial" w:hAnsi="Arial"/>
          <w:sz w:val="18"/>
          <w:szCs w:val="18"/>
          <w:b w:val="1"/>
          <w:bCs w:val="1"/>
          <w:u w:val="single" w:color="auto"/>
          <w:color w:val="auto"/>
        </w:rPr>
        <w:t>MagnaChip Subsidiary</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in order to effect such grants; and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51" w:lineRule="exact"/>
        <w:rPr>
          <w:sz w:val="20"/>
          <w:szCs w:val="20"/>
          <w:color w:val="auto"/>
        </w:rPr>
      </w:pPr>
    </w:p>
    <w:p>
      <w:pPr>
        <w:ind w:left="640" w:hanging="17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ind w:right="20" w:firstLine="464"/>
        <w:spacing w:after="0" w:line="262"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 xml:space="preserve">. The Company hereby evidences and confirms the grant to the Grantee, effective as of October 6, 2004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w:t>
      </w:r>
      <w:r>
        <w:rPr>
          <w:rFonts w:ascii="Arial" w:cs="Arial" w:eastAsia="Arial" w:hAnsi="Arial"/>
          <w:sz w:val="18"/>
          <w:szCs w:val="18"/>
          <w:color w:val="auto"/>
        </w:rPr>
        <w:t xml:space="preserve">), of options to purchase from the Company the number of Common Units specified on the signature page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r>
        <w:rPr>
          <w:rFonts w:ascii="Arial" w:cs="Arial" w:eastAsia="Arial" w:hAnsi="Arial"/>
          <w:sz w:val="18"/>
          <w:szCs w:val="18"/>
          <w:color w:val="auto"/>
        </w:rPr>
        <w:t>) at the exercise price of US $1.00 per Common Unit (the “</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right="20" w:firstLine="464"/>
        <w:spacing w:after="0" w:line="259" w:lineRule="auto"/>
        <w:tabs>
          <w:tab w:leader="none" w:pos="70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w:t>
      </w:r>
    </w:p>
    <w:p>
      <w:pPr>
        <w:spacing w:after="0" w:line="140"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132" w:lineRule="exact"/>
        <w:rPr>
          <w:sz w:val="20"/>
          <w:szCs w:val="20"/>
          <w:color w:val="auto"/>
        </w:rPr>
      </w:pPr>
    </w:p>
    <w:p>
      <w:pPr>
        <w:ind w:left="640" w:hanging="17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56"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Vesting Provisions</w:t>
      </w:r>
      <w:r>
        <w:rPr>
          <w:rFonts w:ascii="Arial" w:cs="Arial" w:eastAsia="Arial" w:hAnsi="Arial"/>
          <w:sz w:val="18"/>
          <w:szCs w:val="18"/>
          <w:color w:val="auto"/>
        </w:rPr>
        <w:t>. An installment of 25% of the Options shall become exerciseable on September 30, 2005, and additional installments of 6.25% of the Options shall become exerciseable on the last day of each calendar quarter thereafter (each such date, the “</w:t>
      </w:r>
      <w:r>
        <w:rPr>
          <w:rFonts w:ascii="Arial" w:cs="Arial" w:eastAsia="Arial" w:hAnsi="Arial"/>
          <w:sz w:val="18"/>
          <w:szCs w:val="18"/>
          <w:b w:val="1"/>
          <w:bCs w:val="1"/>
          <w:color w:val="auto"/>
        </w:rPr>
        <w:t>Vesting Date</w:t>
      </w:r>
      <w:r>
        <w:rPr>
          <w:rFonts w:ascii="Arial" w:cs="Arial" w:eastAsia="Arial" w:hAnsi="Arial"/>
          <w:sz w:val="18"/>
          <w:szCs w:val="18"/>
          <w:color w:val="auto"/>
        </w:rPr>
        <w:t>” as to the applicable installment of Options), which lapses shall be cumulative, subject to the Grantee’s continuous employment with the MagnaChip Subsidiary from the Grant Date to such Vesting Date.</w:t>
      </w:r>
    </w:p>
    <w:p>
      <w:pPr>
        <w:sectPr>
          <w:pgSz w:w="11900" w:h="16838" w:orient="portrait"/>
          <w:cols w:equalWidth="0" w:num="1">
            <w:col w:w="11420"/>
          </w:cols>
          <w:pgMar w:left="240" w:top="125" w:right="239" w:bottom="1440" w:gutter="0" w:footer="0" w:header="0"/>
        </w:sectPr>
      </w:pPr>
    </w:p>
    <w:bookmarkStart w:id="242" w:name="page243"/>
    <w:bookmarkEnd w:id="242"/>
    <w:p>
      <w:pPr>
        <w:jc w:val="both"/>
        <w:ind w:right="100" w:firstLine="464"/>
        <w:spacing w:after="0" w:line="259"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Normal Expiration Date</w:t>
      </w:r>
      <w:r>
        <w:rPr>
          <w:rFonts w:ascii="Arial" w:cs="Arial" w:eastAsia="Arial" w:hAnsi="Arial"/>
          <w:sz w:val="18"/>
          <w:szCs w:val="18"/>
          <w:color w:val="auto"/>
        </w:rPr>
        <w:t xml:space="preserve">. Unless the Options earlier terminate in accordance with Section 4, the Options shall terminate on the tenth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 Once Options have become exerciseable pursuant to this Section 2, such Options may be exercised, subject to the provisions hereof, at any time and from time to time until the Normal Expiration Date.</w:t>
      </w:r>
    </w:p>
    <w:p>
      <w:pPr>
        <w:spacing w:after="0" w:line="140"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All or part of the exercisable Options may be exercised by the Grantee upon (</w:t>
      </w:r>
      <w:r>
        <w:rPr>
          <w:rFonts w:ascii="Arial" w:cs="Arial" w:eastAsia="Arial" w:hAnsi="Arial"/>
          <w:sz w:val="16"/>
          <w:szCs w:val="16"/>
          <w:u w:val="single" w:color="auto"/>
          <w:color w:val="auto"/>
        </w:rPr>
        <w:t>a</w:t>
      </w:r>
      <w:r>
        <w:rPr>
          <w:rFonts w:ascii="Arial" w:cs="Arial" w:eastAsia="Arial" w:hAnsi="Arial"/>
          <w:sz w:val="16"/>
          <w:szCs w:val="16"/>
          <w:color w:val="auto"/>
        </w:rPr>
        <w:t>) the Grantee’s written notice to the Company of exercise, (</w:t>
      </w:r>
      <w:r>
        <w:rPr>
          <w:rFonts w:ascii="Arial" w:cs="Arial" w:eastAsia="Arial" w:hAnsi="Arial"/>
          <w:sz w:val="16"/>
          <w:szCs w:val="16"/>
          <w:u w:val="single" w:color="auto"/>
          <w:color w:val="auto"/>
        </w:rPr>
        <w:t>b</w:t>
      </w:r>
      <w:r>
        <w:rPr>
          <w:rFonts w:ascii="Arial" w:cs="Arial" w:eastAsia="Arial" w:hAnsi="Arial"/>
          <w:sz w:val="16"/>
          <w:szCs w:val="16"/>
          <w:color w:val="auto"/>
        </w:rPr>
        <w:t>) the Grantee’s payment of the Option Price in full at the time of exercise (</w:t>
      </w:r>
      <w:r>
        <w:rPr>
          <w:rFonts w:ascii="Arial" w:cs="Arial" w:eastAsia="Arial" w:hAnsi="Arial"/>
          <w:sz w:val="16"/>
          <w:szCs w:val="16"/>
          <w:u w:val="single" w:color="auto"/>
          <w:color w:val="auto"/>
        </w:rPr>
        <w:t>i</w:t>
      </w:r>
      <w:r>
        <w:rPr>
          <w:rFonts w:ascii="Arial" w:cs="Arial" w:eastAsia="Arial" w:hAnsi="Arial"/>
          <w:sz w:val="16"/>
          <w:szCs w:val="16"/>
          <w:color w:val="auto"/>
        </w:rPr>
        <w:t>) in cash or cash equivalents or (</w:t>
      </w:r>
      <w:r>
        <w:rPr>
          <w:rFonts w:ascii="Arial" w:cs="Arial" w:eastAsia="Arial" w:hAnsi="Arial"/>
          <w:sz w:val="16"/>
          <w:szCs w:val="16"/>
          <w:u w:val="single" w:color="auto"/>
          <w:color w:val="auto"/>
        </w:rPr>
        <w:t>ii</w:t>
      </w:r>
      <w:r>
        <w:rPr>
          <w:rFonts w:ascii="Arial" w:cs="Arial" w:eastAsia="Arial" w:hAnsi="Arial"/>
          <w:sz w:val="16"/>
          <w:szCs w:val="16"/>
          <w:color w:val="auto"/>
        </w:rPr>
        <w:t>) in accordance with such procedures or in such other form as the Committee shall from time to time determine and (</w:t>
      </w:r>
      <w:r>
        <w:rPr>
          <w:rFonts w:ascii="Arial" w:cs="Arial" w:eastAsia="Arial" w:hAnsi="Arial"/>
          <w:sz w:val="16"/>
          <w:szCs w:val="16"/>
          <w:u w:val="single" w:color="auto"/>
          <w:color w:val="auto"/>
        </w:rPr>
        <w:t>c</w:t>
      </w:r>
      <w:r>
        <w:rPr>
          <w:rFonts w:ascii="Arial" w:cs="Arial" w:eastAsia="Arial" w:hAnsi="Arial"/>
          <w:sz w:val="16"/>
          <w:szCs w:val="16"/>
          <w:color w:val="auto"/>
        </w:rPr>
        <w:t>) the Grantee’s execution of a joinder to the LLC Agreement (if the Grantee is not then a party to such agreement) in order to become a party to such agreement with respect to the Common Units issuable upon the exercise of such Options.</w:t>
      </w:r>
    </w:p>
    <w:p>
      <w:pPr>
        <w:spacing w:after="0" w:line="113" w:lineRule="exact"/>
        <w:rPr>
          <w:sz w:val="20"/>
          <w:szCs w:val="20"/>
          <w:color w:val="auto"/>
        </w:rPr>
      </w:pPr>
    </w:p>
    <w:p>
      <w:pPr>
        <w:ind w:left="640" w:hanging="17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80" w:firstLine="464"/>
        <w:spacing w:after="0" w:line="259"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firstLine="464"/>
        <w:spacing w:after="0" w:line="254"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 shall have an exclusive right to repurchase Common Units acquired by the Grantee upon exercise of any of the Options until the date six months and one day from the date the Grantee’s employment is terminated.</w:t>
      </w:r>
    </w:p>
    <w:p>
      <w:pPr>
        <w:spacing w:after="0" w:line="144" w:lineRule="exact"/>
        <w:rPr>
          <w:sz w:val="20"/>
          <w:szCs w:val="20"/>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Whenever Common Units are to be issued pursuant to the exercise of an Option or any cash payment is to be made hereunder, The Company shall have the power to withhold, or require the Grantee to remit to the Company, an amount sufficient to satisfy federal, state, and local withholding tax requirements relating to such transaction, and the Company may defer payment of cash or issuance of Common Units until such requirements are satisfied.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43" w:name="page244"/>
    <w:bookmarkEnd w:id="243"/>
    <w:p>
      <w:pPr>
        <w:ind w:left="640" w:hanging="17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Awards or Common Stock</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18" w:lineRule="exact"/>
        <w:rPr>
          <w:sz w:val="20"/>
          <w:szCs w:val="20"/>
          <w:color w:val="auto"/>
        </w:rPr>
      </w:pPr>
    </w:p>
    <w:p>
      <w:pPr>
        <w:ind w:left="640" w:hanging="17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13" w:lineRule="exact"/>
        <w:rPr>
          <w:sz w:val="20"/>
          <w:szCs w:val="20"/>
          <w:color w:val="auto"/>
        </w:rPr>
      </w:pPr>
    </w:p>
    <w:p>
      <w:pPr>
        <w:ind w:left="640" w:hanging="17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Common Units shall be issued upon exercise of any Options granted hereunder, if such exercise would result in a violation of applicable law.</w:t>
      </w:r>
    </w:p>
    <w:p>
      <w:pPr>
        <w:spacing w:after="0" w:line="143" w:lineRule="exact"/>
        <w:rPr>
          <w:sz w:val="20"/>
          <w:szCs w:val="20"/>
          <w:color w:val="auto"/>
        </w:rPr>
      </w:pPr>
    </w:p>
    <w:p>
      <w:pPr>
        <w:ind w:left="640" w:hanging="17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the MagnaChip Subsidiary.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44" w:name="page245"/>
    <w:bookmarkEnd w:id="244"/>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132" w:lineRule="exact"/>
        <w:rPr>
          <w:sz w:val="20"/>
          <w:szCs w:val="20"/>
          <w:color w:val="auto"/>
        </w:rPr>
      </w:pPr>
    </w:p>
    <w:p>
      <w:pPr>
        <w:ind w:left="720" w:hanging="256"/>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140" w:lineRule="exact"/>
        <w:rPr>
          <w:sz w:val="20"/>
          <w:szCs w:val="20"/>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120" w:lineRule="exact"/>
        <w:rPr>
          <w:sz w:val="20"/>
          <w:szCs w:val="20"/>
          <w:color w:val="auto"/>
        </w:rPr>
      </w:pPr>
    </w:p>
    <w:p>
      <w:pPr>
        <w:ind w:left="720" w:hanging="25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891 Daechi-dong Kangnam-gu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5680" w:right="3800" w:hanging="5226"/>
        <w:spacing w:after="0" w:line="440" w:lineRule="auto"/>
        <w:tabs>
          <w:tab w:leader="none" w:pos="90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to the Grantee, to the Grantee at the address as reflected in the Company’s books and records. 4</w:t>
      </w:r>
    </w:p>
    <w:p>
      <w:pPr>
        <w:sectPr>
          <w:pgSz w:w="11900" w:h="16838" w:orient="portrait"/>
          <w:cols w:equalWidth="0" w:num="1">
            <w:col w:w="11420"/>
          </w:cols>
          <w:pgMar w:left="240" w:top="280" w:right="239" w:bottom="1440" w:gutter="0" w:footer="0" w:header="0"/>
        </w:sectPr>
      </w:pPr>
    </w:p>
    <w:bookmarkStart w:id="245" w:name="page246"/>
    <w:bookmarkEnd w:id="245"/>
    <w:p>
      <w:pPr>
        <w:ind w:left="44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left="-20" w:right="80" w:firstLine="464"/>
        <w:spacing w:after="0" w:line="335" w:lineRule="auto"/>
        <w:tabs>
          <w:tab w:leader="none" w:pos="685" w:val="left"/>
        </w:tabs>
        <w:numPr>
          <w:ilvl w:val="0"/>
          <w:numId w:val="126"/>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left="-20" w:firstLine="464"/>
        <w:spacing w:after="0" w:line="289" w:lineRule="auto"/>
        <w:tabs>
          <w:tab w:leader="none" w:pos="675"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18" w:lineRule="exact"/>
        <w:rPr>
          <w:rFonts w:ascii="Arial" w:cs="Arial" w:eastAsia="Arial" w:hAnsi="Arial"/>
          <w:sz w:val="16"/>
          <w:szCs w:val="16"/>
          <w:color w:val="auto"/>
        </w:rPr>
      </w:pPr>
    </w:p>
    <w:p>
      <w:pPr>
        <w:ind w:left="-20" w:right="20" w:firstLine="464"/>
        <w:spacing w:after="0" w:line="306" w:lineRule="auto"/>
        <w:tabs>
          <w:tab w:leader="none" w:pos="656"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06" w:lineRule="exact"/>
        <w:rPr>
          <w:rFonts w:ascii="Arial" w:cs="Arial" w:eastAsia="Arial" w:hAnsi="Arial"/>
          <w:sz w:val="16"/>
          <w:szCs w:val="16"/>
          <w:color w:val="auto"/>
        </w:rPr>
      </w:pPr>
    </w:p>
    <w:p>
      <w:pPr>
        <w:ind w:left="-20" w:firstLine="464"/>
        <w:spacing w:after="0" w:line="268" w:lineRule="auto"/>
        <w:tabs>
          <w:tab w:leader="none" w:pos="68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left="-20" w:right="560" w:firstLine="464"/>
        <w:spacing w:after="0" w:line="268" w:lineRule="auto"/>
        <w:tabs>
          <w:tab w:leader="none" w:pos="68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left="-20" w:right="620" w:firstLine="464"/>
        <w:spacing w:after="0" w:line="268" w:lineRule="auto"/>
        <w:tabs>
          <w:tab w:leader="none" w:pos="64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246" w:name="page247"/>
    <w:bookmarkEnd w:id="24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Grantee have duly executed this Agreement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T.Y.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T.Y. Hwang</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Number of Common Units: 272,899</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59"/>
          </w:cols>
          <w:pgMar w:left="700" w:top="280" w:right="1440"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65"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 xml:space="preserve">OPTION AGREEMENT, dated as of October 6, 2004 between MagnaChip Semiconductor LLC, a Delaware limited liability company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Channy Lee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Grantee</w:t>
      </w:r>
      <w:r>
        <w:rPr>
          <w:rFonts w:ascii="Arial" w:cs="Arial" w:eastAsia="Arial" w:hAnsi="Arial"/>
          <w:sz w:val="18"/>
          <w:szCs w:val="18"/>
          <w:b w:val="1"/>
          <w:bCs w:val="1"/>
          <w:color w:val="auto"/>
        </w:rPr>
        <w:t>”</w:t>
      </w:r>
      <w:r>
        <w:rPr>
          <w:rFonts w:ascii="Arial" w:cs="Arial" w:eastAsia="Arial" w:hAnsi="Arial"/>
          <w:sz w:val="18"/>
          <w:szCs w:val="18"/>
          <w:color w:val="auto"/>
        </w:rPr>
        <w:t xml:space="preserve">), pursuant to the MagnaChip Semiconductor LLC Equity Incentive Plan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w:t>
      </w:r>
      <w:r>
        <w:rPr>
          <w:rFonts w:ascii="Arial" w:cs="Arial" w:eastAsia="Arial" w:hAnsi="Arial"/>
          <w:sz w:val="18"/>
          <w:szCs w:val="18"/>
          <w:color w:val="auto"/>
        </w:rPr>
        <w:t>). Capitalized terms that are not defined herein shall have the meanings given to such terms in the Plan.</w:t>
      </w:r>
    </w:p>
    <w:p>
      <w:pPr>
        <w:spacing w:after="0" w:line="132"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of its wholly-owned subsidiary (the “</w:t>
      </w:r>
      <w:r>
        <w:rPr>
          <w:rFonts w:ascii="Arial" w:cs="Arial" w:eastAsia="Arial" w:hAnsi="Arial"/>
          <w:sz w:val="18"/>
          <w:szCs w:val="18"/>
          <w:b w:val="1"/>
          <w:bCs w:val="1"/>
          <w:u w:val="single" w:color="auto"/>
          <w:color w:val="auto"/>
        </w:rPr>
        <w:t>MagnaChip Subsidiary</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in order to effect such grants; and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51" w:lineRule="exact"/>
        <w:rPr>
          <w:sz w:val="20"/>
          <w:szCs w:val="20"/>
          <w:color w:val="auto"/>
        </w:rPr>
      </w:pPr>
    </w:p>
    <w:p>
      <w:pPr>
        <w:ind w:left="640" w:hanging="17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ind w:right="20" w:firstLine="464"/>
        <w:spacing w:after="0" w:line="262"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 xml:space="preserve">. The Company hereby evidences and confirms the grant to the Grantee, effective as of October 6, 2004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w:t>
      </w:r>
      <w:r>
        <w:rPr>
          <w:rFonts w:ascii="Arial" w:cs="Arial" w:eastAsia="Arial" w:hAnsi="Arial"/>
          <w:sz w:val="18"/>
          <w:szCs w:val="18"/>
          <w:color w:val="auto"/>
        </w:rPr>
        <w:t xml:space="preserve">), of options to purchase from the Company the number of Common Units specified on the signature page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r>
        <w:rPr>
          <w:rFonts w:ascii="Arial" w:cs="Arial" w:eastAsia="Arial" w:hAnsi="Arial"/>
          <w:sz w:val="18"/>
          <w:szCs w:val="18"/>
          <w:color w:val="auto"/>
        </w:rPr>
        <w:t>) at the exercise price of US $1.00 per Common Unit (the “</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right="20" w:firstLine="464"/>
        <w:spacing w:after="0" w:line="259" w:lineRule="auto"/>
        <w:tabs>
          <w:tab w:leader="none" w:pos="70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w:t>
      </w:r>
    </w:p>
    <w:p>
      <w:pPr>
        <w:spacing w:after="0" w:line="140"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132" w:lineRule="exact"/>
        <w:rPr>
          <w:sz w:val="20"/>
          <w:szCs w:val="20"/>
          <w:color w:val="auto"/>
        </w:rPr>
      </w:pPr>
    </w:p>
    <w:p>
      <w:pPr>
        <w:ind w:left="640" w:hanging="176"/>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56"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Vesting Provisions</w:t>
      </w:r>
      <w:r>
        <w:rPr>
          <w:rFonts w:ascii="Arial" w:cs="Arial" w:eastAsia="Arial" w:hAnsi="Arial"/>
          <w:sz w:val="18"/>
          <w:szCs w:val="18"/>
          <w:color w:val="auto"/>
        </w:rPr>
        <w:t>. An installment of 25% of the Options shall become exerciseable on September 30, 2005, and additional installments of 6.25% of the Options shall become exerciseable on the last day of each calendar quarter thereafter (each such date, the “</w:t>
      </w:r>
      <w:r>
        <w:rPr>
          <w:rFonts w:ascii="Arial" w:cs="Arial" w:eastAsia="Arial" w:hAnsi="Arial"/>
          <w:sz w:val="18"/>
          <w:szCs w:val="18"/>
          <w:b w:val="1"/>
          <w:bCs w:val="1"/>
          <w:color w:val="auto"/>
        </w:rPr>
        <w:t>Vesting Date</w:t>
      </w:r>
      <w:r>
        <w:rPr>
          <w:rFonts w:ascii="Arial" w:cs="Arial" w:eastAsia="Arial" w:hAnsi="Arial"/>
          <w:sz w:val="18"/>
          <w:szCs w:val="18"/>
          <w:color w:val="auto"/>
        </w:rPr>
        <w:t>” as to the applicable installment of Options), which lapses shall be cumulative, subject to the Grantee’s continuous employment with the MagnaChip Subsidiary from the Grant Date to such Vesting Date.</w:t>
      </w:r>
    </w:p>
    <w:p>
      <w:pPr>
        <w:sectPr>
          <w:pgSz w:w="11900" w:h="16838" w:orient="portrait"/>
          <w:cols w:equalWidth="0" w:num="1">
            <w:col w:w="11420"/>
          </w:cols>
          <w:pgMar w:left="240" w:top="125" w:right="239" w:bottom="1440" w:gutter="0" w:footer="0" w:header="0"/>
        </w:sectPr>
      </w:pPr>
    </w:p>
    <w:bookmarkStart w:id="248" w:name="page249"/>
    <w:bookmarkEnd w:id="248"/>
    <w:p>
      <w:pPr>
        <w:jc w:val="both"/>
        <w:ind w:right="100" w:firstLine="464"/>
        <w:spacing w:after="0" w:line="259"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Normal Expiration Date</w:t>
      </w:r>
      <w:r>
        <w:rPr>
          <w:rFonts w:ascii="Arial" w:cs="Arial" w:eastAsia="Arial" w:hAnsi="Arial"/>
          <w:sz w:val="18"/>
          <w:szCs w:val="18"/>
          <w:color w:val="auto"/>
        </w:rPr>
        <w:t xml:space="preserve">. Unless the Options earlier terminate in accordance with Section 4, the Options shall terminate on the tenth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 Once Options have become exerciseable pursuant to this Section 2, such Options may be exercised, subject to the provisions hereof, at any time and from time to time until the Normal Expiration Date.</w:t>
      </w:r>
    </w:p>
    <w:p>
      <w:pPr>
        <w:spacing w:after="0" w:line="140" w:lineRule="exact"/>
        <w:rPr>
          <w:sz w:val="20"/>
          <w:szCs w:val="20"/>
          <w:color w:val="auto"/>
        </w:rPr>
      </w:pPr>
    </w:p>
    <w:p>
      <w:pPr>
        <w:ind w:left="640" w:hanging="176"/>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All or part of the exercisable Options may be exercised by the Grantee upon (</w:t>
      </w:r>
      <w:r>
        <w:rPr>
          <w:rFonts w:ascii="Arial" w:cs="Arial" w:eastAsia="Arial" w:hAnsi="Arial"/>
          <w:sz w:val="16"/>
          <w:szCs w:val="16"/>
          <w:u w:val="single" w:color="auto"/>
          <w:color w:val="auto"/>
        </w:rPr>
        <w:t>a</w:t>
      </w:r>
      <w:r>
        <w:rPr>
          <w:rFonts w:ascii="Arial" w:cs="Arial" w:eastAsia="Arial" w:hAnsi="Arial"/>
          <w:sz w:val="16"/>
          <w:szCs w:val="16"/>
          <w:color w:val="auto"/>
        </w:rPr>
        <w:t>) the Grantee’s written notice to the Company of exercise, (</w:t>
      </w:r>
      <w:r>
        <w:rPr>
          <w:rFonts w:ascii="Arial" w:cs="Arial" w:eastAsia="Arial" w:hAnsi="Arial"/>
          <w:sz w:val="16"/>
          <w:szCs w:val="16"/>
          <w:u w:val="single" w:color="auto"/>
          <w:color w:val="auto"/>
        </w:rPr>
        <w:t>b</w:t>
      </w:r>
      <w:r>
        <w:rPr>
          <w:rFonts w:ascii="Arial" w:cs="Arial" w:eastAsia="Arial" w:hAnsi="Arial"/>
          <w:sz w:val="16"/>
          <w:szCs w:val="16"/>
          <w:color w:val="auto"/>
        </w:rPr>
        <w:t>) the Grantee’s payment of the Option Price in full at the time of exercise (</w:t>
      </w:r>
      <w:r>
        <w:rPr>
          <w:rFonts w:ascii="Arial" w:cs="Arial" w:eastAsia="Arial" w:hAnsi="Arial"/>
          <w:sz w:val="16"/>
          <w:szCs w:val="16"/>
          <w:u w:val="single" w:color="auto"/>
          <w:color w:val="auto"/>
        </w:rPr>
        <w:t>i</w:t>
      </w:r>
      <w:r>
        <w:rPr>
          <w:rFonts w:ascii="Arial" w:cs="Arial" w:eastAsia="Arial" w:hAnsi="Arial"/>
          <w:sz w:val="16"/>
          <w:szCs w:val="16"/>
          <w:color w:val="auto"/>
        </w:rPr>
        <w:t>) in cash or cash equivalents or (</w:t>
      </w:r>
      <w:r>
        <w:rPr>
          <w:rFonts w:ascii="Arial" w:cs="Arial" w:eastAsia="Arial" w:hAnsi="Arial"/>
          <w:sz w:val="16"/>
          <w:szCs w:val="16"/>
          <w:u w:val="single" w:color="auto"/>
          <w:color w:val="auto"/>
        </w:rPr>
        <w:t>ii</w:t>
      </w:r>
      <w:r>
        <w:rPr>
          <w:rFonts w:ascii="Arial" w:cs="Arial" w:eastAsia="Arial" w:hAnsi="Arial"/>
          <w:sz w:val="16"/>
          <w:szCs w:val="16"/>
          <w:color w:val="auto"/>
        </w:rPr>
        <w:t>) in accordance with such procedures or in such other form as the Committee shall from time to time determine and (</w:t>
      </w:r>
      <w:r>
        <w:rPr>
          <w:rFonts w:ascii="Arial" w:cs="Arial" w:eastAsia="Arial" w:hAnsi="Arial"/>
          <w:sz w:val="16"/>
          <w:szCs w:val="16"/>
          <w:u w:val="single" w:color="auto"/>
          <w:color w:val="auto"/>
        </w:rPr>
        <w:t>c</w:t>
      </w:r>
      <w:r>
        <w:rPr>
          <w:rFonts w:ascii="Arial" w:cs="Arial" w:eastAsia="Arial" w:hAnsi="Arial"/>
          <w:sz w:val="16"/>
          <w:szCs w:val="16"/>
          <w:color w:val="auto"/>
        </w:rPr>
        <w:t>) the Grantee’s execution of a joinder to the LLC Agreement (if the Grantee is not then a party to such agreement) in order to become a party to such agreement with respect to the Common Units issuable upon the exercise of such Options.</w:t>
      </w:r>
    </w:p>
    <w:p>
      <w:pPr>
        <w:spacing w:after="0" w:line="113" w:lineRule="exact"/>
        <w:rPr>
          <w:sz w:val="20"/>
          <w:szCs w:val="20"/>
          <w:color w:val="auto"/>
        </w:rPr>
      </w:pPr>
    </w:p>
    <w:p>
      <w:pPr>
        <w:ind w:left="640" w:hanging="17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80" w:firstLine="464"/>
        <w:spacing w:after="0" w:line="259"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firstLine="464"/>
        <w:spacing w:after="0" w:line="254"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 shall have an exclusive right to repurchase Common Units acquired by the Grantee upon exercise of any of the Options until the date six months and one day from the date the Grantee’s employment is terminated.</w:t>
      </w:r>
    </w:p>
    <w:p>
      <w:pPr>
        <w:spacing w:after="0" w:line="144" w:lineRule="exact"/>
        <w:rPr>
          <w:sz w:val="20"/>
          <w:szCs w:val="20"/>
          <w:color w:val="auto"/>
        </w:rPr>
      </w:pPr>
    </w:p>
    <w:p>
      <w:pPr>
        <w:ind w:left="640" w:hanging="17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Whenever Common Units are to be issued pursuant to the exercise of an Option or any cash payment is to be made hereunder, The Company shall have the power to withhold, or require the Grantee to remit to the Company, an amount sufficient to satisfy federal, state, and local withholding tax requirements relating to such transaction, and the Company may defer payment of cash or issuance of Common Units until such requirements are satisfied.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49" w:name="page250"/>
    <w:bookmarkEnd w:id="249"/>
    <w:p>
      <w:pPr>
        <w:ind w:left="640" w:hanging="17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Awards or Common Stock</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18" w:lineRule="exact"/>
        <w:rPr>
          <w:sz w:val="20"/>
          <w:szCs w:val="20"/>
          <w:color w:val="auto"/>
        </w:rPr>
      </w:pPr>
    </w:p>
    <w:p>
      <w:pPr>
        <w:ind w:left="640" w:hanging="17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13" w:lineRule="exact"/>
        <w:rPr>
          <w:sz w:val="20"/>
          <w:szCs w:val="20"/>
          <w:color w:val="auto"/>
        </w:rPr>
      </w:pPr>
    </w:p>
    <w:p>
      <w:pPr>
        <w:ind w:left="640" w:hanging="17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Common Units shall be issued upon exercise of any Options granted hereunder, if such exercise would result in a violation of applicable law.</w:t>
      </w:r>
    </w:p>
    <w:p>
      <w:pPr>
        <w:spacing w:after="0" w:line="143" w:lineRule="exact"/>
        <w:rPr>
          <w:sz w:val="20"/>
          <w:szCs w:val="20"/>
          <w:color w:val="auto"/>
        </w:rPr>
      </w:pPr>
    </w:p>
    <w:p>
      <w:pPr>
        <w:ind w:left="640" w:hanging="17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the MagnaChip Subsidiary.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50" w:name="page251"/>
    <w:bookmarkEnd w:id="250"/>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132" w:lineRule="exact"/>
        <w:rPr>
          <w:sz w:val="20"/>
          <w:szCs w:val="20"/>
          <w:color w:val="auto"/>
        </w:rPr>
      </w:pPr>
    </w:p>
    <w:p>
      <w:pPr>
        <w:ind w:left="720" w:hanging="256"/>
        <w:spacing w:after="0"/>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140" w:lineRule="exact"/>
        <w:rPr>
          <w:sz w:val="20"/>
          <w:szCs w:val="20"/>
          <w:color w:val="auto"/>
        </w:rPr>
      </w:pPr>
    </w:p>
    <w:p>
      <w:pPr>
        <w:ind w:left="720" w:hanging="256"/>
        <w:spacing w:after="0"/>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120" w:lineRule="exact"/>
        <w:rPr>
          <w:sz w:val="20"/>
          <w:szCs w:val="20"/>
          <w:color w:val="auto"/>
        </w:rPr>
      </w:pPr>
    </w:p>
    <w:p>
      <w:pPr>
        <w:ind w:left="720" w:hanging="256"/>
        <w:spacing w:after="0"/>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 MagnaChip Semiconductor Ltd.</w:t>
      </w:r>
    </w:p>
    <w:p>
      <w:pPr>
        <w:spacing w:after="0" w:line="15" w:lineRule="exact"/>
        <w:rPr>
          <w:rFonts w:ascii="Arial" w:cs="Arial" w:eastAsia="Arial" w:hAnsi="Arial"/>
          <w:sz w:val="18"/>
          <w:szCs w:val="18"/>
          <w:color w:val="auto"/>
        </w:rPr>
      </w:pPr>
    </w:p>
    <w:p>
      <w:pPr>
        <w:ind w:left="900" w:right="8340"/>
        <w:spacing w:after="0" w:line="281" w:lineRule="auto"/>
        <w:rPr>
          <w:rFonts w:ascii="Arial" w:cs="Arial" w:eastAsia="Arial" w:hAnsi="Arial"/>
          <w:sz w:val="18"/>
          <w:szCs w:val="18"/>
          <w:color w:val="auto"/>
        </w:rPr>
      </w:pPr>
      <w:r>
        <w:rPr>
          <w:rFonts w:ascii="Arial" w:cs="Arial" w:eastAsia="Arial" w:hAnsi="Arial"/>
          <w:sz w:val="16"/>
          <w:szCs w:val="16"/>
          <w:color w:val="auto"/>
        </w:rPr>
        <w:t>891 Daechi-dong Kangnam-gu Seoul, 135-738 Korea</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Attn: General Counsel</w:t>
      </w:r>
    </w:p>
    <w:p>
      <w:pPr>
        <w:spacing w:after="0" w:line="83"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to the Grantee, to the Grantee at the address as reflected in the Company’s books and records.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51" w:name="page252"/>
    <w:bookmarkEnd w:id="251"/>
    <w:p>
      <w:pPr>
        <w:ind w:left="44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left="-20" w:right="80" w:firstLine="464"/>
        <w:spacing w:after="0" w:line="335" w:lineRule="auto"/>
        <w:tabs>
          <w:tab w:leader="none" w:pos="685"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left="-20" w:firstLine="464"/>
        <w:spacing w:after="0" w:line="289" w:lineRule="auto"/>
        <w:tabs>
          <w:tab w:leader="none" w:pos="675"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18" w:lineRule="exact"/>
        <w:rPr>
          <w:rFonts w:ascii="Arial" w:cs="Arial" w:eastAsia="Arial" w:hAnsi="Arial"/>
          <w:sz w:val="16"/>
          <w:szCs w:val="16"/>
          <w:color w:val="auto"/>
        </w:rPr>
      </w:pPr>
    </w:p>
    <w:p>
      <w:pPr>
        <w:ind w:left="-20" w:right="20" w:firstLine="464"/>
        <w:spacing w:after="0" w:line="306" w:lineRule="auto"/>
        <w:tabs>
          <w:tab w:leader="none" w:pos="656"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06" w:lineRule="exact"/>
        <w:rPr>
          <w:rFonts w:ascii="Arial" w:cs="Arial" w:eastAsia="Arial" w:hAnsi="Arial"/>
          <w:sz w:val="16"/>
          <w:szCs w:val="16"/>
          <w:color w:val="auto"/>
        </w:rPr>
      </w:pPr>
    </w:p>
    <w:p>
      <w:pPr>
        <w:ind w:left="-20" w:firstLine="464"/>
        <w:spacing w:after="0" w:line="268" w:lineRule="auto"/>
        <w:tabs>
          <w:tab w:leader="none" w:pos="68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left="-20" w:right="560" w:firstLine="464"/>
        <w:spacing w:after="0" w:line="268" w:lineRule="auto"/>
        <w:tabs>
          <w:tab w:leader="none" w:pos="68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left="-20" w:right="620" w:firstLine="464"/>
        <w:spacing w:after="0" w:line="268" w:lineRule="auto"/>
        <w:tabs>
          <w:tab w:leader="none" w:pos="64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Grantee have duly executed this Agreement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Channy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Channy Lee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Number of Common Units: 272,899</w:t>
      </w:r>
    </w:p>
    <w:p>
      <w:pPr>
        <w:sectPr>
          <w:pgSz w:w="11900" w:h="16838" w:orient="portrait"/>
          <w:cols w:equalWidth="0" w:num="1">
            <w:col w:w="9759"/>
          </w:cols>
          <w:pgMar w:left="700" w:top="280" w:right="1440"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10.42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 AGREEMENT, dated as of November 30, 2004 between MagnaChip Semiconductor LLC, a Delaware limited liability company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Robert Krakauer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Grantee</w:t>
      </w:r>
      <w:r>
        <w:rPr>
          <w:rFonts w:ascii="Arial" w:cs="Arial" w:eastAsia="Arial" w:hAnsi="Arial"/>
          <w:sz w:val="16"/>
          <w:szCs w:val="16"/>
          <w:b w:val="1"/>
          <w:bCs w:val="1"/>
          <w:color w:val="auto"/>
        </w:rPr>
        <w:t>”</w:t>
      </w:r>
      <w:r>
        <w:rPr>
          <w:rFonts w:ascii="Arial" w:cs="Arial" w:eastAsia="Arial" w:hAnsi="Arial"/>
          <w:sz w:val="16"/>
          <w:szCs w:val="16"/>
          <w:color w:val="auto"/>
        </w:rPr>
        <w:t>), pursuant to the MagnaChip Semiconductor LLC Equity Incentive Plan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Capitalized terms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not defined herein shall have the meanings given to such terms in the Plan.</w:t>
      </w:r>
    </w:p>
    <w:p>
      <w:pPr>
        <w:spacing w:after="0" w:line="159"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restricted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Restricted Units</w:t>
      </w:r>
      <w:r>
        <w:rPr>
          <w:rFonts w:ascii="Arial" w:cs="Arial" w:eastAsia="Arial" w:hAnsi="Arial"/>
          <w:sz w:val="18"/>
          <w:szCs w:val="18"/>
          <w:b w:val="1"/>
          <w:bCs w:val="1"/>
          <w:color w:val="auto"/>
        </w:rPr>
        <w:t>”</w:t>
      </w:r>
      <w:r>
        <w:rPr>
          <w:rFonts w:ascii="Arial" w:cs="Arial" w:eastAsia="Arial" w:hAnsi="Arial"/>
          <w:sz w:val="18"/>
          <w:szCs w:val="18"/>
          <w:color w:val="auto"/>
        </w:rPr>
        <w:t>) to certain key employees of its wholly-owned subsidiary, MagnaChip Semiconductor, Ltd. (the “</w:t>
      </w:r>
      <w:r>
        <w:rPr>
          <w:rFonts w:ascii="Arial" w:cs="Arial" w:eastAsia="Arial" w:hAnsi="Arial"/>
          <w:sz w:val="18"/>
          <w:szCs w:val="18"/>
          <w:b w:val="1"/>
          <w:bCs w:val="1"/>
          <w:u w:val="single" w:color="auto"/>
          <w:color w:val="auto"/>
        </w:rPr>
        <w:t>MagnaChip Korea</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in order to effect such grants; and</w:t>
      </w:r>
    </w:p>
    <w:p>
      <w:pPr>
        <w:spacing w:after="0" w:line="165"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color w:val="auto"/>
        </w:rPr>
        <w:t>WHEREAS, the Grantee has entered into that certain Service Agreement, dated as of October 6, 2004 (the “</w:t>
      </w:r>
      <w:r>
        <w:rPr>
          <w:rFonts w:ascii="Arial" w:cs="Arial" w:eastAsia="Arial" w:hAnsi="Arial"/>
          <w:sz w:val="16"/>
          <w:szCs w:val="16"/>
          <w:b w:val="1"/>
          <w:bCs w:val="1"/>
          <w:u w:val="single" w:color="auto"/>
          <w:color w:val="auto"/>
        </w:rPr>
        <w:t>Service Agreement</w:t>
      </w:r>
      <w:r>
        <w:rPr>
          <w:rFonts w:ascii="Arial" w:cs="Arial" w:eastAsia="Arial" w:hAnsi="Arial"/>
          <w:sz w:val="16"/>
          <w:szCs w:val="16"/>
          <w:color w:val="auto"/>
        </w:rPr>
        <w:t>”), between the Grantee and the MagnaChip Korea, and the Committee has determined that it is in the interest of the Company to grant these options to the Grantee.</w:t>
      </w:r>
    </w:p>
    <w:p>
      <w:pPr>
        <w:spacing w:after="0" w:line="8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51" w:lineRule="exact"/>
        <w:rPr>
          <w:sz w:val="20"/>
          <w:szCs w:val="20"/>
          <w:color w:val="auto"/>
        </w:rPr>
      </w:pPr>
    </w:p>
    <w:p>
      <w:pPr>
        <w:ind w:left="640" w:hanging="176"/>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jc w:val="both"/>
        <w:ind w:right="220" w:firstLine="464"/>
        <w:spacing w:after="0" w:line="262"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 xml:space="preserve">. The Company hereby evidences and confirms the grant to the Grantee, effective as of the date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w:t>
      </w:r>
      <w:r>
        <w:rPr>
          <w:rFonts w:ascii="Arial" w:cs="Arial" w:eastAsia="Arial" w:hAnsi="Arial"/>
          <w:sz w:val="18"/>
          <w:szCs w:val="18"/>
          <w:color w:val="auto"/>
        </w:rPr>
        <w:t xml:space="preserve">), of options to purchase from the Company the number of Restricted Units specified on the signature page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r>
        <w:rPr>
          <w:rFonts w:ascii="Arial" w:cs="Arial" w:eastAsia="Arial" w:hAnsi="Arial"/>
          <w:sz w:val="18"/>
          <w:szCs w:val="18"/>
          <w:color w:val="auto"/>
        </w:rPr>
        <w:t>) at the exercise price of $1.00 per Restricted Unit (the “</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right="20" w:firstLine="464"/>
        <w:spacing w:after="0" w:line="259" w:lineRule="auto"/>
        <w:tabs>
          <w:tab w:leader="none" w:pos="70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w:t>
      </w:r>
    </w:p>
    <w:p>
      <w:pPr>
        <w:spacing w:after="0" w:line="140"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132" w:lineRule="exact"/>
        <w:rPr>
          <w:sz w:val="20"/>
          <w:szCs w:val="20"/>
          <w:color w:val="auto"/>
        </w:rPr>
      </w:pPr>
    </w:p>
    <w:p>
      <w:pPr>
        <w:ind w:left="640" w:hanging="176"/>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Exercisability</w:t>
      </w:r>
      <w:r>
        <w:rPr>
          <w:rFonts w:ascii="Arial" w:cs="Arial" w:eastAsia="Arial" w:hAnsi="Arial"/>
          <w:sz w:val="18"/>
          <w:szCs w:val="18"/>
          <w:color w:val="auto"/>
        </w:rPr>
        <w:t>. The Options shall be fully-vested and immediately exerciseable on the Grant Date.</w:t>
      </w:r>
    </w:p>
    <w:p>
      <w:pPr>
        <w:sectPr>
          <w:pgSz w:w="11900" w:h="16838" w:orient="portrait"/>
          <w:cols w:equalWidth="0" w:num="1">
            <w:col w:w="11420"/>
          </w:cols>
          <w:pgMar w:left="240" w:top="125" w:right="239" w:bottom="1440" w:gutter="0" w:footer="0" w:header="0"/>
        </w:sectPr>
      </w:pPr>
    </w:p>
    <w:bookmarkStart w:id="254" w:name="page255"/>
    <w:bookmarkEnd w:id="254"/>
    <w:p>
      <w:pPr>
        <w:ind w:right="160" w:firstLine="464"/>
        <w:spacing w:after="0" w:line="268" w:lineRule="auto"/>
        <w:tabs>
          <w:tab w:leader="none" w:pos="705"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Normal Expiration Date</w:t>
      </w:r>
      <w:r>
        <w:rPr>
          <w:rFonts w:ascii="Arial" w:cs="Arial" w:eastAsia="Arial" w:hAnsi="Arial"/>
          <w:sz w:val="18"/>
          <w:szCs w:val="18"/>
          <w:color w:val="auto"/>
        </w:rPr>
        <w:t xml:space="preserve">. Unless the Options earlier terminate in accordance with Section 4, the Options shall terminate on the first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2" w:lineRule="exact"/>
        <w:rPr>
          <w:sz w:val="20"/>
          <w:szCs w:val="20"/>
          <w:color w:val="auto"/>
        </w:rPr>
      </w:pPr>
    </w:p>
    <w:p>
      <w:pPr>
        <w:ind w:left="640" w:hanging="176"/>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All or part of the exercisable Options may be exercised by the Grantee upon (</w:t>
      </w:r>
      <w:r>
        <w:rPr>
          <w:rFonts w:ascii="Arial" w:cs="Arial" w:eastAsia="Arial" w:hAnsi="Arial"/>
          <w:sz w:val="18"/>
          <w:szCs w:val="18"/>
          <w:u w:val="single" w:color="auto"/>
          <w:color w:val="auto"/>
        </w:rPr>
        <w:t>a</w:t>
      </w:r>
      <w:r>
        <w:rPr>
          <w:rFonts w:ascii="Arial" w:cs="Arial" w:eastAsia="Arial" w:hAnsi="Arial"/>
          <w:sz w:val="18"/>
          <w:szCs w:val="18"/>
          <w:color w:val="auto"/>
        </w:rPr>
        <w:t>) the Grantee’s written notice to the Company of exercise, (</w:t>
      </w:r>
      <w:r>
        <w:rPr>
          <w:rFonts w:ascii="Arial" w:cs="Arial" w:eastAsia="Arial" w:hAnsi="Arial"/>
          <w:sz w:val="18"/>
          <w:szCs w:val="18"/>
          <w:u w:val="single" w:color="auto"/>
          <w:color w:val="auto"/>
        </w:rPr>
        <w:t>b</w:t>
      </w:r>
      <w:r>
        <w:rPr>
          <w:rFonts w:ascii="Arial" w:cs="Arial" w:eastAsia="Arial" w:hAnsi="Arial"/>
          <w:sz w:val="18"/>
          <w:szCs w:val="18"/>
          <w:color w:val="auto"/>
        </w:rPr>
        <w:t>) the Grantee’s payment of the Option Price in full at the time of exercise (</w:t>
      </w:r>
      <w:r>
        <w:rPr>
          <w:rFonts w:ascii="Arial" w:cs="Arial" w:eastAsia="Arial" w:hAnsi="Arial"/>
          <w:sz w:val="18"/>
          <w:szCs w:val="18"/>
          <w:u w:val="single" w:color="auto"/>
          <w:color w:val="auto"/>
        </w:rPr>
        <w:t>i</w:t>
      </w:r>
      <w:r>
        <w:rPr>
          <w:rFonts w:ascii="Arial" w:cs="Arial" w:eastAsia="Arial" w:hAnsi="Arial"/>
          <w:sz w:val="18"/>
          <w:szCs w:val="18"/>
          <w:color w:val="auto"/>
        </w:rPr>
        <w:t>) in cash or cash equivalents or (</w:t>
      </w:r>
      <w:r>
        <w:rPr>
          <w:rFonts w:ascii="Arial" w:cs="Arial" w:eastAsia="Arial" w:hAnsi="Arial"/>
          <w:sz w:val="18"/>
          <w:szCs w:val="18"/>
          <w:u w:val="single" w:color="auto"/>
          <w:color w:val="auto"/>
        </w:rPr>
        <w:t>ii</w:t>
      </w:r>
      <w:r>
        <w:rPr>
          <w:rFonts w:ascii="Arial" w:cs="Arial" w:eastAsia="Arial" w:hAnsi="Arial"/>
          <w:sz w:val="18"/>
          <w:szCs w:val="18"/>
          <w:color w:val="auto"/>
        </w:rPr>
        <w:t>) in accordance with such procedures or in such other form as the Committee shall from time to time determine,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the Grantee’s execution of a subscription agreement which shall be in substantially the form of the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 Subscription Agreement</w:t>
      </w:r>
      <w:r>
        <w:rPr>
          <w:rFonts w:ascii="Arial" w:cs="Arial" w:eastAsia="Arial" w:hAnsi="Arial"/>
          <w:sz w:val="18"/>
          <w:szCs w:val="18"/>
          <w:color w:val="auto"/>
        </w:rPr>
        <w:t xml:space="preserve"> attached hereto as Exhibit A, and (</w:t>
      </w:r>
      <w:r>
        <w:rPr>
          <w:rFonts w:ascii="Arial" w:cs="Arial" w:eastAsia="Arial" w:hAnsi="Arial"/>
          <w:sz w:val="18"/>
          <w:szCs w:val="18"/>
          <w:u w:val="single" w:color="auto"/>
          <w:color w:val="auto"/>
        </w:rPr>
        <w:t>d</w:t>
      </w:r>
      <w:r>
        <w:rPr>
          <w:rFonts w:ascii="Arial" w:cs="Arial" w:eastAsia="Arial" w:hAnsi="Arial"/>
          <w:sz w:val="18"/>
          <w:szCs w:val="18"/>
          <w:color w:val="auto"/>
        </w:rPr>
        <w:t>) the Grantee’s execution of a joinder to the Securityholders’ Agreement and LLC Agreement (if the Grantee is not then a party to such agreements) in order to become a party to such agreements with respect to the Restricted Units issuable upon the exercise of such Options.</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Restricted Unit Subscription Agreement shall contain provisions providing that, upon any termination of the Grantee’s employment with the MagnaChip Korea, the Restricted Units shall be subject to forfeiture and/or repurchase by the Company.</w:t>
      </w:r>
    </w:p>
    <w:p>
      <w:pPr>
        <w:spacing w:after="0" w:line="132" w:lineRule="exact"/>
        <w:rPr>
          <w:sz w:val="20"/>
          <w:szCs w:val="20"/>
          <w:color w:val="auto"/>
        </w:rPr>
      </w:pPr>
    </w:p>
    <w:p>
      <w:pPr>
        <w:ind w:left="640" w:hanging="176"/>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sz w:val="20"/>
          <w:szCs w:val="20"/>
          <w:color w:val="auto"/>
        </w:rPr>
      </w:pPr>
    </w:p>
    <w:p>
      <w:pPr>
        <w:ind w:left="640" w:hanging="17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Whenever Restricted Units are to be issued pursuant to the exercise of an Option or any cash payment is to be made hereunder, The Company shall have the power to withhold, or require the Grantee to remit to the Company, an amount sufficient to satisfy federal, state, and local withholding tax requirements relating to such transaction, and the Company may defer payment of cash or issuance of Restricted Units until such requirements are satisfied.</w:t>
      </w:r>
    </w:p>
    <w:p>
      <w:pPr>
        <w:spacing w:after="0" w:line="107" w:lineRule="exact"/>
        <w:rPr>
          <w:sz w:val="20"/>
          <w:szCs w:val="20"/>
          <w:color w:val="auto"/>
        </w:rPr>
      </w:pPr>
    </w:p>
    <w:p>
      <w:pPr>
        <w:ind w:left="640" w:hanging="176"/>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Unless the Committee shall permit (on such terms and conditions as it shall establish) Options to be transferred, no Options may be sold, transferred, pledged, assigned or otherwise alienated or hypothecated, other than by will or by the laws of descent and distribution.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55" w:name="page256"/>
    <w:bookmarkEnd w:id="255"/>
    <w:p>
      <w:pPr>
        <w:ind w:left="640" w:hanging="17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13" w:lineRule="exact"/>
        <w:rPr>
          <w:sz w:val="20"/>
          <w:szCs w:val="20"/>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issuance of Restricted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Restricted Units shall be issued upon exercise of any Options granted hereunder, if such exercise would result in a violation of applicable law.</w:t>
      </w:r>
    </w:p>
    <w:p>
      <w:pPr>
        <w:spacing w:after="0" w:line="143" w:lineRule="exact"/>
        <w:rPr>
          <w:sz w:val="20"/>
          <w:szCs w:val="20"/>
          <w:color w:val="auto"/>
        </w:rPr>
      </w:pPr>
    </w:p>
    <w:p>
      <w:pPr>
        <w:ind w:left="640" w:hanging="176"/>
        <w:spacing w:after="0"/>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the MagnaChip Korea.</w:t>
      </w:r>
    </w:p>
    <w:p>
      <w:pPr>
        <w:spacing w:after="0" w:line="132" w:lineRule="exact"/>
        <w:rPr>
          <w:sz w:val="20"/>
          <w:szCs w:val="20"/>
          <w:color w:val="auto"/>
        </w:rPr>
      </w:pPr>
    </w:p>
    <w:p>
      <w:pPr>
        <w:ind w:left="720" w:hanging="256"/>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otherwise required by law, the Grantee shall not have any rights as a securityholder with respect to any Restricted Units covered by the Options granted hereby until such time as the Restricted Units issuable upon exercise of such Options have been so issued. Notwithstanding anything else contained herein to the contrary, the exercise of any portion of the Options hereby is expressly conditioned on the Grantee executing a subscription agreement which shall be in substantially the form of the Restricted Unit Subscription Agreement attached hereto as Exhibit A.</w:t>
      </w:r>
    </w:p>
    <w:p>
      <w:pPr>
        <w:spacing w:after="0" w:line="113" w:lineRule="exact"/>
        <w:rPr>
          <w:sz w:val="20"/>
          <w:szCs w:val="20"/>
          <w:color w:val="auto"/>
        </w:rPr>
      </w:pPr>
    </w:p>
    <w:p>
      <w:pPr>
        <w:ind w:left="720" w:hanging="256"/>
        <w:spacing w:after="0"/>
        <w:tabs>
          <w:tab w:leader="none" w:pos="72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56" w:name="page257"/>
    <w:bookmarkEnd w:id="256"/>
    <w:p>
      <w:pPr>
        <w:ind w:left="720" w:hanging="256"/>
        <w:spacing w:after="0"/>
        <w:tabs>
          <w:tab w:leader="none" w:pos="72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120" w:lineRule="exact"/>
        <w:rPr>
          <w:sz w:val="20"/>
          <w:szCs w:val="20"/>
          <w:color w:val="auto"/>
        </w:rPr>
      </w:pPr>
    </w:p>
    <w:p>
      <w:pPr>
        <w:ind w:left="720" w:hanging="256"/>
        <w:spacing w:after="0"/>
        <w:tabs>
          <w:tab w:leader="none" w:pos="72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Daechi-dong, Kangnam-gu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to the Grantee, to the Grantee at the address as reflected in the Company’s books and records.</w:t>
      </w:r>
    </w:p>
    <w:p>
      <w:pPr>
        <w:spacing w:after="0" w:line="9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right="80" w:firstLine="464"/>
        <w:spacing w:after="0" w:line="335" w:lineRule="auto"/>
        <w:tabs>
          <w:tab w:leader="none" w:pos="705"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right="260" w:firstLine="464"/>
        <w:spacing w:after="0" w:line="268"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 hereto may by written notice to the other (</w:t>
      </w:r>
      <w:r>
        <w:rPr>
          <w:rFonts w:ascii="Arial" w:cs="Arial" w:eastAsia="Arial" w:hAnsi="Arial"/>
          <w:sz w:val="18"/>
          <w:szCs w:val="18"/>
          <w:u w:val="single" w:color="auto"/>
          <w:color w:val="auto"/>
        </w:rPr>
        <w:t>i</w:t>
      </w:r>
      <w:r>
        <w:rPr>
          <w:rFonts w:ascii="Arial" w:cs="Arial" w:eastAsia="Arial" w:hAnsi="Arial"/>
          <w:sz w:val="18"/>
          <w:szCs w:val="18"/>
          <w:color w:val="auto"/>
        </w:rPr>
        <w:t>) extend the time for the performance of any of the obligations or other actions of the other under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57" w:name="page258"/>
    <w:bookmarkEnd w:id="257"/>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t>
      </w:r>
      <w:r>
        <w:rPr>
          <w:rFonts w:ascii="Arial" w:cs="Arial" w:eastAsia="Arial" w:hAnsi="Arial"/>
          <w:sz w:val="18"/>
          <w:szCs w:val="18"/>
          <w:u w:val="single" w:color="auto"/>
          <w:color w:val="auto"/>
        </w:rPr>
        <w:t>ii</w:t>
      </w:r>
      <w:r>
        <w:rPr>
          <w:rFonts w:ascii="Arial" w:cs="Arial" w:eastAsia="Arial" w:hAnsi="Arial"/>
          <w:sz w:val="18"/>
          <w:szCs w:val="18"/>
          <w:color w:val="auto"/>
        </w:rPr>
        <w:t>) waive compliance with any of the conditions or covenants of the other contained in this Agreement and (</w:t>
      </w:r>
      <w:r>
        <w:rPr>
          <w:rFonts w:ascii="Arial" w:cs="Arial" w:eastAsia="Arial" w:hAnsi="Arial"/>
          <w:sz w:val="18"/>
          <w:szCs w:val="18"/>
          <w:u w:val="single" w:color="auto"/>
          <w:color w:val="auto"/>
        </w:rPr>
        <w:t>iii</w:t>
      </w:r>
      <w:r>
        <w:rPr>
          <w:rFonts w:ascii="Arial" w:cs="Arial" w:eastAsia="Arial" w:hAnsi="Arial"/>
          <w:sz w:val="18"/>
          <w:szCs w:val="18"/>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47" w:lineRule="exact"/>
        <w:rPr>
          <w:sz w:val="20"/>
          <w:szCs w:val="20"/>
          <w:color w:val="auto"/>
        </w:rPr>
      </w:pPr>
    </w:p>
    <w:p>
      <w:pPr>
        <w:ind w:firstLine="464"/>
        <w:spacing w:after="0" w:line="259" w:lineRule="auto"/>
        <w:tabs>
          <w:tab w:leader="none" w:pos="705"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40"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right="600" w:firstLine="464"/>
        <w:spacing w:after="0" w:line="268" w:lineRule="auto"/>
        <w:tabs>
          <w:tab w:leader="none" w:pos="676"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right="580" w:firstLine="464"/>
        <w:spacing w:after="0" w:line="268" w:lineRule="auto"/>
        <w:tabs>
          <w:tab w:leader="none" w:pos="705"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58" w:name="page259"/>
    <w:bookmarkEnd w:id="2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Grantee have duly executed this Agreement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Robert Krakauer</w:t>
      </w:r>
    </w:p>
    <w:p>
      <w:pPr>
        <w:spacing w:after="0" w:line="2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Number of Restricted Units: 677,293</w:t>
      </w:r>
    </w:p>
    <w:p>
      <w:pPr>
        <w:sectPr>
          <w:pgSz w:w="11900" w:h="16838" w:orient="portrait"/>
          <w:cols w:equalWidth="0" w:num="1">
            <w:col w:w="9759"/>
          </w:cols>
          <w:pgMar w:left="700" w:top="280" w:right="1440"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10.43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UNIT SUBSCRIPTION AGREEMENT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RESTRICTED UNIT SUBSCRIPTION AGREEMENT, dated as of November 30, 2004, between MagnaChip Semiconductor LLC, a Delaware limited liability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officer whose name appears on the signature page hereof (the “</w:t>
      </w:r>
      <w:r>
        <w:rPr>
          <w:rFonts w:ascii="Arial" w:cs="Arial" w:eastAsia="Arial" w:hAnsi="Arial"/>
          <w:sz w:val="18"/>
          <w:szCs w:val="18"/>
          <w:b w:val="1"/>
          <w:bCs w:val="1"/>
          <w:u w:val="single" w:color="auto"/>
          <w:color w:val="auto"/>
        </w:rPr>
        <w:t>Officer</w:t>
      </w:r>
      <w:r>
        <w:rPr>
          <w:rFonts w:ascii="Arial" w:cs="Arial" w:eastAsia="Arial" w:hAnsi="Arial"/>
          <w:sz w:val="18"/>
          <w:szCs w:val="18"/>
          <w:color w:val="auto"/>
        </w:rPr>
        <w:t>”), pursuant to the MagnaChip Semiconductor LLC Equity Incentive Plan, as in effect and as amended from time to time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Capitalized terms that are not defined herein shall have the same meanings given to such terms in the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65"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WHEREAS, the Officer has entered into that certain Service Agreement, dated as of October 6, 2004 (the “</w:t>
      </w:r>
      <w:r>
        <w:rPr>
          <w:rFonts w:ascii="Arial" w:cs="Arial" w:eastAsia="Arial" w:hAnsi="Arial"/>
          <w:sz w:val="18"/>
          <w:szCs w:val="18"/>
          <w:b w:val="1"/>
          <w:bCs w:val="1"/>
          <w:u w:val="single" w:color="auto"/>
          <w:color w:val="auto"/>
        </w:rPr>
        <w:t>Service Agreement</w:t>
      </w:r>
      <w:r>
        <w:rPr>
          <w:rFonts w:ascii="Arial" w:cs="Arial" w:eastAsia="Arial" w:hAnsi="Arial"/>
          <w:sz w:val="18"/>
          <w:szCs w:val="18"/>
          <w:color w:val="auto"/>
        </w:rPr>
        <w:t>”), between the Officer and MagnaChip Semiconductor, Ltd. (“</w:t>
      </w:r>
      <w:r>
        <w:rPr>
          <w:rFonts w:ascii="Arial" w:cs="Arial" w:eastAsia="Arial" w:hAnsi="Arial"/>
          <w:sz w:val="18"/>
          <w:szCs w:val="18"/>
          <w:b w:val="1"/>
          <w:bCs w:val="1"/>
          <w:u w:val="single" w:color="auto"/>
          <w:color w:val="auto"/>
        </w:rPr>
        <w:t>MagnaChip Korea</w:t>
      </w:r>
      <w:r>
        <w:rPr>
          <w:rFonts w:ascii="Arial" w:cs="Arial" w:eastAsia="Arial" w:hAnsi="Arial"/>
          <w:sz w:val="18"/>
          <w:szCs w:val="18"/>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has granted options to officers of MagnaChip Korea under the Plan;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Officer desires to exercise the options granted to him pursuant to that certain Option Agreement, dated the date hereof, between the Officer and the Company (the “</w:t>
      </w:r>
      <w:r>
        <w:rPr>
          <w:rFonts w:ascii="Arial" w:cs="Arial" w:eastAsia="Arial" w:hAnsi="Arial"/>
          <w:sz w:val="18"/>
          <w:szCs w:val="18"/>
          <w:b w:val="1"/>
          <w:bCs w:val="1"/>
          <w:u w:val="single" w:color="auto"/>
          <w:color w:val="auto"/>
        </w:rPr>
        <w:t>Option Agreement</w:t>
      </w:r>
      <w:r>
        <w:rPr>
          <w:rFonts w:ascii="Arial" w:cs="Arial" w:eastAsia="Arial" w:hAnsi="Arial"/>
          <w:sz w:val="18"/>
          <w:szCs w:val="18"/>
          <w:color w:val="auto"/>
        </w:rPr>
        <w:t>”) and subscribe for the aggregate number of the Company’s Common Units (the “</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set forth on the signature page hereof (each a “</w:t>
      </w:r>
      <w:r>
        <w:rPr>
          <w:rFonts w:ascii="Arial" w:cs="Arial" w:eastAsia="Arial" w:hAnsi="Arial"/>
          <w:sz w:val="18"/>
          <w:szCs w:val="18"/>
          <w:b w:val="1"/>
          <w:bCs w:val="1"/>
          <w:u w:val="single" w:color="auto"/>
          <w:color w:val="auto"/>
        </w:rPr>
        <w:t>Unit</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desires to issue the Units to the Officer on the terms and subject to the conditions set forth herein.</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NOW, THEREFORE, to implement the foregoing and in consideration of the mutual agreements contained herein, the parties hereto hereby agree as follows:</w:t>
      </w:r>
    </w:p>
    <w:p>
      <w:pPr>
        <w:spacing w:after="0" w:line="51" w:lineRule="exact"/>
        <w:rPr>
          <w:sz w:val="20"/>
          <w:szCs w:val="20"/>
          <w:color w:val="auto"/>
        </w:rPr>
      </w:pPr>
    </w:p>
    <w:p>
      <w:pPr>
        <w:ind w:left="640" w:hanging="176"/>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Purchase and Sale of Units</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89" w:lineRule="auto"/>
        <w:tabs>
          <w:tab w:leader="none" w:pos="695"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Purchase of Units</w:t>
      </w:r>
      <w:r>
        <w:rPr>
          <w:rFonts w:ascii="Arial" w:cs="Arial" w:eastAsia="Arial" w:hAnsi="Arial"/>
          <w:sz w:val="16"/>
          <w:szCs w:val="16"/>
          <w:color w:val="auto"/>
        </w:rPr>
        <w:t>. Subject to all of the terms and conditions of this Agreement, the Officer hereby subscribes for and shall purchase, and the Company shall issue to the Officer, the Units, at the Closing provided for in Section 2(a) hereof, such Units being issued pursuant to and in accordance with the Plan and the Option Agreement. The Plan and the Option Agreement are incorporated herein by reference and made a part of this Agreement, and the Officer hereby acknowledges receipt of a copy of the Plan and agrees to be bound by all of the terms and conditions herein and therein. To the extent any provision herein is inconsistent with the Plan, the terms of the Plan shall apply. Notwithstanding anything in this Agreement to the contrary, the Company shall have no obligation to issue any Common Units to (</w:t>
      </w:r>
      <w:r>
        <w:rPr>
          <w:rFonts w:ascii="Arial" w:cs="Arial" w:eastAsia="Arial" w:hAnsi="Arial"/>
          <w:sz w:val="16"/>
          <w:szCs w:val="16"/>
          <w:u w:val="single" w:color="auto"/>
          <w:color w:val="auto"/>
        </w:rPr>
        <w:t>i</w:t>
      </w:r>
      <w:r>
        <w:rPr>
          <w:rFonts w:ascii="Arial" w:cs="Arial" w:eastAsia="Arial" w:hAnsi="Arial"/>
          <w:sz w:val="16"/>
          <w:szCs w:val="16"/>
          <w:color w:val="auto"/>
        </w:rPr>
        <w:t>) any person who is not employed by the Company or any of its Subsidiaries at the time that such Common Units are to be issued or (</w:t>
      </w:r>
      <w:r>
        <w:rPr>
          <w:rFonts w:ascii="Arial" w:cs="Arial" w:eastAsia="Arial" w:hAnsi="Arial"/>
          <w:sz w:val="16"/>
          <w:szCs w:val="16"/>
          <w:u w:val="single" w:color="auto"/>
          <w:color w:val="auto"/>
        </w:rPr>
        <w:t>ii</w:t>
      </w:r>
      <w:r>
        <w:rPr>
          <w:rFonts w:ascii="Arial" w:cs="Arial" w:eastAsia="Arial" w:hAnsi="Arial"/>
          <w:sz w:val="16"/>
          <w:szCs w:val="16"/>
          <w:color w:val="auto"/>
        </w:rPr>
        <w:t>) any person who is a resident of a jurisdiction in which the sale of Common Units to such person would constitute a violation of the securities, “blue sky” or other laws of such jurisdiction.</w:t>
      </w:r>
    </w:p>
    <w:p>
      <w:pPr>
        <w:sectPr>
          <w:pgSz w:w="11900" w:h="16838" w:orient="portrait"/>
          <w:cols w:equalWidth="0" w:num="1">
            <w:col w:w="11420"/>
          </w:cols>
          <w:pgMar w:left="240" w:top="125" w:right="239" w:bottom="1440" w:gutter="0" w:footer="0" w:header="0"/>
        </w:sectPr>
      </w:pPr>
    </w:p>
    <w:bookmarkStart w:id="260" w:name="page261"/>
    <w:bookmarkEnd w:id="260"/>
    <w:p>
      <w:pPr>
        <w:ind w:left="640" w:hanging="176"/>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w:t>
      </w:r>
      <w:r>
        <w:rPr>
          <w:rFonts w:ascii="Arial" w:cs="Arial" w:eastAsia="Arial" w:hAnsi="Arial"/>
          <w:sz w:val="18"/>
          <w:szCs w:val="18"/>
          <w:color w:val="auto"/>
        </w:rPr>
        <w:t>.</w:t>
      </w:r>
    </w:p>
    <w:p>
      <w:pPr>
        <w:spacing w:after="0" w:line="84" w:lineRule="exact"/>
        <w:rPr>
          <w:sz w:val="20"/>
          <w:szCs w:val="20"/>
          <w:color w:val="auto"/>
        </w:rPr>
      </w:pPr>
    </w:p>
    <w:p>
      <w:pPr>
        <w:ind w:right="560" w:firstLine="464"/>
        <w:spacing w:after="0" w:line="275"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Time and Place</w:t>
      </w:r>
      <w:r>
        <w:rPr>
          <w:rFonts w:ascii="Arial" w:cs="Arial" w:eastAsia="Arial" w:hAnsi="Arial"/>
          <w:sz w:val="18"/>
          <w:szCs w:val="18"/>
          <w:color w:val="auto"/>
        </w:rPr>
        <w:t>. Except as otherwise agreed by the Company and the Officer, the closing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of the transaction contemplated by this Agreement shall take place on the date hereof, upon delivery of the items described in Sections 2(b) and (c).</w:t>
      </w:r>
    </w:p>
    <w:p>
      <w:pPr>
        <w:spacing w:after="0" w:line="125" w:lineRule="exact"/>
        <w:rPr>
          <w:rFonts w:ascii="Arial" w:cs="Arial" w:eastAsia="Arial" w:hAnsi="Arial"/>
          <w:sz w:val="18"/>
          <w:szCs w:val="18"/>
          <w:color w:val="auto"/>
        </w:rPr>
      </w:pPr>
    </w:p>
    <w:p>
      <w:pPr>
        <w:ind w:right="420" w:firstLine="464"/>
        <w:spacing w:after="0" w:line="268"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Delivery by the Company</w:t>
      </w:r>
      <w:r>
        <w:rPr>
          <w:rFonts w:ascii="Arial" w:cs="Arial" w:eastAsia="Arial" w:hAnsi="Arial"/>
          <w:sz w:val="18"/>
          <w:szCs w:val="18"/>
          <w:color w:val="auto"/>
        </w:rPr>
        <w:t>. At the Closing, the Company shall deliver to the Officer a copy of the LLC Agreement, which agreement shall serve as evidence of the Officer’s ownership of the Units.</w:t>
      </w:r>
    </w:p>
    <w:p>
      <w:pPr>
        <w:spacing w:after="0" w:line="131" w:lineRule="exact"/>
        <w:rPr>
          <w:rFonts w:ascii="Arial" w:cs="Arial" w:eastAsia="Arial" w:hAnsi="Arial"/>
          <w:sz w:val="18"/>
          <w:szCs w:val="18"/>
          <w:color w:val="auto"/>
        </w:rPr>
      </w:pPr>
    </w:p>
    <w:p>
      <w:pPr>
        <w:ind w:right="40" w:firstLine="464"/>
        <w:spacing w:after="0" w:line="283" w:lineRule="auto"/>
        <w:tabs>
          <w:tab w:leader="none" w:pos="695"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Delivery by the Officer</w:t>
      </w:r>
      <w:r>
        <w:rPr>
          <w:rFonts w:ascii="Arial" w:cs="Arial" w:eastAsia="Arial" w:hAnsi="Arial"/>
          <w:sz w:val="16"/>
          <w:szCs w:val="16"/>
          <w:color w:val="auto"/>
        </w:rPr>
        <w:t>. At the Closing, the Officer shall deliver the option exercise price set forth in the Option Agreement and, if the Officer is not then a party to such agreements, shall execute and deliver to the Company a joinder to the LLC Agreement and the Amended and Restated Securityholders’ Agreement, dated as of October 6, 2004, among the Company, CVC Capital Partners Asia Pacific LP, Asia Investors LLC, CVC Capital Partners Asia II Limited, Citigroup Venture Capital Equity Partners, L.P., CVC Executive Fund LLC, CVC/SSB Employee Fund, L.P., Francisco Partners, L.P., Francisco Partners Fund A, L.P., Peninsula Investment PTE. Ltd., Hynix Semiconductor Inc. and certain other persons named therein (the “</w:t>
      </w:r>
      <w:r>
        <w:rPr>
          <w:rFonts w:ascii="Arial" w:cs="Arial" w:eastAsia="Arial" w:hAnsi="Arial"/>
          <w:sz w:val="16"/>
          <w:szCs w:val="16"/>
          <w:b w:val="1"/>
          <w:bCs w:val="1"/>
          <w:u w:val="single" w:color="auto"/>
          <w:color w:val="auto"/>
        </w:rPr>
        <w:t>Securityholders’ Agreement</w:t>
      </w:r>
      <w:r>
        <w:rPr>
          <w:rFonts w:ascii="Arial" w:cs="Arial" w:eastAsia="Arial" w:hAnsi="Arial"/>
          <w:sz w:val="16"/>
          <w:szCs w:val="16"/>
          <w:color w:val="auto"/>
        </w:rPr>
        <w:t>”). The Officer and the Company agree that the Company shall retain $380,977.14 payable to the Officer pursuant to Section 3(h)(i) of the Service Agreement for the purpose of paying U.S. federal withholding taxes relating to the bonus payable pursuant to such</w:t>
      </w:r>
    </w:p>
    <w:p>
      <w:pPr>
        <w:spacing w:after="0"/>
        <w:rPr>
          <w:rFonts w:ascii="Arial" w:cs="Arial" w:eastAsia="Arial" w:hAnsi="Arial"/>
          <w:sz w:val="16"/>
          <w:szCs w:val="16"/>
          <w:color w:val="auto"/>
        </w:rPr>
      </w:pPr>
      <w:r>
        <w:rPr>
          <w:rFonts w:ascii="Arial" w:cs="Arial" w:eastAsia="Arial" w:hAnsi="Arial"/>
          <w:sz w:val="18"/>
          <w:szCs w:val="18"/>
          <w:color w:val="auto"/>
        </w:rPr>
        <w:t>Section 3(h)(i).</w:t>
      </w:r>
    </w:p>
    <w:p>
      <w:pPr>
        <w:spacing w:after="0" w:line="165" w:lineRule="exact"/>
        <w:rPr>
          <w:sz w:val="20"/>
          <w:szCs w:val="20"/>
          <w:color w:val="auto"/>
        </w:rPr>
      </w:pPr>
    </w:p>
    <w:p>
      <w:pPr>
        <w:ind w:left="640" w:hanging="17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0" w:lineRule="auto"/>
        <w:tabs>
          <w:tab w:leader="none" w:pos="695"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All Units received by the Officer under this Agreement are subject to the restrictions contained herein and as provided under the Plan and the Option Agreement, and, so long as the Units are subject to such restrictions, are referred to herein and therein as “</w:t>
      </w:r>
      <w:r>
        <w:rPr>
          <w:rFonts w:ascii="Arial" w:cs="Arial" w:eastAsia="Arial" w:hAnsi="Arial"/>
          <w:sz w:val="16"/>
          <w:szCs w:val="16"/>
          <w:b w:val="1"/>
          <w:bCs w:val="1"/>
          <w:u w:val="single" w:color="auto"/>
          <w:color w:val="auto"/>
        </w:rPr>
        <w:t>Restricted Units</w:t>
      </w:r>
      <w:r>
        <w:rPr>
          <w:rFonts w:ascii="Arial" w:cs="Arial" w:eastAsia="Arial" w:hAnsi="Arial"/>
          <w:sz w:val="16"/>
          <w:szCs w:val="16"/>
          <w:color w:val="auto"/>
        </w:rPr>
        <w:t>.” The Restricted Units shall be subject to forfeiture or repurchase by the Officer prior to the lapse of the Restricted Period in accordance with the terms herein and in the Plan and the Option Agreement. Except as permitted by the Committee or by will or by the laws of descent and distribution, none of the Restricted Units may be sold, assigned, transferred, pledged, hypothecated or otherwise encumbered until the Restricted Period has ceased, and then only in accordance with Article 3 and Section 5.03 of the Securityholders’ Agreement. As a condition to any transferee receiving Restricted Units by will or through laws of descent and distribution, such transferee shall agree to be bound by this Agreement, the Securityholders’ Agreement and the LLC Agreement.</w:t>
      </w:r>
    </w:p>
    <w:p>
      <w:pPr>
        <w:spacing w:after="0" w:line="118" w:lineRule="exact"/>
        <w:rPr>
          <w:rFonts w:ascii="Arial" w:cs="Arial" w:eastAsia="Arial" w:hAnsi="Arial"/>
          <w:sz w:val="16"/>
          <w:szCs w:val="16"/>
          <w:color w:val="auto"/>
        </w:rPr>
      </w:pPr>
    </w:p>
    <w:p>
      <w:pPr>
        <w:ind w:right="260" w:firstLine="464"/>
        <w:spacing w:after="0" w:line="294" w:lineRule="auto"/>
        <w:tabs>
          <w:tab w:leader="none" w:pos="705"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Restricted Period</w:t>
      </w:r>
      <w:r>
        <w:rPr>
          <w:rFonts w:ascii="Arial" w:cs="Arial" w:eastAsia="Arial" w:hAnsi="Arial"/>
          <w:sz w:val="16"/>
          <w:szCs w:val="16"/>
          <w:color w:val="auto"/>
        </w:rPr>
        <w:t>. Except as otherwise provided in Section 9 hereof, or in the Plan, the Restricted Period shall lapse as to 25% of the Units on September 30, 2005 and shall lapse as to 6.25% of the Units on the last day of each calendar quarter thereafter (each such date, the “</w:t>
      </w:r>
      <w:r>
        <w:rPr>
          <w:rFonts w:ascii="Arial" w:cs="Arial" w:eastAsia="Arial" w:hAnsi="Arial"/>
          <w:sz w:val="16"/>
          <w:szCs w:val="16"/>
          <w:b w:val="1"/>
          <w:bCs w:val="1"/>
          <w:u w:val="single" w:color="auto"/>
          <w:color w:val="auto"/>
        </w:rPr>
        <w:t>Vesting Date</w:t>
      </w:r>
      <w:r>
        <w:rPr>
          <w:rFonts w:ascii="Arial" w:cs="Arial" w:eastAsia="Arial" w:hAnsi="Arial"/>
          <w:sz w:val="16"/>
          <w:szCs w:val="16"/>
          <w:color w:val="auto"/>
        </w:rPr>
        <w:t>” as to the applicable tranche of the Units), which lapses shall be cumulative, subject to the Officer’s continuous employment with MagnaChip Korea from the Closing to such Vesting Date. The Restricted Period shall lapse as to all Restricted Units upon a Change of Control of MagnaChip Korea in connection with which the Officer’s service as Chief Financial Officer of MagnaChip Korea is terminated by MagnaChip Korea.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61" w:name="page262"/>
    <w:bookmarkEnd w:id="261"/>
    <w:p>
      <w:pPr>
        <w:ind w:left="-20" w:firstLine="464"/>
        <w:spacing w:after="0" w:line="335" w:lineRule="auto"/>
        <w:tabs>
          <w:tab w:leader="none" w:pos="675"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Discretion</w:t>
      </w:r>
      <w:r>
        <w:rPr>
          <w:rFonts w:ascii="Arial" w:cs="Arial" w:eastAsia="Arial" w:hAnsi="Arial"/>
          <w:sz w:val="15"/>
          <w:szCs w:val="15"/>
          <w:color w:val="auto"/>
        </w:rPr>
        <w:t>. Notwithstanding any other provisions of this Agreement, the Committee shall be authorized in its discretion, based upon its review and evaluation of the performance of the Officer and of the Company, to accelerate the vesting of any Restricted Units under this Agreement, at such times (including, without limitation, following the Officer’s termination of employment) and upon such terms and conditions as the Committee shall deem advisable.</w:t>
      </w:r>
    </w:p>
    <w:p>
      <w:pPr>
        <w:spacing w:after="0" w:line="88" w:lineRule="exact"/>
        <w:rPr>
          <w:sz w:val="20"/>
          <w:szCs w:val="20"/>
          <w:color w:val="auto"/>
        </w:rPr>
      </w:pPr>
    </w:p>
    <w:p>
      <w:pPr>
        <w:ind w:left="620" w:hanging="176"/>
        <w:spacing w:after="0"/>
        <w:tabs>
          <w:tab w:leader="none" w:pos="6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Repurchase Option</w:t>
      </w:r>
      <w:r>
        <w:rPr>
          <w:rFonts w:ascii="Arial" w:cs="Arial" w:eastAsia="Arial" w:hAnsi="Arial"/>
          <w:sz w:val="18"/>
          <w:szCs w:val="18"/>
          <w:color w:val="auto"/>
        </w:rPr>
        <w:t>.</w:t>
      </w:r>
    </w:p>
    <w:p>
      <w:pPr>
        <w:spacing w:after="0" w:line="90" w:lineRule="exact"/>
        <w:rPr>
          <w:sz w:val="20"/>
          <w:szCs w:val="20"/>
          <w:color w:val="auto"/>
        </w:rPr>
      </w:pPr>
    </w:p>
    <w:p>
      <w:pPr>
        <w:ind w:left="-20" w:right="40" w:firstLine="464"/>
        <w:spacing w:after="0" w:line="256" w:lineRule="auto"/>
        <w:tabs>
          <w:tab w:leader="none" w:pos="67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Upon termination of the Officer’s employment by MagnaChip Korea for Cause (as defined in the Service Agreement), (</w:t>
      </w:r>
      <w:r>
        <w:rPr>
          <w:rFonts w:ascii="Arial" w:cs="Arial" w:eastAsia="Arial" w:hAnsi="Arial"/>
          <w:sz w:val="18"/>
          <w:szCs w:val="18"/>
          <w:u w:val="single" w:color="auto"/>
          <w:color w:val="auto"/>
        </w:rPr>
        <w:t>i</w:t>
      </w:r>
      <w:r>
        <w:rPr>
          <w:rFonts w:ascii="Arial" w:cs="Arial" w:eastAsia="Arial" w:hAnsi="Arial"/>
          <w:sz w:val="18"/>
          <w:szCs w:val="18"/>
          <w:color w:val="auto"/>
        </w:rPr>
        <w:t>) the Restricted Units then held by the Officer for which the Restricted Period has not lapsed as of the date of termination shall be subject to forfeiture to the Company and (</w:t>
      </w:r>
      <w:r>
        <w:rPr>
          <w:rFonts w:ascii="Arial" w:cs="Arial" w:eastAsia="Arial" w:hAnsi="Arial"/>
          <w:sz w:val="18"/>
          <w:szCs w:val="18"/>
          <w:u w:val="single" w:color="auto"/>
          <w:color w:val="auto"/>
        </w:rPr>
        <w:t>ii</w:t>
      </w:r>
      <w:r>
        <w:rPr>
          <w:rFonts w:ascii="Arial" w:cs="Arial" w:eastAsia="Arial" w:hAnsi="Arial"/>
          <w:sz w:val="18"/>
          <w:szCs w:val="18"/>
          <w:color w:val="auto"/>
        </w:rPr>
        <w:t>) the Company (in accordance with the procedures described in Section 4(c)) may repurchase all or any portion of the Units for which the Restricted Period has lapsed as of the date of termination for a cash payment equal to $1.00 per Unit.</w:t>
      </w:r>
    </w:p>
    <w:p>
      <w:pPr>
        <w:spacing w:after="0" w:line="143" w:lineRule="exact"/>
        <w:rPr>
          <w:rFonts w:ascii="Arial" w:cs="Arial" w:eastAsia="Arial" w:hAnsi="Arial"/>
          <w:sz w:val="18"/>
          <w:szCs w:val="18"/>
          <w:color w:val="auto"/>
        </w:rPr>
      </w:pPr>
    </w:p>
    <w:p>
      <w:pPr>
        <w:ind w:left="-20" w:right="180" w:firstLine="464"/>
        <w:spacing w:after="0" w:line="255"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 Upon any termination of the Officer’s employment with MagnaChip Korea other than a termination for Cause (as defined in the Service Agreement), (</w:t>
      </w:r>
      <w:r>
        <w:rPr>
          <w:rFonts w:ascii="Arial" w:cs="Arial" w:eastAsia="Arial" w:hAnsi="Arial"/>
          <w:sz w:val="18"/>
          <w:szCs w:val="18"/>
          <w:u w:val="single" w:color="auto"/>
          <w:color w:val="auto"/>
        </w:rPr>
        <w:t>i</w:t>
      </w:r>
      <w:r>
        <w:rPr>
          <w:rFonts w:ascii="Arial" w:cs="Arial" w:eastAsia="Arial" w:hAnsi="Arial"/>
          <w:sz w:val="18"/>
          <w:szCs w:val="18"/>
          <w:color w:val="auto"/>
        </w:rPr>
        <w:t>) the Restricted Units then held by the Officer for which the Restricted Period has not lapsed as of the date of termination shall be subject to forfeiture to the Company and (</w:t>
      </w:r>
      <w:r>
        <w:rPr>
          <w:rFonts w:ascii="Arial" w:cs="Arial" w:eastAsia="Arial" w:hAnsi="Arial"/>
          <w:sz w:val="18"/>
          <w:szCs w:val="18"/>
          <w:u w:val="single" w:color="auto"/>
          <w:color w:val="auto"/>
        </w:rPr>
        <w:t>ii</w:t>
      </w:r>
      <w:r>
        <w:rPr>
          <w:rFonts w:ascii="Arial" w:cs="Arial" w:eastAsia="Arial" w:hAnsi="Arial"/>
          <w:sz w:val="18"/>
          <w:szCs w:val="18"/>
          <w:color w:val="auto"/>
        </w:rPr>
        <w:t>) the Company (in accordance with the procedures described in Section 4(c)) may repurchase the Units for which the Restricted Period has lapsed as of the date of termination for a cash payment equal to the Fair Market Value of the Units (or the portion thereof so purchased).</w:t>
      </w:r>
    </w:p>
    <w:p>
      <w:pPr>
        <w:spacing w:after="0" w:line="142" w:lineRule="exact"/>
        <w:rPr>
          <w:rFonts w:ascii="Arial" w:cs="Arial" w:eastAsia="Arial" w:hAnsi="Arial"/>
          <w:sz w:val="18"/>
          <w:szCs w:val="18"/>
          <w:color w:val="auto"/>
        </w:rPr>
      </w:pPr>
    </w:p>
    <w:p>
      <w:pPr>
        <w:ind w:left="-20" w:right="100" w:firstLine="464"/>
        <w:spacing w:after="0" w:line="256" w:lineRule="auto"/>
        <w:tabs>
          <w:tab w:leader="none" w:pos="67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Procedures for the Repurchase of Units</w:t>
      </w:r>
      <w:r>
        <w:rPr>
          <w:rFonts w:ascii="Arial" w:cs="Arial" w:eastAsia="Arial" w:hAnsi="Arial"/>
          <w:sz w:val="18"/>
          <w:szCs w:val="18"/>
          <w:color w:val="auto"/>
        </w:rPr>
        <w:t>. Notwithstanding anything to the contrary contained herein, any repurchase of Units pursuant to this Section 4 shall not be effected prior to the expiration of a period of, and the Fair Market Value shall be determined as of a date, at least six months and one day from the date such Units were received by the Officer. The Company shall have an exclusive right to repurchase Units until the date six months and one day from the date the Officer’s employment is terminated.</w:t>
      </w:r>
    </w:p>
    <w:p>
      <w:pPr>
        <w:spacing w:after="0" w:line="143" w:lineRule="exact"/>
        <w:rPr>
          <w:rFonts w:ascii="Arial" w:cs="Arial" w:eastAsia="Arial" w:hAnsi="Arial"/>
          <w:sz w:val="18"/>
          <w:szCs w:val="18"/>
          <w:color w:val="auto"/>
        </w:rPr>
      </w:pPr>
    </w:p>
    <w:p>
      <w:pPr>
        <w:ind w:left="-20" w:right="100" w:firstLine="464"/>
        <w:spacing w:after="0" w:line="332" w:lineRule="auto"/>
        <w:tabs>
          <w:tab w:leader="none" w:pos="68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If the Company elects to repurchase any Units pursuant to this Section 4, the Company may apply the proceeds from such repurchase to any and all outstanding obligations of the Officer due the Company or guaranteed by the Company in respect of the Units.</w:t>
      </w:r>
    </w:p>
    <w:p>
      <w:pPr>
        <w:spacing w:after="0" w:line="85" w:lineRule="exact"/>
        <w:rPr>
          <w:sz w:val="20"/>
          <w:szCs w:val="20"/>
          <w:color w:val="auto"/>
        </w:rPr>
      </w:pPr>
    </w:p>
    <w:p>
      <w:pPr>
        <w:ind w:left="620" w:hanging="176"/>
        <w:spacing w:after="0"/>
        <w:tabs>
          <w:tab w:leader="none" w:pos="62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Officer’s Representations, Warranties and Covenants</w:t>
      </w:r>
      <w:r>
        <w:rPr>
          <w:rFonts w:ascii="Arial" w:cs="Arial" w:eastAsia="Arial" w:hAnsi="Arial"/>
          <w:sz w:val="18"/>
          <w:szCs w:val="18"/>
          <w:color w:val="auto"/>
        </w:rPr>
        <w:t>.</w:t>
      </w:r>
    </w:p>
    <w:p>
      <w:pPr>
        <w:spacing w:after="0" w:line="90" w:lineRule="exact"/>
        <w:rPr>
          <w:sz w:val="20"/>
          <w:szCs w:val="20"/>
          <w:color w:val="auto"/>
        </w:rPr>
      </w:pPr>
    </w:p>
    <w:p>
      <w:pPr>
        <w:ind w:left="-20" w:right="40" w:firstLine="464"/>
        <w:spacing w:after="0" w:line="294" w:lineRule="auto"/>
        <w:tabs>
          <w:tab w:leader="none" w:pos="675"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Investment Intention</w:t>
      </w:r>
      <w:r>
        <w:rPr>
          <w:rFonts w:ascii="Arial" w:cs="Arial" w:eastAsia="Arial" w:hAnsi="Arial"/>
          <w:sz w:val="16"/>
          <w:szCs w:val="16"/>
          <w:color w:val="auto"/>
        </w:rPr>
        <w:t>. The Officer represents and warrants that the Officer is acquiring the Units solely for the Officer’s own account for investment and not with a view to, or for sale in connection with, any distribution thereof. The Officer agrees that the Officer will not, directly or indirectly, offer, transfer, sell, pledge, hypothecate or otherwise dispose of any of the Units (or solicit any offers to buy, purchase or otherwise acquire or take a pledge of any Units), or any interest therein or any rights relating thereto, except in compliance with the Securities Act of 1933, as amended, and the rules and regulations thereunder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all applicable state securities or “blue sky” laws and Article 3 and Section 5.03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262" w:name="page263"/>
    <w:bookmarkEnd w:id="26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Securityholders’ Agreement. The Officer further understands, acknowledges and agrees that none of the Units may be transferred, sold, pledged, hypothecated or otherwise disposed of unless the provisions of Section 3 shall have been satisfied or have expired. Any attempt by the Officer, directly or indirectly, to offer, transfer, sell, pledge, hypothecate or otherwise dispose of any Units or any interest therein, or any rights relating thereto, without complying with the provisions of this Agreement and Article 3 and Section 5.03 of the Securityholders’ Agreement, as such agreements shall be amended from time to time, shall be void and of no effect.</w:t>
      </w:r>
    </w:p>
    <w:p>
      <w:pPr>
        <w:spacing w:after="0" w:line="143" w:lineRule="exact"/>
        <w:rPr>
          <w:sz w:val="20"/>
          <w:szCs w:val="20"/>
          <w:color w:val="auto"/>
        </w:rPr>
      </w:pPr>
    </w:p>
    <w:p>
      <w:pPr>
        <w:ind w:right="1180" w:firstLine="464"/>
        <w:spacing w:after="0" w:line="268" w:lineRule="auto"/>
        <w:tabs>
          <w:tab w:leader="none" w:pos="705"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Officer acknowledges that the certificate or certificates representing the Units, if any, shall bear the legends set forth in the Securityholders’ Agreement.</w:t>
      </w:r>
    </w:p>
    <w:p>
      <w:pPr>
        <w:spacing w:after="0" w:line="131" w:lineRule="exact"/>
        <w:rPr>
          <w:rFonts w:ascii="Arial" w:cs="Arial" w:eastAsia="Arial" w:hAnsi="Arial"/>
          <w:sz w:val="18"/>
          <w:szCs w:val="18"/>
          <w:color w:val="auto"/>
        </w:rPr>
      </w:pPr>
    </w:p>
    <w:p>
      <w:pPr>
        <w:ind w:firstLine="464"/>
        <w:spacing w:after="0" w:line="286"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Securities Law Matters</w:t>
      </w:r>
      <w:r>
        <w:rPr>
          <w:rFonts w:ascii="Arial" w:cs="Arial" w:eastAsia="Arial" w:hAnsi="Arial"/>
          <w:sz w:val="16"/>
          <w:szCs w:val="16"/>
          <w:color w:val="auto"/>
        </w:rPr>
        <w:t>. The Officer acknowledges receipt of advice from the Company that (</w:t>
      </w:r>
      <w:r>
        <w:rPr>
          <w:rFonts w:ascii="Arial" w:cs="Arial" w:eastAsia="Arial" w:hAnsi="Arial"/>
          <w:sz w:val="16"/>
          <w:szCs w:val="16"/>
          <w:u w:val="single" w:color="auto"/>
          <w:color w:val="auto"/>
        </w:rPr>
        <w:t>i</w:t>
      </w:r>
      <w:r>
        <w:rPr>
          <w:rFonts w:ascii="Arial" w:cs="Arial" w:eastAsia="Arial" w:hAnsi="Arial"/>
          <w:sz w:val="16"/>
          <w:szCs w:val="16"/>
          <w:color w:val="auto"/>
        </w:rPr>
        <w:t>) the Units have not been registered under the Act or qualified under any state or foreign securities or “blue sky” laws, (</w:t>
      </w:r>
      <w:r>
        <w:rPr>
          <w:rFonts w:ascii="Arial" w:cs="Arial" w:eastAsia="Arial" w:hAnsi="Arial"/>
          <w:sz w:val="16"/>
          <w:szCs w:val="16"/>
          <w:u w:val="single" w:color="auto"/>
          <w:color w:val="auto"/>
        </w:rPr>
        <w:t>ii</w:t>
      </w:r>
      <w:r>
        <w:rPr>
          <w:rFonts w:ascii="Arial" w:cs="Arial" w:eastAsia="Arial" w:hAnsi="Arial"/>
          <w:sz w:val="16"/>
          <w:szCs w:val="16"/>
          <w:color w:val="auto"/>
        </w:rPr>
        <w:t>) it is not anticipated that there will be any public market for the Units, (</w:t>
      </w:r>
      <w:r>
        <w:rPr>
          <w:rFonts w:ascii="Arial" w:cs="Arial" w:eastAsia="Arial" w:hAnsi="Arial"/>
          <w:sz w:val="16"/>
          <w:szCs w:val="16"/>
          <w:u w:val="single" w:color="auto"/>
          <w:color w:val="auto"/>
        </w:rPr>
        <w:t>iii</w:t>
      </w:r>
      <w:r>
        <w:rPr>
          <w:rFonts w:ascii="Arial" w:cs="Arial" w:eastAsia="Arial" w:hAnsi="Arial"/>
          <w:sz w:val="16"/>
          <w:szCs w:val="16"/>
          <w:color w:val="auto"/>
        </w:rPr>
        <w:t>) the Units must be held indefinitely and the Officer must continue to bear the economic risk of the investment in the Units unless the Units are subsequently registered under the Act and such state laws or an exemption from registration is available, (</w:t>
      </w:r>
      <w:r>
        <w:rPr>
          <w:rFonts w:ascii="Arial" w:cs="Arial" w:eastAsia="Arial" w:hAnsi="Arial"/>
          <w:sz w:val="16"/>
          <w:szCs w:val="16"/>
          <w:u w:val="single" w:color="auto"/>
          <w:color w:val="auto"/>
        </w:rPr>
        <w:t>iv</w:t>
      </w:r>
      <w:r>
        <w:rPr>
          <w:rFonts w:ascii="Arial" w:cs="Arial" w:eastAsia="Arial" w:hAnsi="Arial"/>
          <w:sz w:val="16"/>
          <w:szCs w:val="16"/>
          <w:color w:val="auto"/>
        </w:rPr>
        <w:t>) Rule 144 promulgated under the Act (“</w:t>
      </w:r>
      <w:r>
        <w:rPr>
          <w:rFonts w:ascii="Arial" w:cs="Arial" w:eastAsia="Arial" w:hAnsi="Arial"/>
          <w:sz w:val="16"/>
          <w:szCs w:val="16"/>
          <w:b w:val="1"/>
          <w:bCs w:val="1"/>
          <w:u w:val="single" w:color="auto"/>
          <w:color w:val="auto"/>
        </w:rPr>
        <w:t>Rule 144</w:t>
      </w:r>
      <w:r>
        <w:rPr>
          <w:rFonts w:ascii="Arial" w:cs="Arial" w:eastAsia="Arial" w:hAnsi="Arial"/>
          <w:sz w:val="16"/>
          <w:szCs w:val="16"/>
          <w:color w:val="auto"/>
        </w:rPr>
        <w:t>”) is not presently available with respect to the sales of the Units, and the Company has made no covenant to make Rule 144 available, (</w:t>
      </w:r>
      <w:r>
        <w:rPr>
          <w:rFonts w:ascii="Arial" w:cs="Arial" w:eastAsia="Arial" w:hAnsi="Arial"/>
          <w:sz w:val="16"/>
          <w:szCs w:val="16"/>
          <w:u w:val="single" w:color="auto"/>
          <w:color w:val="auto"/>
        </w:rPr>
        <w:t>v</w:t>
      </w:r>
      <w:r>
        <w:rPr>
          <w:rFonts w:ascii="Arial" w:cs="Arial" w:eastAsia="Arial" w:hAnsi="Arial"/>
          <w:sz w:val="16"/>
          <w:szCs w:val="16"/>
          <w:color w:val="auto"/>
        </w:rPr>
        <w:t>) when and if the Units may be disposed of without registration in reliance upon Rule 144, such disposition can be made only in accordance with the terms and conditions of such Rule, the Plan, this Agreement and the Securityholders’ Agreement, (</w:t>
      </w:r>
      <w:r>
        <w:rPr>
          <w:rFonts w:ascii="Arial" w:cs="Arial" w:eastAsia="Arial" w:hAnsi="Arial"/>
          <w:sz w:val="16"/>
          <w:szCs w:val="16"/>
          <w:u w:val="single" w:color="auto"/>
          <w:color w:val="auto"/>
        </w:rPr>
        <w:t>vi</w:t>
      </w:r>
      <w:r>
        <w:rPr>
          <w:rFonts w:ascii="Arial" w:cs="Arial" w:eastAsia="Arial" w:hAnsi="Arial"/>
          <w:sz w:val="16"/>
          <w:szCs w:val="16"/>
          <w:color w:val="auto"/>
        </w:rPr>
        <w:t>) the Company does not plan to file reports with the Commission or make public information concerning the Company available unless required to do so by law or in connection with its financing arrangements, (</w:t>
      </w:r>
      <w:r>
        <w:rPr>
          <w:rFonts w:ascii="Arial" w:cs="Arial" w:eastAsia="Arial" w:hAnsi="Arial"/>
          <w:sz w:val="16"/>
          <w:szCs w:val="16"/>
          <w:u w:val="single" w:color="auto"/>
          <w:color w:val="auto"/>
        </w:rPr>
        <w:t>vii</w:t>
      </w:r>
      <w:r>
        <w:rPr>
          <w:rFonts w:ascii="Arial" w:cs="Arial" w:eastAsia="Arial" w:hAnsi="Arial"/>
          <w:sz w:val="16"/>
          <w:szCs w:val="16"/>
          <w:color w:val="auto"/>
        </w:rPr>
        <w:t>) if the exemption afforded by Rule 144 is not available, sales of the Units may be difficult to effect because of the absence of public information concerning the Company, (</w:t>
      </w:r>
      <w:r>
        <w:rPr>
          <w:rFonts w:ascii="Arial" w:cs="Arial" w:eastAsia="Arial" w:hAnsi="Arial"/>
          <w:sz w:val="16"/>
          <w:szCs w:val="16"/>
          <w:u w:val="single" w:color="auto"/>
          <w:color w:val="auto"/>
        </w:rPr>
        <w:t>viii</w:t>
      </w:r>
      <w:r>
        <w:rPr>
          <w:rFonts w:ascii="Arial" w:cs="Arial" w:eastAsia="Arial" w:hAnsi="Arial"/>
          <w:sz w:val="16"/>
          <w:szCs w:val="16"/>
          <w:color w:val="auto"/>
        </w:rPr>
        <w:t>) a restrictive legend in the form heretofore set forth shall be placed on the certificates representing the Units and (</w:t>
      </w:r>
      <w:r>
        <w:rPr>
          <w:rFonts w:ascii="Arial" w:cs="Arial" w:eastAsia="Arial" w:hAnsi="Arial"/>
          <w:sz w:val="16"/>
          <w:szCs w:val="16"/>
          <w:u w:val="single" w:color="auto"/>
          <w:color w:val="auto"/>
        </w:rPr>
        <w:t>ix</w:t>
      </w:r>
      <w:r>
        <w:rPr>
          <w:rFonts w:ascii="Arial" w:cs="Arial" w:eastAsia="Arial" w:hAnsi="Arial"/>
          <w:sz w:val="16"/>
          <w:szCs w:val="16"/>
          <w:color w:val="auto"/>
        </w:rPr>
        <w:t>) a notation shall be made in the appropriate records of the Company indicating that the Units are subject to restrictions on transfer set forth in Article 3 and Section 5.03 of the Securityholders’ Agreement and, if the Company should in the future engage the services of a stock transfer agent, appropriate stop-transfer restrictions will be issued to such transfer agent with respect to the Units.</w:t>
      </w:r>
    </w:p>
    <w:p>
      <w:pPr>
        <w:spacing w:after="0" w:line="124" w:lineRule="exact"/>
        <w:rPr>
          <w:rFonts w:ascii="Arial" w:cs="Arial" w:eastAsia="Arial" w:hAnsi="Arial"/>
          <w:sz w:val="16"/>
          <w:szCs w:val="16"/>
          <w:color w:val="auto"/>
        </w:rPr>
      </w:pPr>
    </w:p>
    <w:p>
      <w:pPr>
        <w:ind w:right="100" w:firstLine="464"/>
        <w:spacing w:after="0" w:line="306" w:lineRule="auto"/>
        <w:tabs>
          <w:tab w:leader="none" w:pos="70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Compliance with Rule 144</w:t>
      </w:r>
      <w:r>
        <w:rPr>
          <w:rFonts w:ascii="Arial" w:cs="Arial" w:eastAsia="Arial" w:hAnsi="Arial"/>
          <w:sz w:val="16"/>
          <w:szCs w:val="16"/>
          <w:color w:val="auto"/>
        </w:rPr>
        <w:t>. When and if the Units may be disposed of without registration in reliance upon Rule 144, the Officer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106" w:lineRule="exact"/>
        <w:rPr>
          <w:rFonts w:ascii="Arial" w:cs="Arial" w:eastAsia="Arial" w:hAnsi="Arial"/>
          <w:sz w:val="16"/>
          <w:szCs w:val="16"/>
          <w:color w:val="auto"/>
        </w:rPr>
      </w:pPr>
    </w:p>
    <w:p>
      <w:pPr>
        <w:jc w:val="both"/>
        <w:ind w:right="420" w:firstLine="464"/>
        <w:spacing w:after="0" w:line="332"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Ability to Bear Risk</w:t>
      </w:r>
      <w:r>
        <w:rPr>
          <w:rFonts w:ascii="Arial" w:cs="Arial" w:eastAsia="Arial" w:hAnsi="Arial"/>
          <w:sz w:val="16"/>
          <w:szCs w:val="16"/>
          <w:color w:val="auto"/>
        </w:rPr>
        <w:t>. The Officer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the financial situation of the Officer is such that the Officer can afford to bear the economic risk of holding the Units for an indefinite period and (</w:t>
      </w:r>
      <w:r>
        <w:rPr>
          <w:rFonts w:ascii="Arial" w:cs="Arial" w:eastAsia="Arial" w:hAnsi="Arial"/>
          <w:sz w:val="16"/>
          <w:szCs w:val="16"/>
          <w:u w:val="single" w:color="auto"/>
          <w:color w:val="auto"/>
        </w:rPr>
        <w:t>ii</w:t>
      </w:r>
      <w:r>
        <w:rPr>
          <w:rFonts w:ascii="Arial" w:cs="Arial" w:eastAsia="Arial" w:hAnsi="Arial"/>
          <w:sz w:val="16"/>
          <w:szCs w:val="16"/>
          <w:color w:val="auto"/>
        </w:rPr>
        <w:t>) the Officer can afford to suffer the complete loss of the Officer’s investment in the Units.</w:t>
      </w:r>
    </w:p>
    <w:p>
      <w:pPr>
        <w:spacing w:after="0" w:line="85" w:lineRule="exact"/>
        <w:rPr>
          <w:rFonts w:ascii="Arial" w:cs="Arial" w:eastAsia="Arial" w:hAnsi="Arial"/>
          <w:sz w:val="16"/>
          <w:szCs w:val="16"/>
          <w:color w:val="auto"/>
        </w:rPr>
      </w:pPr>
    </w:p>
    <w:p>
      <w:pPr>
        <w:ind w:right="40" w:firstLine="464"/>
        <w:spacing w:after="0" w:line="259" w:lineRule="auto"/>
        <w:tabs>
          <w:tab w:leader="none" w:pos="67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Access to Information, etc.; Sophistication; Lack of Reliance</w:t>
      </w:r>
      <w:r>
        <w:rPr>
          <w:rFonts w:ascii="Arial" w:cs="Arial" w:eastAsia="Arial" w:hAnsi="Arial"/>
          <w:sz w:val="18"/>
          <w:szCs w:val="18"/>
          <w:color w:val="auto"/>
        </w:rPr>
        <w:t>. The Officer represents and warrants that (</w:t>
      </w:r>
      <w:r>
        <w:rPr>
          <w:rFonts w:ascii="Arial" w:cs="Arial" w:eastAsia="Arial" w:hAnsi="Arial"/>
          <w:sz w:val="18"/>
          <w:szCs w:val="18"/>
          <w:u w:val="single" w:color="auto"/>
          <w:color w:val="auto"/>
        </w:rPr>
        <w:t>i</w:t>
      </w:r>
      <w:r>
        <w:rPr>
          <w:rFonts w:ascii="Arial" w:cs="Arial" w:eastAsia="Arial" w:hAnsi="Arial"/>
          <w:sz w:val="18"/>
          <w:szCs w:val="18"/>
          <w:color w:val="auto"/>
        </w:rPr>
        <w:t>) the Officer has carefully reviewed the materials furnished to the Officer in connection with the transaction contemplated hereby, including, without limitation, the Plan and the other materials furnished to the Officer in connection with the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63" w:name="page264"/>
    <w:bookmarkEnd w:id="26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contemplated hereby, (</w:t>
      </w:r>
      <w:r>
        <w:rPr>
          <w:rFonts w:ascii="Arial" w:cs="Arial" w:eastAsia="Arial" w:hAnsi="Arial"/>
          <w:sz w:val="16"/>
          <w:szCs w:val="16"/>
          <w:u w:val="single" w:color="auto"/>
          <w:color w:val="auto"/>
        </w:rPr>
        <w:t>ii</w:t>
      </w:r>
      <w:r>
        <w:rPr>
          <w:rFonts w:ascii="Arial" w:cs="Arial" w:eastAsia="Arial" w:hAnsi="Arial"/>
          <w:sz w:val="16"/>
          <w:szCs w:val="16"/>
          <w:color w:val="auto"/>
        </w:rPr>
        <w:t>) the Officer is familiar with the business and financial condition, properties, operations and prospects of the Company and that the Officer has been granted the opportunity to ask questions of, and receive answers from, representatives of the Company concerning the Company and the terms and conditions of the purchase of the Units and to obtain any additional information that the Officer deems necessary, (</w:t>
      </w:r>
      <w:r>
        <w:rPr>
          <w:rFonts w:ascii="Arial" w:cs="Arial" w:eastAsia="Arial" w:hAnsi="Arial"/>
          <w:sz w:val="16"/>
          <w:szCs w:val="16"/>
          <w:u w:val="single" w:color="auto"/>
          <w:color w:val="auto"/>
        </w:rPr>
        <w:t>iii</w:t>
      </w:r>
      <w:r>
        <w:rPr>
          <w:rFonts w:ascii="Arial" w:cs="Arial" w:eastAsia="Arial" w:hAnsi="Arial"/>
          <w:sz w:val="16"/>
          <w:szCs w:val="16"/>
          <w:color w:val="auto"/>
        </w:rPr>
        <w:t>) the Officer’s knowledge and experience in financial and business matters is such that the Officer is capable of evaluating the merits and risk of the investment in the Units, (</w:t>
      </w:r>
      <w:r>
        <w:rPr>
          <w:rFonts w:ascii="Arial" w:cs="Arial" w:eastAsia="Arial" w:hAnsi="Arial"/>
          <w:sz w:val="16"/>
          <w:szCs w:val="16"/>
          <w:u w:val="single" w:color="auto"/>
          <w:color w:val="auto"/>
        </w:rPr>
        <w:t>iv</w:t>
      </w:r>
      <w:r>
        <w:rPr>
          <w:rFonts w:ascii="Arial" w:cs="Arial" w:eastAsia="Arial" w:hAnsi="Arial"/>
          <w:sz w:val="16"/>
          <w:szCs w:val="16"/>
          <w:color w:val="auto"/>
        </w:rPr>
        <w:t>) the Officer has carefully reviewed the terms and provisions of the Securityholders’ Agreement and LLC Agreement and has evaluated the restrictions and obligations contained therein, and (</w:t>
      </w:r>
      <w:r>
        <w:rPr>
          <w:rFonts w:ascii="Arial" w:cs="Arial" w:eastAsia="Arial" w:hAnsi="Arial"/>
          <w:sz w:val="16"/>
          <w:szCs w:val="16"/>
          <w:u w:val="single" w:color="auto"/>
          <w:color w:val="auto"/>
        </w:rPr>
        <w:t>v</w:t>
      </w:r>
      <w:r>
        <w:rPr>
          <w:rFonts w:ascii="Arial" w:cs="Arial" w:eastAsia="Arial" w:hAnsi="Arial"/>
          <w:sz w:val="16"/>
          <w:szCs w:val="16"/>
          <w:color w:val="auto"/>
        </w:rPr>
        <w:t>) the Officer is, and will be at the Closing, either (</w:t>
      </w:r>
      <w:r>
        <w:rPr>
          <w:rFonts w:ascii="Arial" w:cs="Arial" w:eastAsia="Arial" w:hAnsi="Arial"/>
          <w:sz w:val="16"/>
          <w:szCs w:val="16"/>
          <w:u w:val="single" w:color="auto"/>
          <w:color w:val="auto"/>
        </w:rPr>
        <w:t>A</w:t>
      </w:r>
      <w:r>
        <w:rPr>
          <w:rFonts w:ascii="Arial" w:cs="Arial" w:eastAsia="Arial" w:hAnsi="Arial"/>
          <w:sz w:val="16"/>
          <w:szCs w:val="16"/>
          <w:color w:val="auto"/>
        </w:rPr>
        <w:t>) an officer or employee of the Company or one of its subsidiaries or (</w:t>
      </w:r>
      <w:r>
        <w:rPr>
          <w:rFonts w:ascii="Arial" w:cs="Arial" w:eastAsia="Arial" w:hAnsi="Arial"/>
          <w:sz w:val="16"/>
          <w:szCs w:val="16"/>
          <w:u w:val="single" w:color="auto"/>
          <w:color w:val="auto"/>
        </w:rPr>
        <w:t>B</w:t>
      </w:r>
      <w:r>
        <w:rPr>
          <w:rFonts w:ascii="Arial" w:cs="Arial" w:eastAsia="Arial" w:hAnsi="Arial"/>
          <w:sz w:val="16"/>
          <w:szCs w:val="16"/>
          <w:color w:val="auto"/>
        </w:rPr>
        <w:t>) an “Accredited Investor” under Regulation D promulgated under the Act and agrees to furnish such documents and to comply with such reasonable requests of the Company as may be necessary to substantiate the Officer’s status as a qualifying investor in connection with this private offering of Units to the Officer. In furtherance of the foregoing, the Officer represents and warrants that (</w:t>
      </w:r>
      <w:r>
        <w:rPr>
          <w:rFonts w:ascii="Arial" w:cs="Arial" w:eastAsia="Arial" w:hAnsi="Arial"/>
          <w:sz w:val="16"/>
          <w:szCs w:val="16"/>
          <w:u w:val="single" w:color="auto"/>
          <w:color w:val="auto"/>
        </w:rPr>
        <w:t>x</w:t>
      </w:r>
      <w:r>
        <w:rPr>
          <w:rFonts w:ascii="Arial" w:cs="Arial" w:eastAsia="Arial" w:hAnsi="Arial"/>
          <w:sz w:val="16"/>
          <w:szCs w:val="16"/>
          <w:color w:val="auto"/>
        </w:rPr>
        <w:t>) no representation or warranty, express or implied, whether written or oral, as to the financial condition, results of operations, prospects, properties or business of the Company or as to the desirability or value of an investment in the Company has been made to the Officer by or on behalf of the Company, except for those representations and warranties contained in Section 8 and the Securityholders’ Agreement, (</w:t>
      </w:r>
      <w:r>
        <w:rPr>
          <w:rFonts w:ascii="Arial" w:cs="Arial" w:eastAsia="Arial" w:hAnsi="Arial"/>
          <w:sz w:val="16"/>
          <w:szCs w:val="16"/>
          <w:u w:val="single" w:color="auto"/>
          <w:color w:val="auto"/>
        </w:rPr>
        <w:t>y</w:t>
      </w:r>
      <w:r>
        <w:rPr>
          <w:rFonts w:ascii="Arial" w:cs="Arial" w:eastAsia="Arial" w:hAnsi="Arial"/>
          <w:sz w:val="16"/>
          <w:szCs w:val="16"/>
          <w:color w:val="auto"/>
        </w:rPr>
        <w:t>) the Officer has relied upon the Officer’s own independent appraisal and investigation, and the advice of the Officer’s own counsel, tax advisors and other advisors, regarding the risks of an investment in the Company and (</w:t>
      </w:r>
      <w:r>
        <w:rPr>
          <w:rFonts w:ascii="Arial" w:cs="Arial" w:eastAsia="Arial" w:hAnsi="Arial"/>
          <w:sz w:val="16"/>
          <w:szCs w:val="16"/>
          <w:u w:val="single" w:color="auto"/>
          <w:color w:val="auto"/>
        </w:rPr>
        <w:t>z</w:t>
      </w:r>
      <w:r>
        <w:rPr>
          <w:rFonts w:ascii="Arial" w:cs="Arial" w:eastAsia="Arial" w:hAnsi="Arial"/>
          <w:sz w:val="16"/>
          <w:szCs w:val="16"/>
          <w:color w:val="auto"/>
        </w:rPr>
        <w:t>) the Officer will continue to bear sole responsibility for making the Officer’s own independent evaluation and monitoring of the risks of the Officer’s investment in the Company.</w:t>
      </w:r>
    </w:p>
    <w:p>
      <w:pPr>
        <w:spacing w:after="0" w:line="128" w:lineRule="exact"/>
        <w:rPr>
          <w:sz w:val="20"/>
          <w:szCs w:val="20"/>
          <w:color w:val="auto"/>
        </w:rPr>
      </w:pPr>
    </w:p>
    <w:p>
      <w:pPr>
        <w:ind w:right="20" w:firstLine="464"/>
        <w:spacing w:after="0" w:line="286" w:lineRule="auto"/>
        <w:tabs>
          <w:tab w:leader="none" w:pos="705"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Due Execution and Delivery</w:t>
      </w:r>
      <w:r>
        <w:rPr>
          <w:rFonts w:ascii="Arial" w:cs="Arial" w:eastAsia="Arial" w:hAnsi="Arial"/>
          <w:sz w:val="16"/>
          <w:szCs w:val="16"/>
          <w:color w:val="auto"/>
        </w:rPr>
        <w:t>. The Officer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the Officer has duly executed and delivered this Agreement, (</w:t>
      </w:r>
      <w:r>
        <w:rPr>
          <w:rFonts w:ascii="Arial" w:cs="Arial" w:eastAsia="Arial" w:hAnsi="Arial"/>
          <w:sz w:val="16"/>
          <w:szCs w:val="16"/>
          <w:u w:val="single" w:color="auto"/>
          <w:color w:val="auto"/>
        </w:rPr>
        <w:t>ii</w:t>
      </w:r>
      <w:r>
        <w:rPr>
          <w:rFonts w:ascii="Arial" w:cs="Arial" w:eastAsia="Arial" w:hAnsi="Arial"/>
          <w:sz w:val="16"/>
          <w:szCs w:val="16"/>
          <w:color w:val="auto"/>
        </w:rPr>
        <w:t>) all actions required to be taken by or on behalf of the Officer to authorize the Officer to execute, deliver and perform the Officer’s obligations under this Agreement, the Securityholders’ Agreement and the LLC Agreement have been taken and this Agreement constitutes and, upon execution of a joinder thereto, the Securityholders’ Agreement and the LLC Agreement will constitute the Officer’s legal, valid and binding obligations, enforceable against the Officer in accordance with their respective terms, except as the same may be affected by bankruptcy, insolvency, moratorium or similar laws, or by legal or equitable principles relating to or limiting the rights of contracting parties generally, (</w:t>
      </w:r>
      <w:r>
        <w:rPr>
          <w:rFonts w:ascii="Arial" w:cs="Arial" w:eastAsia="Arial" w:hAnsi="Arial"/>
          <w:sz w:val="16"/>
          <w:szCs w:val="16"/>
          <w:u w:val="single" w:color="auto"/>
          <w:color w:val="auto"/>
        </w:rPr>
        <w:t>iii</w:t>
      </w:r>
      <w:r>
        <w:rPr>
          <w:rFonts w:ascii="Arial" w:cs="Arial" w:eastAsia="Arial" w:hAnsi="Arial"/>
          <w:sz w:val="16"/>
          <w:szCs w:val="16"/>
          <w:color w:val="auto"/>
        </w:rPr>
        <w:t>) the execution and delivery of this Agreement and the joinder to the Securityholders’ Agreement and the LLC Agreement, and the consummation by the Officer of the transactions contemplated hereby and thereby in the manner contemplated hereby and thereby do not and will not conflict with, or result in a breach of any terms of, or constitute a default under, any agreement or instrument or any statute, law, rule or regulation, or any judgment, decree, writ, injunction, order or award of any arbitrator, court or governmental authority which is applicable to the Officer or by which the Officer or any material portion of the Officer’s properties is bound and (</w:t>
      </w:r>
      <w:r>
        <w:rPr>
          <w:rFonts w:ascii="Arial" w:cs="Arial" w:eastAsia="Arial" w:hAnsi="Arial"/>
          <w:sz w:val="16"/>
          <w:szCs w:val="16"/>
          <w:u w:val="single" w:color="auto"/>
          <w:color w:val="auto"/>
        </w:rPr>
        <w:t>iv</w:t>
      </w:r>
      <w:r>
        <w:rPr>
          <w:rFonts w:ascii="Arial" w:cs="Arial" w:eastAsia="Arial" w:hAnsi="Arial"/>
          <w:sz w:val="16"/>
          <w:szCs w:val="16"/>
          <w:color w:val="auto"/>
        </w:rPr>
        <w:t>) no consent, approval, authorization, order, filing, registration or qualification of or with any court, governmental authority or third person is required to be obtained by such Officer in connection with the execution and delivery of this Agreement and the joinder to the Securityholders’ Agreement and the LLC Agreement or the performance of such Officer’s obligations hereunder or thereunder.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64" w:name="page265"/>
    <w:bookmarkEnd w:id="264"/>
    <w:p>
      <w:pPr>
        <w:ind w:left="712" w:hanging="256"/>
        <w:spacing w:after="0"/>
        <w:tabs>
          <w:tab w:leader="none" w:pos="712"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w:t>
      </w:r>
      <w:r>
        <w:rPr>
          <w:rFonts w:ascii="Arial" w:cs="Arial" w:eastAsia="Arial" w:hAnsi="Arial"/>
          <w:sz w:val="18"/>
          <w:szCs w:val="18"/>
          <w:color w:val="auto"/>
        </w:rPr>
        <w:t>. The Officer shall be entitled to the rights and subject to the obligations created under the Securityholders’ Agreement.</w:t>
      </w:r>
    </w:p>
    <w:p>
      <w:pPr>
        <w:spacing w:after="0" w:line="165" w:lineRule="exact"/>
        <w:rPr>
          <w:rFonts w:ascii="Arial" w:cs="Arial" w:eastAsia="Arial" w:hAnsi="Arial"/>
          <w:sz w:val="18"/>
          <w:szCs w:val="18"/>
          <w:color w:val="auto"/>
        </w:rPr>
      </w:pPr>
    </w:p>
    <w:p>
      <w:pPr>
        <w:ind w:left="-8" w:right="20" w:firstLine="464"/>
        <w:spacing w:after="0" w:line="284" w:lineRule="auto"/>
        <w:tabs>
          <w:tab w:leader="none" w:pos="658"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The Officer shall make an election (the “</w:t>
      </w:r>
      <w:r>
        <w:rPr>
          <w:rFonts w:ascii="Arial" w:cs="Arial" w:eastAsia="Arial" w:hAnsi="Arial"/>
          <w:sz w:val="16"/>
          <w:szCs w:val="16"/>
          <w:b w:val="1"/>
          <w:bCs w:val="1"/>
          <w:u w:val="single" w:color="auto"/>
          <w:color w:val="auto"/>
        </w:rPr>
        <w:t>83(b) Election</w:t>
      </w:r>
      <w:r>
        <w:rPr>
          <w:rFonts w:ascii="Arial" w:cs="Arial" w:eastAsia="Arial" w:hAnsi="Arial"/>
          <w:sz w:val="16"/>
          <w:szCs w:val="16"/>
          <w:color w:val="auto"/>
        </w:rPr>
        <w:t>”) pursuant to Section 83(b) of the Internal Revenue Code of 1986, as amended, with respect to the Units purchased at such Closing within 20 days after the Closing and shall notify the Company when the 83(b) Election has been made and provide the Company with a copy of the 83(b) Election. OFFICER ACKNOWLEDGES THAT OFFICER WILL BE SOLELY RESPONSIBLE FOR ANY AND ALL TAX LIABILITIES PAYABLE BY THE OFFICER IN CONNECTION WITH THE OFFICER’S PURCHASE AND RECEIPT OF THE UNITS OR ATTRIBUTABLE TO THE OFFICER MAKING THE 83(B) ELECTION. THE OFFICER ACKNOWLEDGES THAT (1) THE OFFICER ALONE IS RESPONSIBLE FOR FILING WITH THE INTERNAL REVENUE SERVICE, BY THE APPLICABLE DEADLINE, ALL APPLICABLE FORMS REQUIRED TO EFFECT THE 83(B) ELECTION, (2) NO EXTENSION OF THE 83(B) ELECTION DEADLINE WILL BE AVAILABLE UNDER LAW AND</w:t>
      </w:r>
    </w:p>
    <w:p>
      <w:pPr>
        <w:ind w:left="-8" w:right="60" w:firstLine="8"/>
        <w:spacing w:after="0" w:line="255" w:lineRule="auto"/>
        <w:tabs>
          <w:tab w:leader="none" w:pos="23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ADVERSE TAX CONSEQUENCES MAY RESULT TO THE OFFICER IF THE 83(B) ELECTION IS NOT TIMELY MADE. However, the Officer and the Company agree that the Company shall retain $380,977.14 payable to the Officer pursuant to Section 3(h)(i) of the Service Agreement for the purpose of paying U.S. federal withholding taxes relating to the bonus payable pursuant to such Section 3(h)(i).</w:t>
      </w:r>
    </w:p>
    <w:p>
      <w:pPr>
        <w:spacing w:after="0" w:line="144" w:lineRule="exact"/>
        <w:rPr>
          <w:sz w:val="20"/>
          <w:szCs w:val="20"/>
          <w:color w:val="auto"/>
        </w:rPr>
      </w:pPr>
    </w:p>
    <w:p>
      <w:pPr>
        <w:ind w:left="-8" w:right="20" w:firstLine="464"/>
        <w:spacing w:after="0" w:line="289" w:lineRule="auto"/>
        <w:tabs>
          <w:tab w:leader="none" w:pos="624"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The Officer’s Rights with Respect to Restricted Units</w:t>
      </w:r>
      <w:r>
        <w:rPr>
          <w:rFonts w:ascii="Arial" w:cs="Arial" w:eastAsia="Arial" w:hAnsi="Arial"/>
          <w:sz w:val="16"/>
          <w:szCs w:val="16"/>
          <w:color w:val="auto"/>
        </w:rPr>
        <w:t>. Except as otherwise provided in this Agreement or any other agreement entered into in respect of the Restricted Units, the Officer shall have, with respect to all of its Restricted Units, all of the rights of an equityholder of the Company, including the right to vote such Restricted Units, the right to receive cash and other dividends, if any, as may be declared on the Restricted Units from time to time, and the right to receive cash proceeds payable with respect to the Restricted Units as a result of any merger, reorganization, consolidation, or other corporate transaction of the Company to the same extent as such cash proceeds are payable with respect to other Common Units. Any securities issued to or received by the Officer with respect to Restricted Units as a result of a split, a dividend payable in units, a combination of units or any other change or exchange of the Restricted Units for other securities, by reclassification, reorganization, distribution, liquidation or otherwise shall have the same status as the Restricted Units and shall be held by the Company, if the Restricted Units are being so held, unless otherwise determined by the Committee.</w:t>
      </w:r>
    </w:p>
    <w:p>
      <w:pPr>
        <w:spacing w:after="0" w:line="118" w:lineRule="exact"/>
        <w:rPr>
          <w:rFonts w:ascii="Arial" w:cs="Arial" w:eastAsia="Arial" w:hAnsi="Arial"/>
          <w:sz w:val="16"/>
          <w:szCs w:val="16"/>
          <w:color w:val="auto"/>
        </w:rPr>
      </w:pPr>
    </w:p>
    <w:p>
      <w:pPr>
        <w:ind w:left="-8" w:right="20" w:firstLine="464"/>
        <w:spacing w:after="0" w:line="268" w:lineRule="auto"/>
        <w:tabs>
          <w:tab w:leader="none" w:pos="624"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Other Rights and Obligations</w:t>
      </w:r>
      <w:r>
        <w:rPr>
          <w:rFonts w:ascii="Arial" w:cs="Arial" w:eastAsia="Arial" w:hAnsi="Arial"/>
          <w:sz w:val="18"/>
          <w:szCs w:val="18"/>
          <w:color w:val="auto"/>
        </w:rPr>
        <w:t>. The Officer shall be entitled to the rights and subject to the obligations created under the Plan, the LLC Agreement and the Securityholders’ Agreement, each to the extent set forth therein.</w:t>
      </w:r>
    </w:p>
    <w:p>
      <w:pPr>
        <w:spacing w:after="0" w:line="131" w:lineRule="exact"/>
        <w:rPr>
          <w:rFonts w:ascii="Arial" w:cs="Arial" w:eastAsia="Arial" w:hAnsi="Arial"/>
          <w:sz w:val="18"/>
          <w:szCs w:val="18"/>
          <w:color w:val="auto"/>
        </w:rPr>
      </w:pPr>
    </w:p>
    <w:p>
      <w:pPr>
        <w:ind w:left="-8" w:firstLine="464"/>
        <w:spacing w:after="0" w:line="298" w:lineRule="auto"/>
        <w:tabs>
          <w:tab w:leader="none" w:pos="624"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Officer that (</w:t>
      </w:r>
      <w:r>
        <w:rPr>
          <w:rFonts w:ascii="Arial" w:cs="Arial" w:eastAsia="Arial" w:hAnsi="Arial"/>
          <w:sz w:val="16"/>
          <w:szCs w:val="16"/>
          <w:u w:val="single" w:color="auto"/>
          <w:color w:val="auto"/>
        </w:rPr>
        <w:t>i</w:t>
      </w:r>
      <w:r>
        <w:rPr>
          <w:rFonts w:ascii="Arial" w:cs="Arial" w:eastAsia="Arial" w:hAnsi="Arial"/>
          <w:sz w:val="16"/>
          <w:szCs w:val="16"/>
          <w:color w:val="auto"/>
        </w:rPr>
        <w:t>) the Company is a limited liability company duly organized, validly existing and in good standing under the laws of the State of Delaware, (</w:t>
      </w:r>
      <w:r>
        <w:rPr>
          <w:rFonts w:ascii="Arial" w:cs="Arial" w:eastAsia="Arial" w:hAnsi="Arial"/>
          <w:sz w:val="16"/>
          <w:szCs w:val="16"/>
          <w:u w:val="single" w:color="auto"/>
          <w:color w:val="auto"/>
        </w:rPr>
        <w:t>ii</w:t>
      </w:r>
      <w:r>
        <w:rPr>
          <w:rFonts w:ascii="Arial" w:cs="Arial" w:eastAsia="Arial" w:hAnsi="Arial"/>
          <w:sz w:val="16"/>
          <w:szCs w:val="16"/>
          <w:color w:val="auto"/>
        </w:rPr>
        <w:t>) the execution and delivery of this Agreement, the Securityholders’ Agreement and the LLC Agreement, the performance of the Company’s obligations hereunder and thereunder and the consummation by it of the transactions contemplated hereby and thereby have been duly and validly authorized by all requisite corporate action on the part of the Company, (</w:t>
      </w:r>
      <w:r>
        <w:rPr>
          <w:rFonts w:ascii="Arial" w:cs="Arial" w:eastAsia="Arial" w:hAnsi="Arial"/>
          <w:sz w:val="16"/>
          <w:szCs w:val="16"/>
          <w:u w:val="single" w:color="auto"/>
          <w:color w:val="auto"/>
        </w:rPr>
        <w:t>iii</w:t>
      </w:r>
      <w:r>
        <w:rPr>
          <w:rFonts w:ascii="Arial" w:cs="Arial" w:eastAsia="Arial" w:hAnsi="Arial"/>
          <w:sz w:val="16"/>
          <w:szCs w:val="16"/>
          <w:color w:val="auto"/>
        </w:rPr>
        <w:t>) this</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265" w:name="page266"/>
    <w:bookmarkEnd w:id="26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the Securityholders’ Agreement and the LLC Agreement have been duly and validly executed by the Company and constitute the legal, valid and binding obligations of the Company enforceable against it in accordance with their respective terms, except as the same may be affected by bankruptcy, insolvency, moratorium or similar laws, or by legal or equitable principles relating to or limiting the rights of contracting parties generally and (</w:t>
      </w:r>
      <w:r>
        <w:rPr>
          <w:rFonts w:ascii="Arial" w:cs="Arial" w:eastAsia="Arial" w:hAnsi="Arial"/>
          <w:sz w:val="16"/>
          <w:szCs w:val="16"/>
          <w:u w:val="single" w:color="auto"/>
          <w:color w:val="auto"/>
        </w:rPr>
        <w:t>iv</w:t>
      </w:r>
      <w:r>
        <w:rPr>
          <w:rFonts w:ascii="Arial" w:cs="Arial" w:eastAsia="Arial" w:hAnsi="Arial"/>
          <w:sz w:val="16"/>
          <w:szCs w:val="16"/>
          <w:color w:val="auto"/>
        </w:rPr>
        <w:t>) the Units, when issued and delivered in accordance with the terms hereof, will be duly authorized, validly issued, fully paid and nonassessable, and free and clear of any liens or encumbrances other than those created by the Officer or pursuant to this Agreement, the Securityholders’ Agreement or the LLC Agreement or otherwise in connection with the transactions contemplated hereby and thereby.</w:t>
      </w:r>
    </w:p>
    <w:p>
      <w:pPr>
        <w:spacing w:after="0" w:line="120" w:lineRule="exact"/>
        <w:rPr>
          <w:sz w:val="20"/>
          <w:szCs w:val="20"/>
          <w:color w:val="auto"/>
        </w:rPr>
      </w:pPr>
    </w:p>
    <w:p>
      <w:pPr>
        <w:ind w:left="640" w:hanging="176"/>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98" w:lineRule="auto"/>
        <w:tabs>
          <w:tab w:leader="none" w:pos="695"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required or permitted to be given under this Agreement shall be in writing and shall be deemed to have been given if delivered personally (including by recognized overnight carrier) or sent by certified or express mail, return receipt requested, postage prepaid, or by any recognized international equivalent of such mail delivery, to the Company, or the Officer, as the case may be, at the following addresses or to such other address as the Company or the Officer, as the case may be, shall specify by notice to the others:</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rFonts w:ascii="Arial" w:cs="Arial" w:eastAsia="Arial" w:hAnsi="Arial"/>
          <w:sz w:val="18"/>
          <w:szCs w:val="18"/>
          <w:color w:val="auto"/>
        </w:rPr>
      </w:pPr>
    </w:p>
    <w:p>
      <w:pPr>
        <w:ind w:left="900" w:right="7900"/>
        <w:spacing w:after="0" w:line="254" w:lineRule="auto"/>
        <w:rPr>
          <w:rFonts w:ascii="Arial" w:cs="Arial" w:eastAsia="Arial" w:hAnsi="Arial"/>
          <w:sz w:val="18"/>
          <w:szCs w:val="18"/>
          <w:color w:val="auto"/>
        </w:rPr>
      </w:pPr>
      <w:r>
        <w:rPr>
          <w:rFonts w:ascii="Arial" w:cs="Arial" w:eastAsia="Arial" w:hAnsi="Arial"/>
          <w:sz w:val="18"/>
          <w:szCs w:val="18"/>
          <w:color w:val="auto"/>
        </w:rPr>
        <w:t>c/o MagnaChip Semiconductor, Ltd. Daechi-dong, Kangnam-gu</w:t>
      </w:r>
    </w:p>
    <w:p>
      <w:pPr>
        <w:jc w:val="both"/>
        <w:ind w:left="900" w:right="8880"/>
        <w:spacing w:after="0" w:line="323" w:lineRule="auto"/>
        <w:rPr>
          <w:rFonts w:ascii="Arial" w:cs="Arial" w:eastAsia="Arial" w:hAnsi="Arial"/>
          <w:sz w:val="18"/>
          <w:szCs w:val="18"/>
          <w:color w:val="auto"/>
        </w:rPr>
      </w:pPr>
      <w:r>
        <w:rPr>
          <w:rFonts w:ascii="Arial" w:cs="Arial" w:eastAsia="Arial" w:hAnsi="Arial"/>
          <w:sz w:val="16"/>
          <w:szCs w:val="16"/>
          <w:color w:val="auto"/>
        </w:rPr>
        <w:t>Seoul 135-738, Korea Attn: General Counsel</w:t>
      </w:r>
    </w:p>
    <w:p>
      <w:pPr>
        <w:spacing w:after="0" w:line="11" w:lineRule="exact"/>
        <w:rPr>
          <w:rFonts w:ascii="Arial" w:cs="Arial" w:eastAsia="Arial" w:hAnsi="Arial"/>
          <w:sz w:val="18"/>
          <w:szCs w:val="18"/>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to the Officer, to the Officer at the address as reflected in the Company’s books and records.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right="20" w:firstLine="464"/>
        <w:spacing w:after="0" w:line="335" w:lineRule="auto"/>
        <w:tabs>
          <w:tab w:leader="none" w:pos="705"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right="200" w:firstLine="464"/>
        <w:spacing w:after="0" w:line="298" w:lineRule="auto"/>
        <w:tabs>
          <w:tab w:leader="none" w:pos="695"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266" w:name="page267"/>
    <w:bookmarkEnd w:id="266"/>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a party to exercise any right or privilege hereunder shall be deemed a waiver of such party’s rights or privileges hereunder or shall be deemed a waiver of such party’s rights to exercise the same at any subsequent time or times hereunder.</w:t>
      </w:r>
    </w:p>
    <w:p>
      <w:pPr>
        <w:spacing w:after="0" w:line="113" w:lineRule="exact"/>
        <w:rPr>
          <w:sz w:val="20"/>
          <w:szCs w:val="20"/>
          <w:color w:val="auto"/>
        </w:rPr>
      </w:pPr>
    </w:p>
    <w:p>
      <w:pPr>
        <w:ind w:left="720" w:hanging="256"/>
        <w:spacing w:after="0"/>
        <w:tabs>
          <w:tab w:leader="none" w:pos="72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modified or supplemented only by a written agreement executed by the Officer and the Company.</w:t>
      </w:r>
    </w:p>
    <w:p>
      <w:pPr>
        <w:spacing w:after="0" w:line="194" w:lineRule="exact"/>
        <w:rPr>
          <w:rFonts w:ascii="Arial" w:cs="Arial" w:eastAsia="Arial" w:hAnsi="Arial"/>
          <w:sz w:val="16"/>
          <w:szCs w:val="16"/>
          <w:color w:val="auto"/>
        </w:rPr>
      </w:pPr>
    </w:p>
    <w:p>
      <w:pPr>
        <w:ind w:firstLine="464"/>
        <w:spacing w:after="0" w:line="335" w:lineRule="auto"/>
        <w:tabs>
          <w:tab w:leader="none" w:pos="695"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Plan, the Securityholders Agreement and the LLC Agreement, is the entire agreement of the parties with respect to the subject matter hereof and supersedes all other prior agreements, understandings, documents, statements, representations and warranties, oral or written, express or implied, between the parties hereto and their respective subsidiaries, representatives and agents in respect of the subject matter hereof.</w:t>
      </w:r>
    </w:p>
    <w:p>
      <w:pPr>
        <w:spacing w:after="0" w:line="88" w:lineRule="exact"/>
        <w:rPr>
          <w:rFonts w:ascii="Arial" w:cs="Arial" w:eastAsia="Arial" w:hAnsi="Arial"/>
          <w:sz w:val="15"/>
          <w:szCs w:val="15"/>
          <w:color w:val="auto"/>
        </w:rPr>
      </w:pPr>
    </w:p>
    <w:p>
      <w:pPr>
        <w:ind w:right="120" w:firstLine="464"/>
        <w:spacing w:after="0" w:line="298" w:lineRule="auto"/>
        <w:tabs>
          <w:tab w:leader="none" w:pos="676"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any Subsidiary may withhold from, and set off against, any and all payments due to the Officer, those amounts required to be remitted by the Company or such Subsidiary to satisfy federal, state, and local withholding tax requirements related to the Officers’ acquisition of the Units hereunder. The Officer shall promptly remit to the Company any difference between the amount of taxes which the Company and its Subsidiaries are able to withhold and the amount of taxes which are required to be remitted to taxing authorities on the Officer’s behalf.</w:t>
      </w:r>
    </w:p>
    <w:p>
      <w:pPr>
        <w:spacing w:after="0" w:line="112" w:lineRule="exact"/>
        <w:rPr>
          <w:rFonts w:ascii="Arial" w:cs="Arial" w:eastAsia="Arial" w:hAnsi="Arial"/>
          <w:sz w:val="16"/>
          <w:szCs w:val="16"/>
          <w:color w:val="auto"/>
        </w:rPr>
      </w:pPr>
    </w:p>
    <w:p>
      <w:pPr>
        <w:jc w:val="both"/>
        <w:ind w:right="20" w:firstLine="464"/>
        <w:spacing w:after="0" w:line="298" w:lineRule="auto"/>
        <w:tabs>
          <w:tab w:leader="none" w:pos="705"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Beneficiary Designation</w:t>
      </w:r>
      <w:r>
        <w:rPr>
          <w:rFonts w:ascii="Arial" w:cs="Arial" w:eastAsia="Arial" w:hAnsi="Arial"/>
          <w:sz w:val="16"/>
          <w:szCs w:val="16"/>
          <w:color w:val="auto"/>
        </w:rPr>
        <w:t>. The Officer may from time to time name any beneficiary or beneficiaries (who may be named contingently or successively) by whom any right under the Plan and this Agreement is to be exercised in case of his death. Each designation will revoke all prior designations by the Officer, shall be in a form reasonably prescribed by the Committee, and will be effective only when filed by the Officer in writing with the Committee during his lifetime. If no beneficiary is named, or if a named beneficiary does not survive the Officer, the Successor Holder may exercise the Grantee’s rights under the Plan.</w:t>
      </w:r>
    </w:p>
    <w:p>
      <w:pPr>
        <w:spacing w:after="0" w:line="112"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 Nothing in this Agreement shall interfere with or limit in any way the right of MagnaChip Korea to terminate the Officer’s employment at any time, or confer upon the Officer any right to continue in the employ of MagnaChip Korea.</w:t>
      </w:r>
    </w:p>
    <w:p>
      <w:pPr>
        <w:spacing w:after="0" w:line="131" w:lineRule="exact"/>
        <w:rPr>
          <w:rFonts w:ascii="Arial" w:cs="Arial" w:eastAsia="Arial" w:hAnsi="Arial"/>
          <w:sz w:val="18"/>
          <w:szCs w:val="18"/>
          <w:color w:val="auto"/>
        </w:rPr>
      </w:pPr>
    </w:p>
    <w:p>
      <w:pPr>
        <w:ind w:firstLine="464"/>
        <w:spacing w:after="0" w:line="268" w:lineRule="auto"/>
        <w:tabs>
          <w:tab w:leader="none" w:pos="66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right="520" w:firstLine="464"/>
        <w:spacing w:after="0" w:line="268" w:lineRule="auto"/>
        <w:tabs>
          <w:tab w:leader="none" w:pos="66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 5 (relating to Officer’s representations, warranties and covenants) and Section 8 (relating to the Company’s representations and warranties) shall survive any termination of this Agreement.</w:t>
      </w:r>
    </w:p>
    <w:p>
      <w:pPr>
        <w:spacing w:after="0" w:line="131"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 etc</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right="580" w:firstLine="464"/>
        <w:spacing w:after="0" w:line="268" w:lineRule="auto"/>
        <w:tabs>
          <w:tab w:leader="none" w:pos="66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constitute one and the same instrument.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67" w:name="page268"/>
    <w:bookmarkEnd w:id="26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Officer have executed this Agreement as of the date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OFFICER: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KRAKAUER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Total Number of restricted</w:t>
            </w:r>
          </w:p>
        </w:tc>
        <w:tc>
          <w:tcPr>
            <w:tcW w:w="1260" w:type="dxa"/>
            <w:vAlign w:val="bottom"/>
          </w:tcPr>
          <w:p>
            <w:pPr>
              <w:spacing w:after="0"/>
              <w:rPr>
                <w:sz w:val="18"/>
                <w:szCs w:val="18"/>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w w:val="98"/>
              </w:rPr>
              <w:t>Common Units to be Purchased:</w:t>
            </w:r>
          </w:p>
        </w:tc>
        <w:tc>
          <w:tcPr>
            <w:tcW w:w="1260" w:type="dxa"/>
            <w:vAlign w:val="bottom"/>
          </w:tcPr>
          <w:p>
            <w:pPr>
              <w:ind w:left="300"/>
              <w:spacing w:after="0"/>
              <w:rPr>
                <w:sz w:val="20"/>
                <w:szCs w:val="20"/>
                <w:color w:val="auto"/>
              </w:rPr>
            </w:pPr>
            <w:r>
              <w:rPr>
                <w:rFonts w:ascii="Arial" w:cs="Arial" w:eastAsia="Arial" w:hAnsi="Arial"/>
                <w:sz w:val="18"/>
                <w:szCs w:val="18"/>
                <w:color w:val="auto"/>
                <w:w w:val="85"/>
              </w:rPr>
              <w:t>677,293.0000</w:t>
            </w:r>
          </w:p>
        </w:tc>
      </w:tr>
      <w:tr>
        <w:trPr>
          <w:trHeight w:val="426"/>
        </w:trPr>
        <w:tc>
          <w:tcPr>
            <w:tcW w:w="2580" w:type="dxa"/>
            <w:vAlign w:val="bottom"/>
          </w:tcPr>
          <w:p>
            <w:pPr>
              <w:spacing w:after="0"/>
              <w:rPr>
                <w:sz w:val="20"/>
                <w:szCs w:val="20"/>
                <w:color w:val="auto"/>
              </w:rPr>
            </w:pPr>
            <w:r>
              <w:rPr>
                <w:rFonts w:ascii="Arial" w:cs="Arial" w:eastAsia="Arial" w:hAnsi="Arial"/>
                <w:sz w:val="18"/>
                <w:szCs w:val="18"/>
                <w:color w:val="auto"/>
              </w:rPr>
              <w:t>Total Purchase</w:t>
            </w:r>
          </w:p>
        </w:tc>
        <w:tc>
          <w:tcPr>
            <w:tcW w:w="1260" w:type="dxa"/>
            <w:vAlign w:val="bottom"/>
          </w:tcPr>
          <w:p>
            <w:pPr>
              <w:spacing w:after="0"/>
              <w:rPr>
                <w:sz w:val="24"/>
                <w:szCs w:val="24"/>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Price:</w:t>
            </w:r>
          </w:p>
        </w:tc>
        <w:tc>
          <w:tcPr>
            <w:tcW w:w="1260" w:type="dxa"/>
            <w:vAlign w:val="bottom"/>
          </w:tcPr>
          <w:p>
            <w:pPr>
              <w:ind w:left="300"/>
              <w:spacing w:after="0"/>
              <w:rPr>
                <w:sz w:val="20"/>
                <w:szCs w:val="20"/>
                <w:color w:val="auto"/>
              </w:rPr>
            </w:pPr>
            <w:r>
              <w:rPr>
                <w:rFonts w:ascii="Arial" w:cs="Arial" w:eastAsia="Arial" w:hAnsi="Arial"/>
                <w:sz w:val="18"/>
                <w:szCs w:val="18"/>
                <w:color w:val="auto"/>
                <w:w w:val="93"/>
              </w:rPr>
              <w:t>$677,293.00</w:t>
            </w:r>
          </w:p>
        </w:tc>
      </w:tr>
    </w:tbl>
    <w:p>
      <w:pPr>
        <w:sectPr>
          <w:pgSz w:w="11900" w:h="16838" w:orient="portrait"/>
          <w:cols w:equalWidth="0" w:num="1">
            <w:col w:w="10219"/>
          </w:cols>
          <w:pgMar w:left="240" w:top="280" w:right="1440"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10.44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 AGREEMENT, dated as of November 30, 2004 between MagnaChip Semiconductor LLC, a Delaware limited liability company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Robert Krakauer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Grantee</w:t>
      </w:r>
      <w:r>
        <w:rPr>
          <w:rFonts w:ascii="Arial" w:cs="Arial" w:eastAsia="Arial" w:hAnsi="Arial"/>
          <w:sz w:val="16"/>
          <w:szCs w:val="16"/>
          <w:b w:val="1"/>
          <w:bCs w:val="1"/>
          <w:color w:val="auto"/>
        </w:rPr>
        <w:t>”</w:t>
      </w:r>
      <w:r>
        <w:rPr>
          <w:rFonts w:ascii="Arial" w:cs="Arial" w:eastAsia="Arial" w:hAnsi="Arial"/>
          <w:sz w:val="16"/>
          <w:szCs w:val="16"/>
          <w:color w:val="auto"/>
        </w:rPr>
        <w:t>), pursuant to the MagnaChip Semiconductor LLC Equity Incentive Plan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Capitalized terms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not defined herein shall have the meanings given to such terms in the Plan.</w:t>
      </w:r>
    </w:p>
    <w:p>
      <w:pPr>
        <w:spacing w:after="0" w:line="159"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restricted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Restricted Units</w:t>
      </w:r>
      <w:r>
        <w:rPr>
          <w:rFonts w:ascii="Arial" w:cs="Arial" w:eastAsia="Arial" w:hAnsi="Arial"/>
          <w:sz w:val="18"/>
          <w:szCs w:val="18"/>
          <w:b w:val="1"/>
          <w:bCs w:val="1"/>
          <w:color w:val="auto"/>
        </w:rPr>
        <w:t>”</w:t>
      </w:r>
      <w:r>
        <w:rPr>
          <w:rFonts w:ascii="Arial" w:cs="Arial" w:eastAsia="Arial" w:hAnsi="Arial"/>
          <w:sz w:val="18"/>
          <w:szCs w:val="18"/>
          <w:color w:val="auto"/>
        </w:rPr>
        <w:t>) to certain key employees of its wholly-owned subsidiary, MagnaChip Semiconductor, Ltd. (the “</w:t>
      </w:r>
      <w:r>
        <w:rPr>
          <w:rFonts w:ascii="Arial" w:cs="Arial" w:eastAsia="Arial" w:hAnsi="Arial"/>
          <w:sz w:val="18"/>
          <w:szCs w:val="18"/>
          <w:b w:val="1"/>
          <w:bCs w:val="1"/>
          <w:u w:val="single" w:color="auto"/>
          <w:color w:val="auto"/>
        </w:rPr>
        <w:t>MagnaChip Korea</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in order to effect such grants; and</w:t>
      </w:r>
    </w:p>
    <w:p>
      <w:pPr>
        <w:spacing w:after="0" w:line="165"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color w:val="auto"/>
        </w:rPr>
        <w:t>WHEREAS, the Grantee has entered into that certain Service Agreement, dated as of October 6, 2004 (the “</w:t>
      </w:r>
      <w:r>
        <w:rPr>
          <w:rFonts w:ascii="Arial" w:cs="Arial" w:eastAsia="Arial" w:hAnsi="Arial"/>
          <w:sz w:val="16"/>
          <w:szCs w:val="16"/>
          <w:b w:val="1"/>
          <w:bCs w:val="1"/>
          <w:u w:val="single" w:color="auto"/>
          <w:color w:val="auto"/>
        </w:rPr>
        <w:t>Service Agreement</w:t>
      </w:r>
      <w:r>
        <w:rPr>
          <w:rFonts w:ascii="Arial" w:cs="Arial" w:eastAsia="Arial" w:hAnsi="Arial"/>
          <w:sz w:val="16"/>
          <w:szCs w:val="16"/>
          <w:color w:val="auto"/>
        </w:rPr>
        <w:t>”), between the Grantee and the MagnaChip Korea, and the Committee has determined that it is in the interest of the Company to grant these options to the Grantee.</w:t>
      </w:r>
    </w:p>
    <w:p>
      <w:pPr>
        <w:spacing w:after="0" w:line="8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51" w:lineRule="exact"/>
        <w:rPr>
          <w:sz w:val="20"/>
          <w:szCs w:val="20"/>
          <w:color w:val="auto"/>
        </w:rPr>
      </w:pPr>
    </w:p>
    <w:p>
      <w:pPr>
        <w:ind w:left="640" w:hanging="176"/>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jc w:val="both"/>
        <w:ind w:right="220" w:firstLine="464"/>
        <w:spacing w:after="0" w:line="262"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 xml:space="preserve">. The Company hereby evidences and confirms the grant to the Grantee, effective as of the date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w:t>
      </w:r>
      <w:r>
        <w:rPr>
          <w:rFonts w:ascii="Arial" w:cs="Arial" w:eastAsia="Arial" w:hAnsi="Arial"/>
          <w:sz w:val="18"/>
          <w:szCs w:val="18"/>
          <w:color w:val="auto"/>
        </w:rPr>
        <w:t xml:space="preserve">), of options to purchase from the Company the number of Restricted Units specified on the signature page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r>
        <w:rPr>
          <w:rFonts w:ascii="Arial" w:cs="Arial" w:eastAsia="Arial" w:hAnsi="Arial"/>
          <w:sz w:val="18"/>
          <w:szCs w:val="18"/>
          <w:color w:val="auto"/>
        </w:rPr>
        <w:t>) at the exercise price of $1.00 per Restricted Unit (the “</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right="20" w:firstLine="464"/>
        <w:spacing w:after="0" w:line="259" w:lineRule="auto"/>
        <w:tabs>
          <w:tab w:leader="none" w:pos="70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w:t>
      </w:r>
    </w:p>
    <w:p>
      <w:pPr>
        <w:spacing w:after="0" w:line="140"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132" w:lineRule="exact"/>
        <w:rPr>
          <w:sz w:val="20"/>
          <w:szCs w:val="20"/>
          <w:color w:val="auto"/>
        </w:rPr>
      </w:pPr>
    </w:p>
    <w:p>
      <w:pPr>
        <w:ind w:left="640" w:hanging="176"/>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Exercisability</w:t>
      </w:r>
      <w:r>
        <w:rPr>
          <w:rFonts w:ascii="Arial" w:cs="Arial" w:eastAsia="Arial" w:hAnsi="Arial"/>
          <w:sz w:val="18"/>
          <w:szCs w:val="18"/>
          <w:color w:val="auto"/>
        </w:rPr>
        <w:t>. The Options shall be fully-vested and immediately exerciseable on the Grant Date.</w:t>
      </w:r>
    </w:p>
    <w:p>
      <w:pPr>
        <w:sectPr>
          <w:pgSz w:w="11900" w:h="16838" w:orient="portrait"/>
          <w:cols w:equalWidth="0" w:num="1">
            <w:col w:w="11420"/>
          </w:cols>
          <w:pgMar w:left="240" w:top="125" w:right="239" w:bottom="1440" w:gutter="0" w:footer="0" w:header="0"/>
        </w:sectPr>
      </w:pPr>
    </w:p>
    <w:bookmarkStart w:id="269" w:name="page270"/>
    <w:bookmarkEnd w:id="269"/>
    <w:p>
      <w:pPr>
        <w:ind w:right="160" w:firstLine="464"/>
        <w:spacing w:after="0" w:line="268" w:lineRule="auto"/>
        <w:tabs>
          <w:tab w:leader="none" w:pos="70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Normal Expiration Date</w:t>
      </w:r>
      <w:r>
        <w:rPr>
          <w:rFonts w:ascii="Arial" w:cs="Arial" w:eastAsia="Arial" w:hAnsi="Arial"/>
          <w:sz w:val="18"/>
          <w:szCs w:val="18"/>
          <w:color w:val="auto"/>
        </w:rPr>
        <w:t xml:space="preserve">. Unless the Options earlier terminate in accordance with Section 4, the Options shall terminate on the first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2" w:lineRule="exact"/>
        <w:rPr>
          <w:sz w:val="20"/>
          <w:szCs w:val="20"/>
          <w:color w:val="auto"/>
        </w:rPr>
      </w:pPr>
    </w:p>
    <w:p>
      <w:pPr>
        <w:ind w:left="640" w:hanging="176"/>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All or part of the exercisable Options may be exercised by the Grantee upon (</w:t>
      </w:r>
      <w:r>
        <w:rPr>
          <w:rFonts w:ascii="Arial" w:cs="Arial" w:eastAsia="Arial" w:hAnsi="Arial"/>
          <w:sz w:val="18"/>
          <w:szCs w:val="18"/>
          <w:u w:val="single" w:color="auto"/>
          <w:color w:val="auto"/>
        </w:rPr>
        <w:t>a</w:t>
      </w:r>
      <w:r>
        <w:rPr>
          <w:rFonts w:ascii="Arial" w:cs="Arial" w:eastAsia="Arial" w:hAnsi="Arial"/>
          <w:sz w:val="18"/>
          <w:szCs w:val="18"/>
          <w:color w:val="auto"/>
        </w:rPr>
        <w:t>) the Grantee’s written notice to the Company of exercise, (</w:t>
      </w:r>
      <w:r>
        <w:rPr>
          <w:rFonts w:ascii="Arial" w:cs="Arial" w:eastAsia="Arial" w:hAnsi="Arial"/>
          <w:sz w:val="18"/>
          <w:szCs w:val="18"/>
          <w:u w:val="single" w:color="auto"/>
          <w:color w:val="auto"/>
        </w:rPr>
        <w:t>b</w:t>
      </w:r>
      <w:r>
        <w:rPr>
          <w:rFonts w:ascii="Arial" w:cs="Arial" w:eastAsia="Arial" w:hAnsi="Arial"/>
          <w:sz w:val="18"/>
          <w:szCs w:val="18"/>
          <w:color w:val="auto"/>
        </w:rPr>
        <w:t>) the Grantee’s payment of the Option Price in full at the time of exercise (</w:t>
      </w:r>
      <w:r>
        <w:rPr>
          <w:rFonts w:ascii="Arial" w:cs="Arial" w:eastAsia="Arial" w:hAnsi="Arial"/>
          <w:sz w:val="18"/>
          <w:szCs w:val="18"/>
          <w:u w:val="single" w:color="auto"/>
          <w:color w:val="auto"/>
        </w:rPr>
        <w:t>i</w:t>
      </w:r>
      <w:r>
        <w:rPr>
          <w:rFonts w:ascii="Arial" w:cs="Arial" w:eastAsia="Arial" w:hAnsi="Arial"/>
          <w:sz w:val="18"/>
          <w:szCs w:val="18"/>
          <w:color w:val="auto"/>
        </w:rPr>
        <w:t>) in cash or cash equivalents or (</w:t>
      </w:r>
      <w:r>
        <w:rPr>
          <w:rFonts w:ascii="Arial" w:cs="Arial" w:eastAsia="Arial" w:hAnsi="Arial"/>
          <w:sz w:val="18"/>
          <w:szCs w:val="18"/>
          <w:u w:val="single" w:color="auto"/>
          <w:color w:val="auto"/>
        </w:rPr>
        <w:t>ii</w:t>
      </w:r>
      <w:r>
        <w:rPr>
          <w:rFonts w:ascii="Arial" w:cs="Arial" w:eastAsia="Arial" w:hAnsi="Arial"/>
          <w:sz w:val="18"/>
          <w:szCs w:val="18"/>
          <w:color w:val="auto"/>
        </w:rPr>
        <w:t>) in accordance with such procedures or in such other form as the Committee shall from time to time determine,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the Grantee’s execution of a subscription agreement which shall be in substantially the form of the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 Subscription Agreement</w:t>
      </w:r>
      <w:r>
        <w:rPr>
          <w:rFonts w:ascii="Arial" w:cs="Arial" w:eastAsia="Arial" w:hAnsi="Arial"/>
          <w:sz w:val="18"/>
          <w:szCs w:val="18"/>
          <w:color w:val="auto"/>
        </w:rPr>
        <w:t xml:space="preserve"> attached hereto as Exhibit A, and (</w:t>
      </w:r>
      <w:r>
        <w:rPr>
          <w:rFonts w:ascii="Arial" w:cs="Arial" w:eastAsia="Arial" w:hAnsi="Arial"/>
          <w:sz w:val="18"/>
          <w:szCs w:val="18"/>
          <w:u w:val="single" w:color="auto"/>
          <w:color w:val="auto"/>
        </w:rPr>
        <w:t>d</w:t>
      </w:r>
      <w:r>
        <w:rPr>
          <w:rFonts w:ascii="Arial" w:cs="Arial" w:eastAsia="Arial" w:hAnsi="Arial"/>
          <w:sz w:val="18"/>
          <w:szCs w:val="18"/>
          <w:color w:val="auto"/>
        </w:rPr>
        <w:t>) the Grantee’s execution of a joinder to the Securityholders’ Agreement and LLC Agreement (if the Grantee is not then a party to such agreements) in order to become a party to such agreements with respect to the Restricted Units issuable upon the exercise of such Options.</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Restricted Unit Subscription Agreement shall contain provisions providing that, upon any termination of the Grantee’s employment with the MagnaChip Korea, the Restricted Units shall be subject to forfeiture and/or repurchase by the Company.</w:t>
      </w:r>
    </w:p>
    <w:p>
      <w:pPr>
        <w:spacing w:after="0" w:line="132" w:lineRule="exact"/>
        <w:rPr>
          <w:sz w:val="20"/>
          <w:szCs w:val="20"/>
          <w:color w:val="auto"/>
        </w:rPr>
      </w:pPr>
    </w:p>
    <w:p>
      <w:pPr>
        <w:ind w:left="640" w:hanging="176"/>
        <w:spacing w:after="0"/>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sz w:val="20"/>
          <w:szCs w:val="20"/>
          <w:color w:val="auto"/>
        </w:rPr>
      </w:pPr>
    </w:p>
    <w:p>
      <w:pPr>
        <w:ind w:left="640" w:hanging="176"/>
        <w:spacing w:after="0"/>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Whenever Restricted Units are to be issued pursuant to the exercise of an Option or any cash payment is to be made hereunder, The Company shall have the power to withhold, or require the Grantee to remit to the Company, an amount sufficient to satisfy federal, state, and local withholding tax requirements relating to such transaction, and the Company may defer payment of cash or issuance of Restricted Units until such requirements are satisfied.</w:t>
      </w:r>
    </w:p>
    <w:p>
      <w:pPr>
        <w:spacing w:after="0" w:line="107" w:lineRule="exact"/>
        <w:rPr>
          <w:sz w:val="20"/>
          <w:szCs w:val="20"/>
          <w:color w:val="auto"/>
        </w:rPr>
      </w:pPr>
    </w:p>
    <w:p>
      <w:pPr>
        <w:ind w:left="640" w:hanging="176"/>
        <w:spacing w:after="0"/>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Unless the Committee shall permit (on such terms and conditions as it shall establish) Options to be transferred, no Options may be sold, transferred, pledged, assigned or otherwise alienated or hypothecated, other than by will or by the laws of descent and distribution.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70" w:name="page271"/>
    <w:bookmarkEnd w:id="270"/>
    <w:p>
      <w:pPr>
        <w:ind w:left="640" w:hanging="176"/>
        <w:spacing w:after="0"/>
        <w:tabs>
          <w:tab w:leader="none" w:pos="64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13" w:lineRule="exact"/>
        <w:rPr>
          <w:sz w:val="20"/>
          <w:szCs w:val="20"/>
          <w:color w:val="auto"/>
        </w:rPr>
      </w:pPr>
    </w:p>
    <w:p>
      <w:pPr>
        <w:ind w:left="640" w:hanging="176"/>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issuance of Restricted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Restricted Units shall be issued upon exercise of any Options granted hereunder, if such exercise would result in a violation of applicable law.</w:t>
      </w:r>
    </w:p>
    <w:p>
      <w:pPr>
        <w:spacing w:after="0" w:line="143" w:lineRule="exact"/>
        <w:rPr>
          <w:sz w:val="20"/>
          <w:szCs w:val="20"/>
          <w:color w:val="auto"/>
        </w:rPr>
      </w:pPr>
    </w:p>
    <w:p>
      <w:pPr>
        <w:ind w:left="640" w:hanging="176"/>
        <w:spacing w:after="0"/>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the MagnaChip Korea.</w:t>
      </w:r>
    </w:p>
    <w:p>
      <w:pPr>
        <w:spacing w:after="0" w:line="132" w:lineRule="exact"/>
        <w:rPr>
          <w:sz w:val="20"/>
          <w:szCs w:val="20"/>
          <w:color w:val="auto"/>
        </w:rPr>
      </w:pPr>
    </w:p>
    <w:p>
      <w:pPr>
        <w:ind w:left="720" w:hanging="256"/>
        <w:spacing w:after="0"/>
        <w:tabs>
          <w:tab w:leader="none" w:pos="72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otherwise required by law, the Grantee shall not have any rights as a securityholder with respect to any Restricted Units covered by the Options granted hereby until such time as the Restricted Units issuable upon exercise of such Options have been so issued. Notwithstanding anything else contained herein to the contrary, the exercise of any portion of the Options hereby is expressly conditioned on the Grantee executing a subscription agreement which shall be in substantially the form of the Restricted Unit Subscription Agreement attached hereto as Exhibit A.</w:t>
      </w:r>
    </w:p>
    <w:p>
      <w:pPr>
        <w:spacing w:after="0" w:line="113" w:lineRule="exact"/>
        <w:rPr>
          <w:sz w:val="20"/>
          <w:szCs w:val="20"/>
          <w:color w:val="auto"/>
        </w:rPr>
      </w:pPr>
    </w:p>
    <w:p>
      <w:pPr>
        <w:ind w:left="720" w:hanging="256"/>
        <w:spacing w:after="0"/>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71" w:name="page272"/>
    <w:bookmarkEnd w:id="271"/>
    <w:p>
      <w:pPr>
        <w:ind w:left="720" w:hanging="256"/>
        <w:spacing w:after="0"/>
        <w:tabs>
          <w:tab w:leader="none" w:pos="72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120" w:lineRule="exact"/>
        <w:rPr>
          <w:sz w:val="20"/>
          <w:szCs w:val="20"/>
          <w:color w:val="auto"/>
        </w:rPr>
      </w:pPr>
    </w:p>
    <w:p>
      <w:pPr>
        <w:ind w:left="720" w:hanging="256"/>
        <w:spacing w:after="0"/>
        <w:tabs>
          <w:tab w:leader="none" w:pos="7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Daechi-dong, Kangnam-gu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to the Grantee, to the Grantee at the address as reflected in the Company’s books and records.</w:t>
      </w:r>
    </w:p>
    <w:p>
      <w:pPr>
        <w:spacing w:after="0" w:line="9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right="80" w:firstLine="464"/>
        <w:spacing w:after="0" w:line="335" w:lineRule="auto"/>
        <w:tabs>
          <w:tab w:leader="none" w:pos="705" w:val="left"/>
        </w:tabs>
        <w:numPr>
          <w:ilvl w:val="0"/>
          <w:numId w:val="206"/>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right="260" w:firstLine="464"/>
        <w:spacing w:after="0" w:line="268" w:lineRule="auto"/>
        <w:tabs>
          <w:tab w:leader="none" w:pos="695"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 hereto may by written notice to the other (</w:t>
      </w:r>
      <w:r>
        <w:rPr>
          <w:rFonts w:ascii="Arial" w:cs="Arial" w:eastAsia="Arial" w:hAnsi="Arial"/>
          <w:sz w:val="18"/>
          <w:szCs w:val="18"/>
          <w:u w:val="single" w:color="auto"/>
          <w:color w:val="auto"/>
        </w:rPr>
        <w:t>i</w:t>
      </w:r>
      <w:r>
        <w:rPr>
          <w:rFonts w:ascii="Arial" w:cs="Arial" w:eastAsia="Arial" w:hAnsi="Arial"/>
          <w:sz w:val="18"/>
          <w:szCs w:val="18"/>
          <w:color w:val="auto"/>
        </w:rPr>
        <w:t>) extend the time for the performance of any of the obligations or other actions of the other under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72" w:name="page273"/>
    <w:bookmarkEnd w:id="272"/>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t>
      </w:r>
      <w:r>
        <w:rPr>
          <w:rFonts w:ascii="Arial" w:cs="Arial" w:eastAsia="Arial" w:hAnsi="Arial"/>
          <w:sz w:val="18"/>
          <w:szCs w:val="18"/>
          <w:u w:val="single" w:color="auto"/>
          <w:color w:val="auto"/>
        </w:rPr>
        <w:t>ii</w:t>
      </w:r>
      <w:r>
        <w:rPr>
          <w:rFonts w:ascii="Arial" w:cs="Arial" w:eastAsia="Arial" w:hAnsi="Arial"/>
          <w:sz w:val="18"/>
          <w:szCs w:val="18"/>
          <w:color w:val="auto"/>
        </w:rPr>
        <w:t>) waive compliance with any of the conditions or covenants of the other contained in this Agreement and (</w:t>
      </w:r>
      <w:r>
        <w:rPr>
          <w:rFonts w:ascii="Arial" w:cs="Arial" w:eastAsia="Arial" w:hAnsi="Arial"/>
          <w:sz w:val="18"/>
          <w:szCs w:val="18"/>
          <w:u w:val="single" w:color="auto"/>
          <w:color w:val="auto"/>
        </w:rPr>
        <w:t>iii</w:t>
      </w:r>
      <w:r>
        <w:rPr>
          <w:rFonts w:ascii="Arial" w:cs="Arial" w:eastAsia="Arial" w:hAnsi="Arial"/>
          <w:sz w:val="18"/>
          <w:szCs w:val="18"/>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47" w:lineRule="exact"/>
        <w:rPr>
          <w:sz w:val="20"/>
          <w:szCs w:val="20"/>
          <w:color w:val="auto"/>
        </w:rPr>
      </w:pPr>
    </w:p>
    <w:p>
      <w:pPr>
        <w:ind w:firstLine="464"/>
        <w:spacing w:after="0" w:line="259" w:lineRule="auto"/>
        <w:tabs>
          <w:tab w:leader="none" w:pos="705"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40"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right="600" w:firstLine="464"/>
        <w:spacing w:after="0" w:line="268" w:lineRule="auto"/>
        <w:tabs>
          <w:tab w:leader="none" w:pos="676"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right="580" w:firstLine="464"/>
        <w:spacing w:after="0" w:line="268" w:lineRule="auto"/>
        <w:tabs>
          <w:tab w:leader="none" w:pos="705"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73" w:name="page274"/>
    <w:bookmarkEnd w:id="2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Grantee have duly executed this Agreement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Robert Krakauer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Number of Restricted Units: 4,954</w:t>
      </w:r>
    </w:p>
    <w:p>
      <w:pPr>
        <w:sectPr>
          <w:pgSz w:w="11900" w:h="16838" w:orient="portrait"/>
          <w:cols w:equalWidth="0" w:num="1">
            <w:col w:w="9759"/>
          </w:cols>
          <w:pgMar w:left="700" w:top="280" w:right="1440"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10.45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UNIT SUBSCRIPTION AGREEMENT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RESTRICTED UNIT SUBSCRIPTION AGREEMENT, dated as of November 30, 2004, between MagnaChip Semiconductor LLC, a Delaware limited liability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officer whose name appears on the signature page hereof (the “</w:t>
      </w:r>
      <w:r>
        <w:rPr>
          <w:rFonts w:ascii="Arial" w:cs="Arial" w:eastAsia="Arial" w:hAnsi="Arial"/>
          <w:sz w:val="18"/>
          <w:szCs w:val="18"/>
          <w:b w:val="1"/>
          <w:bCs w:val="1"/>
          <w:u w:val="single" w:color="auto"/>
          <w:color w:val="auto"/>
        </w:rPr>
        <w:t>Officer</w:t>
      </w:r>
      <w:r>
        <w:rPr>
          <w:rFonts w:ascii="Arial" w:cs="Arial" w:eastAsia="Arial" w:hAnsi="Arial"/>
          <w:sz w:val="18"/>
          <w:szCs w:val="18"/>
          <w:color w:val="auto"/>
        </w:rPr>
        <w:t>”), pursuant to the MagnaChip Semiconductor LLC Equity Incentive Plan, as in effect and as amended from time to time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Capitalized terms that are not defined herein shall have the same meanings given to such terms in the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65"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WHEREAS, the Officer has entered into that certain Service Agreement, dated as of October 6, 2004 (the “</w:t>
      </w:r>
      <w:r>
        <w:rPr>
          <w:rFonts w:ascii="Arial" w:cs="Arial" w:eastAsia="Arial" w:hAnsi="Arial"/>
          <w:sz w:val="18"/>
          <w:szCs w:val="18"/>
          <w:b w:val="1"/>
          <w:bCs w:val="1"/>
          <w:u w:val="single" w:color="auto"/>
          <w:color w:val="auto"/>
        </w:rPr>
        <w:t>Service Agreement</w:t>
      </w:r>
      <w:r>
        <w:rPr>
          <w:rFonts w:ascii="Arial" w:cs="Arial" w:eastAsia="Arial" w:hAnsi="Arial"/>
          <w:sz w:val="18"/>
          <w:szCs w:val="18"/>
          <w:color w:val="auto"/>
        </w:rPr>
        <w:t>”), between the Officer and MagnaChip Semiconductor, Ltd. (“</w:t>
      </w:r>
      <w:r>
        <w:rPr>
          <w:rFonts w:ascii="Arial" w:cs="Arial" w:eastAsia="Arial" w:hAnsi="Arial"/>
          <w:sz w:val="18"/>
          <w:szCs w:val="18"/>
          <w:b w:val="1"/>
          <w:bCs w:val="1"/>
          <w:u w:val="single" w:color="auto"/>
          <w:color w:val="auto"/>
        </w:rPr>
        <w:t>MagnaChip Korea</w:t>
      </w:r>
      <w:r>
        <w:rPr>
          <w:rFonts w:ascii="Arial" w:cs="Arial" w:eastAsia="Arial" w:hAnsi="Arial"/>
          <w:sz w:val="18"/>
          <w:szCs w:val="18"/>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has granted options to officers of MagnaChip Korea under the Plan;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Officer desires to exercise the options granted to him pursuant to that certain Option Agreement, dated the date hereof, between the Officer and the Company (the “</w:t>
      </w:r>
      <w:r>
        <w:rPr>
          <w:rFonts w:ascii="Arial" w:cs="Arial" w:eastAsia="Arial" w:hAnsi="Arial"/>
          <w:sz w:val="18"/>
          <w:szCs w:val="18"/>
          <w:b w:val="1"/>
          <w:bCs w:val="1"/>
          <w:u w:val="single" w:color="auto"/>
          <w:color w:val="auto"/>
        </w:rPr>
        <w:t>Option Agreement</w:t>
      </w:r>
      <w:r>
        <w:rPr>
          <w:rFonts w:ascii="Arial" w:cs="Arial" w:eastAsia="Arial" w:hAnsi="Arial"/>
          <w:sz w:val="18"/>
          <w:szCs w:val="18"/>
          <w:color w:val="auto"/>
        </w:rPr>
        <w:t>”) and subscribe for the aggregate number of the Company’s Common Units (the “</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set forth on the signature page hereof (each a “</w:t>
      </w:r>
      <w:r>
        <w:rPr>
          <w:rFonts w:ascii="Arial" w:cs="Arial" w:eastAsia="Arial" w:hAnsi="Arial"/>
          <w:sz w:val="18"/>
          <w:szCs w:val="18"/>
          <w:b w:val="1"/>
          <w:bCs w:val="1"/>
          <w:u w:val="single" w:color="auto"/>
          <w:color w:val="auto"/>
        </w:rPr>
        <w:t>Unit</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desires to issue the Units to the Officer on the terms and subject to the conditions set forth herein.</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NOW, THEREFORE, to implement the foregoing and in consideration of the mutual agreements contained herein, the parties hereto hereby agree as follows:</w:t>
      </w:r>
    </w:p>
    <w:p>
      <w:pPr>
        <w:spacing w:after="0" w:line="51" w:lineRule="exact"/>
        <w:rPr>
          <w:sz w:val="20"/>
          <w:szCs w:val="20"/>
          <w:color w:val="auto"/>
        </w:rPr>
      </w:pPr>
    </w:p>
    <w:p>
      <w:pPr>
        <w:ind w:left="640" w:hanging="176"/>
        <w:spacing w:after="0"/>
        <w:tabs>
          <w:tab w:leader="none" w:pos="64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Purchase and Sale of Units</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89" w:lineRule="auto"/>
        <w:tabs>
          <w:tab w:leader="none" w:pos="695"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Purchase of Units</w:t>
      </w:r>
      <w:r>
        <w:rPr>
          <w:rFonts w:ascii="Arial" w:cs="Arial" w:eastAsia="Arial" w:hAnsi="Arial"/>
          <w:sz w:val="16"/>
          <w:szCs w:val="16"/>
          <w:color w:val="auto"/>
        </w:rPr>
        <w:t>. Subject to all of the terms and conditions of this Agreement, the Officer hereby subscribes for and shall purchase, and the Company shall issue to the Officer, the Units, at the Closing provided for in Section 2(a) hereof, such Units being issued pursuant to and in accordance with the Plan and the Option Agreement. The Plan and the Option Agreement are incorporated herein by reference and made a part of this Agreement, and the Officer hereby acknowledges receipt of a copy of the Plan and agrees to be bound by all of the terms and conditions herein and therein. To the extent any provision herein is inconsistent with the Plan, the terms of the Plan shall apply. Notwithstanding anything in this Agreement to the contrary, the Company shall have no obligation to issue any Common Units to (</w:t>
      </w:r>
      <w:r>
        <w:rPr>
          <w:rFonts w:ascii="Arial" w:cs="Arial" w:eastAsia="Arial" w:hAnsi="Arial"/>
          <w:sz w:val="16"/>
          <w:szCs w:val="16"/>
          <w:u w:val="single" w:color="auto"/>
          <w:color w:val="auto"/>
        </w:rPr>
        <w:t>i</w:t>
      </w:r>
      <w:r>
        <w:rPr>
          <w:rFonts w:ascii="Arial" w:cs="Arial" w:eastAsia="Arial" w:hAnsi="Arial"/>
          <w:sz w:val="16"/>
          <w:szCs w:val="16"/>
          <w:color w:val="auto"/>
        </w:rPr>
        <w:t>) any person who is not employed by the Company or any of its Subsidiaries at the time that such Common Units are to be issued or (</w:t>
      </w:r>
      <w:r>
        <w:rPr>
          <w:rFonts w:ascii="Arial" w:cs="Arial" w:eastAsia="Arial" w:hAnsi="Arial"/>
          <w:sz w:val="16"/>
          <w:szCs w:val="16"/>
          <w:u w:val="single" w:color="auto"/>
          <w:color w:val="auto"/>
        </w:rPr>
        <w:t>ii</w:t>
      </w:r>
      <w:r>
        <w:rPr>
          <w:rFonts w:ascii="Arial" w:cs="Arial" w:eastAsia="Arial" w:hAnsi="Arial"/>
          <w:sz w:val="16"/>
          <w:szCs w:val="16"/>
          <w:color w:val="auto"/>
        </w:rPr>
        <w:t>) any person who is a resident of a jurisdiction in which the sale of Common Units to such person would constitute a violation of the securities, “blue sky” or other laws of such jurisdiction.</w:t>
      </w:r>
    </w:p>
    <w:p>
      <w:pPr>
        <w:sectPr>
          <w:pgSz w:w="11900" w:h="16838" w:orient="portrait"/>
          <w:cols w:equalWidth="0" w:num="1">
            <w:col w:w="11420"/>
          </w:cols>
          <w:pgMar w:left="240" w:top="125" w:right="239" w:bottom="1440" w:gutter="0" w:footer="0" w:header="0"/>
        </w:sectPr>
      </w:pPr>
    </w:p>
    <w:bookmarkStart w:id="275" w:name="page276"/>
    <w:bookmarkEnd w:id="275"/>
    <w:p>
      <w:pPr>
        <w:ind w:left="620" w:hanging="176"/>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w:t>
      </w:r>
      <w:r>
        <w:rPr>
          <w:rFonts w:ascii="Arial" w:cs="Arial" w:eastAsia="Arial" w:hAnsi="Arial"/>
          <w:sz w:val="18"/>
          <w:szCs w:val="18"/>
          <w:color w:val="auto"/>
        </w:rPr>
        <w:t>.</w:t>
      </w:r>
    </w:p>
    <w:p>
      <w:pPr>
        <w:spacing w:after="0" w:line="84" w:lineRule="exact"/>
        <w:rPr>
          <w:sz w:val="20"/>
          <w:szCs w:val="20"/>
          <w:color w:val="auto"/>
        </w:rPr>
      </w:pPr>
    </w:p>
    <w:p>
      <w:pPr>
        <w:ind w:left="-20" w:right="560" w:firstLine="464"/>
        <w:spacing w:after="0" w:line="275" w:lineRule="auto"/>
        <w:tabs>
          <w:tab w:leader="none" w:pos="675"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Time and Place</w:t>
      </w:r>
      <w:r>
        <w:rPr>
          <w:rFonts w:ascii="Arial" w:cs="Arial" w:eastAsia="Arial" w:hAnsi="Arial"/>
          <w:sz w:val="18"/>
          <w:szCs w:val="18"/>
          <w:color w:val="auto"/>
        </w:rPr>
        <w:t>. Except as otherwise agreed by the Company and the Officer, the closing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of the transaction contemplated by this Agreement shall take place on the date hereof, upon delivery of the items described in Sections 2(b) and (c).</w:t>
      </w:r>
    </w:p>
    <w:p>
      <w:pPr>
        <w:spacing w:after="0" w:line="125" w:lineRule="exact"/>
        <w:rPr>
          <w:rFonts w:ascii="Arial" w:cs="Arial" w:eastAsia="Arial" w:hAnsi="Arial"/>
          <w:sz w:val="18"/>
          <w:szCs w:val="18"/>
          <w:color w:val="auto"/>
        </w:rPr>
      </w:pPr>
    </w:p>
    <w:p>
      <w:pPr>
        <w:ind w:left="-20" w:right="420" w:firstLine="464"/>
        <w:spacing w:after="0" w:line="268" w:lineRule="auto"/>
        <w:tabs>
          <w:tab w:leader="none" w:pos="685"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Delivery by the Company</w:t>
      </w:r>
      <w:r>
        <w:rPr>
          <w:rFonts w:ascii="Arial" w:cs="Arial" w:eastAsia="Arial" w:hAnsi="Arial"/>
          <w:sz w:val="18"/>
          <w:szCs w:val="18"/>
          <w:color w:val="auto"/>
        </w:rPr>
        <w:t>. At the Closing, the Company shall deliver to the Officer a copy of the LLC Agreement, which agreement shall serve as evidence of the Officer’s ownership of the Units.</w:t>
      </w:r>
    </w:p>
    <w:p>
      <w:pPr>
        <w:spacing w:after="0" w:line="131" w:lineRule="exact"/>
        <w:rPr>
          <w:rFonts w:ascii="Arial" w:cs="Arial" w:eastAsia="Arial" w:hAnsi="Arial"/>
          <w:sz w:val="18"/>
          <w:szCs w:val="18"/>
          <w:color w:val="auto"/>
        </w:rPr>
      </w:pPr>
    </w:p>
    <w:p>
      <w:pPr>
        <w:ind w:left="-20" w:right="40" w:firstLine="464"/>
        <w:spacing w:after="0" w:line="294" w:lineRule="auto"/>
        <w:tabs>
          <w:tab w:leader="none" w:pos="675"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Delivery by the Officer</w:t>
      </w:r>
      <w:r>
        <w:rPr>
          <w:rFonts w:ascii="Arial" w:cs="Arial" w:eastAsia="Arial" w:hAnsi="Arial"/>
          <w:sz w:val="16"/>
          <w:szCs w:val="16"/>
          <w:color w:val="auto"/>
        </w:rPr>
        <w:t>. At the Closing, the Officer shall deliver the option exercise price set forth in the Option Agreement and, if the Officer is not then a party to such agreement, shall execute and deliver to the Company a joinder to the LLC Agreement and the Amended and Restated Securityholders’ Agreement, dated as of October 6, 2004, among the Company, CVC Capital Partners Asia Pacific LP, Asia Investors LLC, CVC Capital Partners Asia II Limited, Citigroup Venture Capital Equity Partners, L.P., CVC Executive Fund LLC, CVC/SSB Employee Fund, L.P., Francisco Partners, L.P., Francisco Partners Fund A, L.P., Peninsula Investment PTE. Ltd., Hynix Semiconductor Inc. and certain other persons named therein (the “</w:t>
      </w:r>
      <w:r>
        <w:rPr>
          <w:rFonts w:ascii="Arial" w:cs="Arial" w:eastAsia="Arial" w:hAnsi="Arial"/>
          <w:sz w:val="16"/>
          <w:szCs w:val="16"/>
          <w:b w:val="1"/>
          <w:bCs w:val="1"/>
          <w:u w:val="single" w:color="auto"/>
          <w:color w:val="auto"/>
        </w:rPr>
        <w:t>Securityholders’ Agreement</w:t>
      </w:r>
      <w:r>
        <w:rPr>
          <w:rFonts w:ascii="Arial" w:cs="Arial" w:eastAsia="Arial" w:hAnsi="Arial"/>
          <w:sz w:val="16"/>
          <w:szCs w:val="16"/>
          <w:color w:val="auto"/>
        </w:rPr>
        <w:t>”).</w:t>
      </w:r>
    </w:p>
    <w:p>
      <w:pPr>
        <w:spacing w:after="0" w:line="116" w:lineRule="exact"/>
        <w:rPr>
          <w:sz w:val="20"/>
          <w:szCs w:val="20"/>
          <w:color w:val="auto"/>
        </w:rPr>
      </w:pPr>
    </w:p>
    <w:p>
      <w:pPr>
        <w:ind w:left="620" w:hanging="176"/>
        <w:spacing w:after="0"/>
        <w:tabs>
          <w:tab w:leader="none" w:pos="62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w:t>
      </w:r>
    </w:p>
    <w:p>
      <w:pPr>
        <w:spacing w:after="0" w:line="90" w:lineRule="exact"/>
        <w:rPr>
          <w:sz w:val="20"/>
          <w:szCs w:val="20"/>
          <w:color w:val="auto"/>
        </w:rPr>
      </w:pPr>
    </w:p>
    <w:p>
      <w:pPr>
        <w:ind w:left="-20" w:firstLine="464"/>
        <w:spacing w:after="0" w:line="290" w:lineRule="auto"/>
        <w:tabs>
          <w:tab w:leader="none" w:pos="675"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All Units received by the Officer under this Agreement are subject to the restrictions contained herein and as provided under the Plan and the Option Agreement, and, so long as the Units are subject to such restrictions, are referred to herein and therein as “</w:t>
      </w:r>
      <w:r>
        <w:rPr>
          <w:rFonts w:ascii="Arial" w:cs="Arial" w:eastAsia="Arial" w:hAnsi="Arial"/>
          <w:sz w:val="16"/>
          <w:szCs w:val="16"/>
          <w:b w:val="1"/>
          <w:bCs w:val="1"/>
          <w:u w:val="single" w:color="auto"/>
          <w:color w:val="auto"/>
        </w:rPr>
        <w:t>Restricted Units</w:t>
      </w:r>
      <w:r>
        <w:rPr>
          <w:rFonts w:ascii="Arial" w:cs="Arial" w:eastAsia="Arial" w:hAnsi="Arial"/>
          <w:sz w:val="16"/>
          <w:szCs w:val="16"/>
          <w:color w:val="auto"/>
        </w:rPr>
        <w:t>.” The Restricted Units shall be subject to forfeiture or repurchase by the Officer prior to the lapse of the Restricted Period in accordance with the terms herein and in the Plan and the Option Agreement. Except as permitted by the Committee or by will or by the laws of descent and distribution, none of the Restricted Units may be sold, assigned, transferred, pledged, hypothecated or otherwise encumbered until the Restricted Period has ceased, and then only in accordance with Article 3 and Section 5.03 of the Securityholders’ Agreement. As a condition to any transferee receiving Restricted Units by will or through laws of descent and distribution, such transferee shall agree to be bound by this Agreement, the Securityholders’ Agreement and the LLC Agreement.</w:t>
      </w:r>
    </w:p>
    <w:p>
      <w:pPr>
        <w:spacing w:after="0" w:line="118" w:lineRule="exact"/>
        <w:rPr>
          <w:rFonts w:ascii="Arial" w:cs="Arial" w:eastAsia="Arial" w:hAnsi="Arial"/>
          <w:sz w:val="16"/>
          <w:szCs w:val="16"/>
          <w:color w:val="auto"/>
        </w:rPr>
      </w:pPr>
    </w:p>
    <w:p>
      <w:pPr>
        <w:ind w:left="-20" w:right="260" w:firstLine="464"/>
        <w:spacing w:after="0" w:line="294" w:lineRule="auto"/>
        <w:tabs>
          <w:tab w:leader="none" w:pos="685"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Restricted Period</w:t>
      </w:r>
      <w:r>
        <w:rPr>
          <w:rFonts w:ascii="Arial" w:cs="Arial" w:eastAsia="Arial" w:hAnsi="Arial"/>
          <w:sz w:val="16"/>
          <w:szCs w:val="16"/>
          <w:color w:val="auto"/>
        </w:rPr>
        <w:t>. Except as otherwise provided in Section 9 hereof, or in the Plan, the Restricted Period shall lapse as to 25% of the Units on September 30, 2005 and shall lapse as to 6.25% of the Units on the last day of each calendar quarter thereafter (each such date, the “</w:t>
      </w:r>
      <w:r>
        <w:rPr>
          <w:rFonts w:ascii="Arial" w:cs="Arial" w:eastAsia="Arial" w:hAnsi="Arial"/>
          <w:sz w:val="16"/>
          <w:szCs w:val="16"/>
          <w:b w:val="1"/>
          <w:bCs w:val="1"/>
          <w:u w:val="single" w:color="auto"/>
          <w:color w:val="auto"/>
        </w:rPr>
        <w:t>Vesting Date</w:t>
      </w:r>
      <w:r>
        <w:rPr>
          <w:rFonts w:ascii="Arial" w:cs="Arial" w:eastAsia="Arial" w:hAnsi="Arial"/>
          <w:sz w:val="16"/>
          <w:szCs w:val="16"/>
          <w:color w:val="auto"/>
        </w:rPr>
        <w:t>” as to the applicable tranche of the Units), which lapses shall be cumulative, subject to the Officer’s continuous employment with MagnaChip Korea from the Closing to such Vesting Date. The Restricted Period shall lapse as to all Restricted Units upon a Change of Control of MagnaChip Korea in connection with which the Officer’s service as Chief Financial Officer of MagnaChip Korea is terminated by MagnaChip Korea.</w:t>
      </w:r>
    </w:p>
    <w:p>
      <w:pPr>
        <w:spacing w:after="0" w:line="115" w:lineRule="exact"/>
        <w:rPr>
          <w:rFonts w:ascii="Arial" w:cs="Arial" w:eastAsia="Arial" w:hAnsi="Arial"/>
          <w:sz w:val="16"/>
          <w:szCs w:val="16"/>
          <w:color w:val="auto"/>
        </w:rPr>
      </w:pPr>
    </w:p>
    <w:p>
      <w:pPr>
        <w:ind w:left="-20" w:right="400" w:firstLine="464"/>
        <w:spacing w:after="0" w:line="268" w:lineRule="auto"/>
        <w:tabs>
          <w:tab w:leader="none" w:pos="67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r>
        <w:rPr>
          <w:rFonts w:ascii="Arial" w:cs="Arial" w:eastAsia="Arial" w:hAnsi="Arial"/>
          <w:sz w:val="18"/>
          <w:szCs w:val="18"/>
          <w:color w:val="auto"/>
        </w:rPr>
        <w:t>. Notwithstanding any other provisions of this Agreement, the Committee shall be authorized in its discretion, based upon its review and evaluation of the performance of the Officer and of the Company, to accelerate the vesting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276" w:name="page277"/>
    <w:bookmarkEnd w:id="276"/>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Restricted Units under this Agreement, at such times (including, without limitation, following the Officer’s termination of employment) and upon such terms and conditions as the Committee shall deem advisable.</w:t>
      </w:r>
    </w:p>
    <w:p>
      <w:pPr>
        <w:spacing w:after="0" w:line="132" w:lineRule="exact"/>
        <w:rPr>
          <w:sz w:val="20"/>
          <w:szCs w:val="20"/>
          <w:color w:val="auto"/>
        </w:rPr>
      </w:pPr>
    </w:p>
    <w:p>
      <w:pPr>
        <w:ind w:left="640" w:hanging="176"/>
        <w:spacing w:after="0"/>
        <w:tabs>
          <w:tab w:leader="none" w:pos="64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Repurchase Option</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370" w:lineRule="auto"/>
        <w:tabs>
          <w:tab w:leader="none" w:pos="695"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Termination for Cause</w:t>
      </w:r>
      <w:r>
        <w:rPr>
          <w:rFonts w:ascii="Arial" w:cs="Arial" w:eastAsia="Arial" w:hAnsi="Arial"/>
          <w:sz w:val="15"/>
          <w:szCs w:val="15"/>
          <w:color w:val="auto"/>
        </w:rPr>
        <w:t>. Upon termination of the Officer’s employment by MagnaChip Korea for Cause (as defined in the Service Agreement), the Company (in accordance with the procedures described in Section 4(c)) may repurchase all or any portion of the Units for a cash payment equal to $1.00 per Unit.</w:t>
      </w:r>
    </w:p>
    <w:p>
      <w:pPr>
        <w:spacing w:after="0" w:line="62" w:lineRule="exact"/>
        <w:rPr>
          <w:rFonts w:ascii="Arial" w:cs="Arial" w:eastAsia="Arial" w:hAnsi="Arial"/>
          <w:sz w:val="15"/>
          <w:szCs w:val="15"/>
          <w:color w:val="auto"/>
        </w:rPr>
      </w:pPr>
    </w:p>
    <w:p>
      <w:pPr>
        <w:ind w:right="120" w:firstLine="464"/>
        <w:spacing w:after="0" w:line="294" w:lineRule="auto"/>
        <w:tabs>
          <w:tab w:leader="none" w:pos="705"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Termination for Any Other Reason</w:t>
      </w:r>
      <w:r>
        <w:rPr>
          <w:rFonts w:ascii="Arial" w:cs="Arial" w:eastAsia="Arial" w:hAnsi="Arial"/>
          <w:sz w:val="16"/>
          <w:szCs w:val="16"/>
          <w:color w:val="auto"/>
        </w:rPr>
        <w:t>. Upon any termination of the Officer’s employment with MagnaChip Korea other than a termination for Cause (as defined in the Service Agreement), (</w:t>
      </w:r>
      <w:r>
        <w:rPr>
          <w:rFonts w:ascii="Arial" w:cs="Arial" w:eastAsia="Arial" w:hAnsi="Arial"/>
          <w:sz w:val="16"/>
          <w:szCs w:val="16"/>
          <w:u w:val="single" w:color="auto"/>
          <w:color w:val="auto"/>
        </w:rPr>
        <w:t>i</w:t>
      </w:r>
      <w:r>
        <w:rPr>
          <w:rFonts w:ascii="Arial" w:cs="Arial" w:eastAsia="Arial" w:hAnsi="Arial"/>
          <w:sz w:val="16"/>
          <w:szCs w:val="16"/>
          <w:color w:val="auto"/>
        </w:rPr>
        <w:t>) the Company (in accordance with the procedures described in Section 4(c)) may repurchase all or any portion of the Units then held by the Officer for which the Restricted Period has not lapsed as of the date of termination for a cash payment equal to $1.00 per Unit and (</w:t>
      </w:r>
      <w:r>
        <w:rPr>
          <w:rFonts w:ascii="Arial" w:cs="Arial" w:eastAsia="Arial" w:hAnsi="Arial"/>
          <w:sz w:val="16"/>
          <w:szCs w:val="16"/>
          <w:u w:val="single" w:color="auto"/>
          <w:color w:val="auto"/>
        </w:rPr>
        <w:t>ii</w:t>
      </w:r>
      <w:r>
        <w:rPr>
          <w:rFonts w:ascii="Arial" w:cs="Arial" w:eastAsia="Arial" w:hAnsi="Arial"/>
          <w:sz w:val="16"/>
          <w:szCs w:val="16"/>
          <w:color w:val="auto"/>
        </w:rPr>
        <w:t>) the Company (in accordance with the procedures described in Section 4(c)) may repurchase the Units for which the Restricted Period has lapsed as of the date of termination for a cash payment equal to the Fair Market Value of the Units (or the portion thereof so purchased).</w:t>
      </w:r>
    </w:p>
    <w:p>
      <w:pPr>
        <w:spacing w:after="0" w:line="115" w:lineRule="exact"/>
        <w:rPr>
          <w:rFonts w:ascii="Arial" w:cs="Arial" w:eastAsia="Arial" w:hAnsi="Arial"/>
          <w:sz w:val="16"/>
          <w:szCs w:val="16"/>
          <w:color w:val="auto"/>
        </w:rPr>
      </w:pPr>
    </w:p>
    <w:p>
      <w:pPr>
        <w:ind w:right="100" w:firstLine="464"/>
        <w:spacing w:after="0" w:line="256" w:lineRule="auto"/>
        <w:tabs>
          <w:tab w:leader="none" w:pos="695"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Procedures for the Repurchase of Units</w:t>
      </w:r>
      <w:r>
        <w:rPr>
          <w:rFonts w:ascii="Arial" w:cs="Arial" w:eastAsia="Arial" w:hAnsi="Arial"/>
          <w:sz w:val="18"/>
          <w:szCs w:val="18"/>
          <w:color w:val="auto"/>
        </w:rPr>
        <w:t>. Notwithstanding anything to the contrary contained herein, any repurchase of Units pursuant to this Section 4 shall not be effected prior to the expiration of a period of, and the Fair Market Value shall be determined as of a date, at least six months and one day from the date such Units were received by the Officer. The Company shall have an exclusive right to repurchase Units until the date six months and one day from the date the Officer’s employment is terminated.</w:t>
      </w:r>
    </w:p>
    <w:p>
      <w:pPr>
        <w:spacing w:after="0" w:line="143" w:lineRule="exact"/>
        <w:rPr>
          <w:rFonts w:ascii="Arial" w:cs="Arial" w:eastAsia="Arial" w:hAnsi="Arial"/>
          <w:sz w:val="18"/>
          <w:szCs w:val="18"/>
          <w:color w:val="auto"/>
        </w:rPr>
      </w:pPr>
    </w:p>
    <w:p>
      <w:pPr>
        <w:ind w:right="100" w:firstLine="464"/>
        <w:spacing w:after="0" w:line="332" w:lineRule="auto"/>
        <w:tabs>
          <w:tab w:leader="none" w:pos="705"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If the Company elects to repurchase any Units pursuant to this Section 4, the Company may apply the proceeds from such repurchase to any and all outstanding obligations of the Officer due the Company or guaranteed by the Company in respect of the Units.</w:t>
      </w:r>
    </w:p>
    <w:p>
      <w:pPr>
        <w:spacing w:after="0" w:line="85" w:lineRule="exact"/>
        <w:rPr>
          <w:sz w:val="20"/>
          <w:szCs w:val="20"/>
          <w:color w:val="auto"/>
        </w:rPr>
      </w:pPr>
    </w:p>
    <w:p>
      <w:pPr>
        <w:ind w:left="640" w:hanging="176"/>
        <w:spacing w:after="0"/>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Officer’s Representations, Warranties and Covenants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8" w:lineRule="auto"/>
        <w:tabs>
          <w:tab w:leader="none" w:pos="695"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Investment Intention</w:t>
      </w:r>
      <w:r>
        <w:rPr>
          <w:rFonts w:ascii="Arial" w:cs="Arial" w:eastAsia="Arial" w:hAnsi="Arial"/>
          <w:sz w:val="16"/>
          <w:szCs w:val="16"/>
          <w:color w:val="auto"/>
        </w:rPr>
        <w:t>. The Officer represents and warrants that the Officer is acquiring the Units solely for the Officer’s own account for investment and not with a view to, or for sale in connection with, any distribution thereof. The Officer agrees that the Officer will not, directly or indirectly, offer, transfer, sell, pledge, hypothecate or otherwise dispose of any of the Units (or solicit any offers to buy, purchase or otherwise acquire or take a pledge of any Units), or any interest therein or any rights relating thereto, except in compliance with the Securities Act of 1933, as amended, and the rules and regulations thereunder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all applicable state securities or “blue sky” laws and Article 3 and Section 5.03 of the Securityholders’ Agreement. The Officer further understands, acknowledges and agrees that none of the Units may be transferred, sold, pledged, hypothecated or otherwise disposed of unless the provisions of Section 3 shall have been satisfied or have expired. Any attempt by the Officer, directly or indirectly, to offer, transfer, sell, pledge, hypothecate or otherwise dispose of any Units or any interest therein, or any rights relating thereto, without complying with the provisions of this Agreement and Article 3 and Section 5.03 of the Securityholders’ Agreement, as such agreements shall be amended from time to time, shall be void and of no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77" w:name="page278"/>
    <w:bookmarkEnd w:id="277"/>
    <w:p>
      <w:pPr>
        <w:ind w:left="-20" w:right="1180" w:firstLine="464"/>
        <w:spacing w:after="0" w:line="268" w:lineRule="auto"/>
        <w:tabs>
          <w:tab w:leader="none" w:pos="685"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Legend</w:t>
      </w:r>
      <w:r>
        <w:rPr>
          <w:rFonts w:ascii="Arial" w:cs="Arial" w:eastAsia="Arial" w:hAnsi="Arial"/>
          <w:sz w:val="18"/>
          <w:szCs w:val="18"/>
          <w:color w:val="auto"/>
        </w:rPr>
        <w:t>. The Officer acknowledges that the certificate or certificates representing the Units, if any, shall bear the legends set forth in the Securityholders’ Agreement.</w:t>
      </w:r>
    </w:p>
    <w:p>
      <w:pPr>
        <w:spacing w:after="0" w:line="131" w:lineRule="exact"/>
        <w:rPr>
          <w:rFonts w:ascii="Arial" w:cs="Arial" w:eastAsia="Arial" w:hAnsi="Arial"/>
          <w:sz w:val="18"/>
          <w:szCs w:val="18"/>
          <w:color w:val="auto"/>
        </w:rPr>
      </w:pPr>
    </w:p>
    <w:p>
      <w:pPr>
        <w:ind w:left="-20" w:firstLine="464"/>
        <w:spacing w:after="0" w:line="286" w:lineRule="auto"/>
        <w:tabs>
          <w:tab w:leader="none" w:pos="675"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Securities Law Matters</w:t>
      </w:r>
      <w:r>
        <w:rPr>
          <w:rFonts w:ascii="Arial" w:cs="Arial" w:eastAsia="Arial" w:hAnsi="Arial"/>
          <w:sz w:val="16"/>
          <w:szCs w:val="16"/>
          <w:color w:val="auto"/>
        </w:rPr>
        <w:t>. The Officer acknowledges receipt of advice from the Company that (</w:t>
      </w:r>
      <w:r>
        <w:rPr>
          <w:rFonts w:ascii="Arial" w:cs="Arial" w:eastAsia="Arial" w:hAnsi="Arial"/>
          <w:sz w:val="16"/>
          <w:szCs w:val="16"/>
          <w:u w:val="single" w:color="auto"/>
          <w:color w:val="auto"/>
        </w:rPr>
        <w:t>i</w:t>
      </w:r>
      <w:r>
        <w:rPr>
          <w:rFonts w:ascii="Arial" w:cs="Arial" w:eastAsia="Arial" w:hAnsi="Arial"/>
          <w:sz w:val="16"/>
          <w:szCs w:val="16"/>
          <w:color w:val="auto"/>
        </w:rPr>
        <w:t>) the Units have not been registered under the Act or qualified under any state or foreign securities or “blue sky” laws, (</w:t>
      </w:r>
      <w:r>
        <w:rPr>
          <w:rFonts w:ascii="Arial" w:cs="Arial" w:eastAsia="Arial" w:hAnsi="Arial"/>
          <w:sz w:val="16"/>
          <w:szCs w:val="16"/>
          <w:u w:val="single" w:color="auto"/>
          <w:color w:val="auto"/>
        </w:rPr>
        <w:t>ii</w:t>
      </w:r>
      <w:r>
        <w:rPr>
          <w:rFonts w:ascii="Arial" w:cs="Arial" w:eastAsia="Arial" w:hAnsi="Arial"/>
          <w:sz w:val="16"/>
          <w:szCs w:val="16"/>
          <w:color w:val="auto"/>
        </w:rPr>
        <w:t>) it is not anticipated that there will be any public market for the Units, (</w:t>
      </w:r>
      <w:r>
        <w:rPr>
          <w:rFonts w:ascii="Arial" w:cs="Arial" w:eastAsia="Arial" w:hAnsi="Arial"/>
          <w:sz w:val="16"/>
          <w:szCs w:val="16"/>
          <w:u w:val="single" w:color="auto"/>
          <w:color w:val="auto"/>
        </w:rPr>
        <w:t>iii</w:t>
      </w:r>
      <w:r>
        <w:rPr>
          <w:rFonts w:ascii="Arial" w:cs="Arial" w:eastAsia="Arial" w:hAnsi="Arial"/>
          <w:sz w:val="16"/>
          <w:szCs w:val="16"/>
          <w:color w:val="auto"/>
        </w:rPr>
        <w:t>) the Units must be held indefinitely and the Officer must continue to bear the economic risk of the investment in the Units unless the Units are subsequently registered under the Act and such state laws or an exemption from registration is available, (</w:t>
      </w:r>
      <w:r>
        <w:rPr>
          <w:rFonts w:ascii="Arial" w:cs="Arial" w:eastAsia="Arial" w:hAnsi="Arial"/>
          <w:sz w:val="16"/>
          <w:szCs w:val="16"/>
          <w:u w:val="single" w:color="auto"/>
          <w:color w:val="auto"/>
        </w:rPr>
        <w:t>iv</w:t>
      </w:r>
      <w:r>
        <w:rPr>
          <w:rFonts w:ascii="Arial" w:cs="Arial" w:eastAsia="Arial" w:hAnsi="Arial"/>
          <w:sz w:val="16"/>
          <w:szCs w:val="16"/>
          <w:color w:val="auto"/>
        </w:rPr>
        <w:t>) Rule 144 promulgated under the Act (“</w:t>
      </w:r>
      <w:r>
        <w:rPr>
          <w:rFonts w:ascii="Arial" w:cs="Arial" w:eastAsia="Arial" w:hAnsi="Arial"/>
          <w:sz w:val="16"/>
          <w:szCs w:val="16"/>
          <w:b w:val="1"/>
          <w:bCs w:val="1"/>
          <w:u w:val="single" w:color="auto"/>
          <w:color w:val="auto"/>
        </w:rPr>
        <w:t>Rule 144</w:t>
      </w:r>
      <w:r>
        <w:rPr>
          <w:rFonts w:ascii="Arial" w:cs="Arial" w:eastAsia="Arial" w:hAnsi="Arial"/>
          <w:sz w:val="16"/>
          <w:szCs w:val="16"/>
          <w:color w:val="auto"/>
        </w:rPr>
        <w:t>”) is not presently available with respect to the sales of the Units, and the Company has made no covenant to make Rule 144 available, (</w:t>
      </w:r>
      <w:r>
        <w:rPr>
          <w:rFonts w:ascii="Arial" w:cs="Arial" w:eastAsia="Arial" w:hAnsi="Arial"/>
          <w:sz w:val="16"/>
          <w:szCs w:val="16"/>
          <w:u w:val="single" w:color="auto"/>
          <w:color w:val="auto"/>
        </w:rPr>
        <w:t>v</w:t>
      </w:r>
      <w:r>
        <w:rPr>
          <w:rFonts w:ascii="Arial" w:cs="Arial" w:eastAsia="Arial" w:hAnsi="Arial"/>
          <w:sz w:val="16"/>
          <w:szCs w:val="16"/>
          <w:color w:val="auto"/>
        </w:rPr>
        <w:t>) when and if the Units may be disposed of without registration in reliance upon Rule 144, such disposition can be made only in accordance with the terms and conditions of such Rule, the Plan, this Agreement and the Securityholders’ Agreement, (</w:t>
      </w:r>
      <w:r>
        <w:rPr>
          <w:rFonts w:ascii="Arial" w:cs="Arial" w:eastAsia="Arial" w:hAnsi="Arial"/>
          <w:sz w:val="16"/>
          <w:szCs w:val="16"/>
          <w:u w:val="single" w:color="auto"/>
          <w:color w:val="auto"/>
        </w:rPr>
        <w:t>vi</w:t>
      </w:r>
      <w:r>
        <w:rPr>
          <w:rFonts w:ascii="Arial" w:cs="Arial" w:eastAsia="Arial" w:hAnsi="Arial"/>
          <w:sz w:val="16"/>
          <w:szCs w:val="16"/>
          <w:color w:val="auto"/>
        </w:rPr>
        <w:t>) the Company does not plan to file reports with the Commission or make public information concerning the Company available unless required to do so by law or in connection with its financing arrangements, (</w:t>
      </w:r>
      <w:r>
        <w:rPr>
          <w:rFonts w:ascii="Arial" w:cs="Arial" w:eastAsia="Arial" w:hAnsi="Arial"/>
          <w:sz w:val="16"/>
          <w:szCs w:val="16"/>
          <w:u w:val="single" w:color="auto"/>
          <w:color w:val="auto"/>
        </w:rPr>
        <w:t>vii</w:t>
      </w:r>
      <w:r>
        <w:rPr>
          <w:rFonts w:ascii="Arial" w:cs="Arial" w:eastAsia="Arial" w:hAnsi="Arial"/>
          <w:sz w:val="16"/>
          <w:szCs w:val="16"/>
          <w:color w:val="auto"/>
        </w:rPr>
        <w:t>) if the exemption afforded by Rule 144 is not available, sales of the Units may be difficult to effect because of the absence of public information concerning the Company, (</w:t>
      </w:r>
      <w:r>
        <w:rPr>
          <w:rFonts w:ascii="Arial" w:cs="Arial" w:eastAsia="Arial" w:hAnsi="Arial"/>
          <w:sz w:val="16"/>
          <w:szCs w:val="16"/>
          <w:u w:val="single" w:color="auto"/>
          <w:color w:val="auto"/>
        </w:rPr>
        <w:t>viii</w:t>
      </w:r>
      <w:r>
        <w:rPr>
          <w:rFonts w:ascii="Arial" w:cs="Arial" w:eastAsia="Arial" w:hAnsi="Arial"/>
          <w:sz w:val="16"/>
          <w:szCs w:val="16"/>
          <w:color w:val="auto"/>
        </w:rPr>
        <w:t>) a restrictive legend in the form heretofore set forth shall be placed on the certificates representing the Units and (</w:t>
      </w:r>
      <w:r>
        <w:rPr>
          <w:rFonts w:ascii="Arial" w:cs="Arial" w:eastAsia="Arial" w:hAnsi="Arial"/>
          <w:sz w:val="16"/>
          <w:szCs w:val="16"/>
          <w:u w:val="single" w:color="auto"/>
          <w:color w:val="auto"/>
        </w:rPr>
        <w:t>ix</w:t>
      </w:r>
      <w:r>
        <w:rPr>
          <w:rFonts w:ascii="Arial" w:cs="Arial" w:eastAsia="Arial" w:hAnsi="Arial"/>
          <w:sz w:val="16"/>
          <w:szCs w:val="16"/>
          <w:color w:val="auto"/>
        </w:rPr>
        <w:t>) a notation shall be made in the appropriate records of the Company indicating that the Units are subject to restrictions on transfer set forth in Article 3 and Section 5.03 of the Securityholders’ Agreement and, if the Company should in the future engage the services of a stock transfer agent, appropriate stop-transfer restrictions will be issued to such transfer agent with respect to the Units.</w:t>
      </w:r>
    </w:p>
    <w:p>
      <w:pPr>
        <w:spacing w:after="0" w:line="124" w:lineRule="exact"/>
        <w:rPr>
          <w:rFonts w:ascii="Arial" w:cs="Arial" w:eastAsia="Arial" w:hAnsi="Arial"/>
          <w:sz w:val="16"/>
          <w:szCs w:val="16"/>
          <w:color w:val="auto"/>
        </w:rPr>
      </w:pPr>
    </w:p>
    <w:p>
      <w:pPr>
        <w:ind w:left="-20" w:right="100" w:firstLine="464"/>
        <w:spacing w:after="0" w:line="306" w:lineRule="auto"/>
        <w:tabs>
          <w:tab w:leader="none" w:pos="685"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Compliance with Rule 144</w:t>
      </w:r>
      <w:r>
        <w:rPr>
          <w:rFonts w:ascii="Arial" w:cs="Arial" w:eastAsia="Arial" w:hAnsi="Arial"/>
          <w:sz w:val="16"/>
          <w:szCs w:val="16"/>
          <w:color w:val="auto"/>
        </w:rPr>
        <w:t>. When and if the Units may be disposed of without registration in reliance upon Rule 144, the Officer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106" w:lineRule="exact"/>
        <w:rPr>
          <w:rFonts w:ascii="Arial" w:cs="Arial" w:eastAsia="Arial" w:hAnsi="Arial"/>
          <w:sz w:val="16"/>
          <w:szCs w:val="16"/>
          <w:color w:val="auto"/>
        </w:rPr>
      </w:pPr>
    </w:p>
    <w:p>
      <w:pPr>
        <w:jc w:val="both"/>
        <w:ind w:left="-20" w:right="420" w:firstLine="464"/>
        <w:spacing w:after="0" w:line="332" w:lineRule="auto"/>
        <w:tabs>
          <w:tab w:leader="none" w:pos="675"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Ability to Bear Risk</w:t>
      </w:r>
      <w:r>
        <w:rPr>
          <w:rFonts w:ascii="Arial" w:cs="Arial" w:eastAsia="Arial" w:hAnsi="Arial"/>
          <w:sz w:val="16"/>
          <w:szCs w:val="16"/>
          <w:color w:val="auto"/>
        </w:rPr>
        <w:t>. The Officer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the financial situation of the Officer is such that the Officer can afford to bear the economic risk of holding the Units for an indefinite period and (</w:t>
      </w:r>
      <w:r>
        <w:rPr>
          <w:rFonts w:ascii="Arial" w:cs="Arial" w:eastAsia="Arial" w:hAnsi="Arial"/>
          <w:sz w:val="16"/>
          <w:szCs w:val="16"/>
          <w:u w:val="single" w:color="auto"/>
          <w:color w:val="auto"/>
        </w:rPr>
        <w:t>ii</w:t>
      </w:r>
      <w:r>
        <w:rPr>
          <w:rFonts w:ascii="Arial" w:cs="Arial" w:eastAsia="Arial" w:hAnsi="Arial"/>
          <w:sz w:val="16"/>
          <w:szCs w:val="16"/>
          <w:color w:val="auto"/>
        </w:rPr>
        <w:t>) the Officer can afford to suffer the complete loss of the Officer’s investment in the Units.</w:t>
      </w:r>
    </w:p>
    <w:p>
      <w:pPr>
        <w:spacing w:after="0" w:line="85" w:lineRule="exact"/>
        <w:rPr>
          <w:rFonts w:ascii="Arial" w:cs="Arial" w:eastAsia="Arial" w:hAnsi="Arial"/>
          <w:sz w:val="16"/>
          <w:szCs w:val="16"/>
          <w:color w:val="auto"/>
        </w:rPr>
      </w:pPr>
    </w:p>
    <w:p>
      <w:pPr>
        <w:ind w:left="-20" w:right="40" w:firstLine="464"/>
        <w:spacing w:after="0" w:line="254" w:lineRule="auto"/>
        <w:tabs>
          <w:tab w:leader="none" w:pos="656"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Access to Information, etc.; Sophistication; Lack of Reliance</w:t>
      </w:r>
      <w:r>
        <w:rPr>
          <w:rFonts w:ascii="Arial" w:cs="Arial" w:eastAsia="Arial" w:hAnsi="Arial"/>
          <w:sz w:val="18"/>
          <w:szCs w:val="18"/>
          <w:color w:val="auto"/>
        </w:rPr>
        <w:t>. The Officer represents and warrants that (</w:t>
      </w:r>
      <w:r>
        <w:rPr>
          <w:rFonts w:ascii="Arial" w:cs="Arial" w:eastAsia="Arial" w:hAnsi="Arial"/>
          <w:sz w:val="18"/>
          <w:szCs w:val="18"/>
          <w:u w:val="single" w:color="auto"/>
          <w:color w:val="auto"/>
        </w:rPr>
        <w:t>i</w:t>
      </w:r>
      <w:r>
        <w:rPr>
          <w:rFonts w:ascii="Arial" w:cs="Arial" w:eastAsia="Arial" w:hAnsi="Arial"/>
          <w:sz w:val="18"/>
          <w:szCs w:val="18"/>
          <w:color w:val="auto"/>
        </w:rPr>
        <w:t>) the Officer has carefully reviewed the materials furnished to the Officer in connection with the transaction contemplated hereby, including, without limitation, the Plan and the other materials furnished to the Officer in connection with the transactions contemplated hereby, (</w:t>
      </w:r>
      <w:r>
        <w:rPr>
          <w:rFonts w:ascii="Arial" w:cs="Arial" w:eastAsia="Arial" w:hAnsi="Arial"/>
          <w:sz w:val="18"/>
          <w:szCs w:val="18"/>
          <w:u w:val="single" w:color="auto"/>
          <w:color w:val="auto"/>
        </w:rPr>
        <w:t>ii</w:t>
      </w:r>
      <w:r>
        <w:rPr>
          <w:rFonts w:ascii="Arial" w:cs="Arial" w:eastAsia="Arial" w:hAnsi="Arial"/>
          <w:sz w:val="18"/>
          <w:szCs w:val="18"/>
          <w:color w:val="auto"/>
        </w:rPr>
        <w:t>) the Officer is familiar with the business and financial condition, properties, operations and prospects of the Company and that the Officer has been granted the opportunity to ask questions of, and receive answers from, representatives of the Company concerning the Company and the terms and conditions of the purchase of the Units and to obtain any additional information that the Officer deems necessary, (</w:t>
      </w:r>
      <w:r>
        <w:rPr>
          <w:rFonts w:ascii="Arial" w:cs="Arial" w:eastAsia="Arial" w:hAnsi="Arial"/>
          <w:sz w:val="18"/>
          <w:szCs w:val="18"/>
          <w:u w:val="single" w:color="auto"/>
          <w:color w:val="auto"/>
        </w:rPr>
        <w:t>iii</w:t>
      </w:r>
      <w:r>
        <w:rPr>
          <w:rFonts w:ascii="Arial" w:cs="Arial" w:eastAsia="Arial" w:hAnsi="Arial"/>
          <w:sz w:val="18"/>
          <w:szCs w:val="18"/>
          <w:color w:val="auto"/>
        </w:rPr>
        <w:t>) the Officer’s knowledge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278" w:name="page279"/>
    <w:bookmarkEnd w:id="278"/>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experience in financial and business matters is such that the Officer is capable of evaluating the merits and risk of the investment in the Units, (</w:t>
      </w:r>
      <w:r>
        <w:rPr>
          <w:rFonts w:ascii="Arial" w:cs="Arial" w:eastAsia="Arial" w:hAnsi="Arial"/>
          <w:sz w:val="16"/>
          <w:szCs w:val="16"/>
          <w:u w:val="single" w:color="auto"/>
          <w:color w:val="auto"/>
        </w:rPr>
        <w:t>iv</w:t>
      </w:r>
      <w:r>
        <w:rPr>
          <w:rFonts w:ascii="Arial" w:cs="Arial" w:eastAsia="Arial" w:hAnsi="Arial"/>
          <w:sz w:val="16"/>
          <w:szCs w:val="16"/>
          <w:color w:val="auto"/>
        </w:rPr>
        <w:t>) the Officer has carefully reviewed the terms and provisions of the Securityholders’ Agreement and LLC Agreement and has evaluated the restrictions and obligations contained therein, and (</w:t>
      </w:r>
      <w:r>
        <w:rPr>
          <w:rFonts w:ascii="Arial" w:cs="Arial" w:eastAsia="Arial" w:hAnsi="Arial"/>
          <w:sz w:val="16"/>
          <w:szCs w:val="16"/>
          <w:u w:val="single" w:color="auto"/>
          <w:color w:val="auto"/>
        </w:rPr>
        <w:t>v</w:t>
      </w:r>
      <w:r>
        <w:rPr>
          <w:rFonts w:ascii="Arial" w:cs="Arial" w:eastAsia="Arial" w:hAnsi="Arial"/>
          <w:sz w:val="16"/>
          <w:szCs w:val="16"/>
          <w:color w:val="auto"/>
        </w:rPr>
        <w:t>) the Officer is, and will be at the Closing, either (</w:t>
      </w:r>
      <w:r>
        <w:rPr>
          <w:rFonts w:ascii="Arial" w:cs="Arial" w:eastAsia="Arial" w:hAnsi="Arial"/>
          <w:sz w:val="16"/>
          <w:szCs w:val="16"/>
          <w:u w:val="single" w:color="auto"/>
          <w:color w:val="auto"/>
        </w:rPr>
        <w:t>A</w:t>
      </w:r>
      <w:r>
        <w:rPr>
          <w:rFonts w:ascii="Arial" w:cs="Arial" w:eastAsia="Arial" w:hAnsi="Arial"/>
          <w:sz w:val="16"/>
          <w:szCs w:val="16"/>
          <w:color w:val="auto"/>
        </w:rPr>
        <w:t>) an officer or employee of the Company or one of its subsidiaries or (</w:t>
      </w:r>
      <w:r>
        <w:rPr>
          <w:rFonts w:ascii="Arial" w:cs="Arial" w:eastAsia="Arial" w:hAnsi="Arial"/>
          <w:sz w:val="16"/>
          <w:szCs w:val="16"/>
          <w:u w:val="single" w:color="auto"/>
          <w:color w:val="auto"/>
        </w:rPr>
        <w:t>B</w:t>
      </w:r>
      <w:r>
        <w:rPr>
          <w:rFonts w:ascii="Arial" w:cs="Arial" w:eastAsia="Arial" w:hAnsi="Arial"/>
          <w:sz w:val="16"/>
          <w:szCs w:val="16"/>
          <w:color w:val="auto"/>
        </w:rPr>
        <w:t>) an “Accredited Investor” under Regulation D promulgated under the Act and agrees to furnish such documents and to comply with such reasonable requests of the Company as may be necessary to substantiate the Officer’s status as a qualifying investor in connection with this private offering of Units to the Officer. In furtherance of the foregoing, the Officer represents and warrants that (</w:t>
      </w:r>
      <w:r>
        <w:rPr>
          <w:rFonts w:ascii="Arial" w:cs="Arial" w:eastAsia="Arial" w:hAnsi="Arial"/>
          <w:sz w:val="16"/>
          <w:szCs w:val="16"/>
          <w:u w:val="single" w:color="auto"/>
          <w:color w:val="auto"/>
        </w:rPr>
        <w:t>x</w:t>
      </w:r>
      <w:r>
        <w:rPr>
          <w:rFonts w:ascii="Arial" w:cs="Arial" w:eastAsia="Arial" w:hAnsi="Arial"/>
          <w:sz w:val="16"/>
          <w:szCs w:val="16"/>
          <w:color w:val="auto"/>
        </w:rPr>
        <w:t>) no representation or warranty, express or implied, whether written or oral, as to the financial condition, results of operations, prospects, properties or business of the Company or as to the desirability or value of an investment in the Company has been made to the Officer by or on behalf of the Company, except for those representations and warranties contained in Section 8 and the Securityholders’ Agreement, (</w:t>
      </w:r>
      <w:r>
        <w:rPr>
          <w:rFonts w:ascii="Arial" w:cs="Arial" w:eastAsia="Arial" w:hAnsi="Arial"/>
          <w:sz w:val="16"/>
          <w:szCs w:val="16"/>
          <w:u w:val="single" w:color="auto"/>
          <w:color w:val="auto"/>
        </w:rPr>
        <w:t>y</w:t>
      </w:r>
      <w:r>
        <w:rPr>
          <w:rFonts w:ascii="Arial" w:cs="Arial" w:eastAsia="Arial" w:hAnsi="Arial"/>
          <w:sz w:val="16"/>
          <w:szCs w:val="16"/>
          <w:color w:val="auto"/>
        </w:rPr>
        <w:t>) the Officer has relied upon the Officer’s own independent appraisal and investigation, and the advice of the Officer’s own counsel, tax advisors and other advisors, regarding the risks of an investment in the Company and (</w:t>
      </w:r>
      <w:r>
        <w:rPr>
          <w:rFonts w:ascii="Arial" w:cs="Arial" w:eastAsia="Arial" w:hAnsi="Arial"/>
          <w:sz w:val="16"/>
          <w:szCs w:val="16"/>
          <w:u w:val="single" w:color="auto"/>
          <w:color w:val="auto"/>
        </w:rPr>
        <w:t>z</w:t>
      </w:r>
      <w:r>
        <w:rPr>
          <w:rFonts w:ascii="Arial" w:cs="Arial" w:eastAsia="Arial" w:hAnsi="Arial"/>
          <w:sz w:val="16"/>
          <w:szCs w:val="16"/>
          <w:color w:val="auto"/>
        </w:rPr>
        <w:t>) the Officer will continue to bear sole responsibility for making the Officer’s own independent evaluation and monitoring of the risks of the Officer’s investment in the Company.</w:t>
      </w:r>
    </w:p>
    <w:p>
      <w:pPr>
        <w:spacing w:after="0" w:line="127" w:lineRule="exact"/>
        <w:rPr>
          <w:sz w:val="20"/>
          <w:szCs w:val="20"/>
          <w:color w:val="auto"/>
        </w:rPr>
      </w:pPr>
    </w:p>
    <w:p>
      <w:pPr>
        <w:ind w:firstLine="464"/>
        <w:spacing w:after="0" w:line="286" w:lineRule="auto"/>
        <w:tabs>
          <w:tab w:leader="none" w:pos="705"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Due Execution and Delivery</w:t>
      </w:r>
      <w:r>
        <w:rPr>
          <w:rFonts w:ascii="Arial" w:cs="Arial" w:eastAsia="Arial" w:hAnsi="Arial"/>
          <w:sz w:val="16"/>
          <w:szCs w:val="16"/>
          <w:color w:val="auto"/>
        </w:rPr>
        <w:t>. The Officer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the Officer has duly executed and delivered this Agreement, (</w:t>
      </w:r>
      <w:r>
        <w:rPr>
          <w:rFonts w:ascii="Arial" w:cs="Arial" w:eastAsia="Arial" w:hAnsi="Arial"/>
          <w:sz w:val="16"/>
          <w:szCs w:val="16"/>
          <w:u w:val="single" w:color="auto"/>
          <w:color w:val="auto"/>
        </w:rPr>
        <w:t>ii</w:t>
      </w:r>
      <w:r>
        <w:rPr>
          <w:rFonts w:ascii="Arial" w:cs="Arial" w:eastAsia="Arial" w:hAnsi="Arial"/>
          <w:sz w:val="16"/>
          <w:szCs w:val="16"/>
          <w:color w:val="auto"/>
        </w:rPr>
        <w:t>) all actions required to be taken by or on behalf of the Officer to authorize the Officer to execute, deliver and perform the Officer’s obligations under this Agreement, the Securityholders’ Agreement and the LLC Agreement have been taken and this Agreement constitutes and, upon execution of a joinder thereto, the Securityholders’ Agreement and the LLC Agreement will constitute the Officer’s legal, valid and binding obligations, enforceable against the Officer in accordance with their respective terms, except as the same may be affected by bankruptcy, insolvency, moratorium or similar laws, or by legal or equitable principles relating to or limiting the rights of contracting parties generally, (</w:t>
      </w:r>
      <w:r>
        <w:rPr>
          <w:rFonts w:ascii="Arial" w:cs="Arial" w:eastAsia="Arial" w:hAnsi="Arial"/>
          <w:sz w:val="16"/>
          <w:szCs w:val="16"/>
          <w:u w:val="single" w:color="auto"/>
          <w:color w:val="auto"/>
        </w:rPr>
        <w:t>iii</w:t>
      </w:r>
      <w:r>
        <w:rPr>
          <w:rFonts w:ascii="Arial" w:cs="Arial" w:eastAsia="Arial" w:hAnsi="Arial"/>
          <w:sz w:val="16"/>
          <w:szCs w:val="16"/>
          <w:color w:val="auto"/>
        </w:rPr>
        <w:t>) the execution and delivery of this Agreement and the joinder to the Securityholders’ Agreement and the LLC Agreement, and the consummation by the Officer of the transactions contemplated hereby and thereby in the manner contemplated hereby and thereby do not and will not conflict with, or result in a breach of any terms of, or constitute a default under, any agreement or instrument or any statute, law, rule or regulation, or any judgment, decree, writ, injunction, order or award of any arbitrator, court or governmental authority which is applicable to the Officer or by which the Officer or any material portion of the Officer’s properties is bound and (</w:t>
      </w:r>
      <w:r>
        <w:rPr>
          <w:rFonts w:ascii="Arial" w:cs="Arial" w:eastAsia="Arial" w:hAnsi="Arial"/>
          <w:sz w:val="16"/>
          <w:szCs w:val="16"/>
          <w:u w:val="single" w:color="auto"/>
          <w:color w:val="auto"/>
        </w:rPr>
        <w:t>iv</w:t>
      </w:r>
      <w:r>
        <w:rPr>
          <w:rFonts w:ascii="Arial" w:cs="Arial" w:eastAsia="Arial" w:hAnsi="Arial"/>
          <w:sz w:val="16"/>
          <w:szCs w:val="16"/>
          <w:color w:val="auto"/>
        </w:rPr>
        <w:t>) no consent, approval, authorization, order, filing, registration or qualification of or with any court, governmental authority or third person is required to be obtained by such Officer in connection with the execution and delivery of this Agreement and the joinder to the Securityholders’ Agreement and the LLC Agreement or the performance of such Officer’s obligations hereunder or thereunder.</w:t>
      </w:r>
    </w:p>
    <w:p>
      <w:pPr>
        <w:spacing w:after="0" w:line="340" w:lineRule="exact"/>
        <w:rPr>
          <w:rFonts w:ascii="Arial" w:cs="Arial" w:eastAsia="Arial" w:hAnsi="Arial"/>
          <w:sz w:val="16"/>
          <w:szCs w:val="16"/>
          <w:color w:val="auto"/>
        </w:rPr>
      </w:pPr>
    </w:p>
    <w:p>
      <w:pPr>
        <w:ind w:left="720" w:hanging="256"/>
        <w:spacing w:after="0"/>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The Officer shall be entitled to the rights and subject to the obligations created under the Securityholders’ Agreement.</w:t>
      </w:r>
    </w:p>
    <w:p>
      <w:pPr>
        <w:spacing w:after="0" w:line="165" w:lineRule="exact"/>
        <w:rPr>
          <w:rFonts w:ascii="Arial" w:cs="Arial" w:eastAsia="Arial" w:hAnsi="Arial"/>
          <w:sz w:val="18"/>
          <w:szCs w:val="18"/>
          <w:color w:val="auto"/>
        </w:rPr>
      </w:pPr>
    </w:p>
    <w:p>
      <w:pPr>
        <w:ind w:right="260" w:firstLine="464"/>
        <w:spacing w:after="0" w:line="275" w:lineRule="auto"/>
        <w:tabs>
          <w:tab w:leader="none" w:pos="666"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Officer shall make an election (the “</w:t>
      </w:r>
      <w:r>
        <w:rPr>
          <w:rFonts w:ascii="Arial" w:cs="Arial" w:eastAsia="Arial" w:hAnsi="Arial"/>
          <w:sz w:val="18"/>
          <w:szCs w:val="18"/>
          <w:b w:val="1"/>
          <w:bCs w:val="1"/>
          <w:u w:val="single" w:color="auto"/>
          <w:color w:val="auto"/>
        </w:rPr>
        <w:t>83(b) Election</w:t>
      </w:r>
      <w:r>
        <w:rPr>
          <w:rFonts w:ascii="Arial" w:cs="Arial" w:eastAsia="Arial" w:hAnsi="Arial"/>
          <w:sz w:val="18"/>
          <w:szCs w:val="18"/>
          <w:color w:val="auto"/>
        </w:rPr>
        <w:t>”) pursuant to Section 83(b) of the Internal Revenue Code of 1986, as amended, with respect to the Units purchased at such Closing within 20 days after the Closing and shall notify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79" w:name="page280"/>
    <w:bookmarkEnd w:id="279"/>
    <w:p>
      <w:pPr>
        <w:ind w:right="3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when the 83(b) Election has been made and provide the Company with a copy of the 83(b) Election. OFFICER ACKNOWLEDGES THAT OFFICER WILL BE SOLELY RESPONSIBLE FOR ANY AND ALL TAX LIABILITIES PAYABLE BY THE OFFICER IN CONNECTION WITH THE OFFICER’S PURCHASE AND RECEIPT OF THE UNITS OR ATTRIBUTABLE TO THE OFFICER MAKING THE 83(B) ELECTION. THE OFFICER ACKNOWLEDGES THAT (1) THE OFFICER ALONE IS RESPONSIBLE FOR FILING WITH THE INTERNAL REVENUE SERVICE, BY THE APPLICABLE DEADLINE, ALL APPLICABLE FORMS REQUIRED TO EFFECT THE 83(B) ELECTION, (2) NO EXTENSION OF THE 83(B) ELECTION DEADLINE WILL BE AVAILABLE UNDER LAW AND (3) ADVERSE TAX CONSEQUENCES MAY RESULT TO THE OFFICER IF THE 83(B) ELECTION IS NOT TIMELY MADE.</w:t>
      </w:r>
    </w:p>
    <w:p>
      <w:pPr>
        <w:spacing w:after="0" w:line="147" w:lineRule="exact"/>
        <w:rPr>
          <w:sz w:val="20"/>
          <w:szCs w:val="20"/>
          <w:color w:val="auto"/>
        </w:rPr>
      </w:pPr>
    </w:p>
    <w:p>
      <w:pPr>
        <w:ind w:right="20" w:firstLine="464"/>
        <w:spacing w:after="0" w:line="289" w:lineRule="auto"/>
        <w:tabs>
          <w:tab w:leader="none" w:pos="632"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The Officer’s Rights with Respect to Restricted Units</w:t>
      </w:r>
      <w:r>
        <w:rPr>
          <w:rFonts w:ascii="Arial" w:cs="Arial" w:eastAsia="Arial" w:hAnsi="Arial"/>
          <w:sz w:val="16"/>
          <w:szCs w:val="16"/>
          <w:color w:val="auto"/>
        </w:rPr>
        <w:t>. Except as otherwise provided in this Agreement or any other agreement entered into in respect of the Restricted Units, the Officer shall have, with respect to all of its Restricted Units, all of the rights of an equityholder of the Company, including the right to vote such Restricted Units, the right to receive cash and other dividends, if any, as may be declared on the Restricted Units from time to time, and the right to receive cash proceeds payable with respect to the Restricted Units as a result of any merger, reorganization, consolidation, or other corporate transaction of the Company to the same extent as such cash proceeds are payable with respect to other Common Units. Any securities issued to or received by the Officer with respect to Restricted Units as a result of a split, a dividend payable in units, a combination of units or any other change or exchange of the Restricted Units for other securities, by reclassification, reorganization, distribution, liquidation or otherwise shall have the same status as the Restricted Units and shall be held by the Company, if the Restricted Units are being so held, unless otherwise determined by the Committee.</w:t>
      </w:r>
    </w:p>
    <w:p>
      <w:pPr>
        <w:spacing w:after="0" w:line="118"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Other Rights and Obligations</w:t>
      </w:r>
      <w:r>
        <w:rPr>
          <w:rFonts w:ascii="Arial" w:cs="Arial" w:eastAsia="Arial" w:hAnsi="Arial"/>
          <w:sz w:val="18"/>
          <w:szCs w:val="18"/>
          <w:color w:val="auto"/>
        </w:rPr>
        <w:t>. The Officer shall be entitled to the rights and subject to the obligations created under the Plan, the LLC Agreement and the Securityholders’ Agreement, each to the extent set forth therein.</w:t>
      </w:r>
    </w:p>
    <w:p>
      <w:pPr>
        <w:spacing w:after="0" w:line="131" w:lineRule="exact"/>
        <w:rPr>
          <w:rFonts w:ascii="Arial" w:cs="Arial" w:eastAsia="Arial" w:hAnsi="Arial"/>
          <w:sz w:val="18"/>
          <w:szCs w:val="18"/>
          <w:color w:val="auto"/>
        </w:rPr>
      </w:pPr>
    </w:p>
    <w:p>
      <w:pPr>
        <w:ind w:firstLine="464"/>
        <w:spacing w:after="0" w:line="287" w:lineRule="auto"/>
        <w:tabs>
          <w:tab w:leader="none" w:pos="632"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Officer that (</w:t>
      </w:r>
      <w:r>
        <w:rPr>
          <w:rFonts w:ascii="Arial" w:cs="Arial" w:eastAsia="Arial" w:hAnsi="Arial"/>
          <w:sz w:val="16"/>
          <w:szCs w:val="16"/>
          <w:u w:val="single" w:color="auto"/>
          <w:color w:val="auto"/>
        </w:rPr>
        <w:t>i</w:t>
      </w:r>
      <w:r>
        <w:rPr>
          <w:rFonts w:ascii="Arial" w:cs="Arial" w:eastAsia="Arial" w:hAnsi="Arial"/>
          <w:sz w:val="16"/>
          <w:szCs w:val="16"/>
          <w:color w:val="auto"/>
        </w:rPr>
        <w:t>) the Company is a limited liability company duly organized, validly existing and in good standing under the laws of the State of Delaware, (</w:t>
      </w:r>
      <w:r>
        <w:rPr>
          <w:rFonts w:ascii="Arial" w:cs="Arial" w:eastAsia="Arial" w:hAnsi="Arial"/>
          <w:sz w:val="16"/>
          <w:szCs w:val="16"/>
          <w:u w:val="single" w:color="auto"/>
          <w:color w:val="auto"/>
        </w:rPr>
        <w:t>ii</w:t>
      </w:r>
      <w:r>
        <w:rPr>
          <w:rFonts w:ascii="Arial" w:cs="Arial" w:eastAsia="Arial" w:hAnsi="Arial"/>
          <w:sz w:val="16"/>
          <w:szCs w:val="16"/>
          <w:color w:val="auto"/>
        </w:rPr>
        <w:t>) the execution and delivery of this Agreement, the Securityholders’ Agreement and the LLC Agreement, the performance of the Company’s obligations hereunder and thereunder and the consummation by it of the transactions contemplated hereby and thereby have been duly and validly authorized by all requisite corporate action on the part of the Company, (</w:t>
      </w:r>
      <w:r>
        <w:rPr>
          <w:rFonts w:ascii="Arial" w:cs="Arial" w:eastAsia="Arial" w:hAnsi="Arial"/>
          <w:sz w:val="16"/>
          <w:szCs w:val="16"/>
          <w:u w:val="single" w:color="auto"/>
          <w:color w:val="auto"/>
        </w:rPr>
        <w:t>iii</w:t>
      </w:r>
      <w:r>
        <w:rPr>
          <w:rFonts w:ascii="Arial" w:cs="Arial" w:eastAsia="Arial" w:hAnsi="Arial"/>
          <w:sz w:val="16"/>
          <w:szCs w:val="16"/>
          <w:color w:val="auto"/>
        </w:rPr>
        <w:t>) this Agreement, the Securityholders’ Agreement and the LLC Agreement have been duly and validly executed by the Company and constitute the legal, valid and binding obligations of the Company enforceable against it in accordance with their respective terms, except as the same may be affected by bankruptcy, insolvency, moratorium or similar laws, or by legal or equitable principles relating to or limiting the rights of contracting parties generally and (</w:t>
      </w:r>
      <w:r>
        <w:rPr>
          <w:rFonts w:ascii="Arial" w:cs="Arial" w:eastAsia="Arial" w:hAnsi="Arial"/>
          <w:sz w:val="16"/>
          <w:szCs w:val="16"/>
          <w:u w:val="single" w:color="auto"/>
          <w:color w:val="auto"/>
        </w:rPr>
        <w:t>iv</w:t>
      </w:r>
      <w:r>
        <w:rPr>
          <w:rFonts w:ascii="Arial" w:cs="Arial" w:eastAsia="Arial" w:hAnsi="Arial"/>
          <w:sz w:val="16"/>
          <w:szCs w:val="16"/>
          <w:color w:val="auto"/>
        </w:rPr>
        <w:t>) the Units, when issued and delivered in accordance with the terms hereof, will be duly authorized, validly issued, fully paid and nonassessable, and free and clear of any liens or encumbrances other than those created by the Officer or pursuant to this Agreement, the Securityholders’ Agreement or the LLC Agreement or otherwise in connection with the transactions contemplated hereby and thereby.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80" w:name="page281"/>
    <w:bookmarkEnd w:id="280"/>
    <w:p>
      <w:pPr>
        <w:ind w:left="640" w:hanging="176"/>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8" w:lineRule="auto"/>
        <w:tabs>
          <w:tab w:leader="none" w:pos="695"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required or permitted to be given under this Agreement shall be in writing and shall be deemed to have been given if delivered personally (including by recognized overnight carrier) or sent by certified or express mail, return receipt requested, postage prepaid, or by any recognized international equivalent of such mail delivery, to the Company, or the Officer, as the case may be, at the following addresses or to such other address as the Company or the Officer, as the case may be, shall specify by notice to the others:</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Daechi-dong, Kangnam-gu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to the Officer, to the Officer at the address as reflected in the Company’s books and records.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firstLine="464"/>
        <w:spacing w:after="0" w:line="335" w:lineRule="auto"/>
        <w:tabs>
          <w:tab w:leader="none" w:pos="705" w:val="left"/>
        </w:tabs>
        <w:numPr>
          <w:ilvl w:val="0"/>
          <w:numId w:val="225"/>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right="40" w:firstLine="464"/>
        <w:spacing w:after="0" w:line="289" w:lineRule="auto"/>
        <w:tabs>
          <w:tab w:leader="none" w:pos="695"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a party to exercise any right or privilege hereunder shall be deemed a waiver of such party’s rights or privileges hereunder or shall be deemed a waiver of such party’s rights to exercise the same at any subsequent time or times hereunder.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281" w:name="page282"/>
    <w:bookmarkEnd w:id="281"/>
    <w:p>
      <w:pPr>
        <w:ind w:left="680" w:hanging="256"/>
        <w:spacing w:after="0"/>
        <w:tabs>
          <w:tab w:leader="none" w:pos="680"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w:t>
      </w:r>
      <w:r>
        <w:rPr>
          <w:rFonts w:ascii="Arial" w:cs="Arial" w:eastAsia="Arial" w:hAnsi="Arial"/>
          <w:sz w:val="16"/>
          <w:szCs w:val="16"/>
          <w:color w:val="auto"/>
        </w:rPr>
        <w:t>. This Agreement may be amended, modified or supplemented only by a written agreement executed by the Officer and the Company.</w:t>
      </w:r>
    </w:p>
    <w:p>
      <w:pPr>
        <w:spacing w:after="0" w:line="194" w:lineRule="exact"/>
        <w:rPr>
          <w:rFonts w:ascii="Arial" w:cs="Arial" w:eastAsia="Arial" w:hAnsi="Arial"/>
          <w:sz w:val="16"/>
          <w:szCs w:val="16"/>
          <w:color w:val="auto"/>
        </w:rPr>
      </w:pPr>
    </w:p>
    <w:p>
      <w:pPr>
        <w:ind w:left="-40" w:firstLine="464"/>
        <w:spacing w:after="0" w:line="335" w:lineRule="auto"/>
        <w:tabs>
          <w:tab w:leader="none" w:pos="655"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Plan, the Securityholders Agreement and the LLC Agreement, is the entire agreement of the parties with respect to the subject matter hereof and supersedes all other prior agreements, understandings, documents, statements, representations and warranties, oral or written, express or implied, between the parties hereto and their respective subsidiaries, representatives and agents in respect of the subject matter hereof.</w:t>
      </w:r>
    </w:p>
    <w:p>
      <w:pPr>
        <w:spacing w:after="0" w:line="88" w:lineRule="exact"/>
        <w:rPr>
          <w:rFonts w:ascii="Arial" w:cs="Arial" w:eastAsia="Arial" w:hAnsi="Arial"/>
          <w:sz w:val="15"/>
          <w:szCs w:val="15"/>
          <w:color w:val="auto"/>
        </w:rPr>
      </w:pPr>
    </w:p>
    <w:p>
      <w:pPr>
        <w:ind w:left="-40" w:right="120" w:firstLine="464"/>
        <w:spacing w:after="0" w:line="298" w:lineRule="auto"/>
        <w:tabs>
          <w:tab w:leader="none" w:pos="636"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any Subsidiary may withhold from, and set off against, any and all payments due to the Officer, those amounts required to be remitted by the Company or such Subsidiary to satisfy federal, state, and local withholding tax requirements related to the Officers’ acquisition of the Units hereunder. The Officer shall promptly remit to the Company any difference between the amount of taxes which the Company and its Subsidiaries are able to withhold and the amount of taxes which are required to be remitted to taxing authorities on the Officer’s behalf.</w:t>
      </w:r>
    </w:p>
    <w:p>
      <w:pPr>
        <w:spacing w:after="0" w:line="112" w:lineRule="exact"/>
        <w:rPr>
          <w:rFonts w:ascii="Arial" w:cs="Arial" w:eastAsia="Arial" w:hAnsi="Arial"/>
          <w:sz w:val="16"/>
          <w:szCs w:val="16"/>
          <w:color w:val="auto"/>
        </w:rPr>
      </w:pPr>
    </w:p>
    <w:p>
      <w:pPr>
        <w:jc w:val="both"/>
        <w:ind w:left="-40" w:right="20" w:firstLine="464"/>
        <w:spacing w:after="0" w:line="298" w:lineRule="auto"/>
        <w:tabs>
          <w:tab w:leader="none" w:pos="665"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Beneficiary Designation</w:t>
      </w:r>
      <w:r>
        <w:rPr>
          <w:rFonts w:ascii="Arial" w:cs="Arial" w:eastAsia="Arial" w:hAnsi="Arial"/>
          <w:sz w:val="16"/>
          <w:szCs w:val="16"/>
          <w:color w:val="auto"/>
        </w:rPr>
        <w:t>. The Officer may from time to time name any beneficiary or beneficiaries (who may be named contingently or successively) by whom any right under the Plan and this Agreement is to be exercised in case of his death. Each designation will revoke all prior designations by the Officer, shall be in a form reasonably prescribed by the Committee, and will be effective only when filed by the Officer in writing with the Committee during his lifetime. If no beneficiary is named, or if a named beneficiary does not survive the Officer, the Successor Holder may exercise the Grantee’s rights under the Plan.</w:t>
      </w:r>
    </w:p>
    <w:p>
      <w:pPr>
        <w:spacing w:after="0" w:line="112" w:lineRule="exact"/>
        <w:rPr>
          <w:rFonts w:ascii="Arial" w:cs="Arial" w:eastAsia="Arial" w:hAnsi="Arial"/>
          <w:sz w:val="16"/>
          <w:szCs w:val="16"/>
          <w:color w:val="auto"/>
        </w:rPr>
      </w:pPr>
    </w:p>
    <w:p>
      <w:pPr>
        <w:ind w:left="-40" w:right="520" w:firstLine="464"/>
        <w:spacing w:after="0" w:line="268" w:lineRule="auto"/>
        <w:tabs>
          <w:tab w:leader="none" w:pos="66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 Nothing in this Agreement shall interfere with or limit in any way the right of MagnaChip Korea to terminate the Officer’s employment at any time, or confer upon the Officer any right to continue in the employ of MagnaChip Korea.</w:t>
      </w:r>
    </w:p>
    <w:p>
      <w:pPr>
        <w:spacing w:after="0" w:line="131" w:lineRule="exact"/>
        <w:rPr>
          <w:rFonts w:ascii="Arial" w:cs="Arial" w:eastAsia="Arial" w:hAnsi="Arial"/>
          <w:sz w:val="18"/>
          <w:szCs w:val="18"/>
          <w:color w:val="auto"/>
        </w:rPr>
      </w:pPr>
    </w:p>
    <w:p>
      <w:pPr>
        <w:ind w:left="-40" w:right="20" w:firstLine="464"/>
        <w:spacing w:after="0" w:line="268" w:lineRule="auto"/>
        <w:tabs>
          <w:tab w:leader="none" w:pos="626"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left="-40" w:right="520" w:firstLine="464"/>
        <w:spacing w:after="0" w:line="268" w:lineRule="auto"/>
        <w:tabs>
          <w:tab w:leader="none" w:pos="626"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 5 (relating to Officer’s representations, warranties and covenants) and Section 8 (relating to the Company’s representations and warranties) shall survive any termination of this Agreement.</w:t>
      </w:r>
    </w:p>
    <w:p>
      <w:pPr>
        <w:spacing w:after="0" w:line="131" w:lineRule="exact"/>
        <w:rPr>
          <w:rFonts w:ascii="Arial" w:cs="Arial" w:eastAsia="Arial" w:hAnsi="Arial"/>
          <w:sz w:val="18"/>
          <w:szCs w:val="18"/>
          <w:color w:val="auto"/>
        </w:rPr>
      </w:pPr>
    </w:p>
    <w:p>
      <w:pPr>
        <w:ind w:left="-40" w:right="240" w:firstLine="464"/>
        <w:spacing w:after="0" w:line="268" w:lineRule="auto"/>
        <w:tabs>
          <w:tab w:leader="none" w:pos="66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 etc</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left="-40" w:right="580" w:firstLine="464"/>
        <w:spacing w:after="0" w:line="268" w:lineRule="auto"/>
        <w:tabs>
          <w:tab w:leader="none" w:pos="626"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80" w:right="279" w:bottom="1440" w:gutter="0" w:footer="0" w:header="0"/>
        </w:sectPr>
      </w:pPr>
    </w:p>
    <w:bookmarkStart w:id="282" w:name="page283"/>
    <w:bookmarkEnd w:id="28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Officer have executed this Agreement as of the date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OFFICER: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KRAKAUER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Total Number of restricted</w:t>
            </w:r>
          </w:p>
        </w:tc>
        <w:tc>
          <w:tcPr>
            <w:tcW w:w="1080" w:type="dxa"/>
            <w:vAlign w:val="bottom"/>
          </w:tcPr>
          <w:p>
            <w:pPr>
              <w:spacing w:after="0"/>
              <w:rPr>
                <w:sz w:val="18"/>
                <w:szCs w:val="18"/>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w w:val="98"/>
              </w:rPr>
              <w:t>Common Units to be Purchased:</w:t>
            </w:r>
          </w:p>
        </w:tc>
        <w:tc>
          <w:tcPr>
            <w:tcW w:w="1080" w:type="dxa"/>
            <w:vAlign w:val="bottom"/>
          </w:tcPr>
          <w:p>
            <w:pPr>
              <w:ind w:left="300"/>
              <w:spacing w:after="0"/>
              <w:rPr>
                <w:sz w:val="20"/>
                <w:szCs w:val="20"/>
                <w:color w:val="auto"/>
              </w:rPr>
            </w:pPr>
            <w:r>
              <w:rPr>
                <w:rFonts w:ascii="Arial" w:cs="Arial" w:eastAsia="Arial" w:hAnsi="Arial"/>
                <w:sz w:val="18"/>
                <w:szCs w:val="18"/>
                <w:color w:val="auto"/>
                <w:w w:val="84"/>
              </w:rPr>
              <w:t>4,954.0000</w:t>
            </w:r>
          </w:p>
        </w:tc>
      </w:tr>
      <w:tr>
        <w:trPr>
          <w:trHeight w:val="426"/>
        </w:trPr>
        <w:tc>
          <w:tcPr>
            <w:tcW w:w="2580" w:type="dxa"/>
            <w:vAlign w:val="bottom"/>
          </w:tcPr>
          <w:p>
            <w:pPr>
              <w:spacing w:after="0"/>
              <w:rPr>
                <w:sz w:val="20"/>
                <w:szCs w:val="20"/>
                <w:color w:val="auto"/>
              </w:rPr>
            </w:pPr>
            <w:r>
              <w:rPr>
                <w:rFonts w:ascii="Arial" w:cs="Arial" w:eastAsia="Arial" w:hAnsi="Arial"/>
                <w:sz w:val="18"/>
                <w:szCs w:val="18"/>
                <w:color w:val="auto"/>
              </w:rPr>
              <w:t>Total Purchase</w:t>
            </w:r>
          </w:p>
        </w:tc>
        <w:tc>
          <w:tcPr>
            <w:tcW w:w="1080" w:type="dxa"/>
            <w:vAlign w:val="bottom"/>
          </w:tcPr>
          <w:p>
            <w:pPr>
              <w:spacing w:after="0"/>
              <w:rPr>
                <w:sz w:val="24"/>
                <w:szCs w:val="24"/>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Price:</w:t>
            </w:r>
          </w:p>
        </w:tc>
        <w:tc>
          <w:tcPr>
            <w:tcW w:w="1080" w:type="dxa"/>
            <w:vAlign w:val="bottom"/>
          </w:tcPr>
          <w:p>
            <w:pPr>
              <w:ind w:left="300"/>
              <w:spacing w:after="0"/>
              <w:rPr>
                <w:sz w:val="20"/>
                <w:szCs w:val="20"/>
                <w:color w:val="auto"/>
              </w:rPr>
            </w:pPr>
            <w:r>
              <w:rPr>
                <w:rFonts w:ascii="Arial" w:cs="Arial" w:eastAsia="Arial" w:hAnsi="Arial"/>
                <w:sz w:val="18"/>
                <w:szCs w:val="18"/>
                <w:color w:val="auto"/>
                <w:w w:val="94"/>
              </w:rPr>
              <w:t>$4,954.00</w:t>
            </w:r>
          </w:p>
        </w:tc>
      </w:tr>
    </w:tbl>
    <w:p>
      <w:pPr>
        <w:sectPr>
          <w:pgSz w:w="11900" w:h="16838" w:orient="portrait"/>
          <w:cols w:equalWidth="0" w:num="1">
            <w:col w:w="10219"/>
          </w:cols>
          <w:pgMar w:left="240" w:top="280" w:right="1440"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10.46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 AGREEMENT, dated as of November 30, 2004 between MagnaChip Semiconductor LLC, a Delaware limited liability company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Victoria Miller Nam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Grantee</w:t>
      </w:r>
      <w:r>
        <w:rPr>
          <w:rFonts w:ascii="Arial" w:cs="Arial" w:eastAsia="Arial" w:hAnsi="Arial"/>
          <w:sz w:val="16"/>
          <w:szCs w:val="16"/>
          <w:b w:val="1"/>
          <w:bCs w:val="1"/>
          <w:color w:val="auto"/>
        </w:rPr>
        <w:t>”</w:t>
      </w:r>
      <w:r>
        <w:rPr>
          <w:rFonts w:ascii="Arial" w:cs="Arial" w:eastAsia="Arial" w:hAnsi="Arial"/>
          <w:sz w:val="16"/>
          <w:szCs w:val="16"/>
          <w:color w:val="auto"/>
        </w:rPr>
        <w:t>), pursuant to the MagnaChip Semiconductor LLC Equity Incentive Plan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Capitalized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are not defined herein shall have the meanings given to such terms in the Plan.</w:t>
      </w:r>
    </w:p>
    <w:p>
      <w:pPr>
        <w:spacing w:after="0" w:line="15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restricted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Restricted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and consultants of its wholly-owned subsidiary, MagnaChip Semiconductor, Ltd. (the “</w:t>
      </w:r>
      <w:r>
        <w:rPr>
          <w:rFonts w:ascii="Arial" w:cs="Arial" w:eastAsia="Arial" w:hAnsi="Arial"/>
          <w:sz w:val="18"/>
          <w:szCs w:val="18"/>
          <w:b w:val="1"/>
          <w:bCs w:val="1"/>
          <w:u w:val="single" w:color="auto"/>
          <w:color w:val="auto"/>
        </w:rPr>
        <w:t>MagnaChip Korea</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in order to effect such grants; and</w:t>
      </w:r>
    </w:p>
    <w:p>
      <w:pPr>
        <w:spacing w:after="0" w:line="165"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color w:val="auto"/>
        </w:rPr>
        <w:t>WHEREAS, the Grantee has entered into that certain Service Agreement, dated as of October 1, 2004 (the “</w:t>
      </w:r>
      <w:r>
        <w:rPr>
          <w:rFonts w:ascii="Arial" w:cs="Arial" w:eastAsia="Arial" w:hAnsi="Arial"/>
          <w:sz w:val="16"/>
          <w:szCs w:val="16"/>
          <w:b w:val="1"/>
          <w:bCs w:val="1"/>
          <w:u w:val="single" w:color="auto"/>
          <w:color w:val="auto"/>
        </w:rPr>
        <w:t>Service Agreement</w:t>
      </w:r>
      <w:r>
        <w:rPr>
          <w:rFonts w:ascii="Arial" w:cs="Arial" w:eastAsia="Arial" w:hAnsi="Arial"/>
          <w:sz w:val="16"/>
          <w:szCs w:val="16"/>
          <w:color w:val="auto"/>
        </w:rPr>
        <w:t>”), between the Grantee and the MagnaChip Korea, and the Committee has determined that it is in the interest of the Company to grant these options to the Grantee.</w:t>
      </w:r>
    </w:p>
    <w:p>
      <w:pPr>
        <w:spacing w:after="0" w:line="8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51" w:lineRule="exact"/>
        <w:rPr>
          <w:sz w:val="20"/>
          <w:szCs w:val="20"/>
          <w:color w:val="auto"/>
        </w:rPr>
      </w:pPr>
    </w:p>
    <w:p>
      <w:pPr>
        <w:ind w:left="640" w:hanging="176"/>
        <w:spacing w:after="0"/>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jc w:val="both"/>
        <w:ind w:right="220" w:firstLine="464"/>
        <w:spacing w:after="0" w:line="262" w:lineRule="auto"/>
        <w:tabs>
          <w:tab w:leader="none" w:pos="69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 xml:space="preserve">. The Company hereby evidences and confirms the grant to the Grantee, effective as of the date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w:t>
      </w:r>
      <w:r>
        <w:rPr>
          <w:rFonts w:ascii="Arial" w:cs="Arial" w:eastAsia="Arial" w:hAnsi="Arial"/>
          <w:sz w:val="18"/>
          <w:szCs w:val="18"/>
          <w:color w:val="auto"/>
        </w:rPr>
        <w:t xml:space="preserve">), of options to purchase from the Company the number of Restricted Units specified on the signature page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r>
        <w:rPr>
          <w:rFonts w:ascii="Arial" w:cs="Arial" w:eastAsia="Arial" w:hAnsi="Arial"/>
          <w:sz w:val="18"/>
          <w:szCs w:val="18"/>
          <w:color w:val="auto"/>
        </w:rPr>
        <w:t>) at the exercise price of $1.00 per Restricted Unit (the “</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right="20" w:firstLine="464"/>
        <w:spacing w:after="0" w:line="259"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w:t>
      </w:r>
    </w:p>
    <w:p>
      <w:pPr>
        <w:spacing w:after="0" w:line="140"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132" w:lineRule="exact"/>
        <w:rPr>
          <w:sz w:val="20"/>
          <w:szCs w:val="20"/>
          <w:color w:val="auto"/>
        </w:rPr>
      </w:pPr>
    </w:p>
    <w:p>
      <w:pPr>
        <w:ind w:left="640" w:hanging="176"/>
        <w:spacing w:after="0"/>
        <w:tabs>
          <w:tab w:leader="none" w:pos="6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Exercisability</w:t>
      </w:r>
      <w:r>
        <w:rPr>
          <w:rFonts w:ascii="Arial" w:cs="Arial" w:eastAsia="Arial" w:hAnsi="Arial"/>
          <w:sz w:val="18"/>
          <w:szCs w:val="18"/>
          <w:color w:val="auto"/>
        </w:rPr>
        <w:t>. The Options shall be fully-vested and immediately exerciseable on the Grant Date.</w:t>
      </w:r>
    </w:p>
    <w:p>
      <w:pPr>
        <w:sectPr>
          <w:pgSz w:w="11900" w:h="16838" w:orient="portrait"/>
          <w:cols w:equalWidth="0" w:num="1">
            <w:col w:w="11420"/>
          </w:cols>
          <w:pgMar w:left="240" w:top="125" w:right="239" w:bottom="1440" w:gutter="0" w:footer="0" w:header="0"/>
        </w:sectPr>
      </w:pPr>
    </w:p>
    <w:bookmarkStart w:id="284" w:name="page285"/>
    <w:bookmarkEnd w:id="284"/>
    <w:p>
      <w:pPr>
        <w:ind w:right="160" w:firstLine="464"/>
        <w:spacing w:after="0" w:line="268" w:lineRule="auto"/>
        <w:tabs>
          <w:tab w:leader="none" w:pos="705"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Normal Expiration Date</w:t>
      </w:r>
      <w:r>
        <w:rPr>
          <w:rFonts w:ascii="Arial" w:cs="Arial" w:eastAsia="Arial" w:hAnsi="Arial"/>
          <w:sz w:val="18"/>
          <w:szCs w:val="18"/>
          <w:color w:val="auto"/>
        </w:rPr>
        <w:t xml:space="preserve">. Unless the Options earlier terminate in accordance with Section 4, the Options shall terminate on the first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2" w:lineRule="exact"/>
        <w:rPr>
          <w:sz w:val="20"/>
          <w:szCs w:val="20"/>
          <w:color w:val="auto"/>
        </w:rPr>
      </w:pPr>
    </w:p>
    <w:p>
      <w:pPr>
        <w:ind w:left="640" w:hanging="176"/>
        <w:spacing w:after="0"/>
        <w:tabs>
          <w:tab w:leader="none" w:pos="64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All or part of the exercisable Options may be exercised by the Grantee upon (</w:t>
      </w:r>
      <w:r>
        <w:rPr>
          <w:rFonts w:ascii="Arial" w:cs="Arial" w:eastAsia="Arial" w:hAnsi="Arial"/>
          <w:sz w:val="18"/>
          <w:szCs w:val="18"/>
          <w:u w:val="single" w:color="auto"/>
          <w:color w:val="auto"/>
        </w:rPr>
        <w:t>a</w:t>
      </w:r>
      <w:r>
        <w:rPr>
          <w:rFonts w:ascii="Arial" w:cs="Arial" w:eastAsia="Arial" w:hAnsi="Arial"/>
          <w:sz w:val="18"/>
          <w:szCs w:val="18"/>
          <w:color w:val="auto"/>
        </w:rPr>
        <w:t>) the Grantee’s written notice to the Company of exercise, (</w:t>
      </w:r>
      <w:r>
        <w:rPr>
          <w:rFonts w:ascii="Arial" w:cs="Arial" w:eastAsia="Arial" w:hAnsi="Arial"/>
          <w:sz w:val="18"/>
          <w:szCs w:val="18"/>
          <w:u w:val="single" w:color="auto"/>
          <w:color w:val="auto"/>
        </w:rPr>
        <w:t>b</w:t>
      </w:r>
      <w:r>
        <w:rPr>
          <w:rFonts w:ascii="Arial" w:cs="Arial" w:eastAsia="Arial" w:hAnsi="Arial"/>
          <w:sz w:val="18"/>
          <w:szCs w:val="18"/>
          <w:color w:val="auto"/>
        </w:rPr>
        <w:t>) the Grantee’s payment of the Option Price in full at the time of exercise (</w:t>
      </w:r>
      <w:r>
        <w:rPr>
          <w:rFonts w:ascii="Arial" w:cs="Arial" w:eastAsia="Arial" w:hAnsi="Arial"/>
          <w:sz w:val="18"/>
          <w:szCs w:val="18"/>
          <w:u w:val="single" w:color="auto"/>
          <w:color w:val="auto"/>
        </w:rPr>
        <w:t>i</w:t>
      </w:r>
      <w:r>
        <w:rPr>
          <w:rFonts w:ascii="Arial" w:cs="Arial" w:eastAsia="Arial" w:hAnsi="Arial"/>
          <w:sz w:val="18"/>
          <w:szCs w:val="18"/>
          <w:color w:val="auto"/>
        </w:rPr>
        <w:t>) in cash or cash equivalents or (</w:t>
      </w:r>
      <w:r>
        <w:rPr>
          <w:rFonts w:ascii="Arial" w:cs="Arial" w:eastAsia="Arial" w:hAnsi="Arial"/>
          <w:sz w:val="18"/>
          <w:szCs w:val="18"/>
          <w:u w:val="single" w:color="auto"/>
          <w:color w:val="auto"/>
        </w:rPr>
        <w:t>ii</w:t>
      </w:r>
      <w:r>
        <w:rPr>
          <w:rFonts w:ascii="Arial" w:cs="Arial" w:eastAsia="Arial" w:hAnsi="Arial"/>
          <w:sz w:val="18"/>
          <w:szCs w:val="18"/>
          <w:color w:val="auto"/>
        </w:rPr>
        <w:t>) in accordance with such procedures or in such other form as the Committee shall from time to time determine,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the Grantee’s execution of a subscription agreement which shall be in substantially the form of the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 Subscription Agreement</w:t>
      </w:r>
      <w:r>
        <w:rPr>
          <w:rFonts w:ascii="Arial" w:cs="Arial" w:eastAsia="Arial" w:hAnsi="Arial"/>
          <w:sz w:val="18"/>
          <w:szCs w:val="18"/>
          <w:color w:val="auto"/>
        </w:rPr>
        <w:t xml:space="preserve"> attached hereto as Exhibit A, and (</w:t>
      </w:r>
      <w:r>
        <w:rPr>
          <w:rFonts w:ascii="Arial" w:cs="Arial" w:eastAsia="Arial" w:hAnsi="Arial"/>
          <w:sz w:val="18"/>
          <w:szCs w:val="18"/>
          <w:u w:val="single" w:color="auto"/>
          <w:color w:val="auto"/>
        </w:rPr>
        <w:t>d</w:t>
      </w:r>
      <w:r>
        <w:rPr>
          <w:rFonts w:ascii="Arial" w:cs="Arial" w:eastAsia="Arial" w:hAnsi="Arial"/>
          <w:sz w:val="18"/>
          <w:szCs w:val="18"/>
          <w:color w:val="auto"/>
        </w:rPr>
        <w:t>) the Grantee’s execution of a joinder to the Securityholders’ Agreement and LLC Agreement (if the Grantee is not then a party to such agreements) in order to become a party to such agreements with respect to the Restricted Units issuable upon the exercise of such Options.</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Restricted Unit Subscription Agreement shall contain provisions providing that, upon any termination of the Grantee’s employment with MagnaChip Korea, the Restricted Units shall be subject to forfeiture and/or repurchase by the Company.</w:t>
      </w:r>
    </w:p>
    <w:p>
      <w:pPr>
        <w:spacing w:after="0" w:line="132" w:lineRule="exact"/>
        <w:rPr>
          <w:sz w:val="20"/>
          <w:szCs w:val="20"/>
          <w:color w:val="auto"/>
        </w:rPr>
      </w:pPr>
    </w:p>
    <w:p>
      <w:pPr>
        <w:ind w:left="640" w:hanging="176"/>
        <w:spacing w:after="0"/>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sz w:val="20"/>
          <w:szCs w:val="20"/>
          <w:color w:val="auto"/>
        </w:rPr>
      </w:pPr>
    </w:p>
    <w:p>
      <w:pPr>
        <w:ind w:left="640" w:hanging="176"/>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Whenever Restricted Units are to be issued pursuant to the exercise of an Option or any cash payment is to be made hereunder, The Company shall have the power to withhold, or require the Grantee to remit to the Company, an amount sufficient to satisfy federal, state, and local withholding tax requirements relating to such transaction, and the Company may defer payment of cash or issuance of Restricted Units until such requirements are satisfied.</w:t>
      </w:r>
    </w:p>
    <w:p>
      <w:pPr>
        <w:spacing w:after="0" w:line="107" w:lineRule="exact"/>
        <w:rPr>
          <w:sz w:val="20"/>
          <w:szCs w:val="20"/>
          <w:color w:val="auto"/>
        </w:rPr>
      </w:pPr>
    </w:p>
    <w:p>
      <w:pPr>
        <w:ind w:left="640" w:hanging="176"/>
        <w:spacing w:after="0"/>
        <w:tabs>
          <w:tab w:leader="none" w:pos="6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Unless the Committee shall permit (on such terms and conditions as it shall establish) Options to be transferred, no Options may be sold, transferred, pledged, assigned or otherwise alienated or hypothecated, other than by will or by the laws of descent and distribution.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85" w:name="page286"/>
    <w:bookmarkEnd w:id="285"/>
    <w:p>
      <w:pPr>
        <w:ind w:left="640" w:hanging="176"/>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13" w:lineRule="exact"/>
        <w:rPr>
          <w:sz w:val="20"/>
          <w:szCs w:val="20"/>
          <w:color w:val="auto"/>
        </w:rPr>
      </w:pPr>
    </w:p>
    <w:p>
      <w:pPr>
        <w:ind w:left="640" w:hanging="176"/>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issuance of Restricted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Restricted Units shall be issued upon exercise of any Options granted hereunder, if such exercise would result in a violation of applicable law.</w:t>
      </w:r>
    </w:p>
    <w:p>
      <w:pPr>
        <w:spacing w:after="0" w:line="143" w:lineRule="exact"/>
        <w:rPr>
          <w:sz w:val="20"/>
          <w:szCs w:val="20"/>
          <w:color w:val="auto"/>
        </w:rPr>
      </w:pPr>
    </w:p>
    <w:p>
      <w:pPr>
        <w:ind w:left="640" w:hanging="176"/>
        <w:spacing w:after="0"/>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 Korea.</w:t>
      </w:r>
    </w:p>
    <w:p>
      <w:pPr>
        <w:spacing w:after="0" w:line="132" w:lineRule="exact"/>
        <w:rPr>
          <w:sz w:val="20"/>
          <w:szCs w:val="20"/>
          <w:color w:val="auto"/>
        </w:rPr>
      </w:pPr>
    </w:p>
    <w:p>
      <w:pPr>
        <w:ind w:left="720" w:hanging="256"/>
        <w:spacing w:after="0"/>
        <w:tabs>
          <w:tab w:leader="none" w:pos="72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otherwise required by law, the Grantee shall not have any rights as a securityholder with respect to any Restricted Units covered by the Options granted hereby until such time as the Restricted Units issuable upon exercise of such Options have been so issued. Notwithstanding anything else contained herein to the contrary, the exercise of any portion of the Options hereby is expressly conditioned on the Grantee executing a subscription agreement which shall be in substantially the form of the Restricted Unit Subscription Agreement attached hereto as Exhibit A.</w:t>
      </w:r>
    </w:p>
    <w:p>
      <w:pPr>
        <w:spacing w:after="0" w:line="113" w:lineRule="exact"/>
        <w:rPr>
          <w:sz w:val="20"/>
          <w:szCs w:val="20"/>
          <w:color w:val="auto"/>
        </w:rPr>
      </w:pPr>
    </w:p>
    <w:p>
      <w:pPr>
        <w:ind w:left="720" w:hanging="256"/>
        <w:spacing w:after="0"/>
        <w:tabs>
          <w:tab w:leader="none" w:pos="72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86" w:name="page287"/>
    <w:bookmarkEnd w:id="286"/>
    <w:p>
      <w:pPr>
        <w:ind w:left="720" w:hanging="256"/>
        <w:spacing w:after="0"/>
        <w:tabs>
          <w:tab w:leader="none" w:pos="72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120" w:lineRule="exact"/>
        <w:rPr>
          <w:sz w:val="20"/>
          <w:szCs w:val="20"/>
          <w:color w:val="auto"/>
        </w:rPr>
      </w:pPr>
    </w:p>
    <w:p>
      <w:pPr>
        <w:ind w:left="720" w:hanging="256"/>
        <w:spacing w:after="0"/>
        <w:tabs>
          <w:tab w:leader="none" w:pos="72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Daechi-dong, Kangnam-gu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900" w:hanging="446"/>
        <w:spacing w:after="0"/>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to the Grantee, to the Grantee at the address as reflected in the Company’s books and records.</w:t>
      </w:r>
    </w:p>
    <w:p>
      <w:pPr>
        <w:spacing w:after="0" w:line="9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right="80" w:firstLine="464"/>
        <w:spacing w:after="0" w:line="335" w:lineRule="auto"/>
        <w:tabs>
          <w:tab w:leader="none" w:pos="705" w:val="left"/>
        </w:tabs>
        <w:numPr>
          <w:ilvl w:val="0"/>
          <w:numId w:val="245"/>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right="260" w:firstLine="464"/>
        <w:spacing w:after="0" w:line="268" w:lineRule="auto"/>
        <w:tabs>
          <w:tab w:leader="none" w:pos="695"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 hereto may by written notice to the other (</w:t>
      </w:r>
      <w:r>
        <w:rPr>
          <w:rFonts w:ascii="Arial" w:cs="Arial" w:eastAsia="Arial" w:hAnsi="Arial"/>
          <w:sz w:val="18"/>
          <w:szCs w:val="18"/>
          <w:u w:val="single" w:color="auto"/>
          <w:color w:val="auto"/>
        </w:rPr>
        <w:t>i</w:t>
      </w:r>
      <w:r>
        <w:rPr>
          <w:rFonts w:ascii="Arial" w:cs="Arial" w:eastAsia="Arial" w:hAnsi="Arial"/>
          <w:sz w:val="18"/>
          <w:szCs w:val="18"/>
          <w:color w:val="auto"/>
        </w:rPr>
        <w:t>) extend the time for the performance of any of the obligations or other actions of the other under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87" w:name="page288"/>
    <w:bookmarkEnd w:id="287"/>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t>
      </w:r>
      <w:r>
        <w:rPr>
          <w:rFonts w:ascii="Arial" w:cs="Arial" w:eastAsia="Arial" w:hAnsi="Arial"/>
          <w:sz w:val="18"/>
          <w:szCs w:val="18"/>
          <w:u w:val="single" w:color="auto"/>
          <w:color w:val="auto"/>
        </w:rPr>
        <w:t>ii</w:t>
      </w:r>
      <w:r>
        <w:rPr>
          <w:rFonts w:ascii="Arial" w:cs="Arial" w:eastAsia="Arial" w:hAnsi="Arial"/>
          <w:sz w:val="18"/>
          <w:szCs w:val="18"/>
          <w:color w:val="auto"/>
        </w:rPr>
        <w:t>) waive compliance with any of the conditions or covenants of the other contained in this Agreement and (</w:t>
      </w:r>
      <w:r>
        <w:rPr>
          <w:rFonts w:ascii="Arial" w:cs="Arial" w:eastAsia="Arial" w:hAnsi="Arial"/>
          <w:sz w:val="18"/>
          <w:szCs w:val="18"/>
          <w:u w:val="single" w:color="auto"/>
          <w:color w:val="auto"/>
        </w:rPr>
        <w:t>iii</w:t>
      </w:r>
      <w:r>
        <w:rPr>
          <w:rFonts w:ascii="Arial" w:cs="Arial" w:eastAsia="Arial" w:hAnsi="Arial"/>
          <w:sz w:val="18"/>
          <w:szCs w:val="18"/>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47" w:lineRule="exact"/>
        <w:rPr>
          <w:sz w:val="20"/>
          <w:szCs w:val="20"/>
          <w:color w:val="auto"/>
        </w:rPr>
      </w:pPr>
    </w:p>
    <w:p>
      <w:pPr>
        <w:ind w:firstLine="464"/>
        <w:spacing w:after="0" w:line="259" w:lineRule="auto"/>
        <w:tabs>
          <w:tab w:leader="none" w:pos="705"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40"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right="600" w:firstLine="464"/>
        <w:spacing w:after="0" w:line="268" w:lineRule="auto"/>
        <w:tabs>
          <w:tab w:leader="none" w:pos="676"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right="580" w:firstLine="464"/>
        <w:spacing w:after="0" w:line="268" w:lineRule="auto"/>
        <w:tabs>
          <w:tab w:leader="none" w:pos="705"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Grantee have duly executed this Agreement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Victoria Miller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Victoria Miller Nam</w:t>
      </w:r>
    </w:p>
    <w:p>
      <w:pPr>
        <w:spacing w:after="0" w:line="2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Number of Restricted Units: 136,450</w:t>
      </w:r>
    </w:p>
    <w:p>
      <w:pPr>
        <w:sectPr>
          <w:pgSz w:w="11900" w:h="16838" w:orient="portrait"/>
          <w:cols w:equalWidth="0" w:num="1">
            <w:col w:w="9759"/>
          </w:cols>
          <w:pgMar w:left="700" w:top="280"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10.47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UNIT SUBSCRIPTION AGREEMENT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RESTRICTED UNIT SUBSCRIPTION AGREEMENT, dated as of November 30, 2004, between MagnaChip Semiconductor LLC, a Delaware limited liability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officer whose name appears on the signature page hereof (the “</w:t>
      </w:r>
      <w:r>
        <w:rPr>
          <w:rFonts w:ascii="Arial" w:cs="Arial" w:eastAsia="Arial" w:hAnsi="Arial"/>
          <w:sz w:val="18"/>
          <w:szCs w:val="18"/>
          <w:b w:val="1"/>
          <w:bCs w:val="1"/>
          <w:u w:val="single" w:color="auto"/>
          <w:color w:val="auto"/>
        </w:rPr>
        <w:t>Officer</w:t>
      </w:r>
      <w:r>
        <w:rPr>
          <w:rFonts w:ascii="Arial" w:cs="Arial" w:eastAsia="Arial" w:hAnsi="Arial"/>
          <w:sz w:val="18"/>
          <w:szCs w:val="18"/>
          <w:color w:val="auto"/>
        </w:rPr>
        <w:t>”), pursuant to the MagnaChip Semiconductor LLC Equity Incentive Plan, as in effect and as amended from time to time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Capitalized terms that are not defined herein shall have the same meanings given to such terms in the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65"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WHEREAS, the Officer has entered into that certain Service Agreement, dated as of October 1, 2004 (the “</w:t>
      </w:r>
      <w:r>
        <w:rPr>
          <w:rFonts w:ascii="Arial" w:cs="Arial" w:eastAsia="Arial" w:hAnsi="Arial"/>
          <w:sz w:val="18"/>
          <w:szCs w:val="18"/>
          <w:b w:val="1"/>
          <w:bCs w:val="1"/>
          <w:u w:val="single" w:color="auto"/>
          <w:color w:val="auto"/>
        </w:rPr>
        <w:t>Service Agreement</w:t>
      </w:r>
      <w:r>
        <w:rPr>
          <w:rFonts w:ascii="Arial" w:cs="Arial" w:eastAsia="Arial" w:hAnsi="Arial"/>
          <w:sz w:val="18"/>
          <w:szCs w:val="18"/>
          <w:color w:val="auto"/>
        </w:rPr>
        <w:t>”), between the Officer and MagnaChip Semiconductor, Ltd. (“</w:t>
      </w:r>
      <w:r>
        <w:rPr>
          <w:rFonts w:ascii="Arial" w:cs="Arial" w:eastAsia="Arial" w:hAnsi="Arial"/>
          <w:sz w:val="18"/>
          <w:szCs w:val="18"/>
          <w:b w:val="1"/>
          <w:bCs w:val="1"/>
          <w:u w:val="single" w:color="auto"/>
          <w:color w:val="auto"/>
        </w:rPr>
        <w:t>MagnaChip Korea</w:t>
      </w:r>
      <w:r>
        <w:rPr>
          <w:rFonts w:ascii="Arial" w:cs="Arial" w:eastAsia="Arial" w:hAnsi="Arial"/>
          <w:sz w:val="18"/>
          <w:szCs w:val="18"/>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has granted options to employees and consultants of MagnaChip Korea under the Plan;</w:t>
      </w:r>
    </w:p>
    <w:p>
      <w:pPr>
        <w:spacing w:after="0" w:line="20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WHEREAS, the Officer desires to exercise the options granted to her pursuant to that certain Option Agreement, dated the date hereof, between the Officer and the Company (the “</w:t>
      </w:r>
      <w:r>
        <w:rPr>
          <w:rFonts w:ascii="Arial" w:cs="Arial" w:eastAsia="Arial" w:hAnsi="Arial"/>
          <w:sz w:val="18"/>
          <w:szCs w:val="18"/>
          <w:b w:val="1"/>
          <w:bCs w:val="1"/>
          <w:u w:val="single" w:color="auto"/>
          <w:color w:val="auto"/>
        </w:rPr>
        <w:t>Option Agreement</w:t>
      </w:r>
      <w:r>
        <w:rPr>
          <w:rFonts w:ascii="Arial" w:cs="Arial" w:eastAsia="Arial" w:hAnsi="Arial"/>
          <w:sz w:val="18"/>
          <w:szCs w:val="18"/>
          <w:color w:val="auto"/>
        </w:rPr>
        <w:t>”) and subscribe for the aggregate number of the Company’s Common Units (the “</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set forth on the signature page hereof (each a “</w:t>
      </w:r>
      <w:r>
        <w:rPr>
          <w:rFonts w:ascii="Arial" w:cs="Arial" w:eastAsia="Arial" w:hAnsi="Arial"/>
          <w:sz w:val="18"/>
          <w:szCs w:val="18"/>
          <w:b w:val="1"/>
          <w:bCs w:val="1"/>
          <w:u w:val="single" w:color="auto"/>
          <w:color w:val="auto"/>
        </w:rPr>
        <w:t>Unit</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desires to issue the Units to the Officer on the terms and subject to the conditions set forth herein.</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NOW, THEREFORE, to implement the foregoing and in consideration of the mutual agreements contained herein, the parties hereto hereby agree as follows:</w:t>
      </w:r>
    </w:p>
    <w:p>
      <w:pPr>
        <w:spacing w:after="0" w:line="51" w:lineRule="exact"/>
        <w:rPr>
          <w:sz w:val="20"/>
          <w:szCs w:val="20"/>
          <w:color w:val="auto"/>
        </w:rPr>
      </w:pPr>
    </w:p>
    <w:p>
      <w:pPr>
        <w:ind w:left="640" w:hanging="176"/>
        <w:spacing w:after="0"/>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Purchase and Sale of Units</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89" w:lineRule="auto"/>
        <w:tabs>
          <w:tab w:leader="none" w:pos="695"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Purchase of Units</w:t>
      </w:r>
      <w:r>
        <w:rPr>
          <w:rFonts w:ascii="Arial" w:cs="Arial" w:eastAsia="Arial" w:hAnsi="Arial"/>
          <w:sz w:val="16"/>
          <w:szCs w:val="16"/>
          <w:color w:val="auto"/>
        </w:rPr>
        <w:t>. Subject to all of the terms and conditions of this Agreement, the Officer hereby subscribes for and shall purchase, and the Company shall issue to the Officer, the Units, at the Closing provided for in Section 2(a) hereof, such Units being issued pursuant to and in accordance with the Plan and the Option Agreement. The Plan and the Option Agreement are incorporated herein by reference and made a part of this Agreement, and the Officer hereby acknowledges receipt of a copy of the Plan and agrees to be bound by all of the terms and conditions herein and therein. To the extent any provision herein is inconsistent with the Plan, the terms of the Plan shall apply. Notwithstanding anything in this Agreement to the contrary, the Company shall have no obligation to issue any Common Units to (</w:t>
      </w:r>
      <w:r>
        <w:rPr>
          <w:rFonts w:ascii="Arial" w:cs="Arial" w:eastAsia="Arial" w:hAnsi="Arial"/>
          <w:sz w:val="16"/>
          <w:szCs w:val="16"/>
          <w:u w:val="single" w:color="auto"/>
          <w:color w:val="auto"/>
        </w:rPr>
        <w:t>i</w:t>
      </w:r>
      <w:r>
        <w:rPr>
          <w:rFonts w:ascii="Arial" w:cs="Arial" w:eastAsia="Arial" w:hAnsi="Arial"/>
          <w:sz w:val="16"/>
          <w:szCs w:val="16"/>
          <w:color w:val="auto"/>
        </w:rPr>
        <w:t>) any person who is not employed by the Company or any of its Subsidiaries at the time that such Common Units are to be issued or (</w:t>
      </w:r>
      <w:r>
        <w:rPr>
          <w:rFonts w:ascii="Arial" w:cs="Arial" w:eastAsia="Arial" w:hAnsi="Arial"/>
          <w:sz w:val="16"/>
          <w:szCs w:val="16"/>
          <w:u w:val="single" w:color="auto"/>
          <w:color w:val="auto"/>
        </w:rPr>
        <w:t>ii</w:t>
      </w:r>
      <w:r>
        <w:rPr>
          <w:rFonts w:ascii="Arial" w:cs="Arial" w:eastAsia="Arial" w:hAnsi="Arial"/>
          <w:sz w:val="16"/>
          <w:szCs w:val="16"/>
          <w:color w:val="auto"/>
        </w:rPr>
        <w:t>) any person who is a resident of a jurisdiction in which the sale of Common Units to such person would constitute a violation of the securities, “blue sky” or other laws of such jurisdiction.</w:t>
      </w:r>
    </w:p>
    <w:p>
      <w:pPr>
        <w:sectPr>
          <w:pgSz w:w="11900" w:h="16838" w:orient="portrait"/>
          <w:cols w:equalWidth="0" w:num="1">
            <w:col w:w="11420"/>
          </w:cols>
          <w:pgMar w:left="240" w:top="125" w:right="239" w:bottom="1440" w:gutter="0" w:footer="0" w:header="0"/>
        </w:sectPr>
      </w:pPr>
    </w:p>
    <w:bookmarkStart w:id="290" w:name="page291"/>
    <w:bookmarkEnd w:id="290"/>
    <w:p>
      <w:pPr>
        <w:ind w:left="620" w:hanging="176"/>
        <w:spacing w:after="0"/>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w:t>
      </w:r>
      <w:r>
        <w:rPr>
          <w:rFonts w:ascii="Arial" w:cs="Arial" w:eastAsia="Arial" w:hAnsi="Arial"/>
          <w:sz w:val="18"/>
          <w:szCs w:val="18"/>
          <w:color w:val="auto"/>
        </w:rPr>
        <w:t>.</w:t>
      </w:r>
    </w:p>
    <w:p>
      <w:pPr>
        <w:spacing w:after="0" w:line="84" w:lineRule="exact"/>
        <w:rPr>
          <w:sz w:val="20"/>
          <w:szCs w:val="20"/>
          <w:color w:val="auto"/>
        </w:rPr>
      </w:pPr>
    </w:p>
    <w:p>
      <w:pPr>
        <w:ind w:left="-20" w:right="560" w:firstLine="464"/>
        <w:spacing w:after="0" w:line="275" w:lineRule="auto"/>
        <w:tabs>
          <w:tab w:leader="none" w:pos="675"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Time and Place</w:t>
      </w:r>
      <w:r>
        <w:rPr>
          <w:rFonts w:ascii="Arial" w:cs="Arial" w:eastAsia="Arial" w:hAnsi="Arial"/>
          <w:sz w:val="18"/>
          <w:szCs w:val="18"/>
          <w:color w:val="auto"/>
        </w:rPr>
        <w:t>. Except as otherwise agreed by the Company and the Officer, the closing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of the transaction contemplated by this Agreement shall take place on the date hereof, upon delivery of the items described in Sections 2(b) and (c).</w:t>
      </w:r>
    </w:p>
    <w:p>
      <w:pPr>
        <w:spacing w:after="0" w:line="125" w:lineRule="exact"/>
        <w:rPr>
          <w:rFonts w:ascii="Arial" w:cs="Arial" w:eastAsia="Arial" w:hAnsi="Arial"/>
          <w:sz w:val="18"/>
          <w:szCs w:val="18"/>
          <w:color w:val="auto"/>
        </w:rPr>
      </w:pPr>
    </w:p>
    <w:p>
      <w:pPr>
        <w:ind w:left="-20" w:right="420" w:firstLine="464"/>
        <w:spacing w:after="0" w:line="268" w:lineRule="auto"/>
        <w:tabs>
          <w:tab w:leader="none" w:pos="685"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Delivery by the Company</w:t>
      </w:r>
      <w:r>
        <w:rPr>
          <w:rFonts w:ascii="Arial" w:cs="Arial" w:eastAsia="Arial" w:hAnsi="Arial"/>
          <w:sz w:val="18"/>
          <w:szCs w:val="18"/>
          <w:color w:val="auto"/>
        </w:rPr>
        <w:t>. At the Closing, the Company shall deliver to the Officer a copy of the LLC Agreement, which agreement shall serve as evidence of the Officer’s ownership of the Units.</w:t>
      </w:r>
    </w:p>
    <w:p>
      <w:pPr>
        <w:spacing w:after="0" w:line="131" w:lineRule="exact"/>
        <w:rPr>
          <w:rFonts w:ascii="Arial" w:cs="Arial" w:eastAsia="Arial" w:hAnsi="Arial"/>
          <w:sz w:val="18"/>
          <w:szCs w:val="18"/>
          <w:color w:val="auto"/>
        </w:rPr>
      </w:pPr>
    </w:p>
    <w:p>
      <w:pPr>
        <w:ind w:left="-20" w:right="260" w:firstLine="464"/>
        <w:spacing w:after="0" w:line="294" w:lineRule="auto"/>
        <w:tabs>
          <w:tab w:leader="none" w:pos="675"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Delivery by the Officer</w:t>
      </w:r>
      <w:r>
        <w:rPr>
          <w:rFonts w:ascii="Arial" w:cs="Arial" w:eastAsia="Arial" w:hAnsi="Arial"/>
          <w:sz w:val="16"/>
          <w:szCs w:val="16"/>
          <w:color w:val="auto"/>
        </w:rPr>
        <w:t>. At the Closing, the Officer shall deliver the option exercise price set forth in the Option Agreement and shall execute and deliver to the Company a joinder to the LLC Agreement and the Amended and Restated Securityholders’ Agreement, dated as of October 6, 2004, among the Company, CVC Capital Partners Asia Pacific LP, Asia Investors LLC, CVC Capital Partners Asia II Limited, Citigroup Venture Capital Equity Partners, L.P., CVC Executive Fund LLC, CVC/SSB Employee Fund, L.P., Francisco Partners, L.P., Francisco Partners Fund A, L.P., Peninsula Investment PTE. Ltd., Hynix Semiconductor Inc. and certain other persons named therein (the “</w:t>
      </w:r>
      <w:r>
        <w:rPr>
          <w:rFonts w:ascii="Arial" w:cs="Arial" w:eastAsia="Arial" w:hAnsi="Arial"/>
          <w:sz w:val="16"/>
          <w:szCs w:val="16"/>
          <w:b w:val="1"/>
          <w:bCs w:val="1"/>
          <w:u w:val="single" w:color="auto"/>
          <w:color w:val="auto"/>
        </w:rPr>
        <w:t>Securityholders’ Agreement</w:t>
      </w:r>
      <w:r>
        <w:rPr>
          <w:rFonts w:ascii="Arial" w:cs="Arial" w:eastAsia="Arial" w:hAnsi="Arial"/>
          <w:sz w:val="16"/>
          <w:szCs w:val="16"/>
          <w:color w:val="auto"/>
        </w:rPr>
        <w:t xml:space="preserve"> ”).</w:t>
      </w:r>
    </w:p>
    <w:p>
      <w:pPr>
        <w:spacing w:after="0" w:line="116" w:lineRule="exact"/>
        <w:rPr>
          <w:sz w:val="20"/>
          <w:szCs w:val="20"/>
          <w:color w:val="auto"/>
        </w:rPr>
      </w:pPr>
    </w:p>
    <w:p>
      <w:pPr>
        <w:ind w:left="620" w:hanging="176"/>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w:t>
      </w:r>
    </w:p>
    <w:p>
      <w:pPr>
        <w:spacing w:after="0" w:line="90" w:lineRule="exact"/>
        <w:rPr>
          <w:sz w:val="20"/>
          <w:szCs w:val="20"/>
          <w:color w:val="auto"/>
        </w:rPr>
      </w:pPr>
    </w:p>
    <w:p>
      <w:pPr>
        <w:ind w:left="-20" w:firstLine="464"/>
        <w:spacing w:after="0" w:line="290" w:lineRule="auto"/>
        <w:tabs>
          <w:tab w:leader="none" w:pos="675"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All Units received by the Officer under this Agreement are subject to the restrictions contained herein and as provided under the Plan and the Option Agreement, and, so long as the Units are subject to such restrictions, are referred to herein and therein as “</w:t>
      </w:r>
      <w:r>
        <w:rPr>
          <w:rFonts w:ascii="Arial" w:cs="Arial" w:eastAsia="Arial" w:hAnsi="Arial"/>
          <w:sz w:val="16"/>
          <w:szCs w:val="16"/>
          <w:b w:val="1"/>
          <w:bCs w:val="1"/>
          <w:u w:val="single" w:color="auto"/>
          <w:color w:val="auto"/>
        </w:rPr>
        <w:t>Restricted Units</w:t>
      </w:r>
      <w:r>
        <w:rPr>
          <w:rFonts w:ascii="Arial" w:cs="Arial" w:eastAsia="Arial" w:hAnsi="Arial"/>
          <w:sz w:val="16"/>
          <w:szCs w:val="16"/>
          <w:color w:val="auto"/>
        </w:rPr>
        <w:t>.” The Restricted Units shall be subject to forfeiture or repurchase by the Officer prior to the lapse of the Restricted Period in accordance with the terms herein and in the Plan and the Option Agreement. Except as permitted by the Committee or by will or by the laws of descent and distribution, none of the Restricted Units may be sold, assigned, transferred, pledged, hypothecated or otherwise encumbered until the Restricted Period has ceased, and then only in accordance with Article 3 and Section 5.03 of the Securityholders’ Agreement. As a condition to any transferee receiving Restricted Units by will or through laws of descent and distribution, such transferee shall agree to be bound by this Agreement, the Securityholders’ Agreement and the LLC Agreement.</w:t>
      </w:r>
    </w:p>
    <w:p>
      <w:pPr>
        <w:spacing w:after="0" w:line="118" w:lineRule="exact"/>
        <w:rPr>
          <w:rFonts w:ascii="Arial" w:cs="Arial" w:eastAsia="Arial" w:hAnsi="Arial"/>
          <w:sz w:val="16"/>
          <w:szCs w:val="16"/>
          <w:color w:val="auto"/>
        </w:rPr>
      </w:pPr>
    </w:p>
    <w:p>
      <w:pPr>
        <w:ind w:left="-20" w:right="260" w:firstLine="464"/>
        <w:spacing w:after="0" w:line="256" w:lineRule="auto"/>
        <w:tabs>
          <w:tab w:leader="none" w:pos="685"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Except as otherwise provided in Section 9 hereof, or in the Plan, the Restricted Period shall lapse as to 25% of the Units on September 30, 2005 and shall lapse as to 6.25% of the Units on the last day of each calendar quarter thereafter (each such date, the “</w:t>
      </w:r>
      <w:r>
        <w:rPr>
          <w:rFonts w:ascii="Arial" w:cs="Arial" w:eastAsia="Arial" w:hAnsi="Arial"/>
          <w:sz w:val="18"/>
          <w:szCs w:val="18"/>
          <w:b w:val="1"/>
          <w:bCs w:val="1"/>
          <w:u w:val="single" w:color="auto"/>
          <w:color w:val="auto"/>
        </w:rPr>
        <w:t>Vesting Date</w:t>
      </w:r>
      <w:r>
        <w:rPr>
          <w:rFonts w:ascii="Arial" w:cs="Arial" w:eastAsia="Arial" w:hAnsi="Arial"/>
          <w:sz w:val="18"/>
          <w:szCs w:val="18"/>
          <w:color w:val="auto"/>
        </w:rPr>
        <w:t>” as to the applicable tranche of the Units), which lapses shall be cumulative, subject to the Officer’s continuous employment with MagnaChip Korea from the Closing to such Vesting Date.</w:t>
      </w:r>
    </w:p>
    <w:p>
      <w:pPr>
        <w:spacing w:after="0" w:line="143" w:lineRule="exact"/>
        <w:rPr>
          <w:rFonts w:ascii="Arial" w:cs="Arial" w:eastAsia="Arial" w:hAnsi="Arial"/>
          <w:sz w:val="18"/>
          <w:szCs w:val="18"/>
          <w:color w:val="auto"/>
        </w:rPr>
      </w:pPr>
    </w:p>
    <w:p>
      <w:pPr>
        <w:ind w:left="-20" w:firstLine="464"/>
        <w:spacing w:after="0" w:line="335" w:lineRule="auto"/>
        <w:tabs>
          <w:tab w:leader="none" w:pos="675" w:val="left"/>
        </w:tabs>
        <w:numPr>
          <w:ilvl w:val="0"/>
          <w:numId w:val="252"/>
        </w:numPr>
        <w:rPr>
          <w:rFonts w:ascii="Arial" w:cs="Arial" w:eastAsia="Arial" w:hAnsi="Arial"/>
          <w:sz w:val="15"/>
          <w:szCs w:val="15"/>
          <w:color w:val="auto"/>
        </w:rPr>
      </w:pPr>
      <w:r>
        <w:rPr>
          <w:rFonts w:ascii="Arial" w:cs="Arial" w:eastAsia="Arial" w:hAnsi="Arial"/>
          <w:sz w:val="15"/>
          <w:szCs w:val="15"/>
          <w:u w:val="single" w:color="auto"/>
          <w:color w:val="auto"/>
        </w:rPr>
        <w:t>Committee Discretion</w:t>
      </w:r>
      <w:r>
        <w:rPr>
          <w:rFonts w:ascii="Arial" w:cs="Arial" w:eastAsia="Arial" w:hAnsi="Arial"/>
          <w:sz w:val="15"/>
          <w:szCs w:val="15"/>
          <w:color w:val="auto"/>
        </w:rPr>
        <w:t>. Notwithstanding any other provisions of this Agreement, the Committee shall be authorized in its discretion, based upon its review and evaluation of the performance of the Officer and of the Company, to accelerate the vesting of any Restricted Units under this Agreement, at such times (including, without limitation, following the Officer’s termination of employment) and upon such terms and conditions as the Committee shall deem advisable.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291" w:name="page292"/>
    <w:bookmarkEnd w:id="291"/>
    <w:p>
      <w:pPr>
        <w:ind w:left="620" w:hanging="176"/>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 Option</w:t>
      </w:r>
      <w:r>
        <w:rPr>
          <w:rFonts w:ascii="Arial" w:cs="Arial" w:eastAsia="Arial" w:hAnsi="Arial"/>
          <w:sz w:val="18"/>
          <w:szCs w:val="18"/>
          <w:color w:val="auto"/>
        </w:rPr>
        <w:t>.</w:t>
      </w:r>
    </w:p>
    <w:p>
      <w:pPr>
        <w:spacing w:after="0" w:line="90" w:lineRule="exact"/>
        <w:rPr>
          <w:sz w:val="20"/>
          <w:szCs w:val="20"/>
          <w:color w:val="auto"/>
        </w:rPr>
      </w:pPr>
    </w:p>
    <w:p>
      <w:pPr>
        <w:ind w:left="-20" w:firstLine="464"/>
        <w:spacing w:after="0" w:line="370" w:lineRule="auto"/>
        <w:tabs>
          <w:tab w:leader="none" w:pos="675"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t>Termination for Cause</w:t>
      </w:r>
      <w:r>
        <w:rPr>
          <w:rFonts w:ascii="Arial" w:cs="Arial" w:eastAsia="Arial" w:hAnsi="Arial"/>
          <w:sz w:val="15"/>
          <w:szCs w:val="15"/>
          <w:color w:val="auto"/>
        </w:rPr>
        <w:t>. Upon termination of the Officer’s employment by MagnaChip Korea for Cause (as defined in the Service Agreement), the Company (in accordance with the procedures described in Section 4(c)) may repurchase all or any portion of the Units for a cash payment equal to $1.00 per Unit.</w:t>
      </w:r>
    </w:p>
    <w:p>
      <w:pPr>
        <w:spacing w:after="0" w:line="62" w:lineRule="exact"/>
        <w:rPr>
          <w:rFonts w:ascii="Arial" w:cs="Arial" w:eastAsia="Arial" w:hAnsi="Arial"/>
          <w:sz w:val="15"/>
          <w:szCs w:val="15"/>
          <w:color w:val="auto"/>
        </w:rPr>
      </w:pPr>
    </w:p>
    <w:p>
      <w:pPr>
        <w:ind w:left="-20" w:right="120" w:firstLine="464"/>
        <w:spacing w:after="0" w:line="294" w:lineRule="auto"/>
        <w:tabs>
          <w:tab w:leader="none" w:pos="68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Termination for Any Other Reason</w:t>
      </w:r>
      <w:r>
        <w:rPr>
          <w:rFonts w:ascii="Arial" w:cs="Arial" w:eastAsia="Arial" w:hAnsi="Arial"/>
          <w:sz w:val="16"/>
          <w:szCs w:val="16"/>
          <w:color w:val="auto"/>
        </w:rPr>
        <w:t>. Upon any termination of the Officer’s employment with MagnaChip Korea other than a termination for Cause (as defined in the Service Agreement), (</w:t>
      </w:r>
      <w:r>
        <w:rPr>
          <w:rFonts w:ascii="Arial" w:cs="Arial" w:eastAsia="Arial" w:hAnsi="Arial"/>
          <w:sz w:val="16"/>
          <w:szCs w:val="16"/>
          <w:u w:val="single" w:color="auto"/>
          <w:color w:val="auto"/>
        </w:rPr>
        <w:t>i</w:t>
      </w:r>
      <w:r>
        <w:rPr>
          <w:rFonts w:ascii="Arial" w:cs="Arial" w:eastAsia="Arial" w:hAnsi="Arial"/>
          <w:sz w:val="16"/>
          <w:szCs w:val="16"/>
          <w:color w:val="auto"/>
        </w:rPr>
        <w:t>) the Company (in accordance with the procedures described in Section 4(c)) may repurchase all or any portion of the Units then held by the Officer for which the Restricted Period has not lapsed for a cash payment equal to $1.00 per Unit and (</w:t>
      </w:r>
      <w:r>
        <w:rPr>
          <w:rFonts w:ascii="Arial" w:cs="Arial" w:eastAsia="Arial" w:hAnsi="Arial"/>
          <w:sz w:val="16"/>
          <w:szCs w:val="16"/>
          <w:u w:val="single" w:color="auto"/>
          <w:color w:val="auto"/>
        </w:rPr>
        <w:t>ii</w:t>
      </w:r>
      <w:r>
        <w:rPr>
          <w:rFonts w:ascii="Arial" w:cs="Arial" w:eastAsia="Arial" w:hAnsi="Arial"/>
          <w:sz w:val="16"/>
          <w:szCs w:val="16"/>
          <w:color w:val="auto"/>
        </w:rPr>
        <w:t>) the Company (in accordance with the procedures described in Section 4(c)) may repurchase the Units for which the Restricted Period has lapsed for a cash payment equal to the greater of the Fair Market Value of the Units (or the portion thereof so purchased) or $1.00 per Unit.</w:t>
      </w:r>
    </w:p>
    <w:p>
      <w:pPr>
        <w:spacing w:after="0" w:line="115" w:lineRule="exact"/>
        <w:rPr>
          <w:rFonts w:ascii="Arial" w:cs="Arial" w:eastAsia="Arial" w:hAnsi="Arial"/>
          <w:sz w:val="16"/>
          <w:szCs w:val="16"/>
          <w:color w:val="auto"/>
        </w:rPr>
      </w:pPr>
    </w:p>
    <w:p>
      <w:pPr>
        <w:ind w:left="-20" w:right="100" w:firstLine="464"/>
        <w:spacing w:after="0" w:line="256" w:lineRule="auto"/>
        <w:tabs>
          <w:tab w:leader="none" w:pos="67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Procedures for the Repurchase of Units</w:t>
      </w:r>
      <w:r>
        <w:rPr>
          <w:rFonts w:ascii="Arial" w:cs="Arial" w:eastAsia="Arial" w:hAnsi="Arial"/>
          <w:sz w:val="18"/>
          <w:szCs w:val="18"/>
          <w:color w:val="auto"/>
        </w:rPr>
        <w:t>. Notwithstanding anything to the contrary contained herein, any repurchase of Units pursuant to this Section 4 shall not be effected prior to the expiration of a period of, and the Fair Market Value shall be determined as of a date, at least six months and one day from the date such Units were received by the Officer. The Company shall have an exclusive right to repurchase Units until the date six months and one day from the date the Officer’s employment is terminated.</w:t>
      </w:r>
    </w:p>
    <w:p>
      <w:pPr>
        <w:spacing w:after="0" w:line="143" w:lineRule="exact"/>
        <w:rPr>
          <w:rFonts w:ascii="Arial" w:cs="Arial" w:eastAsia="Arial" w:hAnsi="Arial"/>
          <w:sz w:val="18"/>
          <w:szCs w:val="18"/>
          <w:color w:val="auto"/>
        </w:rPr>
      </w:pPr>
    </w:p>
    <w:p>
      <w:pPr>
        <w:ind w:left="-20" w:right="100" w:firstLine="464"/>
        <w:spacing w:after="0" w:line="332" w:lineRule="auto"/>
        <w:tabs>
          <w:tab w:leader="none" w:pos="68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If the Company elects to repurchase any Units pursuant to this Section 4, the Company may apply the proceeds from such repurchase to any and all outstanding obligations of the Officer due the Company or guaranteed by the Company in respect of the Units.</w:t>
      </w:r>
    </w:p>
    <w:p>
      <w:pPr>
        <w:spacing w:after="0" w:line="85" w:lineRule="exact"/>
        <w:rPr>
          <w:sz w:val="20"/>
          <w:szCs w:val="20"/>
          <w:color w:val="auto"/>
        </w:rPr>
      </w:pPr>
    </w:p>
    <w:p>
      <w:pPr>
        <w:ind w:left="620" w:hanging="176"/>
        <w:spacing w:after="0"/>
        <w:tabs>
          <w:tab w:leader="none" w:pos="62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Officer’s Representations, Warranties and Covenants</w:t>
      </w:r>
      <w:r>
        <w:rPr>
          <w:rFonts w:ascii="Arial" w:cs="Arial" w:eastAsia="Arial" w:hAnsi="Arial"/>
          <w:sz w:val="18"/>
          <w:szCs w:val="18"/>
          <w:color w:val="auto"/>
        </w:rPr>
        <w:t>.</w:t>
      </w:r>
    </w:p>
    <w:p>
      <w:pPr>
        <w:spacing w:after="0" w:line="90" w:lineRule="exact"/>
        <w:rPr>
          <w:sz w:val="20"/>
          <w:szCs w:val="20"/>
          <w:color w:val="auto"/>
        </w:rPr>
      </w:pPr>
    </w:p>
    <w:p>
      <w:pPr>
        <w:ind w:left="-20" w:firstLine="464"/>
        <w:spacing w:after="0" w:line="288" w:lineRule="auto"/>
        <w:tabs>
          <w:tab w:leader="none" w:pos="675"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Investment Intention</w:t>
      </w:r>
      <w:r>
        <w:rPr>
          <w:rFonts w:ascii="Arial" w:cs="Arial" w:eastAsia="Arial" w:hAnsi="Arial"/>
          <w:sz w:val="16"/>
          <w:szCs w:val="16"/>
          <w:color w:val="auto"/>
        </w:rPr>
        <w:t>. The Officer represents and warrants that the Officer is acquiring the Units solely for the Officer’s own account for investment and not with a view to, or for sale in connection with, any distribution thereof. The Officer agrees that the Officer will not, directly or indirectly, offer, transfer, sell, pledge, hypothecate or otherwise dispose of any of the Units (or solicit any offers to buy, purchase or otherwise acquire or take a pledge of any Units), or any interest therein or any rights relating thereto, except in compliance with the Securities Act of 1933, as amended, and the rules and regulations thereunder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all applicable state securities or “blue sky” laws and Article 3 and Section 5.03 of the Securityholders’ Agreement. The Officer further understands, acknowledges and agrees that none of the Units may be transferred, sold, pledged, hypothecated or otherwise disposed of unless the provisions of Section 3 shall have been satisfied or have expired. Any attempt by the Officer, directly or indirectly, to offer, transfer, sell, pledge, hypothecate or otherwise dispose of any Units or any interest therein, or any rights relating thereto, without complying with the provisions of this Agreement and Article 3 and Section 5.03 of the Securityholders’ Agreement, as such agreements shall be amended from time to time, shall be void and of no effect.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292" w:name="page293"/>
    <w:bookmarkEnd w:id="292"/>
    <w:p>
      <w:pPr>
        <w:ind w:left="-20" w:right="1180" w:firstLine="464"/>
        <w:spacing w:after="0" w:line="268" w:lineRule="auto"/>
        <w:tabs>
          <w:tab w:leader="none" w:pos="685"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Legend</w:t>
      </w:r>
      <w:r>
        <w:rPr>
          <w:rFonts w:ascii="Arial" w:cs="Arial" w:eastAsia="Arial" w:hAnsi="Arial"/>
          <w:sz w:val="18"/>
          <w:szCs w:val="18"/>
          <w:color w:val="auto"/>
        </w:rPr>
        <w:t>. The Officer acknowledges that the certificate or certificates representing the Units, if any, shall bear the legends set forth in the Securityholders’ Agreement.</w:t>
      </w:r>
    </w:p>
    <w:p>
      <w:pPr>
        <w:spacing w:after="0" w:line="131" w:lineRule="exact"/>
        <w:rPr>
          <w:rFonts w:ascii="Arial" w:cs="Arial" w:eastAsia="Arial" w:hAnsi="Arial"/>
          <w:sz w:val="18"/>
          <w:szCs w:val="18"/>
          <w:color w:val="auto"/>
        </w:rPr>
      </w:pPr>
    </w:p>
    <w:p>
      <w:pPr>
        <w:ind w:left="-20" w:firstLine="464"/>
        <w:spacing w:after="0" w:line="286" w:lineRule="auto"/>
        <w:tabs>
          <w:tab w:leader="none" w:pos="675"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Securities Law Matters</w:t>
      </w:r>
      <w:r>
        <w:rPr>
          <w:rFonts w:ascii="Arial" w:cs="Arial" w:eastAsia="Arial" w:hAnsi="Arial"/>
          <w:sz w:val="16"/>
          <w:szCs w:val="16"/>
          <w:color w:val="auto"/>
        </w:rPr>
        <w:t>. The Officer acknowledges receipt of advice from the Company that (</w:t>
      </w:r>
      <w:r>
        <w:rPr>
          <w:rFonts w:ascii="Arial" w:cs="Arial" w:eastAsia="Arial" w:hAnsi="Arial"/>
          <w:sz w:val="16"/>
          <w:szCs w:val="16"/>
          <w:u w:val="single" w:color="auto"/>
          <w:color w:val="auto"/>
        </w:rPr>
        <w:t>i</w:t>
      </w:r>
      <w:r>
        <w:rPr>
          <w:rFonts w:ascii="Arial" w:cs="Arial" w:eastAsia="Arial" w:hAnsi="Arial"/>
          <w:sz w:val="16"/>
          <w:szCs w:val="16"/>
          <w:color w:val="auto"/>
        </w:rPr>
        <w:t>) the Units have not been registered under the Act or qualified under any state or foreign securities or “blue sky” laws, (</w:t>
      </w:r>
      <w:r>
        <w:rPr>
          <w:rFonts w:ascii="Arial" w:cs="Arial" w:eastAsia="Arial" w:hAnsi="Arial"/>
          <w:sz w:val="16"/>
          <w:szCs w:val="16"/>
          <w:u w:val="single" w:color="auto"/>
          <w:color w:val="auto"/>
        </w:rPr>
        <w:t>ii</w:t>
      </w:r>
      <w:r>
        <w:rPr>
          <w:rFonts w:ascii="Arial" w:cs="Arial" w:eastAsia="Arial" w:hAnsi="Arial"/>
          <w:sz w:val="16"/>
          <w:szCs w:val="16"/>
          <w:color w:val="auto"/>
        </w:rPr>
        <w:t>) it is not anticipated that there will be any public market for the Units, (</w:t>
      </w:r>
      <w:r>
        <w:rPr>
          <w:rFonts w:ascii="Arial" w:cs="Arial" w:eastAsia="Arial" w:hAnsi="Arial"/>
          <w:sz w:val="16"/>
          <w:szCs w:val="16"/>
          <w:u w:val="single" w:color="auto"/>
          <w:color w:val="auto"/>
        </w:rPr>
        <w:t>iii</w:t>
      </w:r>
      <w:r>
        <w:rPr>
          <w:rFonts w:ascii="Arial" w:cs="Arial" w:eastAsia="Arial" w:hAnsi="Arial"/>
          <w:sz w:val="16"/>
          <w:szCs w:val="16"/>
          <w:color w:val="auto"/>
        </w:rPr>
        <w:t>) the Units must be held indefinitely and the Officer must continue to bear the economic risk of the investment in the Units unless the Units are subsequently registered under the Act and such state laws or an exemption from registration is available, (</w:t>
      </w:r>
      <w:r>
        <w:rPr>
          <w:rFonts w:ascii="Arial" w:cs="Arial" w:eastAsia="Arial" w:hAnsi="Arial"/>
          <w:sz w:val="16"/>
          <w:szCs w:val="16"/>
          <w:u w:val="single" w:color="auto"/>
          <w:color w:val="auto"/>
        </w:rPr>
        <w:t>iv</w:t>
      </w:r>
      <w:r>
        <w:rPr>
          <w:rFonts w:ascii="Arial" w:cs="Arial" w:eastAsia="Arial" w:hAnsi="Arial"/>
          <w:sz w:val="16"/>
          <w:szCs w:val="16"/>
          <w:color w:val="auto"/>
        </w:rPr>
        <w:t>) Rule 144 promulgated under the Act (“</w:t>
      </w:r>
      <w:r>
        <w:rPr>
          <w:rFonts w:ascii="Arial" w:cs="Arial" w:eastAsia="Arial" w:hAnsi="Arial"/>
          <w:sz w:val="16"/>
          <w:szCs w:val="16"/>
          <w:b w:val="1"/>
          <w:bCs w:val="1"/>
          <w:u w:val="single" w:color="auto"/>
          <w:color w:val="auto"/>
        </w:rPr>
        <w:t>Rule 144</w:t>
      </w:r>
      <w:r>
        <w:rPr>
          <w:rFonts w:ascii="Arial" w:cs="Arial" w:eastAsia="Arial" w:hAnsi="Arial"/>
          <w:sz w:val="16"/>
          <w:szCs w:val="16"/>
          <w:color w:val="auto"/>
        </w:rPr>
        <w:t>”) is not presently available with respect to the sales of the Units, and the Company has made no covenant to make Rule 144 available, (</w:t>
      </w:r>
      <w:r>
        <w:rPr>
          <w:rFonts w:ascii="Arial" w:cs="Arial" w:eastAsia="Arial" w:hAnsi="Arial"/>
          <w:sz w:val="16"/>
          <w:szCs w:val="16"/>
          <w:u w:val="single" w:color="auto"/>
          <w:color w:val="auto"/>
        </w:rPr>
        <w:t>v</w:t>
      </w:r>
      <w:r>
        <w:rPr>
          <w:rFonts w:ascii="Arial" w:cs="Arial" w:eastAsia="Arial" w:hAnsi="Arial"/>
          <w:sz w:val="16"/>
          <w:szCs w:val="16"/>
          <w:color w:val="auto"/>
        </w:rPr>
        <w:t>) when and if the Units may be disposed of without registration in reliance upon Rule 144, such disposition can be made only in accordance with the terms and conditions of such Rule, the Plan, this Agreement and the Securityholders’ Agreement, (</w:t>
      </w:r>
      <w:r>
        <w:rPr>
          <w:rFonts w:ascii="Arial" w:cs="Arial" w:eastAsia="Arial" w:hAnsi="Arial"/>
          <w:sz w:val="16"/>
          <w:szCs w:val="16"/>
          <w:u w:val="single" w:color="auto"/>
          <w:color w:val="auto"/>
        </w:rPr>
        <w:t>vi</w:t>
      </w:r>
      <w:r>
        <w:rPr>
          <w:rFonts w:ascii="Arial" w:cs="Arial" w:eastAsia="Arial" w:hAnsi="Arial"/>
          <w:sz w:val="16"/>
          <w:szCs w:val="16"/>
          <w:color w:val="auto"/>
        </w:rPr>
        <w:t>) the Company does not plan to file reports with the Commission or make public information concerning the Company available unless required to do so by law or in connection with its financing arrangements, (</w:t>
      </w:r>
      <w:r>
        <w:rPr>
          <w:rFonts w:ascii="Arial" w:cs="Arial" w:eastAsia="Arial" w:hAnsi="Arial"/>
          <w:sz w:val="16"/>
          <w:szCs w:val="16"/>
          <w:u w:val="single" w:color="auto"/>
          <w:color w:val="auto"/>
        </w:rPr>
        <w:t>vii</w:t>
      </w:r>
      <w:r>
        <w:rPr>
          <w:rFonts w:ascii="Arial" w:cs="Arial" w:eastAsia="Arial" w:hAnsi="Arial"/>
          <w:sz w:val="16"/>
          <w:szCs w:val="16"/>
          <w:color w:val="auto"/>
        </w:rPr>
        <w:t>) if the exemption afforded by Rule 144 is not available, sales of the Units may be difficult to effect because of the absence of public information concerning the Company, (</w:t>
      </w:r>
      <w:r>
        <w:rPr>
          <w:rFonts w:ascii="Arial" w:cs="Arial" w:eastAsia="Arial" w:hAnsi="Arial"/>
          <w:sz w:val="16"/>
          <w:szCs w:val="16"/>
          <w:u w:val="single" w:color="auto"/>
          <w:color w:val="auto"/>
        </w:rPr>
        <w:t>viii</w:t>
      </w:r>
      <w:r>
        <w:rPr>
          <w:rFonts w:ascii="Arial" w:cs="Arial" w:eastAsia="Arial" w:hAnsi="Arial"/>
          <w:sz w:val="16"/>
          <w:szCs w:val="16"/>
          <w:color w:val="auto"/>
        </w:rPr>
        <w:t>) a restrictive legend in the form heretofore set forth shall be placed on the certificates representing the Units and (</w:t>
      </w:r>
      <w:r>
        <w:rPr>
          <w:rFonts w:ascii="Arial" w:cs="Arial" w:eastAsia="Arial" w:hAnsi="Arial"/>
          <w:sz w:val="16"/>
          <w:szCs w:val="16"/>
          <w:u w:val="single" w:color="auto"/>
          <w:color w:val="auto"/>
        </w:rPr>
        <w:t>ix</w:t>
      </w:r>
      <w:r>
        <w:rPr>
          <w:rFonts w:ascii="Arial" w:cs="Arial" w:eastAsia="Arial" w:hAnsi="Arial"/>
          <w:sz w:val="16"/>
          <w:szCs w:val="16"/>
          <w:color w:val="auto"/>
        </w:rPr>
        <w:t>) a notation shall be made in the appropriate records of the Company indicating that the Units are subject to restrictions on transfer set forth in Article 3 and Section 5.03 of the Securityholders’ Agreement and, if the Company should in the future engage the services of a stock transfer agent, appropriate stop-transfer restrictions will be issued to such transfer agent with respect to the Units.</w:t>
      </w:r>
    </w:p>
    <w:p>
      <w:pPr>
        <w:spacing w:after="0" w:line="124" w:lineRule="exact"/>
        <w:rPr>
          <w:rFonts w:ascii="Arial" w:cs="Arial" w:eastAsia="Arial" w:hAnsi="Arial"/>
          <w:sz w:val="16"/>
          <w:szCs w:val="16"/>
          <w:color w:val="auto"/>
        </w:rPr>
      </w:pPr>
    </w:p>
    <w:p>
      <w:pPr>
        <w:ind w:left="-20" w:right="100" w:firstLine="464"/>
        <w:spacing w:after="0" w:line="306" w:lineRule="auto"/>
        <w:tabs>
          <w:tab w:leader="none" w:pos="685"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Compliance with Rule 144</w:t>
      </w:r>
      <w:r>
        <w:rPr>
          <w:rFonts w:ascii="Arial" w:cs="Arial" w:eastAsia="Arial" w:hAnsi="Arial"/>
          <w:sz w:val="16"/>
          <w:szCs w:val="16"/>
          <w:color w:val="auto"/>
        </w:rPr>
        <w:t>. When and if the Units may be disposed of without registration in reliance upon Rule 144, the Officer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106" w:lineRule="exact"/>
        <w:rPr>
          <w:rFonts w:ascii="Arial" w:cs="Arial" w:eastAsia="Arial" w:hAnsi="Arial"/>
          <w:sz w:val="16"/>
          <w:szCs w:val="16"/>
          <w:color w:val="auto"/>
        </w:rPr>
      </w:pPr>
    </w:p>
    <w:p>
      <w:pPr>
        <w:jc w:val="both"/>
        <w:ind w:left="-20" w:right="420" w:firstLine="464"/>
        <w:spacing w:after="0" w:line="332" w:lineRule="auto"/>
        <w:tabs>
          <w:tab w:leader="none" w:pos="675"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Ability to Bear Risk</w:t>
      </w:r>
      <w:r>
        <w:rPr>
          <w:rFonts w:ascii="Arial" w:cs="Arial" w:eastAsia="Arial" w:hAnsi="Arial"/>
          <w:sz w:val="16"/>
          <w:szCs w:val="16"/>
          <w:color w:val="auto"/>
        </w:rPr>
        <w:t>. The Officer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the financial situation of the Officer is such that the Officer can afford to bear the economic risk of holding the Units for an indefinite period and (</w:t>
      </w:r>
      <w:r>
        <w:rPr>
          <w:rFonts w:ascii="Arial" w:cs="Arial" w:eastAsia="Arial" w:hAnsi="Arial"/>
          <w:sz w:val="16"/>
          <w:szCs w:val="16"/>
          <w:u w:val="single" w:color="auto"/>
          <w:color w:val="auto"/>
        </w:rPr>
        <w:t>ii</w:t>
      </w:r>
      <w:r>
        <w:rPr>
          <w:rFonts w:ascii="Arial" w:cs="Arial" w:eastAsia="Arial" w:hAnsi="Arial"/>
          <w:sz w:val="16"/>
          <w:szCs w:val="16"/>
          <w:color w:val="auto"/>
        </w:rPr>
        <w:t>) the Officer can afford to suffer the complete loss of the Officer’s investment in the Units.</w:t>
      </w:r>
    </w:p>
    <w:p>
      <w:pPr>
        <w:spacing w:after="0" w:line="85" w:lineRule="exact"/>
        <w:rPr>
          <w:rFonts w:ascii="Arial" w:cs="Arial" w:eastAsia="Arial" w:hAnsi="Arial"/>
          <w:sz w:val="16"/>
          <w:szCs w:val="16"/>
          <w:color w:val="auto"/>
        </w:rPr>
      </w:pPr>
    </w:p>
    <w:p>
      <w:pPr>
        <w:ind w:left="-20" w:right="40" w:firstLine="464"/>
        <w:spacing w:after="0" w:line="254" w:lineRule="auto"/>
        <w:tabs>
          <w:tab w:leader="none" w:pos="656"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Access to Information, etc.; Sophistication; Lack of Reliance.</w:t>
      </w:r>
      <w:r>
        <w:rPr>
          <w:rFonts w:ascii="Arial" w:cs="Arial" w:eastAsia="Arial" w:hAnsi="Arial"/>
          <w:sz w:val="18"/>
          <w:szCs w:val="18"/>
          <w:color w:val="auto"/>
        </w:rPr>
        <w:t xml:space="preserve"> The Officer represents and warrants that (</w:t>
      </w:r>
      <w:r>
        <w:rPr>
          <w:rFonts w:ascii="Arial" w:cs="Arial" w:eastAsia="Arial" w:hAnsi="Arial"/>
          <w:sz w:val="18"/>
          <w:szCs w:val="18"/>
          <w:u w:val="single" w:color="auto"/>
          <w:color w:val="auto"/>
        </w:rPr>
        <w:t>i</w:t>
      </w:r>
      <w:r>
        <w:rPr>
          <w:rFonts w:ascii="Arial" w:cs="Arial" w:eastAsia="Arial" w:hAnsi="Arial"/>
          <w:sz w:val="18"/>
          <w:szCs w:val="18"/>
          <w:color w:val="auto"/>
        </w:rPr>
        <w:t>) the Officer has carefully reviewed the materials furnished to the Officer in connection with the transaction contemplated hereby, including, without limitation, the Plan and the other materials furnished to the Officer in connection with the transactions contemplated hereby, (</w:t>
      </w:r>
      <w:r>
        <w:rPr>
          <w:rFonts w:ascii="Arial" w:cs="Arial" w:eastAsia="Arial" w:hAnsi="Arial"/>
          <w:sz w:val="18"/>
          <w:szCs w:val="18"/>
          <w:u w:val="single" w:color="auto"/>
          <w:color w:val="auto"/>
        </w:rPr>
        <w:t>ii</w:t>
      </w:r>
      <w:r>
        <w:rPr>
          <w:rFonts w:ascii="Arial" w:cs="Arial" w:eastAsia="Arial" w:hAnsi="Arial"/>
          <w:sz w:val="18"/>
          <w:szCs w:val="18"/>
          <w:color w:val="auto"/>
        </w:rPr>
        <w:t>) the Officer is familiar with the business and financial condition, properties, operations and prospects of the Company and that the Officer has been granted the opportunity to ask questions of, and receive answers from, representatives of the Company concerning the Company and the terms and conditions of the purchase of the Units and to obtain any additional information that the Officer deems necessary, (</w:t>
      </w:r>
      <w:r>
        <w:rPr>
          <w:rFonts w:ascii="Arial" w:cs="Arial" w:eastAsia="Arial" w:hAnsi="Arial"/>
          <w:sz w:val="18"/>
          <w:szCs w:val="18"/>
          <w:u w:val="single" w:color="auto"/>
          <w:color w:val="auto"/>
        </w:rPr>
        <w:t>iii</w:t>
      </w:r>
      <w:r>
        <w:rPr>
          <w:rFonts w:ascii="Arial" w:cs="Arial" w:eastAsia="Arial" w:hAnsi="Arial"/>
          <w:sz w:val="18"/>
          <w:szCs w:val="18"/>
          <w:color w:val="auto"/>
        </w:rPr>
        <w:t>) the Officer’s knowledge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293" w:name="page294"/>
    <w:bookmarkEnd w:id="293"/>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experience in financial and business matters is such that the Officer is capable of evaluating the merits and risk of the investment in the Units, (</w:t>
      </w:r>
      <w:r>
        <w:rPr>
          <w:rFonts w:ascii="Arial" w:cs="Arial" w:eastAsia="Arial" w:hAnsi="Arial"/>
          <w:sz w:val="16"/>
          <w:szCs w:val="16"/>
          <w:u w:val="single" w:color="auto"/>
          <w:color w:val="auto"/>
        </w:rPr>
        <w:t>iv</w:t>
      </w:r>
      <w:r>
        <w:rPr>
          <w:rFonts w:ascii="Arial" w:cs="Arial" w:eastAsia="Arial" w:hAnsi="Arial"/>
          <w:sz w:val="16"/>
          <w:szCs w:val="16"/>
          <w:color w:val="auto"/>
        </w:rPr>
        <w:t>) the Officer has carefully reviewed the terms and provisions of the Securityholders’ Agreement and LLC Agreement and has evaluated the restrictions and obligations contained therein, and (</w:t>
      </w:r>
      <w:r>
        <w:rPr>
          <w:rFonts w:ascii="Arial" w:cs="Arial" w:eastAsia="Arial" w:hAnsi="Arial"/>
          <w:sz w:val="16"/>
          <w:szCs w:val="16"/>
          <w:u w:val="single" w:color="auto"/>
          <w:color w:val="auto"/>
        </w:rPr>
        <w:t>v</w:t>
      </w:r>
      <w:r>
        <w:rPr>
          <w:rFonts w:ascii="Arial" w:cs="Arial" w:eastAsia="Arial" w:hAnsi="Arial"/>
          <w:sz w:val="16"/>
          <w:szCs w:val="16"/>
          <w:color w:val="auto"/>
        </w:rPr>
        <w:t>) the Officer is, and will be at the Closing, either (</w:t>
      </w:r>
      <w:r>
        <w:rPr>
          <w:rFonts w:ascii="Arial" w:cs="Arial" w:eastAsia="Arial" w:hAnsi="Arial"/>
          <w:sz w:val="16"/>
          <w:szCs w:val="16"/>
          <w:u w:val="single" w:color="auto"/>
          <w:color w:val="auto"/>
        </w:rPr>
        <w:t>A</w:t>
      </w:r>
      <w:r>
        <w:rPr>
          <w:rFonts w:ascii="Arial" w:cs="Arial" w:eastAsia="Arial" w:hAnsi="Arial"/>
          <w:sz w:val="16"/>
          <w:szCs w:val="16"/>
          <w:color w:val="auto"/>
        </w:rPr>
        <w:t>) an officer or employee of the Company or one of its subsidiaries or (</w:t>
      </w:r>
      <w:r>
        <w:rPr>
          <w:rFonts w:ascii="Arial" w:cs="Arial" w:eastAsia="Arial" w:hAnsi="Arial"/>
          <w:sz w:val="16"/>
          <w:szCs w:val="16"/>
          <w:u w:val="single" w:color="auto"/>
          <w:color w:val="auto"/>
        </w:rPr>
        <w:t>B</w:t>
      </w:r>
      <w:r>
        <w:rPr>
          <w:rFonts w:ascii="Arial" w:cs="Arial" w:eastAsia="Arial" w:hAnsi="Arial"/>
          <w:sz w:val="16"/>
          <w:szCs w:val="16"/>
          <w:color w:val="auto"/>
        </w:rPr>
        <w:t>) an “Accredited Investor” under Regulation D promulgated under the Act and agrees to furnish such documents and to comply with such reasonable requests of the Company as may be necessary to substantiate the Officer’s status as a qualifying investor in connection with this private offering of Units to the Officer. In furtherance of the foregoing, the Officer represents and warrants that (</w:t>
      </w:r>
      <w:r>
        <w:rPr>
          <w:rFonts w:ascii="Arial" w:cs="Arial" w:eastAsia="Arial" w:hAnsi="Arial"/>
          <w:sz w:val="16"/>
          <w:szCs w:val="16"/>
          <w:u w:val="single" w:color="auto"/>
          <w:color w:val="auto"/>
        </w:rPr>
        <w:t>x</w:t>
      </w:r>
      <w:r>
        <w:rPr>
          <w:rFonts w:ascii="Arial" w:cs="Arial" w:eastAsia="Arial" w:hAnsi="Arial"/>
          <w:sz w:val="16"/>
          <w:szCs w:val="16"/>
          <w:color w:val="auto"/>
        </w:rPr>
        <w:t>) no representation or warranty, express or implied, whether written or oral, as to the financial condition, results of operations, prospects, properties or business of the Company or as to the desirability or value of an investment in the Company has been made to the Officer by or on behalf of the Company, except for those representations and warranties contained in Section 8 and the Securityholders’ Agreement, (</w:t>
      </w:r>
      <w:r>
        <w:rPr>
          <w:rFonts w:ascii="Arial" w:cs="Arial" w:eastAsia="Arial" w:hAnsi="Arial"/>
          <w:sz w:val="16"/>
          <w:szCs w:val="16"/>
          <w:u w:val="single" w:color="auto"/>
          <w:color w:val="auto"/>
        </w:rPr>
        <w:t>y</w:t>
      </w:r>
      <w:r>
        <w:rPr>
          <w:rFonts w:ascii="Arial" w:cs="Arial" w:eastAsia="Arial" w:hAnsi="Arial"/>
          <w:sz w:val="16"/>
          <w:szCs w:val="16"/>
          <w:color w:val="auto"/>
        </w:rPr>
        <w:t>) the Officer has relied upon the Officer’s own independent appraisal and investigation, and the advice of the Officer’s own counsel, tax advisors and other advisors, regarding the risks of an investment in the Company and (</w:t>
      </w:r>
      <w:r>
        <w:rPr>
          <w:rFonts w:ascii="Arial" w:cs="Arial" w:eastAsia="Arial" w:hAnsi="Arial"/>
          <w:sz w:val="16"/>
          <w:szCs w:val="16"/>
          <w:u w:val="single" w:color="auto"/>
          <w:color w:val="auto"/>
        </w:rPr>
        <w:t>z</w:t>
      </w:r>
      <w:r>
        <w:rPr>
          <w:rFonts w:ascii="Arial" w:cs="Arial" w:eastAsia="Arial" w:hAnsi="Arial"/>
          <w:sz w:val="16"/>
          <w:szCs w:val="16"/>
          <w:color w:val="auto"/>
        </w:rPr>
        <w:t>) the Officer will continue to bear sole responsibility for making the Officer’s own independent evaluation and monitoring of the risks of the Officer’s investment in the Company.</w:t>
      </w:r>
    </w:p>
    <w:p>
      <w:pPr>
        <w:spacing w:after="0" w:line="127" w:lineRule="exact"/>
        <w:rPr>
          <w:sz w:val="20"/>
          <w:szCs w:val="20"/>
          <w:color w:val="auto"/>
        </w:rPr>
      </w:pPr>
    </w:p>
    <w:p>
      <w:pPr>
        <w:ind w:firstLine="464"/>
        <w:spacing w:after="0" w:line="286" w:lineRule="auto"/>
        <w:tabs>
          <w:tab w:leader="none" w:pos="705"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Due Execution and Delivery</w:t>
      </w:r>
      <w:r>
        <w:rPr>
          <w:rFonts w:ascii="Arial" w:cs="Arial" w:eastAsia="Arial" w:hAnsi="Arial"/>
          <w:sz w:val="16"/>
          <w:szCs w:val="16"/>
          <w:color w:val="auto"/>
        </w:rPr>
        <w:t>. The Officer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the Officer has duly executed and delivered this Agreement, (</w:t>
      </w:r>
      <w:r>
        <w:rPr>
          <w:rFonts w:ascii="Arial" w:cs="Arial" w:eastAsia="Arial" w:hAnsi="Arial"/>
          <w:sz w:val="16"/>
          <w:szCs w:val="16"/>
          <w:u w:val="single" w:color="auto"/>
          <w:color w:val="auto"/>
        </w:rPr>
        <w:t>ii</w:t>
      </w:r>
      <w:r>
        <w:rPr>
          <w:rFonts w:ascii="Arial" w:cs="Arial" w:eastAsia="Arial" w:hAnsi="Arial"/>
          <w:sz w:val="16"/>
          <w:szCs w:val="16"/>
          <w:color w:val="auto"/>
        </w:rPr>
        <w:t>) all actions required to be taken by or on behalf of the Officer to authorize the Officer to execute, deliver and perform the Officer’s obligations under this Agreement, the Securityholders’ Agreement and the LLC Agreement have been taken and this Agreement constitutes and, upon execution of a joinder thereto, the Securityholders’ Agreement and the LLC Agreement will constitute the Officer’s legal, valid and binding obligations, enforceable against the Officer in accordance with their respective terms, except as the same may be affected by bankruptcy, insolvency, moratorium or similar laws, or by legal or equitable principles relating to or limiting the rights of contracting parties generally, (</w:t>
      </w:r>
      <w:r>
        <w:rPr>
          <w:rFonts w:ascii="Arial" w:cs="Arial" w:eastAsia="Arial" w:hAnsi="Arial"/>
          <w:sz w:val="16"/>
          <w:szCs w:val="16"/>
          <w:u w:val="single" w:color="auto"/>
          <w:color w:val="auto"/>
        </w:rPr>
        <w:t>iii</w:t>
      </w:r>
      <w:r>
        <w:rPr>
          <w:rFonts w:ascii="Arial" w:cs="Arial" w:eastAsia="Arial" w:hAnsi="Arial"/>
          <w:sz w:val="16"/>
          <w:szCs w:val="16"/>
          <w:color w:val="auto"/>
        </w:rPr>
        <w:t>) the execution and delivery of this Agreement and the joinder to the Securityholders’ Agreement and the LLC Agreement, and the consummation by the Officer of the transactions contemplated hereby and thereby in the manner contemplated hereby and thereby do not and will not conflict with, or result in a breach of any terms of, or constitute a default under, any agreement or instrument or any statute, law, rule or regulation, or any judgment, decree, writ, injunction, order or award of any arbitrator, court or governmental authority which is applicable to the Officer or by which the Officer or any material portion of the Officer’s properties is bound and (</w:t>
      </w:r>
      <w:r>
        <w:rPr>
          <w:rFonts w:ascii="Arial" w:cs="Arial" w:eastAsia="Arial" w:hAnsi="Arial"/>
          <w:sz w:val="16"/>
          <w:szCs w:val="16"/>
          <w:u w:val="single" w:color="auto"/>
          <w:color w:val="auto"/>
        </w:rPr>
        <w:t>iv</w:t>
      </w:r>
      <w:r>
        <w:rPr>
          <w:rFonts w:ascii="Arial" w:cs="Arial" w:eastAsia="Arial" w:hAnsi="Arial"/>
          <w:sz w:val="16"/>
          <w:szCs w:val="16"/>
          <w:color w:val="auto"/>
        </w:rPr>
        <w:t>) no consent, approval, authorization, order, filing, registration or qualification of or with any court, governmental authority or third person is required to be obtained by such Officer in connection with the execution and delivery of this Agreement and the joinder to the Securityholders’ Agreement and the LLC Agreement or the performance of such Officer’s obligations hereunder or thereunder.</w:t>
      </w:r>
    </w:p>
    <w:p>
      <w:pPr>
        <w:spacing w:after="0" w:line="340" w:lineRule="exact"/>
        <w:rPr>
          <w:rFonts w:ascii="Arial" w:cs="Arial" w:eastAsia="Arial" w:hAnsi="Arial"/>
          <w:sz w:val="16"/>
          <w:szCs w:val="16"/>
          <w:color w:val="auto"/>
        </w:rPr>
      </w:pPr>
    </w:p>
    <w:p>
      <w:pPr>
        <w:ind w:left="720" w:hanging="256"/>
        <w:spacing w:after="0"/>
        <w:tabs>
          <w:tab w:leader="none" w:pos="72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The Officer shall be entitled to the rights and subject to the obligations created under the Securityholders’ Agreement.</w:t>
      </w:r>
    </w:p>
    <w:p>
      <w:pPr>
        <w:spacing w:after="0" w:line="165" w:lineRule="exact"/>
        <w:rPr>
          <w:rFonts w:ascii="Arial" w:cs="Arial" w:eastAsia="Arial" w:hAnsi="Arial"/>
          <w:sz w:val="18"/>
          <w:szCs w:val="18"/>
          <w:color w:val="auto"/>
        </w:rPr>
      </w:pPr>
    </w:p>
    <w:p>
      <w:pPr>
        <w:ind w:right="260" w:firstLine="464"/>
        <w:spacing w:after="0" w:line="275" w:lineRule="auto"/>
        <w:tabs>
          <w:tab w:leader="none" w:pos="666"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Officer shall make an election (the “</w:t>
      </w:r>
      <w:r>
        <w:rPr>
          <w:rFonts w:ascii="Arial" w:cs="Arial" w:eastAsia="Arial" w:hAnsi="Arial"/>
          <w:sz w:val="18"/>
          <w:szCs w:val="18"/>
          <w:b w:val="1"/>
          <w:bCs w:val="1"/>
          <w:u w:val="single" w:color="auto"/>
          <w:color w:val="auto"/>
        </w:rPr>
        <w:t>83(b) Election</w:t>
      </w:r>
      <w:r>
        <w:rPr>
          <w:rFonts w:ascii="Arial" w:cs="Arial" w:eastAsia="Arial" w:hAnsi="Arial"/>
          <w:sz w:val="18"/>
          <w:szCs w:val="18"/>
          <w:color w:val="auto"/>
        </w:rPr>
        <w:t>”) pursuant to Section 83(b) of the Internal Revenue Code of 1986, as amended, with respect to the Units purchased at such Closing within 20 days after the Closing and shall notify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94" w:name="page295"/>
    <w:bookmarkEnd w:id="294"/>
    <w:p>
      <w:pPr>
        <w:ind w:right="3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when the 83(b) Election has been made and provide the Company with a copy of the 83(b) Election. OFFICER ACKNOWLEDGES THAT OFFICER WILL BE SOLELY RESPONSIBLE FOR ANY AND ALL TAX LIABILITIES PAYABLE BY THE OFFICER IN CONNECTION WITH THE OFFICER’S PURCHASE AND RECEIPT OF THE UNITS OR ATTRIBUTABLE TO THE OFFICER MAKING THE 83(B) ELECTION. THE OFFICER ACKNOWLEDGES THAT (1) THE OFFICER ALONE IS RESPONSIBLE FOR FILING WITH THE INTERNAL REVENUE SERVICE, BY THE APPLICABLE DEADLINE, ALL APPLICABLE FORMS REQUIRED TO EFFECT THE 83(B) ELECTION, (2) NO EXTENSION OF THE 83(B) ELECTION DEADLINE WILL BE AVAILABLE UNDER LAW AND (3) ADVERSE TAX CONSEQUENCES MAY RESULT TO THE OFFICER IF THE 83(B) ELECTION IS NOT TIMELY MADE.</w:t>
      </w:r>
    </w:p>
    <w:p>
      <w:pPr>
        <w:spacing w:after="0" w:line="147" w:lineRule="exact"/>
        <w:rPr>
          <w:sz w:val="20"/>
          <w:szCs w:val="20"/>
          <w:color w:val="auto"/>
        </w:rPr>
      </w:pPr>
    </w:p>
    <w:p>
      <w:pPr>
        <w:ind w:right="20" w:firstLine="464"/>
        <w:spacing w:after="0" w:line="289" w:lineRule="auto"/>
        <w:tabs>
          <w:tab w:leader="none" w:pos="632"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The Officer’s Rights with Respect to Restricted Units</w:t>
      </w:r>
      <w:r>
        <w:rPr>
          <w:rFonts w:ascii="Arial" w:cs="Arial" w:eastAsia="Arial" w:hAnsi="Arial"/>
          <w:sz w:val="16"/>
          <w:szCs w:val="16"/>
          <w:color w:val="auto"/>
        </w:rPr>
        <w:t>. Except as otherwise provided in this Agreement or any other agreement entered into in respect of the Restricted Units, the Officer shall have, with respect to all of its Restricted Units, all of the rights of an equityholder of the Company, including the right to vote such Restricted Units, the right to receive cash and other dividends, if any, as may be declared on the Restricted Units from time to time, and the right to receive cash proceeds payable with respect to the Restricted Units as a result of any merger, reorganization, consolidation, or other corporate transaction of the Company to the same extent as such cash proceeds are payable with respect to other Common Units. Any securities issued to or received by the Officer with respect to Restricted Units as a result of a split, a dividend payable in units, a combination of units or any other change or exchange of the Restricted Units for other securities, by reclassification, reorganization, distribution, liquidation or otherwise shall have the same status as the Restricted Units and shall be held by the Company, if the Restricted Units are being so held, unless otherwise determined by the Committee.</w:t>
      </w:r>
    </w:p>
    <w:p>
      <w:pPr>
        <w:spacing w:after="0" w:line="118"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Other Rights and Obligations</w:t>
      </w:r>
      <w:r>
        <w:rPr>
          <w:rFonts w:ascii="Arial" w:cs="Arial" w:eastAsia="Arial" w:hAnsi="Arial"/>
          <w:sz w:val="18"/>
          <w:szCs w:val="18"/>
          <w:color w:val="auto"/>
        </w:rPr>
        <w:t>. The Officer shall be entitled to the rights and subject to the obligations created under the Plan, the LLC Agreement and the Securityholders’ Agreement, each to the extent set forth therein.</w:t>
      </w:r>
    </w:p>
    <w:p>
      <w:pPr>
        <w:spacing w:after="0" w:line="131" w:lineRule="exact"/>
        <w:rPr>
          <w:rFonts w:ascii="Arial" w:cs="Arial" w:eastAsia="Arial" w:hAnsi="Arial"/>
          <w:sz w:val="18"/>
          <w:szCs w:val="18"/>
          <w:color w:val="auto"/>
        </w:rPr>
      </w:pPr>
    </w:p>
    <w:p>
      <w:pPr>
        <w:ind w:firstLine="464"/>
        <w:spacing w:after="0" w:line="287" w:lineRule="auto"/>
        <w:tabs>
          <w:tab w:leader="none" w:pos="632"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Officer that (</w:t>
      </w:r>
      <w:r>
        <w:rPr>
          <w:rFonts w:ascii="Arial" w:cs="Arial" w:eastAsia="Arial" w:hAnsi="Arial"/>
          <w:sz w:val="16"/>
          <w:szCs w:val="16"/>
          <w:u w:val="single" w:color="auto"/>
          <w:color w:val="auto"/>
        </w:rPr>
        <w:t>i</w:t>
      </w:r>
      <w:r>
        <w:rPr>
          <w:rFonts w:ascii="Arial" w:cs="Arial" w:eastAsia="Arial" w:hAnsi="Arial"/>
          <w:sz w:val="16"/>
          <w:szCs w:val="16"/>
          <w:color w:val="auto"/>
        </w:rPr>
        <w:t>) the Company is a limited liability company duly organized, validly existing and in good standing under the laws of the State of Delaware, (</w:t>
      </w:r>
      <w:r>
        <w:rPr>
          <w:rFonts w:ascii="Arial" w:cs="Arial" w:eastAsia="Arial" w:hAnsi="Arial"/>
          <w:sz w:val="16"/>
          <w:szCs w:val="16"/>
          <w:u w:val="single" w:color="auto"/>
          <w:color w:val="auto"/>
        </w:rPr>
        <w:t>ii</w:t>
      </w:r>
      <w:r>
        <w:rPr>
          <w:rFonts w:ascii="Arial" w:cs="Arial" w:eastAsia="Arial" w:hAnsi="Arial"/>
          <w:sz w:val="16"/>
          <w:szCs w:val="16"/>
          <w:color w:val="auto"/>
        </w:rPr>
        <w:t>) the execution and delivery of this Agreement, the Securityholders’ Agreement and the LLC Agreement, the performance of the Company’s obligations hereunder and thereunder and the consummation by it of the transactions contemplated hereby and thereby have been duly and validly authorized by all requisite corporate action on the part of the Company, (</w:t>
      </w:r>
      <w:r>
        <w:rPr>
          <w:rFonts w:ascii="Arial" w:cs="Arial" w:eastAsia="Arial" w:hAnsi="Arial"/>
          <w:sz w:val="16"/>
          <w:szCs w:val="16"/>
          <w:u w:val="single" w:color="auto"/>
          <w:color w:val="auto"/>
        </w:rPr>
        <w:t>iii</w:t>
      </w:r>
      <w:r>
        <w:rPr>
          <w:rFonts w:ascii="Arial" w:cs="Arial" w:eastAsia="Arial" w:hAnsi="Arial"/>
          <w:sz w:val="16"/>
          <w:szCs w:val="16"/>
          <w:color w:val="auto"/>
        </w:rPr>
        <w:t>) this Agreement, the Securityholders’ Agreement and the LLC Agreement have been duly and validly executed by the Company and constitute the legal, valid and binding obligations of the Company enforceable against it in accordance with their respective terms, except as the same may be affected by bankruptcy, insolvency, moratorium or similar laws, or by legal or equitable principles relating to or limiting the rights of contracting parties generally and (</w:t>
      </w:r>
      <w:r>
        <w:rPr>
          <w:rFonts w:ascii="Arial" w:cs="Arial" w:eastAsia="Arial" w:hAnsi="Arial"/>
          <w:sz w:val="16"/>
          <w:szCs w:val="16"/>
          <w:u w:val="single" w:color="auto"/>
          <w:color w:val="auto"/>
        </w:rPr>
        <w:t>iv</w:t>
      </w:r>
      <w:r>
        <w:rPr>
          <w:rFonts w:ascii="Arial" w:cs="Arial" w:eastAsia="Arial" w:hAnsi="Arial"/>
          <w:sz w:val="16"/>
          <w:szCs w:val="16"/>
          <w:color w:val="auto"/>
        </w:rPr>
        <w:t>) the Units, when issued and delivered in accordance with the terms hereof, will be duly authorized, validly issued, fully paid and nonassessable, and free and clear of any liens or encumbrances other than those created by the Officer or pursuant to this Agreement, the Securityholders’ Agreement or the LLC Agreement or otherwise in connection with the transactions contemplated hereby and thereby.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95" w:name="page296"/>
    <w:bookmarkEnd w:id="295"/>
    <w:p>
      <w:pPr>
        <w:ind w:left="640" w:hanging="176"/>
        <w:spacing w:after="0"/>
        <w:tabs>
          <w:tab w:leader="none" w:pos="64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8" w:lineRule="auto"/>
        <w:tabs>
          <w:tab w:leader="none" w:pos="695"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required or permitted to be given under this Agreement shall be in writing and shall be deemed to have been given if delivered personally (including by recognized overnight carrier) or sent by certified or express mail, return receipt requested, postage prepaid, or by any recognized international equivalent of such mail delivery, to the Company, or the Officer, as the case may be, at the following addresses or to such other address as the Company or the Officer, as the case may be, shall specify by notice to the others:</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891 Daechi-dong, Kangnam-gu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900" w:hanging="446"/>
        <w:spacing w:after="0"/>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to the Officer, to the Officer at the address as reflected in the Company’s books and records.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firstLine="464"/>
        <w:spacing w:after="0" w:line="335" w:lineRule="auto"/>
        <w:tabs>
          <w:tab w:leader="none" w:pos="705" w:val="left"/>
        </w:tabs>
        <w:numPr>
          <w:ilvl w:val="0"/>
          <w:numId w:val="264"/>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right="40" w:firstLine="464"/>
        <w:spacing w:after="0" w:line="289" w:lineRule="auto"/>
        <w:tabs>
          <w:tab w:leader="none" w:pos="695"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a party to exercise any right or privilege hereunder shall be deemed a waiver of such party’s rights or privileges hereunder or shall be deemed a waiver of such party’s rights to exercise the same at any subsequent time or times hereunder.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296" w:name="page297"/>
    <w:bookmarkEnd w:id="296"/>
    <w:p>
      <w:pPr>
        <w:ind w:left="680" w:hanging="256"/>
        <w:spacing w:after="0"/>
        <w:tabs>
          <w:tab w:leader="none" w:pos="680"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w:t>
      </w:r>
      <w:r>
        <w:rPr>
          <w:rFonts w:ascii="Arial" w:cs="Arial" w:eastAsia="Arial" w:hAnsi="Arial"/>
          <w:sz w:val="16"/>
          <w:szCs w:val="16"/>
          <w:color w:val="auto"/>
        </w:rPr>
        <w:t>. This Agreement may be amended, modified or supplemented only by a written agreement executed by the Officer and the Company.</w:t>
      </w:r>
    </w:p>
    <w:p>
      <w:pPr>
        <w:spacing w:after="0" w:line="194" w:lineRule="exact"/>
        <w:rPr>
          <w:rFonts w:ascii="Arial" w:cs="Arial" w:eastAsia="Arial" w:hAnsi="Arial"/>
          <w:sz w:val="16"/>
          <w:szCs w:val="16"/>
          <w:color w:val="auto"/>
        </w:rPr>
      </w:pPr>
    </w:p>
    <w:p>
      <w:pPr>
        <w:ind w:left="-40" w:firstLine="464"/>
        <w:spacing w:after="0" w:line="335" w:lineRule="auto"/>
        <w:tabs>
          <w:tab w:leader="none" w:pos="655" w:val="left"/>
        </w:tabs>
        <w:numPr>
          <w:ilvl w:val="0"/>
          <w:numId w:val="265"/>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Plan, the Securityholders Agreement and the LLC Agreement, is the entire agreement of the parties with respect to the subject matter hereof and supersedes all other prior agreements, understandings, documents, statements, representations and warranties, oral or written, express or implied, between the parties hereto and their respective subsidiaries, representatives and agents in respect of the subject matter hereof.</w:t>
      </w:r>
    </w:p>
    <w:p>
      <w:pPr>
        <w:spacing w:after="0" w:line="88" w:lineRule="exact"/>
        <w:rPr>
          <w:rFonts w:ascii="Arial" w:cs="Arial" w:eastAsia="Arial" w:hAnsi="Arial"/>
          <w:sz w:val="15"/>
          <w:szCs w:val="15"/>
          <w:color w:val="auto"/>
        </w:rPr>
      </w:pPr>
    </w:p>
    <w:p>
      <w:pPr>
        <w:ind w:left="-40" w:right="120" w:firstLine="464"/>
        <w:spacing w:after="0" w:line="298" w:lineRule="auto"/>
        <w:tabs>
          <w:tab w:leader="none" w:pos="636"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any Subsidiary may withhold from, and set off against, any and all payments due to the Officer, those amounts required to be remitted by the Company or such Subsidiary to satisfy federal, state, and local withholding tax requirements related to the Officers’ acquisition of the Units hereunder. The Officer shall promptly remit to the Company any difference between the amount of taxes which the Company and its Subsidiaries are able to withhold and the amount of taxes which are required to be remitted to taxing authorities on the Officer’s behalf.</w:t>
      </w:r>
    </w:p>
    <w:p>
      <w:pPr>
        <w:spacing w:after="0" w:line="112" w:lineRule="exact"/>
        <w:rPr>
          <w:rFonts w:ascii="Arial" w:cs="Arial" w:eastAsia="Arial" w:hAnsi="Arial"/>
          <w:sz w:val="16"/>
          <w:szCs w:val="16"/>
          <w:color w:val="auto"/>
        </w:rPr>
      </w:pPr>
    </w:p>
    <w:p>
      <w:pPr>
        <w:jc w:val="both"/>
        <w:ind w:left="-40" w:firstLine="464"/>
        <w:spacing w:after="0" w:line="298" w:lineRule="auto"/>
        <w:tabs>
          <w:tab w:leader="none" w:pos="665"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Beneficiary Designation</w:t>
      </w:r>
      <w:r>
        <w:rPr>
          <w:rFonts w:ascii="Arial" w:cs="Arial" w:eastAsia="Arial" w:hAnsi="Arial"/>
          <w:sz w:val="16"/>
          <w:szCs w:val="16"/>
          <w:color w:val="auto"/>
        </w:rPr>
        <w:t>. The Officer may from time to time name any beneficiary or beneficiaries (who may be named contingently or successively) by whom any right under the Plan and this Agreement is to be exercised in case of her death. Each designation will revoke all prior designations by the Officer, shall be in a form reasonably prescribed by the Committee, and will be effective only when filed by the Officer in writing with the Committee during her lifetime. If no beneficiary is named, or if a named beneficiary does not survive the Officer, the Successor Holder may exercise the Grantee’s rights under the Plan.</w:t>
      </w:r>
    </w:p>
    <w:p>
      <w:pPr>
        <w:spacing w:after="0" w:line="112" w:lineRule="exact"/>
        <w:rPr>
          <w:rFonts w:ascii="Arial" w:cs="Arial" w:eastAsia="Arial" w:hAnsi="Arial"/>
          <w:sz w:val="16"/>
          <w:szCs w:val="16"/>
          <w:color w:val="auto"/>
        </w:rPr>
      </w:pPr>
    </w:p>
    <w:p>
      <w:pPr>
        <w:ind w:left="-40" w:right="520" w:firstLine="464"/>
        <w:spacing w:after="0" w:line="268" w:lineRule="auto"/>
        <w:tabs>
          <w:tab w:leader="none" w:pos="665"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 Nothing in this Agreement shall interfere with or limit in any way the right of MagnaChip Korea to terminate the Officer’s employment at any time, or confer upon the Officer any right to continue in the employ of MagnaChip Korea.</w:t>
      </w:r>
    </w:p>
    <w:p>
      <w:pPr>
        <w:spacing w:after="0" w:line="131" w:lineRule="exact"/>
        <w:rPr>
          <w:rFonts w:ascii="Arial" w:cs="Arial" w:eastAsia="Arial" w:hAnsi="Arial"/>
          <w:sz w:val="18"/>
          <w:szCs w:val="18"/>
          <w:color w:val="auto"/>
        </w:rPr>
      </w:pPr>
    </w:p>
    <w:p>
      <w:pPr>
        <w:ind w:left="-40" w:right="20" w:firstLine="464"/>
        <w:spacing w:after="0" w:line="268" w:lineRule="auto"/>
        <w:tabs>
          <w:tab w:leader="none" w:pos="626"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left="-40" w:right="520" w:firstLine="464"/>
        <w:spacing w:after="0" w:line="268" w:lineRule="auto"/>
        <w:tabs>
          <w:tab w:leader="none" w:pos="626"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 5 (relating to Officer’s representations, warranties and covenants) and Section 8 (relating to the Company’s representations and warranties) shall survive any termination of this Agreement.</w:t>
      </w:r>
    </w:p>
    <w:p>
      <w:pPr>
        <w:spacing w:after="0" w:line="131" w:lineRule="exact"/>
        <w:rPr>
          <w:rFonts w:ascii="Arial" w:cs="Arial" w:eastAsia="Arial" w:hAnsi="Arial"/>
          <w:sz w:val="18"/>
          <w:szCs w:val="18"/>
          <w:color w:val="auto"/>
        </w:rPr>
      </w:pPr>
    </w:p>
    <w:p>
      <w:pPr>
        <w:ind w:left="-40" w:right="240" w:firstLine="464"/>
        <w:spacing w:after="0" w:line="268" w:lineRule="auto"/>
        <w:tabs>
          <w:tab w:leader="none" w:pos="665"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 etc</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left="-40" w:right="580" w:firstLine="464"/>
        <w:spacing w:after="0" w:line="268" w:lineRule="auto"/>
        <w:tabs>
          <w:tab w:leader="none" w:pos="626"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80" w:right="279" w:bottom="1440" w:gutter="0" w:footer="0" w:header="0"/>
        </w:sectPr>
      </w:pPr>
    </w:p>
    <w:bookmarkStart w:id="297" w:name="page298"/>
    <w:bookmarkEnd w:id="29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Officer have executed this Agreement as of the date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OFFICER: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VICTORIA MILLER NAM</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Victoria Miller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Total Number of restricted</w:t>
            </w:r>
          </w:p>
        </w:tc>
        <w:tc>
          <w:tcPr>
            <w:tcW w:w="940" w:type="dxa"/>
            <w:vAlign w:val="bottom"/>
          </w:tcPr>
          <w:p>
            <w:pPr>
              <w:spacing w:after="0"/>
              <w:rPr>
                <w:sz w:val="18"/>
                <w:szCs w:val="18"/>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w w:val="98"/>
              </w:rPr>
              <w:t>Common Units to be Purchased:</w:t>
            </w:r>
          </w:p>
        </w:tc>
        <w:tc>
          <w:tcPr>
            <w:tcW w:w="940" w:type="dxa"/>
            <w:vAlign w:val="bottom"/>
          </w:tcPr>
          <w:p>
            <w:pPr>
              <w:ind w:left="300"/>
              <w:spacing w:after="0"/>
              <w:rPr>
                <w:sz w:val="20"/>
                <w:szCs w:val="20"/>
                <w:color w:val="auto"/>
              </w:rPr>
            </w:pPr>
            <w:r>
              <w:rPr>
                <w:rFonts w:ascii="Arial" w:cs="Arial" w:eastAsia="Arial" w:hAnsi="Arial"/>
                <w:sz w:val="18"/>
                <w:szCs w:val="18"/>
                <w:color w:val="auto"/>
                <w:w w:val="95"/>
              </w:rPr>
              <w:t>136,450</w:t>
            </w:r>
          </w:p>
        </w:tc>
      </w:tr>
      <w:tr>
        <w:trPr>
          <w:trHeight w:val="426"/>
        </w:trPr>
        <w:tc>
          <w:tcPr>
            <w:tcW w:w="2580" w:type="dxa"/>
            <w:vAlign w:val="bottom"/>
          </w:tcPr>
          <w:p>
            <w:pPr>
              <w:spacing w:after="0"/>
              <w:rPr>
                <w:sz w:val="20"/>
                <w:szCs w:val="20"/>
                <w:color w:val="auto"/>
              </w:rPr>
            </w:pPr>
            <w:r>
              <w:rPr>
                <w:rFonts w:ascii="Arial" w:cs="Arial" w:eastAsia="Arial" w:hAnsi="Arial"/>
                <w:sz w:val="18"/>
                <w:szCs w:val="18"/>
                <w:color w:val="auto"/>
              </w:rPr>
              <w:t>Total Purchase</w:t>
            </w:r>
          </w:p>
        </w:tc>
        <w:tc>
          <w:tcPr>
            <w:tcW w:w="940" w:type="dxa"/>
            <w:vAlign w:val="bottom"/>
          </w:tcPr>
          <w:p>
            <w:pPr>
              <w:spacing w:after="0"/>
              <w:rPr>
                <w:sz w:val="24"/>
                <w:szCs w:val="24"/>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Price:</w:t>
            </w:r>
          </w:p>
        </w:tc>
        <w:tc>
          <w:tcPr>
            <w:tcW w:w="940" w:type="dxa"/>
            <w:vAlign w:val="bottom"/>
          </w:tcPr>
          <w:p>
            <w:pPr>
              <w:ind w:left="300"/>
              <w:spacing w:after="0"/>
              <w:rPr>
                <w:sz w:val="20"/>
                <w:szCs w:val="20"/>
                <w:color w:val="auto"/>
              </w:rPr>
            </w:pPr>
            <w:r>
              <w:rPr>
                <w:rFonts w:ascii="Arial" w:cs="Arial" w:eastAsia="Arial" w:hAnsi="Arial"/>
                <w:sz w:val="18"/>
                <w:szCs w:val="18"/>
                <w:color w:val="auto"/>
                <w:w w:val="82"/>
              </w:rPr>
              <w:t>$136,450</w:t>
            </w:r>
          </w:p>
        </w:tc>
      </w:tr>
    </w:tbl>
    <w:p>
      <w:pPr>
        <w:sectPr>
          <w:pgSz w:w="11900" w:h="16838" w:orient="portrait"/>
          <w:cols w:equalWidth="0" w:num="1">
            <w:col w:w="10219"/>
          </w:cols>
          <w:pgMar w:left="240" w:top="280" w:right="1440"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10.48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 AGREEMENT, dated as of December 30, 2004 between MagnaChip Semiconductor LLC, a Delaware limited liability company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Jerry M. Baker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Grantee</w:t>
      </w:r>
      <w:r>
        <w:rPr>
          <w:rFonts w:ascii="Arial" w:cs="Arial" w:eastAsia="Arial" w:hAnsi="Arial"/>
          <w:sz w:val="16"/>
          <w:szCs w:val="16"/>
          <w:b w:val="1"/>
          <w:bCs w:val="1"/>
          <w:color w:val="auto"/>
        </w:rPr>
        <w:t>”</w:t>
      </w:r>
      <w:r>
        <w:rPr>
          <w:rFonts w:ascii="Arial" w:cs="Arial" w:eastAsia="Arial" w:hAnsi="Arial"/>
          <w:sz w:val="16"/>
          <w:szCs w:val="16"/>
          <w:color w:val="auto"/>
        </w:rPr>
        <w:t>), pursuant to the MagnaChip Semiconductor LLC Equity Incentive Plan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Capitalized terms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not defined herein shall have the meanings given to such terms in the Plan.</w:t>
      </w:r>
    </w:p>
    <w:p>
      <w:pPr>
        <w:spacing w:after="0" w:line="15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restricted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Restricted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and consultants of its wholly-owned subsidiary, MagnaChip Semiconductor, Ltd. (the “</w:t>
      </w:r>
      <w:r>
        <w:rPr>
          <w:rFonts w:ascii="Arial" w:cs="Arial" w:eastAsia="Arial" w:hAnsi="Arial"/>
          <w:sz w:val="18"/>
          <w:szCs w:val="18"/>
          <w:b w:val="1"/>
          <w:bCs w:val="1"/>
          <w:u w:val="single" w:color="auto"/>
          <w:color w:val="auto"/>
        </w:rPr>
        <w:t>MagnaChip Korea</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in order to effect such grants;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Committee has determined that it is in the interest of the Company to grant these options to the Grantee.</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51" w:lineRule="exact"/>
        <w:rPr>
          <w:sz w:val="20"/>
          <w:szCs w:val="20"/>
          <w:color w:val="auto"/>
        </w:rPr>
      </w:pPr>
    </w:p>
    <w:p>
      <w:pPr>
        <w:ind w:left="640" w:hanging="176"/>
        <w:spacing w:after="0"/>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jc w:val="both"/>
        <w:ind w:right="220" w:firstLine="464"/>
        <w:spacing w:after="0" w:line="262"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 xml:space="preserve">. The Company hereby evidences and confirms the grant to the Grantee, effective as of the date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w:t>
      </w:r>
      <w:r>
        <w:rPr>
          <w:rFonts w:ascii="Arial" w:cs="Arial" w:eastAsia="Arial" w:hAnsi="Arial"/>
          <w:sz w:val="18"/>
          <w:szCs w:val="18"/>
          <w:color w:val="auto"/>
        </w:rPr>
        <w:t xml:space="preserve">), of options to purchase from the Company the number of Restricted Units specified on the signature page hereof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r>
        <w:rPr>
          <w:rFonts w:ascii="Arial" w:cs="Arial" w:eastAsia="Arial" w:hAnsi="Arial"/>
          <w:sz w:val="18"/>
          <w:szCs w:val="18"/>
          <w:color w:val="auto"/>
        </w:rPr>
        <w:t>) at the exercise price of $1.00 per Restricted Unit (the “</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right="20" w:firstLine="464"/>
        <w:spacing w:after="0" w:line="259" w:lineRule="auto"/>
        <w:tabs>
          <w:tab w:leader="none" w:pos="70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w:t>
      </w:r>
    </w:p>
    <w:p>
      <w:pPr>
        <w:spacing w:after="0" w:line="140"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132" w:lineRule="exact"/>
        <w:rPr>
          <w:sz w:val="20"/>
          <w:szCs w:val="20"/>
          <w:color w:val="auto"/>
        </w:rPr>
      </w:pPr>
    </w:p>
    <w:p>
      <w:pPr>
        <w:ind w:left="640" w:hanging="176"/>
        <w:spacing w:after="0"/>
        <w:tabs>
          <w:tab w:leader="none" w:pos="64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Exercisability</w:t>
      </w:r>
      <w:r>
        <w:rPr>
          <w:rFonts w:ascii="Arial" w:cs="Arial" w:eastAsia="Arial" w:hAnsi="Arial"/>
          <w:sz w:val="18"/>
          <w:szCs w:val="18"/>
          <w:color w:val="auto"/>
        </w:rPr>
        <w:t>. The Options shall be fully-vested and immediately exerciseable on the Grant Date.</w:t>
      </w:r>
    </w:p>
    <w:p>
      <w:pPr>
        <w:sectPr>
          <w:pgSz w:w="11900" w:h="16838" w:orient="portrait"/>
          <w:cols w:equalWidth="0" w:num="1">
            <w:col w:w="11420"/>
          </w:cols>
          <w:pgMar w:left="240" w:top="125" w:right="239" w:bottom="1440" w:gutter="0" w:footer="0" w:header="0"/>
        </w:sectPr>
      </w:pPr>
    </w:p>
    <w:bookmarkStart w:id="299" w:name="page300"/>
    <w:bookmarkEnd w:id="299"/>
    <w:p>
      <w:pPr>
        <w:ind w:right="160" w:firstLine="464"/>
        <w:spacing w:after="0" w:line="268" w:lineRule="auto"/>
        <w:tabs>
          <w:tab w:leader="none" w:pos="70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Normal Expiration Date</w:t>
      </w:r>
      <w:r>
        <w:rPr>
          <w:rFonts w:ascii="Arial" w:cs="Arial" w:eastAsia="Arial" w:hAnsi="Arial"/>
          <w:sz w:val="18"/>
          <w:szCs w:val="18"/>
          <w:color w:val="auto"/>
        </w:rPr>
        <w:t xml:space="preserve">. Unless the Options earlier terminate in accordance with Section 4, the Options shall terminate on the first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2" w:lineRule="exact"/>
        <w:rPr>
          <w:sz w:val="20"/>
          <w:szCs w:val="20"/>
          <w:color w:val="auto"/>
        </w:rPr>
      </w:pPr>
    </w:p>
    <w:p>
      <w:pPr>
        <w:ind w:left="640" w:hanging="176"/>
        <w:spacing w:after="0"/>
        <w:tabs>
          <w:tab w:leader="none" w:pos="64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All or part of the exercisable Options may be exercised by the Grantee upon (</w:t>
      </w:r>
      <w:r>
        <w:rPr>
          <w:rFonts w:ascii="Arial" w:cs="Arial" w:eastAsia="Arial" w:hAnsi="Arial"/>
          <w:sz w:val="18"/>
          <w:szCs w:val="18"/>
          <w:u w:val="single" w:color="auto"/>
          <w:color w:val="auto"/>
        </w:rPr>
        <w:t>a</w:t>
      </w:r>
      <w:r>
        <w:rPr>
          <w:rFonts w:ascii="Arial" w:cs="Arial" w:eastAsia="Arial" w:hAnsi="Arial"/>
          <w:sz w:val="18"/>
          <w:szCs w:val="18"/>
          <w:color w:val="auto"/>
        </w:rPr>
        <w:t>) the Grantee’s written notice to the Company of exercise, (</w:t>
      </w:r>
      <w:r>
        <w:rPr>
          <w:rFonts w:ascii="Arial" w:cs="Arial" w:eastAsia="Arial" w:hAnsi="Arial"/>
          <w:sz w:val="18"/>
          <w:szCs w:val="18"/>
          <w:u w:val="single" w:color="auto"/>
          <w:color w:val="auto"/>
        </w:rPr>
        <w:t>b</w:t>
      </w:r>
      <w:r>
        <w:rPr>
          <w:rFonts w:ascii="Arial" w:cs="Arial" w:eastAsia="Arial" w:hAnsi="Arial"/>
          <w:sz w:val="18"/>
          <w:szCs w:val="18"/>
          <w:color w:val="auto"/>
        </w:rPr>
        <w:t>) the Grantee’s payment of the Option Price in full at the time of exercise (</w:t>
      </w:r>
      <w:r>
        <w:rPr>
          <w:rFonts w:ascii="Arial" w:cs="Arial" w:eastAsia="Arial" w:hAnsi="Arial"/>
          <w:sz w:val="18"/>
          <w:szCs w:val="18"/>
          <w:u w:val="single" w:color="auto"/>
          <w:color w:val="auto"/>
        </w:rPr>
        <w:t>i</w:t>
      </w:r>
      <w:r>
        <w:rPr>
          <w:rFonts w:ascii="Arial" w:cs="Arial" w:eastAsia="Arial" w:hAnsi="Arial"/>
          <w:sz w:val="18"/>
          <w:szCs w:val="18"/>
          <w:color w:val="auto"/>
        </w:rPr>
        <w:t>) in cash or cash equivalents or (</w:t>
      </w:r>
      <w:r>
        <w:rPr>
          <w:rFonts w:ascii="Arial" w:cs="Arial" w:eastAsia="Arial" w:hAnsi="Arial"/>
          <w:sz w:val="18"/>
          <w:szCs w:val="18"/>
          <w:u w:val="single" w:color="auto"/>
          <w:color w:val="auto"/>
        </w:rPr>
        <w:t>ii</w:t>
      </w:r>
      <w:r>
        <w:rPr>
          <w:rFonts w:ascii="Arial" w:cs="Arial" w:eastAsia="Arial" w:hAnsi="Arial"/>
          <w:sz w:val="18"/>
          <w:szCs w:val="18"/>
          <w:color w:val="auto"/>
        </w:rPr>
        <w:t>) in accordance with such procedures or in such other form as the Committee shall from time to time determine,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the Grantee’s execution of a subscription agreement which shall be in substantially the form of the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 Subscription Agreement</w:t>
      </w:r>
      <w:r>
        <w:rPr>
          <w:rFonts w:ascii="Arial" w:cs="Arial" w:eastAsia="Arial" w:hAnsi="Arial"/>
          <w:sz w:val="18"/>
          <w:szCs w:val="18"/>
          <w:color w:val="auto"/>
        </w:rPr>
        <w:t xml:space="preserve"> attached hereto as Exhibit A, and (</w:t>
      </w:r>
      <w:r>
        <w:rPr>
          <w:rFonts w:ascii="Arial" w:cs="Arial" w:eastAsia="Arial" w:hAnsi="Arial"/>
          <w:sz w:val="18"/>
          <w:szCs w:val="18"/>
          <w:u w:val="single" w:color="auto"/>
          <w:color w:val="auto"/>
        </w:rPr>
        <w:t>d</w:t>
      </w:r>
      <w:r>
        <w:rPr>
          <w:rFonts w:ascii="Arial" w:cs="Arial" w:eastAsia="Arial" w:hAnsi="Arial"/>
          <w:sz w:val="18"/>
          <w:szCs w:val="18"/>
          <w:color w:val="auto"/>
        </w:rPr>
        <w:t>) the Grantee’s execution of a joinder to the Securityholders’ Agreement and LLC Agreement (if the Grantee is not then a party to such agreements) in order to become a party to such agreements with respect to the Restricted Units issuable upon the exercise of such Options.</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Restricted Unit Subscription Agreement shall contain provisions providing that, upon any termination of the Grantee’s employment with MagnaChip Korea, the Restricted Units shall be subject to forfeiture and/or repurchase by the Company.</w:t>
      </w:r>
    </w:p>
    <w:p>
      <w:pPr>
        <w:spacing w:after="0" w:line="132" w:lineRule="exact"/>
        <w:rPr>
          <w:sz w:val="20"/>
          <w:szCs w:val="20"/>
          <w:color w:val="auto"/>
        </w:rPr>
      </w:pPr>
    </w:p>
    <w:p>
      <w:pPr>
        <w:ind w:left="640" w:hanging="176"/>
        <w:spacing w:after="0"/>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sz w:val="20"/>
          <w:szCs w:val="20"/>
          <w:color w:val="auto"/>
        </w:rPr>
      </w:pPr>
    </w:p>
    <w:p>
      <w:pPr>
        <w:ind w:left="640" w:hanging="176"/>
        <w:spacing w:after="0"/>
        <w:tabs>
          <w:tab w:leader="none" w:pos="64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Whenever Restricted Units are to be issued pursuant to the exercise of an Option or any cash payment is to be made hereunder, The Company shall have the power to withhold, or require the Grantee to remit to the Company, an amount sufficient to satisfy federal, state, and local withholding tax requirements relating to such transaction, and the Company may defer payment of cash or issuance of Restricted Units until such requirements are satisfied.</w:t>
      </w:r>
    </w:p>
    <w:p>
      <w:pPr>
        <w:spacing w:after="0" w:line="107" w:lineRule="exact"/>
        <w:rPr>
          <w:sz w:val="20"/>
          <w:szCs w:val="20"/>
          <w:color w:val="auto"/>
        </w:rPr>
      </w:pPr>
    </w:p>
    <w:p>
      <w:pPr>
        <w:ind w:left="640" w:hanging="176"/>
        <w:spacing w:after="0"/>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Unless the Committee shall permit (on such terms and conditions as it shall establish) Options to be transferred, no Options may be sold, transferred, pledged, assigned or otherwise alienated or hypothecated, other than by will or by the laws of descent and distribution.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00" w:name="page301"/>
    <w:bookmarkEnd w:id="300"/>
    <w:p>
      <w:pPr>
        <w:ind w:left="640" w:hanging="176"/>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13" w:lineRule="exact"/>
        <w:rPr>
          <w:sz w:val="20"/>
          <w:szCs w:val="20"/>
          <w:color w:val="auto"/>
        </w:rPr>
      </w:pPr>
    </w:p>
    <w:p>
      <w:pPr>
        <w:ind w:left="640" w:hanging="176"/>
        <w:spacing w:after="0"/>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issuance of Restricted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Restricted Units shall be issued upon exercise of any Options granted hereunder, if such exercise would result in a violation of applicable law.</w:t>
      </w:r>
    </w:p>
    <w:p>
      <w:pPr>
        <w:spacing w:after="0" w:line="143" w:lineRule="exact"/>
        <w:rPr>
          <w:sz w:val="20"/>
          <w:szCs w:val="20"/>
          <w:color w:val="auto"/>
        </w:rPr>
      </w:pPr>
    </w:p>
    <w:p>
      <w:pPr>
        <w:ind w:left="640" w:hanging="17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 Korea.</w:t>
      </w:r>
    </w:p>
    <w:p>
      <w:pPr>
        <w:spacing w:after="0" w:line="132" w:lineRule="exact"/>
        <w:rPr>
          <w:sz w:val="20"/>
          <w:szCs w:val="20"/>
          <w:color w:val="auto"/>
        </w:rPr>
      </w:pPr>
    </w:p>
    <w:p>
      <w:pPr>
        <w:ind w:left="720" w:hanging="256"/>
        <w:spacing w:after="0"/>
        <w:tabs>
          <w:tab w:leader="none" w:pos="72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otherwise required by law, the Grantee shall not have any rights as a securityholder with respect to any Restricted Units covered by the Options granted hereby until such time as the Restricted Units issuable upon exercise of such Options have been so issued. Notwithstanding anything else contained herein to the contrary, the exercise of any portion of the Options hereby is expressly conditioned on the Grantee executing a subscription agreement which shall be in substantially the form of the Restricted Unit Subscription Agreement attached hereto as Exhibit A.</w:t>
      </w:r>
    </w:p>
    <w:p>
      <w:pPr>
        <w:spacing w:after="0" w:line="113" w:lineRule="exact"/>
        <w:rPr>
          <w:sz w:val="20"/>
          <w:szCs w:val="20"/>
          <w:color w:val="auto"/>
        </w:rPr>
      </w:pPr>
    </w:p>
    <w:p>
      <w:pPr>
        <w:ind w:left="720" w:hanging="256"/>
        <w:spacing w:after="0"/>
        <w:tabs>
          <w:tab w:leader="none" w:pos="72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301" w:name="page302"/>
    <w:bookmarkEnd w:id="301"/>
    <w:p>
      <w:pPr>
        <w:ind w:left="720" w:hanging="256"/>
        <w:spacing w:after="0"/>
        <w:tabs>
          <w:tab w:leader="none" w:pos="72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120" w:lineRule="exact"/>
        <w:rPr>
          <w:sz w:val="20"/>
          <w:szCs w:val="20"/>
          <w:color w:val="auto"/>
        </w:rPr>
      </w:pPr>
    </w:p>
    <w:p>
      <w:pPr>
        <w:ind w:left="720" w:hanging="256"/>
        <w:spacing w:after="0"/>
        <w:tabs>
          <w:tab w:leader="none" w:pos="72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Daechi-dong, Kangnam-gu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900" w:hanging="446"/>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to the Grantee, to the Grantee at the address as reflected in the Company’s books and records.</w:t>
      </w:r>
    </w:p>
    <w:p>
      <w:pPr>
        <w:spacing w:after="0" w:line="9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right="80" w:firstLine="464"/>
        <w:spacing w:after="0" w:line="335" w:lineRule="auto"/>
        <w:tabs>
          <w:tab w:leader="none" w:pos="705" w:val="left"/>
        </w:tabs>
        <w:numPr>
          <w:ilvl w:val="0"/>
          <w:numId w:val="284"/>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right="260" w:firstLine="464"/>
        <w:spacing w:after="0" w:line="268" w:lineRule="auto"/>
        <w:tabs>
          <w:tab w:leader="none" w:pos="695"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 hereto may by written notice to the other (</w:t>
      </w:r>
      <w:r>
        <w:rPr>
          <w:rFonts w:ascii="Arial" w:cs="Arial" w:eastAsia="Arial" w:hAnsi="Arial"/>
          <w:sz w:val="18"/>
          <w:szCs w:val="18"/>
          <w:u w:val="single" w:color="auto"/>
          <w:color w:val="auto"/>
        </w:rPr>
        <w:t>i</w:t>
      </w:r>
      <w:r>
        <w:rPr>
          <w:rFonts w:ascii="Arial" w:cs="Arial" w:eastAsia="Arial" w:hAnsi="Arial"/>
          <w:sz w:val="18"/>
          <w:szCs w:val="18"/>
          <w:color w:val="auto"/>
        </w:rPr>
        <w:t>) extend the time for the performance of any of the obligations or other actions of the other under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02" w:name="page303"/>
    <w:bookmarkEnd w:id="302"/>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t>
      </w:r>
      <w:r>
        <w:rPr>
          <w:rFonts w:ascii="Arial" w:cs="Arial" w:eastAsia="Arial" w:hAnsi="Arial"/>
          <w:sz w:val="18"/>
          <w:szCs w:val="18"/>
          <w:u w:val="single" w:color="auto"/>
          <w:color w:val="auto"/>
        </w:rPr>
        <w:t>ii</w:t>
      </w:r>
      <w:r>
        <w:rPr>
          <w:rFonts w:ascii="Arial" w:cs="Arial" w:eastAsia="Arial" w:hAnsi="Arial"/>
          <w:sz w:val="18"/>
          <w:szCs w:val="18"/>
          <w:color w:val="auto"/>
        </w:rPr>
        <w:t>) waive compliance with any of the conditions or covenants of the other contained in this Agreement and (</w:t>
      </w:r>
      <w:r>
        <w:rPr>
          <w:rFonts w:ascii="Arial" w:cs="Arial" w:eastAsia="Arial" w:hAnsi="Arial"/>
          <w:sz w:val="18"/>
          <w:szCs w:val="18"/>
          <w:u w:val="single" w:color="auto"/>
          <w:color w:val="auto"/>
        </w:rPr>
        <w:t>iii</w:t>
      </w:r>
      <w:r>
        <w:rPr>
          <w:rFonts w:ascii="Arial" w:cs="Arial" w:eastAsia="Arial" w:hAnsi="Arial"/>
          <w:sz w:val="18"/>
          <w:szCs w:val="18"/>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47" w:lineRule="exact"/>
        <w:rPr>
          <w:sz w:val="20"/>
          <w:szCs w:val="20"/>
          <w:color w:val="auto"/>
        </w:rPr>
      </w:pPr>
    </w:p>
    <w:p>
      <w:pPr>
        <w:ind w:firstLine="464"/>
        <w:spacing w:after="0" w:line="259" w:lineRule="auto"/>
        <w:tabs>
          <w:tab w:leader="none" w:pos="705"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40"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right="600" w:firstLine="464"/>
        <w:spacing w:after="0" w:line="268" w:lineRule="auto"/>
        <w:tabs>
          <w:tab w:leader="none" w:pos="676"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right="580" w:firstLine="464"/>
        <w:spacing w:after="0" w:line="268" w:lineRule="auto"/>
        <w:tabs>
          <w:tab w:leader="none" w:pos="705"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Grantee have duly executed this Agreement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Jerry M.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Jerry M. Baker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Number of Restricted Units: 545,798</w:t>
      </w:r>
    </w:p>
    <w:p>
      <w:pPr>
        <w:sectPr>
          <w:pgSz w:w="11900" w:h="16838" w:orient="portrait"/>
          <w:cols w:equalWidth="0" w:num="1">
            <w:col w:w="9759"/>
          </w:cols>
          <w:pgMar w:left="700" w:top="280" w:right="1440"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10.49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UNIT SUBSCRIPTION AGREEMENT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RESTRICTED UNIT SUBSCRIPTION AGREEMENT, dated as of December 30, 2004, between MagnaChip Semiconductor LLC, a Delaware limited liability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officer whose name appears on the signature page hereof (the “</w:t>
      </w:r>
      <w:r>
        <w:rPr>
          <w:rFonts w:ascii="Arial" w:cs="Arial" w:eastAsia="Arial" w:hAnsi="Arial"/>
          <w:sz w:val="18"/>
          <w:szCs w:val="18"/>
          <w:b w:val="1"/>
          <w:bCs w:val="1"/>
          <w:u w:val="single" w:color="auto"/>
          <w:color w:val="auto"/>
        </w:rPr>
        <w:t>Officer</w:t>
      </w:r>
      <w:r>
        <w:rPr>
          <w:rFonts w:ascii="Arial" w:cs="Arial" w:eastAsia="Arial" w:hAnsi="Arial"/>
          <w:sz w:val="18"/>
          <w:szCs w:val="18"/>
          <w:color w:val="auto"/>
        </w:rPr>
        <w:t>”), pursuant to the MagnaChip Semiconductor LLC Equity Incentive Plan, as in effect and as amended from time to time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Capitalized terms that are not defined herein shall have the same meanings given to such terms in the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has granted options to employees and consultants of MagnaChip Korea under the Plan;</w:t>
      </w:r>
    </w:p>
    <w:p>
      <w:pPr>
        <w:spacing w:after="0" w:line="20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Officer desires to exercise the options granted to him pursuant to that certain Option Agreement, dated the date hereof, between the Officer and the Company (the “</w:t>
      </w:r>
      <w:r>
        <w:rPr>
          <w:rFonts w:ascii="Arial" w:cs="Arial" w:eastAsia="Arial" w:hAnsi="Arial"/>
          <w:sz w:val="18"/>
          <w:szCs w:val="18"/>
          <w:b w:val="1"/>
          <w:bCs w:val="1"/>
          <w:u w:val="single" w:color="auto"/>
          <w:color w:val="auto"/>
        </w:rPr>
        <w:t>Option Agreement</w:t>
      </w:r>
      <w:r>
        <w:rPr>
          <w:rFonts w:ascii="Arial" w:cs="Arial" w:eastAsia="Arial" w:hAnsi="Arial"/>
          <w:sz w:val="18"/>
          <w:szCs w:val="18"/>
          <w:color w:val="auto"/>
        </w:rPr>
        <w:t>”) and subscribe for the aggregate number of the Company’s Common Units (the “</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set forth on the signature page hereof (each a “</w:t>
      </w:r>
      <w:r>
        <w:rPr>
          <w:rFonts w:ascii="Arial" w:cs="Arial" w:eastAsia="Arial" w:hAnsi="Arial"/>
          <w:sz w:val="18"/>
          <w:szCs w:val="18"/>
          <w:b w:val="1"/>
          <w:bCs w:val="1"/>
          <w:u w:val="single" w:color="auto"/>
          <w:color w:val="auto"/>
        </w:rPr>
        <w:t>Unit</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desires to issue the Units to the Officer on the terms and subject to the conditions set forth herein.</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NOW, THEREFORE, to implement the foregoing and in consideration of the mutual agreements contained herein, the parties hereto hereby agree as follows:</w:t>
      </w:r>
    </w:p>
    <w:p>
      <w:pPr>
        <w:spacing w:after="0" w:line="51" w:lineRule="exact"/>
        <w:rPr>
          <w:sz w:val="20"/>
          <w:szCs w:val="20"/>
          <w:color w:val="auto"/>
        </w:rPr>
      </w:pPr>
    </w:p>
    <w:p>
      <w:pPr>
        <w:ind w:left="640" w:hanging="176"/>
        <w:spacing w:after="0"/>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Purchase and Sale of Units</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89" w:lineRule="auto"/>
        <w:tabs>
          <w:tab w:leader="none" w:pos="695"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Purchase of Units</w:t>
      </w:r>
      <w:r>
        <w:rPr>
          <w:rFonts w:ascii="Arial" w:cs="Arial" w:eastAsia="Arial" w:hAnsi="Arial"/>
          <w:sz w:val="16"/>
          <w:szCs w:val="16"/>
          <w:color w:val="auto"/>
        </w:rPr>
        <w:t>. Subject to all of the terms and conditions of this Agreement, the Officer hereby subscribes for and shall purchase, and the Company shall issue to the Officer, the Units, at the Closing provided for in Section 2(a) hereof, such Units being issued pursuant to and in accordance with the Plan and the Option Agreement. The Plan and the Option Agreement are incorporated herein by reference and made a part of this Agreement, and the Officer hereby acknowledges receipt of a copy of the Plan and agrees to be bound by all of the terms and conditions herein and therein. To the extent any provision herein is inconsistent with the Plan, the terms of the Plan shall apply. Notwithstanding anything in this Agreement to the contrary, the Company shall have no obligation to issue any Common Units to (</w:t>
      </w:r>
      <w:r>
        <w:rPr>
          <w:rFonts w:ascii="Arial" w:cs="Arial" w:eastAsia="Arial" w:hAnsi="Arial"/>
          <w:sz w:val="16"/>
          <w:szCs w:val="16"/>
          <w:u w:val="single" w:color="auto"/>
          <w:color w:val="auto"/>
        </w:rPr>
        <w:t>i</w:t>
      </w:r>
      <w:r>
        <w:rPr>
          <w:rFonts w:ascii="Arial" w:cs="Arial" w:eastAsia="Arial" w:hAnsi="Arial"/>
          <w:sz w:val="16"/>
          <w:szCs w:val="16"/>
          <w:color w:val="auto"/>
        </w:rPr>
        <w:t>) any person who is not employed by the Company or any of its Subsidiaries at the time that such Common Units are to be issued or (</w:t>
      </w:r>
      <w:r>
        <w:rPr>
          <w:rFonts w:ascii="Arial" w:cs="Arial" w:eastAsia="Arial" w:hAnsi="Arial"/>
          <w:sz w:val="16"/>
          <w:szCs w:val="16"/>
          <w:u w:val="single" w:color="auto"/>
          <w:color w:val="auto"/>
        </w:rPr>
        <w:t>ii</w:t>
      </w:r>
      <w:r>
        <w:rPr>
          <w:rFonts w:ascii="Arial" w:cs="Arial" w:eastAsia="Arial" w:hAnsi="Arial"/>
          <w:sz w:val="16"/>
          <w:szCs w:val="16"/>
          <w:color w:val="auto"/>
        </w:rPr>
        <w:t>) any person who is a resident of a jurisdiction in which the sale of Common Units to such person would constitute a violation of the securities, “blue sky” or other laws of such jurisdiction.</w:t>
      </w:r>
    </w:p>
    <w:p>
      <w:pPr>
        <w:spacing w:after="0" w:line="118" w:lineRule="exact"/>
        <w:rPr>
          <w:sz w:val="20"/>
          <w:szCs w:val="20"/>
          <w:color w:val="auto"/>
        </w:rPr>
      </w:pPr>
    </w:p>
    <w:p>
      <w:pPr>
        <w:ind w:left="640" w:hanging="176"/>
        <w:spacing w:after="0"/>
        <w:tabs>
          <w:tab w:leader="none" w:pos="64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84" w:lineRule="exact"/>
        <w:rPr>
          <w:sz w:val="20"/>
          <w:szCs w:val="20"/>
          <w:color w:val="auto"/>
        </w:rPr>
      </w:pPr>
    </w:p>
    <w:p>
      <w:pPr>
        <w:ind w:right="560" w:firstLine="464"/>
        <w:spacing w:after="0" w:line="275" w:lineRule="auto"/>
        <w:tabs>
          <w:tab w:leader="none" w:pos="695"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Time and Place</w:t>
      </w:r>
      <w:r>
        <w:rPr>
          <w:rFonts w:ascii="Arial" w:cs="Arial" w:eastAsia="Arial" w:hAnsi="Arial"/>
          <w:sz w:val="18"/>
          <w:szCs w:val="18"/>
          <w:color w:val="auto"/>
        </w:rPr>
        <w:t>. Except as otherwise agreed by the Company and the Officer, the closing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of the transaction contemplated by this Agreement shall take place on the date hereof, upon delivery of the items described in Sections 2(b) and (c).</w:t>
      </w:r>
    </w:p>
    <w:p>
      <w:pPr>
        <w:sectPr>
          <w:pgSz w:w="11900" w:h="16838" w:orient="portrait"/>
          <w:cols w:equalWidth="0" w:num="1">
            <w:col w:w="11420"/>
          </w:cols>
          <w:pgMar w:left="240" w:top="125" w:right="239" w:bottom="1440" w:gutter="0" w:footer="0" w:header="0"/>
        </w:sectPr>
      </w:pPr>
    </w:p>
    <w:bookmarkStart w:id="305" w:name="page306"/>
    <w:bookmarkEnd w:id="305"/>
    <w:p>
      <w:pPr>
        <w:ind w:left="-20" w:right="420" w:firstLine="464"/>
        <w:spacing w:after="0" w:line="268" w:lineRule="auto"/>
        <w:tabs>
          <w:tab w:leader="none" w:pos="685"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Delivery by the Company</w:t>
      </w:r>
      <w:r>
        <w:rPr>
          <w:rFonts w:ascii="Arial" w:cs="Arial" w:eastAsia="Arial" w:hAnsi="Arial"/>
          <w:sz w:val="18"/>
          <w:szCs w:val="18"/>
          <w:color w:val="auto"/>
        </w:rPr>
        <w:t>. At the Closing, the Company shall deliver to the Officer a copy of the LLC Agreement, which agreement shall serve as evidence of the Officer’s ownership of the Units.</w:t>
      </w:r>
    </w:p>
    <w:p>
      <w:pPr>
        <w:spacing w:after="0" w:line="131" w:lineRule="exact"/>
        <w:rPr>
          <w:rFonts w:ascii="Arial" w:cs="Arial" w:eastAsia="Arial" w:hAnsi="Arial"/>
          <w:sz w:val="18"/>
          <w:szCs w:val="18"/>
          <w:color w:val="auto"/>
        </w:rPr>
      </w:pPr>
    </w:p>
    <w:p>
      <w:pPr>
        <w:ind w:left="-20" w:right="260" w:firstLine="464"/>
        <w:spacing w:after="0" w:line="294" w:lineRule="auto"/>
        <w:tabs>
          <w:tab w:leader="none" w:pos="675"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Delivery by the Officer</w:t>
      </w:r>
      <w:r>
        <w:rPr>
          <w:rFonts w:ascii="Arial" w:cs="Arial" w:eastAsia="Arial" w:hAnsi="Arial"/>
          <w:sz w:val="16"/>
          <w:szCs w:val="16"/>
          <w:color w:val="auto"/>
        </w:rPr>
        <w:t>. At the Closing, the Officer shall deliver the option exercise price set forth in the Option Agreement and shall execute and deliver to the Company a joinder to the LLC Agreement and the Amended and Restated Securityholders’ Agreement, dated as of October 6, 2004, among the Company, CVC Capital Partners Asia Pacific LP, Asia Investors LLC, CVC Capital Partners Asia II Limited, Citigroup Venture Capital Equity Partners, L.P., CVC Executive Fund LLC, CVC/SSB Employee Fund, L.P., Francisco Partners, L.P., Francisco Partners Fund A, L.P., Peninsula Investment PTE. Ltd., Hynix Semiconductor Inc. and certain other persons named therein (the “</w:t>
      </w:r>
      <w:r>
        <w:rPr>
          <w:rFonts w:ascii="Arial" w:cs="Arial" w:eastAsia="Arial" w:hAnsi="Arial"/>
          <w:sz w:val="16"/>
          <w:szCs w:val="16"/>
          <w:b w:val="1"/>
          <w:bCs w:val="1"/>
          <w:u w:val="single" w:color="auto"/>
          <w:color w:val="auto"/>
        </w:rPr>
        <w:t>Securityholders’ Agreement</w:t>
      </w:r>
      <w:r>
        <w:rPr>
          <w:rFonts w:ascii="Arial" w:cs="Arial" w:eastAsia="Arial" w:hAnsi="Arial"/>
          <w:sz w:val="16"/>
          <w:szCs w:val="16"/>
          <w:color w:val="auto"/>
        </w:rPr>
        <w:t>”).</w:t>
      </w:r>
    </w:p>
    <w:p>
      <w:pPr>
        <w:spacing w:after="0" w:line="116" w:lineRule="exact"/>
        <w:rPr>
          <w:sz w:val="20"/>
          <w:szCs w:val="20"/>
          <w:color w:val="auto"/>
        </w:rPr>
      </w:pPr>
    </w:p>
    <w:p>
      <w:pPr>
        <w:ind w:left="620" w:hanging="176"/>
        <w:spacing w:after="0"/>
        <w:tabs>
          <w:tab w:leader="none" w:pos="62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w:t>
      </w:r>
    </w:p>
    <w:p>
      <w:pPr>
        <w:spacing w:after="0" w:line="90" w:lineRule="exact"/>
        <w:rPr>
          <w:sz w:val="20"/>
          <w:szCs w:val="20"/>
          <w:color w:val="auto"/>
        </w:rPr>
      </w:pPr>
    </w:p>
    <w:p>
      <w:pPr>
        <w:ind w:left="-20" w:firstLine="464"/>
        <w:spacing w:after="0" w:line="290" w:lineRule="auto"/>
        <w:tabs>
          <w:tab w:leader="none" w:pos="675"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All Units received by the Officer under this Agreement are subject to the restrictions contained herein and as provided under the Plan and the Option Agreement, and, so long as the Units are subject to such restrictions, are referred to herein and therein as “</w:t>
      </w:r>
      <w:r>
        <w:rPr>
          <w:rFonts w:ascii="Arial" w:cs="Arial" w:eastAsia="Arial" w:hAnsi="Arial"/>
          <w:sz w:val="16"/>
          <w:szCs w:val="16"/>
          <w:b w:val="1"/>
          <w:bCs w:val="1"/>
          <w:u w:val="single" w:color="auto"/>
          <w:color w:val="auto"/>
        </w:rPr>
        <w:t>Restricted Units</w:t>
      </w:r>
      <w:r>
        <w:rPr>
          <w:rFonts w:ascii="Arial" w:cs="Arial" w:eastAsia="Arial" w:hAnsi="Arial"/>
          <w:sz w:val="16"/>
          <w:szCs w:val="16"/>
          <w:color w:val="auto"/>
        </w:rPr>
        <w:t>.” The Restricted Units shall be subject to forfeiture or repurchase by the Officer prior to the lapse of the Restricted Period in accordance with the terms herein and in the Plan and the Option Agreement. Except as permitted by the Committee or by will or by the laws of descent and distribution, none of the Restricted Units may be sold, assigned, transferred, pledged, hypothecated or otherwise encumbered until the Restricted Period has ceased, and then only in accordance with Article 3 and Section 5.03 of the Securityholders’ Agreement. As a condition to any transferee receiving Restricted Units by will or through laws of descent and distribution, such transferee shall agree to be bound by this Agreement, the Securityholders’ Agreement and the LLC Agreement.</w:t>
      </w:r>
    </w:p>
    <w:p>
      <w:pPr>
        <w:spacing w:after="0" w:line="118" w:lineRule="exact"/>
        <w:rPr>
          <w:rFonts w:ascii="Arial" w:cs="Arial" w:eastAsia="Arial" w:hAnsi="Arial"/>
          <w:sz w:val="16"/>
          <w:szCs w:val="16"/>
          <w:color w:val="auto"/>
        </w:rPr>
      </w:pPr>
    </w:p>
    <w:p>
      <w:pPr>
        <w:ind w:left="-20" w:right="260" w:firstLine="464"/>
        <w:spacing w:after="0" w:line="256" w:lineRule="auto"/>
        <w:tabs>
          <w:tab w:leader="none" w:pos="685"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Except as otherwise provided in Section 9 hereof, or in the Plan, the Restricted Period shall lapse as to 25% of the Units on September 30, 2005 and shall lapse as to 6.25% of the Units on the last day of each calendar quarter thereafter (each such date, the “</w:t>
      </w:r>
      <w:r>
        <w:rPr>
          <w:rFonts w:ascii="Arial" w:cs="Arial" w:eastAsia="Arial" w:hAnsi="Arial"/>
          <w:sz w:val="18"/>
          <w:szCs w:val="18"/>
          <w:b w:val="1"/>
          <w:bCs w:val="1"/>
          <w:u w:val="single" w:color="auto"/>
          <w:color w:val="auto"/>
        </w:rPr>
        <w:t>Vesting Date</w:t>
      </w:r>
      <w:r>
        <w:rPr>
          <w:rFonts w:ascii="Arial" w:cs="Arial" w:eastAsia="Arial" w:hAnsi="Arial"/>
          <w:sz w:val="18"/>
          <w:szCs w:val="18"/>
          <w:color w:val="auto"/>
        </w:rPr>
        <w:t>” as to the applicable tranche of the Units), which lapses shall be cumulative, subject to the Officer’s continuous employment with MagnaChip Korea from the Closing to such Vesting Date.</w:t>
      </w:r>
    </w:p>
    <w:p>
      <w:pPr>
        <w:spacing w:after="0" w:line="143" w:lineRule="exact"/>
        <w:rPr>
          <w:rFonts w:ascii="Arial" w:cs="Arial" w:eastAsia="Arial" w:hAnsi="Arial"/>
          <w:sz w:val="18"/>
          <w:szCs w:val="18"/>
          <w:color w:val="auto"/>
        </w:rPr>
      </w:pPr>
    </w:p>
    <w:p>
      <w:pPr>
        <w:ind w:left="-20" w:firstLine="464"/>
        <w:spacing w:after="0" w:line="335" w:lineRule="auto"/>
        <w:tabs>
          <w:tab w:leader="none" w:pos="675" w:val="left"/>
        </w:tabs>
        <w:numPr>
          <w:ilvl w:val="0"/>
          <w:numId w:val="292"/>
        </w:numPr>
        <w:rPr>
          <w:rFonts w:ascii="Arial" w:cs="Arial" w:eastAsia="Arial" w:hAnsi="Arial"/>
          <w:sz w:val="15"/>
          <w:szCs w:val="15"/>
          <w:color w:val="auto"/>
        </w:rPr>
      </w:pPr>
      <w:r>
        <w:rPr>
          <w:rFonts w:ascii="Arial" w:cs="Arial" w:eastAsia="Arial" w:hAnsi="Arial"/>
          <w:sz w:val="15"/>
          <w:szCs w:val="15"/>
          <w:u w:val="single" w:color="auto"/>
          <w:color w:val="auto"/>
        </w:rPr>
        <w:t>Committee Discretion</w:t>
      </w:r>
      <w:r>
        <w:rPr>
          <w:rFonts w:ascii="Arial" w:cs="Arial" w:eastAsia="Arial" w:hAnsi="Arial"/>
          <w:sz w:val="15"/>
          <w:szCs w:val="15"/>
          <w:color w:val="auto"/>
        </w:rPr>
        <w:t>. Notwithstanding any other provisions of this Agreement, the Committee shall be authorized in its discretion, based upon its review and evaluation of the performance of the Officer and of the Company, to accelerate the vesting of any Restricted Units under this Agreement, at such times (including, without limitation, following the Officer’s termination of employment) and upon such terms and conditions as the Committee shall deem advisable.</w:t>
      </w:r>
    </w:p>
    <w:p>
      <w:pPr>
        <w:spacing w:after="0" w:line="88" w:lineRule="exact"/>
        <w:rPr>
          <w:sz w:val="20"/>
          <w:szCs w:val="20"/>
          <w:color w:val="auto"/>
        </w:rPr>
      </w:pPr>
    </w:p>
    <w:p>
      <w:pPr>
        <w:ind w:left="620" w:hanging="176"/>
        <w:spacing w:after="0"/>
        <w:tabs>
          <w:tab w:leader="none" w:pos="62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Repurchase Option</w:t>
      </w:r>
      <w:r>
        <w:rPr>
          <w:rFonts w:ascii="Arial" w:cs="Arial" w:eastAsia="Arial" w:hAnsi="Arial"/>
          <w:sz w:val="18"/>
          <w:szCs w:val="18"/>
          <w:color w:val="auto"/>
        </w:rPr>
        <w:t>.</w:t>
      </w:r>
    </w:p>
    <w:p>
      <w:pPr>
        <w:spacing w:after="0" w:line="90" w:lineRule="exact"/>
        <w:rPr>
          <w:sz w:val="20"/>
          <w:szCs w:val="20"/>
          <w:color w:val="auto"/>
        </w:rPr>
      </w:pPr>
    </w:p>
    <w:p>
      <w:pPr>
        <w:ind w:left="-20" w:right="760" w:firstLine="464"/>
        <w:spacing w:after="0" w:line="332" w:lineRule="auto"/>
        <w:tabs>
          <w:tab w:leader="none" w:pos="675"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Upon termination of the Officer’s employment by MagnaChip Korea for Cause, the Company (in accordance with the procedures described in Section 4(c)) may repurchase all or any portion of the Units for a cash payment equal to $1.00 per Unit.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9" w:right="239" w:bottom="1440" w:gutter="0" w:footer="0" w:header="0"/>
        </w:sectPr>
      </w:pPr>
    </w:p>
    <w:bookmarkStart w:id="306" w:name="page307"/>
    <w:bookmarkEnd w:id="30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 </w:t>
      </w:r>
      <w:r>
        <w:rPr>
          <w:rFonts w:ascii="Arial" w:cs="Arial" w:eastAsia="Arial" w:hAnsi="Arial"/>
          <w:sz w:val="16"/>
          <w:szCs w:val="16"/>
          <w:u w:val="single" w:color="auto"/>
          <w:color w:val="auto"/>
        </w:rPr>
        <w:t>Termination for Any Other Reason</w:t>
      </w:r>
      <w:r>
        <w:rPr>
          <w:rFonts w:ascii="Arial" w:cs="Arial" w:eastAsia="Arial" w:hAnsi="Arial"/>
          <w:sz w:val="16"/>
          <w:szCs w:val="16"/>
          <w:color w:val="auto"/>
        </w:rPr>
        <w:t>. Upon any termination of the Officer’s employment with MagnaChip Korea other than a termination for Cause,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w:t>
      </w:r>
      <w:r>
        <w:rPr>
          <w:rFonts w:ascii="Arial" w:cs="Arial" w:eastAsia="Arial" w:hAnsi="Arial"/>
          <w:sz w:val="16"/>
          <w:szCs w:val="16"/>
          <w:color w:val="auto"/>
        </w:rPr>
        <w:t>) the Company (in accordance with the procedures described in Section 4(c)) may repurchase all or any portion of the Units then held by the Officer for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Restricted Period has not lapsed for a cash payment equal to $1.00 per Unit and (</w:t>
      </w:r>
      <w:r>
        <w:rPr>
          <w:rFonts w:ascii="Arial" w:cs="Arial" w:eastAsia="Arial" w:hAnsi="Arial"/>
          <w:sz w:val="16"/>
          <w:szCs w:val="16"/>
          <w:u w:val="single" w:color="auto"/>
          <w:color w:val="auto"/>
        </w:rPr>
        <w:t>ii</w:t>
      </w:r>
      <w:r>
        <w:rPr>
          <w:rFonts w:ascii="Arial" w:cs="Arial" w:eastAsia="Arial" w:hAnsi="Arial"/>
          <w:sz w:val="16"/>
          <w:szCs w:val="16"/>
          <w:color w:val="auto"/>
        </w:rPr>
        <w:t>) the Company (in accordance with the procedures described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4(c)) may repurchase the Units for which the Restricted Period has lapsed for a cash payment equal to the greater of the Fair Market Value of the Units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the portion thereof so purchased) or $1.00 per Unit.</w:t>
      </w:r>
    </w:p>
    <w:p>
      <w:pPr>
        <w:spacing w:after="0" w:line="165" w:lineRule="exact"/>
        <w:rPr>
          <w:sz w:val="20"/>
          <w:szCs w:val="20"/>
          <w:color w:val="auto"/>
        </w:rPr>
      </w:pPr>
    </w:p>
    <w:p>
      <w:pPr>
        <w:ind w:right="100" w:firstLine="464"/>
        <w:spacing w:after="0" w:line="256" w:lineRule="auto"/>
        <w:tabs>
          <w:tab w:leader="none" w:pos="695"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Procedures for the Repurchase of Units</w:t>
      </w:r>
      <w:r>
        <w:rPr>
          <w:rFonts w:ascii="Arial" w:cs="Arial" w:eastAsia="Arial" w:hAnsi="Arial"/>
          <w:sz w:val="18"/>
          <w:szCs w:val="18"/>
          <w:color w:val="auto"/>
        </w:rPr>
        <w:t>. Notwithstanding anything to the contrary contained herein, any repurchase of Units pursuant to this Section 4 shall not be effected prior to the expiration of a period of, and the Fair Market Value shall be determined as of a date, at least six months and one day from the date such Units were received by the Officer. The Company shall have an exclusive right to repurchase Units until the date six months and one day from the date the Officer’s employment is terminated.</w:t>
      </w:r>
    </w:p>
    <w:p>
      <w:pPr>
        <w:spacing w:after="0" w:line="143" w:lineRule="exact"/>
        <w:rPr>
          <w:rFonts w:ascii="Arial" w:cs="Arial" w:eastAsia="Arial" w:hAnsi="Arial"/>
          <w:sz w:val="18"/>
          <w:szCs w:val="18"/>
          <w:color w:val="auto"/>
        </w:rPr>
      </w:pPr>
    </w:p>
    <w:p>
      <w:pPr>
        <w:ind w:right="100" w:firstLine="464"/>
        <w:spacing w:after="0" w:line="332" w:lineRule="auto"/>
        <w:tabs>
          <w:tab w:leader="none" w:pos="705"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If the Company elects to repurchase any Units pursuant to this Section 4, the Company may apply the proceeds from such repurchase to any and all outstanding obligations of the Officer due the Company or guaranteed by the Company in respect of the Units.</w:t>
      </w:r>
    </w:p>
    <w:p>
      <w:pPr>
        <w:spacing w:after="0" w:line="85" w:lineRule="exact"/>
        <w:rPr>
          <w:sz w:val="20"/>
          <w:szCs w:val="20"/>
          <w:color w:val="auto"/>
        </w:rPr>
      </w:pPr>
    </w:p>
    <w:p>
      <w:pPr>
        <w:ind w:left="640" w:hanging="176"/>
        <w:spacing w:after="0"/>
        <w:tabs>
          <w:tab w:leader="none" w:pos="64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Officer’s Representations, Warranties and Covenants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8" w:lineRule="auto"/>
        <w:tabs>
          <w:tab w:leader="none" w:pos="695"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Investment Intention</w:t>
      </w:r>
      <w:r>
        <w:rPr>
          <w:rFonts w:ascii="Arial" w:cs="Arial" w:eastAsia="Arial" w:hAnsi="Arial"/>
          <w:sz w:val="16"/>
          <w:szCs w:val="16"/>
          <w:color w:val="auto"/>
        </w:rPr>
        <w:t>. The Officer represents and warrants that the Officer is acquiring the Units solely for the Officer’s own account for investment and not with a view to, or for sale in connection with, any distribution thereof. The Officer agrees that the Officer will not, directly or indirectly, offer, transfer, sell, pledge, hypothecate or otherwise dispose of any of the Units (or solicit any offers to buy, purchase or otherwise acquire or take a pledge of any Units), or any interest therein or any rights relating thereto, except in compliance with the Securities Act of 1933, as amended, and the rules and regulations thereunder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all applicable state securities or “blue sky” laws and Article 3 and Section 5.03 of the Securityholders’ Agreement. The Officer further understands, acknowledges and agrees that none of the Units may be transferred, sold, pledged, hypothecated or otherwise disposed of unless the provisions of Section 3 shall have been satisfied or have expired. Any attempt by the Officer, directly or indirectly, to offer, transfer, sell, pledge, hypothecate or otherwise dispose of any Units or any interest therein, or any rights relating thereto, without complying with the provisions of this Agreement and Article 3 and Section 5.03 of the Securityholders’ Agreement, as such agreements shall be amended from time to time, shall be void and of no effect.</w:t>
      </w:r>
    </w:p>
    <w:p>
      <w:pPr>
        <w:spacing w:after="0" w:line="119" w:lineRule="exact"/>
        <w:rPr>
          <w:rFonts w:ascii="Arial" w:cs="Arial" w:eastAsia="Arial" w:hAnsi="Arial"/>
          <w:sz w:val="16"/>
          <w:szCs w:val="16"/>
          <w:color w:val="auto"/>
        </w:rPr>
      </w:pPr>
    </w:p>
    <w:p>
      <w:pPr>
        <w:ind w:right="1180" w:firstLine="464"/>
        <w:spacing w:after="0" w:line="268" w:lineRule="auto"/>
        <w:tabs>
          <w:tab w:leader="none" w:pos="705"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Officer acknowledges that the certificate or certificates representing the Units, if any, shall bear the legends set forth in the Securityholders’ Agreement.</w:t>
      </w:r>
    </w:p>
    <w:p>
      <w:pPr>
        <w:spacing w:after="0" w:line="131" w:lineRule="exact"/>
        <w:rPr>
          <w:rFonts w:ascii="Arial" w:cs="Arial" w:eastAsia="Arial" w:hAnsi="Arial"/>
          <w:sz w:val="18"/>
          <w:szCs w:val="18"/>
          <w:color w:val="auto"/>
        </w:rPr>
      </w:pPr>
    </w:p>
    <w:p>
      <w:pPr>
        <w:ind w:right="420" w:firstLine="464"/>
        <w:spacing w:after="0" w:line="268" w:lineRule="auto"/>
        <w:tabs>
          <w:tab w:leader="none" w:pos="695"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Securities Law Matters</w:t>
      </w:r>
      <w:r>
        <w:rPr>
          <w:rFonts w:ascii="Arial" w:cs="Arial" w:eastAsia="Arial" w:hAnsi="Arial"/>
          <w:sz w:val="18"/>
          <w:szCs w:val="18"/>
          <w:color w:val="auto"/>
        </w:rPr>
        <w:t>. The Officer acknowledges receipt of advice from the Company that (</w:t>
      </w:r>
      <w:r>
        <w:rPr>
          <w:rFonts w:ascii="Arial" w:cs="Arial" w:eastAsia="Arial" w:hAnsi="Arial"/>
          <w:sz w:val="18"/>
          <w:szCs w:val="18"/>
          <w:u w:val="single" w:color="auto"/>
          <w:color w:val="auto"/>
        </w:rPr>
        <w:t>i</w:t>
      </w:r>
      <w:r>
        <w:rPr>
          <w:rFonts w:ascii="Arial" w:cs="Arial" w:eastAsia="Arial" w:hAnsi="Arial"/>
          <w:sz w:val="18"/>
          <w:szCs w:val="18"/>
          <w:color w:val="auto"/>
        </w:rPr>
        <w:t>) the Units have not been registered under the Act or qualified under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07" w:name="page308"/>
    <w:bookmarkEnd w:id="30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or foreign securities or “blue sky” laws, (</w:t>
      </w:r>
      <w:r>
        <w:rPr>
          <w:rFonts w:ascii="Arial" w:cs="Arial" w:eastAsia="Arial" w:hAnsi="Arial"/>
          <w:sz w:val="16"/>
          <w:szCs w:val="16"/>
          <w:u w:val="single" w:color="auto"/>
          <w:color w:val="auto"/>
        </w:rPr>
        <w:t>ii</w:t>
      </w:r>
      <w:r>
        <w:rPr>
          <w:rFonts w:ascii="Arial" w:cs="Arial" w:eastAsia="Arial" w:hAnsi="Arial"/>
          <w:sz w:val="16"/>
          <w:szCs w:val="16"/>
          <w:color w:val="auto"/>
        </w:rPr>
        <w:t>) it is not anticipated that there will be any public market for the Units, (</w:t>
      </w:r>
      <w:r>
        <w:rPr>
          <w:rFonts w:ascii="Arial" w:cs="Arial" w:eastAsia="Arial" w:hAnsi="Arial"/>
          <w:sz w:val="16"/>
          <w:szCs w:val="16"/>
          <w:u w:val="single" w:color="auto"/>
          <w:color w:val="auto"/>
        </w:rPr>
        <w:t>iii</w:t>
      </w:r>
      <w:r>
        <w:rPr>
          <w:rFonts w:ascii="Arial" w:cs="Arial" w:eastAsia="Arial" w:hAnsi="Arial"/>
          <w:sz w:val="16"/>
          <w:szCs w:val="16"/>
          <w:color w:val="auto"/>
        </w:rPr>
        <w:t>) the Units must be held indefinitely and the Officer must continue to bear the economic risk of the investment in the Units unless the Units are subsequently registered under the Act and such state laws or an exemption from registration is available, (</w:t>
      </w:r>
      <w:r>
        <w:rPr>
          <w:rFonts w:ascii="Arial" w:cs="Arial" w:eastAsia="Arial" w:hAnsi="Arial"/>
          <w:sz w:val="16"/>
          <w:szCs w:val="16"/>
          <w:u w:val="single" w:color="auto"/>
          <w:color w:val="auto"/>
        </w:rPr>
        <w:t>iv</w:t>
      </w:r>
      <w:r>
        <w:rPr>
          <w:rFonts w:ascii="Arial" w:cs="Arial" w:eastAsia="Arial" w:hAnsi="Arial"/>
          <w:sz w:val="16"/>
          <w:szCs w:val="16"/>
          <w:color w:val="auto"/>
        </w:rPr>
        <w:t>) Rule 144 promulgated under the Act (“</w:t>
      </w:r>
      <w:r>
        <w:rPr>
          <w:rFonts w:ascii="Arial" w:cs="Arial" w:eastAsia="Arial" w:hAnsi="Arial"/>
          <w:sz w:val="16"/>
          <w:szCs w:val="16"/>
          <w:b w:val="1"/>
          <w:bCs w:val="1"/>
          <w:u w:val="single" w:color="auto"/>
          <w:color w:val="auto"/>
        </w:rPr>
        <w:t>Rule 144</w:t>
      </w:r>
      <w:r>
        <w:rPr>
          <w:rFonts w:ascii="Arial" w:cs="Arial" w:eastAsia="Arial" w:hAnsi="Arial"/>
          <w:sz w:val="16"/>
          <w:szCs w:val="16"/>
          <w:color w:val="auto"/>
        </w:rPr>
        <w:t>”) is not presently available with respect to the sales of the Units, and the Company has made no covenant to make Rule 144 available, (</w:t>
      </w:r>
      <w:r>
        <w:rPr>
          <w:rFonts w:ascii="Arial" w:cs="Arial" w:eastAsia="Arial" w:hAnsi="Arial"/>
          <w:sz w:val="16"/>
          <w:szCs w:val="16"/>
          <w:u w:val="single" w:color="auto"/>
          <w:color w:val="auto"/>
        </w:rPr>
        <w:t>v</w:t>
      </w:r>
      <w:r>
        <w:rPr>
          <w:rFonts w:ascii="Arial" w:cs="Arial" w:eastAsia="Arial" w:hAnsi="Arial"/>
          <w:sz w:val="16"/>
          <w:szCs w:val="16"/>
          <w:color w:val="auto"/>
        </w:rPr>
        <w:t>) when and if the Units may be disposed of without registration in reliance upon Rule 144, such disposition can be made only in accordance with the terms and conditions of such Rule, the Plan, this Agreement and the Securityholders’ Agreement, (</w:t>
      </w:r>
      <w:r>
        <w:rPr>
          <w:rFonts w:ascii="Arial" w:cs="Arial" w:eastAsia="Arial" w:hAnsi="Arial"/>
          <w:sz w:val="16"/>
          <w:szCs w:val="16"/>
          <w:u w:val="single" w:color="auto"/>
          <w:color w:val="auto"/>
        </w:rPr>
        <w:t>vi</w:t>
      </w:r>
      <w:r>
        <w:rPr>
          <w:rFonts w:ascii="Arial" w:cs="Arial" w:eastAsia="Arial" w:hAnsi="Arial"/>
          <w:sz w:val="16"/>
          <w:szCs w:val="16"/>
          <w:color w:val="auto"/>
        </w:rPr>
        <w:t>) the Company does not plan to file reports with the Commission or make public information concerning the Company available unless required to do so by law or in connection with its financing arrangements, (</w:t>
      </w:r>
      <w:r>
        <w:rPr>
          <w:rFonts w:ascii="Arial" w:cs="Arial" w:eastAsia="Arial" w:hAnsi="Arial"/>
          <w:sz w:val="16"/>
          <w:szCs w:val="16"/>
          <w:u w:val="single" w:color="auto"/>
          <w:color w:val="auto"/>
        </w:rPr>
        <w:t>vii</w:t>
      </w:r>
      <w:r>
        <w:rPr>
          <w:rFonts w:ascii="Arial" w:cs="Arial" w:eastAsia="Arial" w:hAnsi="Arial"/>
          <w:sz w:val="16"/>
          <w:szCs w:val="16"/>
          <w:color w:val="auto"/>
        </w:rPr>
        <w:t>) if the exemption afforded by Rule 144 is not available, sales of the Units may be difficult to effect because of the absence of public information concerning the Company, (</w:t>
      </w:r>
      <w:r>
        <w:rPr>
          <w:rFonts w:ascii="Arial" w:cs="Arial" w:eastAsia="Arial" w:hAnsi="Arial"/>
          <w:sz w:val="16"/>
          <w:szCs w:val="16"/>
          <w:u w:val="single" w:color="auto"/>
          <w:color w:val="auto"/>
        </w:rPr>
        <w:t>viii</w:t>
      </w:r>
      <w:r>
        <w:rPr>
          <w:rFonts w:ascii="Arial" w:cs="Arial" w:eastAsia="Arial" w:hAnsi="Arial"/>
          <w:sz w:val="16"/>
          <w:szCs w:val="16"/>
          <w:color w:val="auto"/>
        </w:rPr>
        <w:t>) a restrictive legend in the form heretofore set forth shall be placed on the certificates representing the Units and (</w:t>
      </w:r>
      <w:r>
        <w:rPr>
          <w:rFonts w:ascii="Arial" w:cs="Arial" w:eastAsia="Arial" w:hAnsi="Arial"/>
          <w:sz w:val="16"/>
          <w:szCs w:val="16"/>
          <w:u w:val="single" w:color="auto"/>
          <w:color w:val="auto"/>
        </w:rPr>
        <w:t>ix</w:t>
      </w:r>
      <w:r>
        <w:rPr>
          <w:rFonts w:ascii="Arial" w:cs="Arial" w:eastAsia="Arial" w:hAnsi="Arial"/>
          <w:sz w:val="16"/>
          <w:szCs w:val="16"/>
          <w:color w:val="auto"/>
        </w:rPr>
        <w:t>) a notation shall be made in the appropriate records of the Company indicating that the Units are subject to restrictions on transfer set forth in Article 3 and Section 5.03 of the Securityholders’ Agreement and, if the Company should in the future engage the services of a stock transfer agent, appropriate stop-transfer restrictions will be issued to such transfer agent with respect to the Units.</w:t>
      </w:r>
    </w:p>
    <w:p>
      <w:pPr>
        <w:spacing w:after="0" w:line="127" w:lineRule="exact"/>
        <w:rPr>
          <w:sz w:val="20"/>
          <w:szCs w:val="20"/>
          <w:color w:val="auto"/>
        </w:rPr>
      </w:pPr>
    </w:p>
    <w:p>
      <w:pPr>
        <w:ind w:right="80" w:firstLine="464"/>
        <w:spacing w:after="0" w:line="306" w:lineRule="auto"/>
        <w:tabs>
          <w:tab w:leader="none" w:pos="705"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Compliance with Rule 144</w:t>
      </w:r>
      <w:r>
        <w:rPr>
          <w:rFonts w:ascii="Arial" w:cs="Arial" w:eastAsia="Arial" w:hAnsi="Arial"/>
          <w:sz w:val="16"/>
          <w:szCs w:val="16"/>
          <w:color w:val="auto"/>
        </w:rPr>
        <w:t>. When and if the Units may be disposed of without registration in reliance upon Rule 144, the Officer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106" w:lineRule="exact"/>
        <w:rPr>
          <w:rFonts w:ascii="Arial" w:cs="Arial" w:eastAsia="Arial" w:hAnsi="Arial"/>
          <w:sz w:val="16"/>
          <w:szCs w:val="16"/>
          <w:color w:val="auto"/>
        </w:rPr>
      </w:pPr>
    </w:p>
    <w:p>
      <w:pPr>
        <w:jc w:val="both"/>
        <w:ind w:right="400" w:firstLine="464"/>
        <w:spacing w:after="0" w:line="332" w:lineRule="auto"/>
        <w:tabs>
          <w:tab w:leader="none" w:pos="695"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Ability to Bear Risk</w:t>
      </w:r>
      <w:r>
        <w:rPr>
          <w:rFonts w:ascii="Arial" w:cs="Arial" w:eastAsia="Arial" w:hAnsi="Arial"/>
          <w:sz w:val="16"/>
          <w:szCs w:val="16"/>
          <w:color w:val="auto"/>
        </w:rPr>
        <w:t>. The Officer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the financial situation of the Officer is such that the Officer can afford to bear the economic risk of holding the Units for an indefinite period and (</w:t>
      </w:r>
      <w:r>
        <w:rPr>
          <w:rFonts w:ascii="Arial" w:cs="Arial" w:eastAsia="Arial" w:hAnsi="Arial"/>
          <w:sz w:val="16"/>
          <w:szCs w:val="16"/>
          <w:u w:val="single" w:color="auto"/>
          <w:color w:val="auto"/>
        </w:rPr>
        <w:t>ii</w:t>
      </w:r>
      <w:r>
        <w:rPr>
          <w:rFonts w:ascii="Arial" w:cs="Arial" w:eastAsia="Arial" w:hAnsi="Arial"/>
          <w:sz w:val="16"/>
          <w:szCs w:val="16"/>
          <w:color w:val="auto"/>
        </w:rPr>
        <w:t>) the Officer can afford to suffer the complete loss of the Officer’s investment in the Units.</w:t>
      </w:r>
    </w:p>
    <w:p>
      <w:pPr>
        <w:spacing w:after="0" w:line="85" w:lineRule="exact"/>
        <w:rPr>
          <w:rFonts w:ascii="Arial" w:cs="Arial" w:eastAsia="Arial" w:hAnsi="Arial"/>
          <w:sz w:val="16"/>
          <w:szCs w:val="16"/>
          <w:color w:val="auto"/>
        </w:rPr>
      </w:pPr>
    </w:p>
    <w:p>
      <w:pPr>
        <w:ind w:right="20" w:firstLine="464"/>
        <w:spacing w:after="0" w:line="286" w:lineRule="auto"/>
        <w:tabs>
          <w:tab w:leader="none" w:pos="676"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Access to Information, etc.; Sophistication; Lack of Reliance</w:t>
      </w:r>
      <w:r>
        <w:rPr>
          <w:rFonts w:ascii="Arial" w:cs="Arial" w:eastAsia="Arial" w:hAnsi="Arial"/>
          <w:sz w:val="16"/>
          <w:szCs w:val="16"/>
          <w:color w:val="auto"/>
        </w:rPr>
        <w:t>. The Officer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the Officer has carefully reviewed the materials furnished to the Officer in connection with the transaction contemplated hereby, including, without limitation, the Plan and the other materials furnished to the Officer in connection with the transactions contemplated hereby, (</w:t>
      </w:r>
      <w:r>
        <w:rPr>
          <w:rFonts w:ascii="Arial" w:cs="Arial" w:eastAsia="Arial" w:hAnsi="Arial"/>
          <w:sz w:val="16"/>
          <w:szCs w:val="16"/>
          <w:u w:val="single" w:color="auto"/>
          <w:color w:val="auto"/>
        </w:rPr>
        <w:t>ii</w:t>
      </w:r>
      <w:r>
        <w:rPr>
          <w:rFonts w:ascii="Arial" w:cs="Arial" w:eastAsia="Arial" w:hAnsi="Arial"/>
          <w:sz w:val="16"/>
          <w:szCs w:val="16"/>
          <w:color w:val="auto"/>
        </w:rPr>
        <w:t>) the Officer is familiar with the business and financial condition, properties, operations and prospects of the Company and that the Officer has been granted the opportunity to ask questions of, and receive answers from, representatives of the Company concerning the Company and the terms and conditions of the purchase of the Units and to obtain any additional information that the Officer deems necessary, (</w:t>
      </w:r>
      <w:r>
        <w:rPr>
          <w:rFonts w:ascii="Arial" w:cs="Arial" w:eastAsia="Arial" w:hAnsi="Arial"/>
          <w:sz w:val="16"/>
          <w:szCs w:val="16"/>
          <w:u w:val="single" w:color="auto"/>
          <w:color w:val="auto"/>
        </w:rPr>
        <w:t>iii</w:t>
      </w:r>
      <w:r>
        <w:rPr>
          <w:rFonts w:ascii="Arial" w:cs="Arial" w:eastAsia="Arial" w:hAnsi="Arial"/>
          <w:sz w:val="16"/>
          <w:szCs w:val="16"/>
          <w:color w:val="auto"/>
        </w:rPr>
        <w:t>) the Officer’s knowledge and experience in financial and business matters is such that the Officer is capable of evaluating the merits and risk of the investment in the Units, (</w:t>
      </w:r>
      <w:r>
        <w:rPr>
          <w:rFonts w:ascii="Arial" w:cs="Arial" w:eastAsia="Arial" w:hAnsi="Arial"/>
          <w:sz w:val="16"/>
          <w:szCs w:val="16"/>
          <w:u w:val="single" w:color="auto"/>
          <w:color w:val="auto"/>
        </w:rPr>
        <w:t>iv</w:t>
      </w:r>
      <w:r>
        <w:rPr>
          <w:rFonts w:ascii="Arial" w:cs="Arial" w:eastAsia="Arial" w:hAnsi="Arial"/>
          <w:sz w:val="16"/>
          <w:szCs w:val="16"/>
          <w:color w:val="auto"/>
        </w:rPr>
        <w:t>) the Officer has carefully reviewed the terms and provisions of the Securityholders’ Agreement and LLC Agreement and has evaluated the restrictions and obligations contained therein, and (</w:t>
      </w:r>
      <w:r>
        <w:rPr>
          <w:rFonts w:ascii="Arial" w:cs="Arial" w:eastAsia="Arial" w:hAnsi="Arial"/>
          <w:sz w:val="16"/>
          <w:szCs w:val="16"/>
          <w:u w:val="single" w:color="auto"/>
          <w:color w:val="auto"/>
        </w:rPr>
        <w:t>v</w:t>
      </w:r>
      <w:r>
        <w:rPr>
          <w:rFonts w:ascii="Arial" w:cs="Arial" w:eastAsia="Arial" w:hAnsi="Arial"/>
          <w:sz w:val="16"/>
          <w:szCs w:val="16"/>
          <w:color w:val="auto"/>
        </w:rPr>
        <w:t>) the Officer is, and will be at the Closing, either (</w:t>
      </w:r>
      <w:r>
        <w:rPr>
          <w:rFonts w:ascii="Arial" w:cs="Arial" w:eastAsia="Arial" w:hAnsi="Arial"/>
          <w:sz w:val="16"/>
          <w:szCs w:val="16"/>
          <w:u w:val="single" w:color="auto"/>
          <w:color w:val="auto"/>
        </w:rPr>
        <w:t>A</w:t>
      </w:r>
      <w:r>
        <w:rPr>
          <w:rFonts w:ascii="Arial" w:cs="Arial" w:eastAsia="Arial" w:hAnsi="Arial"/>
          <w:sz w:val="16"/>
          <w:szCs w:val="16"/>
          <w:color w:val="auto"/>
        </w:rPr>
        <w:t>) an officer or employee of the Company or one of its subsidiaries or (</w:t>
      </w:r>
      <w:r>
        <w:rPr>
          <w:rFonts w:ascii="Arial" w:cs="Arial" w:eastAsia="Arial" w:hAnsi="Arial"/>
          <w:sz w:val="16"/>
          <w:szCs w:val="16"/>
          <w:u w:val="single" w:color="auto"/>
          <w:color w:val="auto"/>
        </w:rPr>
        <w:t>B</w:t>
      </w:r>
      <w:r>
        <w:rPr>
          <w:rFonts w:ascii="Arial" w:cs="Arial" w:eastAsia="Arial" w:hAnsi="Arial"/>
          <w:sz w:val="16"/>
          <w:szCs w:val="16"/>
          <w:color w:val="auto"/>
        </w:rPr>
        <w:t>) an “Accredited Investor” under Regulation D promulgated under the Act and agrees to furnish such documents and to comply with such reasonable requests of the Company as may be necessary to substantiate the Officer’s status as a qualifying investor in connection with this private offering of Units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308" w:name="page309"/>
    <w:bookmarkEnd w:id="308"/>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Officer. In furtherance of the foregoing, the Officer represents and warrants that (</w:t>
      </w:r>
      <w:r>
        <w:rPr>
          <w:rFonts w:ascii="Arial" w:cs="Arial" w:eastAsia="Arial" w:hAnsi="Arial"/>
          <w:sz w:val="16"/>
          <w:szCs w:val="16"/>
          <w:u w:val="single" w:color="auto"/>
          <w:color w:val="auto"/>
        </w:rPr>
        <w:t>x</w:t>
      </w:r>
      <w:r>
        <w:rPr>
          <w:rFonts w:ascii="Arial" w:cs="Arial" w:eastAsia="Arial" w:hAnsi="Arial"/>
          <w:sz w:val="16"/>
          <w:szCs w:val="16"/>
          <w:color w:val="auto"/>
        </w:rPr>
        <w:t>) no representation or warranty, express or implied, whether written or oral, as to the financial condition, results of operations, prospects, properties or business of the Company or as to the desirability or value of an investment in the Company has been made to the Officer by or on behalf of the Company, except for those representations and warranties contained in Section 8 and the Securityholders’ Agreement, (</w:t>
      </w:r>
      <w:r>
        <w:rPr>
          <w:rFonts w:ascii="Arial" w:cs="Arial" w:eastAsia="Arial" w:hAnsi="Arial"/>
          <w:sz w:val="16"/>
          <w:szCs w:val="16"/>
          <w:u w:val="single" w:color="auto"/>
          <w:color w:val="auto"/>
        </w:rPr>
        <w:t>y</w:t>
      </w:r>
      <w:r>
        <w:rPr>
          <w:rFonts w:ascii="Arial" w:cs="Arial" w:eastAsia="Arial" w:hAnsi="Arial"/>
          <w:sz w:val="16"/>
          <w:szCs w:val="16"/>
          <w:color w:val="auto"/>
        </w:rPr>
        <w:t>) the Officer has relied upon the Officer’s own independent appraisal and investigation, and the advice of the Officer’s own counsel, tax advisors and other advisors, regarding the risks of an investment in the Company and (</w:t>
      </w:r>
      <w:r>
        <w:rPr>
          <w:rFonts w:ascii="Arial" w:cs="Arial" w:eastAsia="Arial" w:hAnsi="Arial"/>
          <w:sz w:val="16"/>
          <w:szCs w:val="16"/>
          <w:u w:val="single" w:color="auto"/>
          <w:color w:val="auto"/>
        </w:rPr>
        <w:t>z</w:t>
      </w:r>
      <w:r>
        <w:rPr>
          <w:rFonts w:ascii="Arial" w:cs="Arial" w:eastAsia="Arial" w:hAnsi="Arial"/>
          <w:sz w:val="16"/>
          <w:szCs w:val="16"/>
          <w:color w:val="auto"/>
        </w:rPr>
        <w:t>) the Officer will continue to bear sole responsibility for making the Officer’s own independent evaluation and monitoring of the risks of the Officer’s investment in the Company.</w:t>
      </w:r>
    </w:p>
    <w:p>
      <w:pPr>
        <w:spacing w:after="0" w:line="120" w:lineRule="exact"/>
        <w:rPr>
          <w:sz w:val="20"/>
          <w:szCs w:val="20"/>
          <w:color w:val="auto"/>
        </w:rPr>
      </w:pPr>
    </w:p>
    <w:p>
      <w:pPr>
        <w:ind w:firstLine="464"/>
        <w:spacing w:after="0" w:line="286" w:lineRule="auto"/>
        <w:tabs>
          <w:tab w:leader="none" w:pos="705"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Due Execution and Delivery</w:t>
      </w:r>
      <w:r>
        <w:rPr>
          <w:rFonts w:ascii="Arial" w:cs="Arial" w:eastAsia="Arial" w:hAnsi="Arial"/>
          <w:sz w:val="16"/>
          <w:szCs w:val="16"/>
          <w:color w:val="auto"/>
        </w:rPr>
        <w:t>. The Officer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the Officer has duly executed and delivered this Agreement, (</w:t>
      </w:r>
      <w:r>
        <w:rPr>
          <w:rFonts w:ascii="Arial" w:cs="Arial" w:eastAsia="Arial" w:hAnsi="Arial"/>
          <w:sz w:val="16"/>
          <w:szCs w:val="16"/>
          <w:u w:val="single" w:color="auto"/>
          <w:color w:val="auto"/>
        </w:rPr>
        <w:t>ii</w:t>
      </w:r>
      <w:r>
        <w:rPr>
          <w:rFonts w:ascii="Arial" w:cs="Arial" w:eastAsia="Arial" w:hAnsi="Arial"/>
          <w:sz w:val="16"/>
          <w:szCs w:val="16"/>
          <w:color w:val="auto"/>
        </w:rPr>
        <w:t>) all actions required to be taken by or on behalf of the Officer to authorize the Officer to execute, deliver and perform the Officer’s obligations under this Agreement, the Securityholders’ Agreement and the LLC Agreement have been taken and this Agreement constitutes and, upon execution of a joinder thereto, the Securityholders’ Agreement and the LLC Agreement will constitute the Officer’s legal, valid and binding obligations, enforceable against the Officer in accordance with their respective terms, except as the same may be affected by bankruptcy, insolvency, moratorium or similar laws, or by legal or equitable principles relating to or limiting the rights of contracting parties generally, (</w:t>
      </w:r>
      <w:r>
        <w:rPr>
          <w:rFonts w:ascii="Arial" w:cs="Arial" w:eastAsia="Arial" w:hAnsi="Arial"/>
          <w:sz w:val="16"/>
          <w:szCs w:val="16"/>
          <w:u w:val="single" w:color="auto"/>
          <w:color w:val="auto"/>
        </w:rPr>
        <w:t>iii</w:t>
      </w:r>
      <w:r>
        <w:rPr>
          <w:rFonts w:ascii="Arial" w:cs="Arial" w:eastAsia="Arial" w:hAnsi="Arial"/>
          <w:sz w:val="16"/>
          <w:szCs w:val="16"/>
          <w:color w:val="auto"/>
        </w:rPr>
        <w:t>) the execution and delivery of this Agreement and the joinder to the Securityholders’ Agreement and the LLC Agreement, and the consummation by the Officer of the transactions contemplated hereby and thereby in the manner contemplated hereby and thereby do not and will not conflict with, or result in a breach of any terms of, or constitute a default under, any agreement or instrument or any statute, law, rule or regulation, or any judgment, decree, writ, injunction, order or award of any arbitrator, court or governmental authority which is applicable to the Officer or by which the Officer or any material portion of the Officer’s properties is bound and (</w:t>
      </w:r>
      <w:r>
        <w:rPr>
          <w:rFonts w:ascii="Arial" w:cs="Arial" w:eastAsia="Arial" w:hAnsi="Arial"/>
          <w:sz w:val="16"/>
          <w:szCs w:val="16"/>
          <w:u w:val="single" w:color="auto"/>
          <w:color w:val="auto"/>
        </w:rPr>
        <w:t>iv</w:t>
      </w:r>
      <w:r>
        <w:rPr>
          <w:rFonts w:ascii="Arial" w:cs="Arial" w:eastAsia="Arial" w:hAnsi="Arial"/>
          <w:sz w:val="16"/>
          <w:szCs w:val="16"/>
          <w:color w:val="auto"/>
        </w:rPr>
        <w:t>) no consent, approval, authorization, order, filing, registration or qualification of or with any court, governmental authority or third person is required to be obtained by such Officer in connection with the execution and delivery of this Agreement and the joinder to the Securityholders’ Agreement and the LLC Agreement or the performance of such Officer’s obligations hereunder or thereunder.</w:t>
      </w:r>
    </w:p>
    <w:p>
      <w:pPr>
        <w:spacing w:after="0" w:line="340" w:lineRule="exact"/>
        <w:rPr>
          <w:rFonts w:ascii="Arial" w:cs="Arial" w:eastAsia="Arial" w:hAnsi="Arial"/>
          <w:sz w:val="16"/>
          <w:szCs w:val="16"/>
          <w:color w:val="auto"/>
        </w:rPr>
      </w:pPr>
    </w:p>
    <w:p>
      <w:pPr>
        <w:ind w:left="720" w:hanging="256"/>
        <w:spacing w:after="0"/>
        <w:tabs>
          <w:tab w:leader="none" w:pos="72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The Officer shall be entitled to the rights and subject to the obligations created under the Securityholders’ Agreement.</w:t>
      </w:r>
    </w:p>
    <w:p>
      <w:pPr>
        <w:spacing w:after="0" w:line="165" w:lineRule="exact"/>
        <w:rPr>
          <w:rFonts w:ascii="Arial" w:cs="Arial" w:eastAsia="Arial" w:hAnsi="Arial"/>
          <w:sz w:val="18"/>
          <w:szCs w:val="18"/>
          <w:color w:val="auto"/>
        </w:rPr>
      </w:pPr>
    </w:p>
    <w:p>
      <w:pPr>
        <w:ind w:right="80" w:firstLine="464"/>
        <w:spacing w:after="0" w:line="254" w:lineRule="auto"/>
        <w:tabs>
          <w:tab w:leader="none" w:pos="666"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Officer shall make an election (the “</w:t>
      </w:r>
      <w:r>
        <w:rPr>
          <w:rFonts w:ascii="Arial" w:cs="Arial" w:eastAsia="Arial" w:hAnsi="Arial"/>
          <w:sz w:val="18"/>
          <w:szCs w:val="18"/>
          <w:b w:val="1"/>
          <w:bCs w:val="1"/>
          <w:u w:val="single" w:color="auto"/>
          <w:color w:val="auto"/>
        </w:rPr>
        <w:t>83(b) Election</w:t>
      </w:r>
      <w:r>
        <w:rPr>
          <w:rFonts w:ascii="Arial" w:cs="Arial" w:eastAsia="Arial" w:hAnsi="Arial"/>
          <w:sz w:val="18"/>
          <w:szCs w:val="18"/>
          <w:color w:val="auto"/>
        </w:rPr>
        <w:t>”) pursuant to Section 83(b) of the Internal Revenue Code of 1986, as amended, with respect to the Units purchased at such Closing within 20 days after the Closing and shall notify the Company when the 83(b) Election has been made and provide the Company with a copy of the 83(b) Election. OFFICER ACKNOWLEDGES THAT OFFICER WILL BE SOLELY RESPONSIBLE FOR ANY AND ALL TAX LIABILITIES PAYABLE BY THE OFFICER IN CONNECTION WITH THE OFFICER’S PURCHASE AND RECEIPT OF THE UNITS OR ATTRIBUTABLE TO THE OFFICER MAKING THE 83(B) ELECTION. THE OFFICER ACKNOWLEDGES THAT (1) THE OFFICER ALONE IS RESPONSIBLE FOR FILING WITH THE INTERNAL REVENUE SERVICE, BY THE APPLICABLE DEADLINE, ALL APPLICABLE FORMS REQUIRED TO EFFECT THE 83(B) ELECTION, (2) NO</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09" w:name="page310"/>
    <w:bookmarkEnd w:id="309"/>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EXTENSION OF THE 83(B) ELECTION DEADLINE WILL BE AVAILABLE UNDER LAW AND (3) ADVERSE TAX CONSEQUENCES MAY RESULT TO THE OFFICER IF THE 83(B) ELECTION IS NOT TIMELY MADE.</w:t>
      </w:r>
    </w:p>
    <w:p>
      <w:pPr>
        <w:spacing w:after="0" w:line="132" w:lineRule="exact"/>
        <w:rPr>
          <w:sz w:val="20"/>
          <w:szCs w:val="20"/>
          <w:color w:val="auto"/>
        </w:rPr>
      </w:pPr>
    </w:p>
    <w:p>
      <w:pPr>
        <w:ind w:right="20" w:firstLine="464"/>
        <w:spacing w:after="0" w:line="289" w:lineRule="auto"/>
        <w:tabs>
          <w:tab w:leader="none" w:pos="632"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The Officer’s Rights with Respect to Restricted Units</w:t>
      </w:r>
      <w:r>
        <w:rPr>
          <w:rFonts w:ascii="Arial" w:cs="Arial" w:eastAsia="Arial" w:hAnsi="Arial"/>
          <w:sz w:val="16"/>
          <w:szCs w:val="16"/>
          <w:color w:val="auto"/>
        </w:rPr>
        <w:t>. Except as otherwise provided in this Agreement or any other agreement entered into in respect of the Restricted Units, the Officer shall have, with respect to all of its Restricted Units, all of the rights of an equityholder of the Company, including the right to vote such Restricted Units, the right to receive cash and other dividends, if any, as may be declared on the Restricted Units from time to time, and the right to receive cash proceeds payable with respect to the Restricted Units as a result of any merger, reorganization, consolidation, or other corporate transaction of the Company to the same extent as such cash proceeds are payable with respect to other Common Units. Any securities issued to or received by the Officer with respect to Restricted Units as a result of a split, a dividend payable in units, a combination of units or any other change or exchange of the Restricted Units for other securities, by reclassification, reorganization, distribution, liquidation or otherwise shall have the same status as the Restricted Units and shall be held by the Company, if the Restricted Units are being so held, unless otherwise determined by the Committee.</w:t>
      </w:r>
    </w:p>
    <w:p>
      <w:pPr>
        <w:spacing w:after="0" w:line="118" w:lineRule="exact"/>
        <w:rPr>
          <w:rFonts w:ascii="Arial" w:cs="Arial" w:eastAsia="Arial" w:hAnsi="Arial"/>
          <w:sz w:val="16"/>
          <w:szCs w:val="16"/>
          <w:color w:val="auto"/>
        </w:rPr>
      </w:pPr>
    </w:p>
    <w:p>
      <w:pPr>
        <w:ind w:firstLine="464"/>
        <w:spacing w:after="0" w:line="268" w:lineRule="auto"/>
        <w:tabs>
          <w:tab w:leader="none" w:pos="632"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Other Rights and Obligations</w:t>
      </w:r>
      <w:r>
        <w:rPr>
          <w:rFonts w:ascii="Arial" w:cs="Arial" w:eastAsia="Arial" w:hAnsi="Arial"/>
          <w:sz w:val="18"/>
          <w:szCs w:val="18"/>
          <w:color w:val="auto"/>
        </w:rPr>
        <w:t>. The Officer shall be entitled to the rights and subject to the obligations created under the Plan, the LLC Agreement and the Securityholders’ Agreement, each to the extent set forth therein.</w:t>
      </w:r>
    </w:p>
    <w:p>
      <w:pPr>
        <w:spacing w:after="0" w:line="131" w:lineRule="exact"/>
        <w:rPr>
          <w:rFonts w:ascii="Arial" w:cs="Arial" w:eastAsia="Arial" w:hAnsi="Arial"/>
          <w:sz w:val="18"/>
          <w:szCs w:val="18"/>
          <w:color w:val="auto"/>
        </w:rPr>
      </w:pPr>
    </w:p>
    <w:p>
      <w:pPr>
        <w:ind w:firstLine="464"/>
        <w:spacing w:after="0" w:line="287" w:lineRule="auto"/>
        <w:tabs>
          <w:tab w:leader="none" w:pos="632"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Officer that (</w:t>
      </w:r>
      <w:r>
        <w:rPr>
          <w:rFonts w:ascii="Arial" w:cs="Arial" w:eastAsia="Arial" w:hAnsi="Arial"/>
          <w:sz w:val="16"/>
          <w:szCs w:val="16"/>
          <w:u w:val="single" w:color="auto"/>
          <w:color w:val="auto"/>
        </w:rPr>
        <w:t>i</w:t>
      </w:r>
      <w:r>
        <w:rPr>
          <w:rFonts w:ascii="Arial" w:cs="Arial" w:eastAsia="Arial" w:hAnsi="Arial"/>
          <w:sz w:val="16"/>
          <w:szCs w:val="16"/>
          <w:color w:val="auto"/>
        </w:rPr>
        <w:t>) the Company is a limited liability company duly organized, validly existing and in good standing under the laws of the State of Delaware, (</w:t>
      </w:r>
      <w:r>
        <w:rPr>
          <w:rFonts w:ascii="Arial" w:cs="Arial" w:eastAsia="Arial" w:hAnsi="Arial"/>
          <w:sz w:val="16"/>
          <w:szCs w:val="16"/>
          <w:u w:val="single" w:color="auto"/>
          <w:color w:val="auto"/>
        </w:rPr>
        <w:t>ii</w:t>
      </w:r>
      <w:r>
        <w:rPr>
          <w:rFonts w:ascii="Arial" w:cs="Arial" w:eastAsia="Arial" w:hAnsi="Arial"/>
          <w:sz w:val="16"/>
          <w:szCs w:val="16"/>
          <w:color w:val="auto"/>
        </w:rPr>
        <w:t>) the execution and delivery of this Agreement, the Securityholders’ Agreement and the LLC Agreement, the performance of the Company’s obligations hereunder and thereunder and the consummation by it of the transactions contemplated hereby and thereby have been duly and validly authorized by all requisite corporate action on the part of the Company, (</w:t>
      </w:r>
      <w:r>
        <w:rPr>
          <w:rFonts w:ascii="Arial" w:cs="Arial" w:eastAsia="Arial" w:hAnsi="Arial"/>
          <w:sz w:val="16"/>
          <w:szCs w:val="16"/>
          <w:u w:val="single" w:color="auto"/>
          <w:color w:val="auto"/>
        </w:rPr>
        <w:t>iii</w:t>
      </w:r>
      <w:r>
        <w:rPr>
          <w:rFonts w:ascii="Arial" w:cs="Arial" w:eastAsia="Arial" w:hAnsi="Arial"/>
          <w:sz w:val="16"/>
          <w:szCs w:val="16"/>
          <w:color w:val="auto"/>
        </w:rPr>
        <w:t>) this Agreement, the Securityholders’ Agreement and the LLC Agreement have been duly and validly executed by the Company and constitute the legal, valid and binding obligations of the Company enforceable against it in accordance with their respective terms, except as the same may be affected by bankruptcy, insolvency, moratorium or similar laws, or by legal or equitable principles relating to or limiting the rights of contracting parties generally and (</w:t>
      </w:r>
      <w:r>
        <w:rPr>
          <w:rFonts w:ascii="Arial" w:cs="Arial" w:eastAsia="Arial" w:hAnsi="Arial"/>
          <w:sz w:val="16"/>
          <w:szCs w:val="16"/>
          <w:u w:val="single" w:color="auto"/>
          <w:color w:val="auto"/>
        </w:rPr>
        <w:t>iv</w:t>
      </w:r>
      <w:r>
        <w:rPr>
          <w:rFonts w:ascii="Arial" w:cs="Arial" w:eastAsia="Arial" w:hAnsi="Arial"/>
          <w:sz w:val="16"/>
          <w:szCs w:val="16"/>
          <w:color w:val="auto"/>
        </w:rPr>
        <w:t>) the Units, when issued and delivered in accordance with the terms hereof, will be duly authorized, validly issued, fully paid and nonassessable, and free and clear of any liens or encumbrances other than those created by the Officer or pursuant to this Agreement, the Securityholders’ Agreement or the LLC Agreement or otherwise in connection with the transactions contemplated hereby and thereby.</w:t>
      </w:r>
    </w:p>
    <w:p>
      <w:pPr>
        <w:spacing w:after="0" w:line="122" w:lineRule="exact"/>
        <w:rPr>
          <w:rFonts w:ascii="Arial" w:cs="Arial" w:eastAsia="Arial" w:hAnsi="Arial"/>
          <w:sz w:val="16"/>
          <w:szCs w:val="16"/>
          <w:color w:val="auto"/>
        </w:rPr>
      </w:pPr>
    </w:p>
    <w:p>
      <w:pPr>
        <w:ind w:left="640" w:hanging="176"/>
        <w:spacing w:after="0"/>
        <w:tabs>
          <w:tab w:leader="none" w:pos="64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80" w:firstLine="464"/>
        <w:spacing w:after="0" w:line="259" w:lineRule="auto"/>
        <w:tabs>
          <w:tab w:leader="none" w:pos="695"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(including by recognized overnight carrier) or sent by certified or express mail, return receipt requested, postage prepaid, or by any recognized international equivalent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9" w:right="239" w:bottom="1440" w:gutter="0" w:footer="0" w:header="0"/>
        </w:sectPr>
      </w:pPr>
    </w:p>
    <w:bookmarkStart w:id="310" w:name="page311"/>
    <w:bookmarkEnd w:id="310"/>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such mail delivery, to the Company, or the Officer, as the case may be, at the following addresses or to such other address as the Company or the Officer, as the case may be, shall specify by notice to the others:</w:t>
      </w:r>
    </w:p>
    <w:p>
      <w:pPr>
        <w:spacing w:after="0" w:line="51" w:lineRule="exact"/>
        <w:rPr>
          <w:sz w:val="20"/>
          <w:szCs w:val="20"/>
          <w:color w:val="auto"/>
        </w:rPr>
      </w:pPr>
    </w:p>
    <w:p>
      <w:pPr>
        <w:ind w:left="900" w:hanging="446"/>
        <w:spacing w:after="0"/>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891 Daechi-dong, Kangnam-gu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to the Officer, to the Officer at the address as reflected in the Company’s books and records.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right="40" w:firstLine="464"/>
        <w:spacing w:after="0" w:line="335" w:lineRule="auto"/>
        <w:tabs>
          <w:tab w:leader="none" w:pos="705"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right="80" w:firstLine="464"/>
        <w:spacing w:after="0" w:line="289" w:lineRule="auto"/>
        <w:tabs>
          <w:tab w:leader="none" w:pos="695"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a party to exercise any right or privilege hereunder shall be deemed a waiver of such party’s rights or privileges hereunder or shall be deemed a waiver of such party’s rights to exercise the same at any subsequent time or times hereunder.</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modified or supplemented only by a written agreement executed by the Officer and the Company.</w:t>
      </w:r>
    </w:p>
    <w:p>
      <w:pPr>
        <w:spacing w:after="0" w:line="194" w:lineRule="exact"/>
        <w:rPr>
          <w:rFonts w:ascii="Arial" w:cs="Arial" w:eastAsia="Arial" w:hAnsi="Arial"/>
          <w:sz w:val="16"/>
          <w:szCs w:val="16"/>
          <w:color w:val="auto"/>
        </w:rPr>
      </w:pPr>
    </w:p>
    <w:p>
      <w:pPr>
        <w:ind w:firstLine="464"/>
        <w:spacing w:after="0" w:line="335" w:lineRule="auto"/>
        <w:tabs>
          <w:tab w:leader="none" w:pos="695"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Plan, the Securityholders Agreement and the LLC Agreement, is the entire agreement of the parties with respect to the subject matter hereof and supersedes all other prior agreements, understandings, documents, statements, representations and warranties, oral or written, express or implied, between the parties hereto and their respective subsidiaries, representatives and agents in respect of the subject matter hereof.</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9" w:right="279" w:bottom="1440" w:gutter="0" w:footer="0" w:header="0"/>
        </w:sectPr>
      </w:pPr>
    </w:p>
    <w:bookmarkStart w:id="311" w:name="page312"/>
    <w:bookmarkEnd w:id="311"/>
    <w:p>
      <w:pPr>
        <w:ind w:left="-40" w:right="120" w:firstLine="464"/>
        <w:spacing w:after="0" w:line="298" w:lineRule="auto"/>
        <w:tabs>
          <w:tab w:leader="none" w:pos="636"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Withholding</w:t>
      </w:r>
      <w:r>
        <w:rPr>
          <w:rFonts w:ascii="Arial" w:cs="Arial" w:eastAsia="Arial" w:hAnsi="Arial"/>
          <w:sz w:val="16"/>
          <w:szCs w:val="16"/>
          <w:color w:val="auto"/>
        </w:rPr>
        <w:t>. The Company or any Subsidiary may withhold from, and set off against, any and all payments due to the Officer, those amounts required to be remitted by the Company or such Subsidiary to satisfy federal, state, and local withholding tax requirements related to the Officers’ acquisition of the Units hereunder. The Officer shall promptly remit to the Company any difference between the amount of taxes which the Company and its Subsidiaries are able to withhold and the amount of taxes which are required to be remitted to taxing authorities on the Officer’s behalf.</w:t>
      </w:r>
    </w:p>
    <w:p>
      <w:pPr>
        <w:spacing w:after="0" w:line="112" w:lineRule="exact"/>
        <w:rPr>
          <w:rFonts w:ascii="Arial" w:cs="Arial" w:eastAsia="Arial" w:hAnsi="Arial"/>
          <w:sz w:val="16"/>
          <w:szCs w:val="16"/>
          <w:color w:val="auto"/>
        </w:rPr>
      </w:pPr>
    </w:p>
    <w:p>
      <w:pPr>
        <w:jc w:val="both"/>
        <w:ind w:left="-40" w:firstLine="464"/>
        <w:spacing w:after="0" w:line="298" w:lineRule="auto"/>
        <w:tabs>
          <w:tab w:leader="none" w:pos="665"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Beneficiary Designation</w:t>
      </w:r>
      <w:r>
        <w:rPr>
          <w:rFonts w:ascii="Arial" w:cs="Arial" w:eastAsia="Arial" w:hAnsi="Arial"/>
          <w:sz w:val="16"/>
          <w:szCs w:val="16"/>
          <w:color w:val="auto"/>
        </w:rPr>
        <w:t>. The Officer may from time to time name any beneficiary or beneficiaries (who may be named contingently or successively) by whom any right under the Plan and this Agreement is to be exercised in case of her death. Each designation will revoke all prior designations by the Officer, shall be in a form reasonably prescribed by the Committee, and will be effective only when filed by the Officer in writing with the Committee during her lifetime. If no beneficiary is named, or if a named beneficiary does not survive the Officer, the Successor Holder may exercise the Grantee’s rights under the Plan.</w:t>
      </w:r>
    </w:p>
    <w:p>
      <w:pPr>
        <w:spacing w:after="0" w:line="112" w:lineRule="exact"/>
        <w:rPr>
          <w:rFonts w:ascii="Arial" w:cs="Arial" w:eastAsia="Arial" w:hAnsi="Arial"/>
          <w:sz w:val="16"/>
          <w:szCs w:val="16"/>
          <w:color w:val="auto"/>
        </w:rPr>
      </w:pPr>
    </w:p>
    <w:p>
      <w:pPr>
        <w:ind w:left="-40" w:right="520" w:firstLine="464"/>
        <w:spacing w:after="0" w:line="268" w:lineRule="auto"/>
        <w:tabs>
          <w:tab w:leader="none" w:pos="665"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 Nothing in this Agreement shall interfere with or limit in any way the right of MagnaChip Korea to terminate the Officer’s employment at any time, or confer upon the Officer any right to continue in the employ of MagnaChip Korea.</w:t>
      </w:r>
    </w:p>
    <w:p>
      <w:pPr>
        <w:spacing w:after="0" w:line="131" w:lineRule="exact"/>
        <w:rPr>
          <w:rFonts w:ascii="Arial" w:cs="Arial" w:eastAsia="Arial" w:hAnsi="Arial"/>
          <w:sz w:val="18"/>
          <w:szCs w:val="18"/>
          <w:color w:val="auto"/>
        </w:rPr>
      </w:pPr>
    </w:p>
    <w:p>
      <w:pPr>
        <w:ind w:left="-40" w:firstLine="464"/>
        <w:spacing w:after="0" w:line="268" w:lineRule="auto"/>
        <w:tabs>
          <w:tab w:leader="none" w:pos="626"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w:t>
      </w:r>
    </w:p>
    <w:p>
      <w:pPr>
        <w:spacing w:after="0" w:line="50" w:lineRule="exact"/>
        <w:rPr>
          <w:rFonts w:ascii="Arial" w:cs="Arial" w:eastAsia="Arial" w:hAnsi="Arial"/>
          <w:sz w:val="18"/>
          <w:szCs w:val="18"/>
          <w:color w:val="auto"/>
        </w:rPr>
      </w:pPr>
    </w:p>
    <w:p>
      <w:pPr>
        <w:ind w:left="-40" w:right="520" w:firstLine="464"/>
        <w:spacing w:after="0" w:line="268" w:lineRule="auto"/>
        <w:tabs>
          <w:tab w:leader="none" w:pos="626"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 5 (relating to Officer’s representations, warranties and covenants) and Section 8 (relating to the Company’s representations and warranties) shall survive any termination of this Agreement.</w:t>
      </w:r>
    </w:p>
    <w:p>
      <w:pPr>
        <w:spacing w:after="0" w:line="131" w:lineRule="exact"/>
        <w:rPr>
          <w:rFonts w:ascii="Arial" w:cs="Arial" w:eastAsia="Arial" w:hAnsi="Arial"/>
          <w:sz w:val="18"/>
          <w:szCs w:val="18"/>
          <w:color w:val="auto"/>
        </w:rPr>
      </w:pPr>
    </w:p>
    <w:p>
      <w:pPr>
        <w:ind w:left="-40" w:right="240" w:firstLine="464"/>
        <w:spacing w:after="0" w:line="268" w:lineRule="auto"/>
        <w:tabs>
          <w:tab w:leader="none" w:pos="665"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 etc</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left="-40" w:right="580" w:firstLine="464"/>
        <w:spacing w:after="0" w:line="268" w:lineRule="auto"/>
        <w:tabs>
          <w:tab w:leader="none" w:pos="626"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80" w:right="279" w:bottom="1440" w:gutter="0" w:footer="0" w:header="0"/>
        </w:sectPr>
      </w:pPr>
    </w:p>
    <w:bookmarkStart w:id="312" w:name="page313"/>
    <w:bookmarkEnd w:id="31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and the Officer have executed this Agreement as of the date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MAGNACHIP SEMICONDUCTOR LLC</w:t>
      </w:r>
    </w:p>
    <w:p>
      <w:pPr>
        <w:spacing w:after="0" w:line="24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OFFICER: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JERRY M. BAKER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Jerry M.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Total Number of restricted</w:t>
            </w:r>
          </w:p>
        </w:tc>
        <w:tc>
          <w:tcPr>
            <w:tcW w:w="1060" w:type="dxa"/>
            <w:vAlign w:val="bottom"/>
          </w:tcPr>
          <w:p>
            <w:pPr>
              <w:spacing w:after="0"/>
              <w:rPr>
                <w:sz w:val="18"/>
                <w:szCs w:val="18"/>
                <w:color w:val="auto"/>
              </w:rPr>
            </w:pPr>
          </w:p>
        </w:tc>
      </w:t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Common Units to be Purchased:</w:t>
            </w:r>
          </w:p>
        </w:tc>
        <w:tc>
          <w:tcPr>
            <w:tcW w:w="1060" w:type="dxa"/>
            <w:vAlign w:val="bottom"/>
          </w:tcPr>
          <w:p>
            <w:pPr>
              <w:ind w:left="400"/>
              <w:spacing w:after="0"/>
              <w:rPr>
                <w:sz w:val="20"/>
                <w:szCs w:val="20"/>
                <w:color w:val="auto"/>
              </w:rPr>
            </w:pPr>
            <w:r>
              <w:rPr>
                <w:rFonts w:ascii="Arial" w:cs="Arial" w:eastAsia="Arial" w:hAnsi="Arial"/>
                <w:sz w:val="18"/>
                <w:szCs w:val="18"/>
                <w:color w:val="auto"/>
                <w:w w:val="98"/>
              </w:rPr>
              <w:t>545,798</w:t>
            </w:r>
          </w:p>
        </w:tc>
      </w:tr>
      <w:tr>
        <w:trPr>
          <w:trHeight w:val="426"/>
        </w:trPr>
        <w:tc>
          <w:tcPr>
            <w:tcW w:w="2700" w:type="dxa"/>
            <w:vAlign w:val="bottom"/>
          </w:tcPr>
          <w:p>
            <w:pPr>
              <w:spacing w:after="0"/>
              <w:rPr>
                <w:sz w:val="20"/>
                <w:szCs w:val="20"/>
                <w:color w:val="auto"/>
              </w:rPr>
            </w:pPr>
            <w:r>
              <w:rPr>
                <w:rFonts w:ascii="Arial" w:cs="Arial" w:eastAsia="Arial" w:hAnsi="Arial"/>
                <w:sz w:val="18"/>
                <w:szCs w:val="18"/>
                <w:color w:val="auto"/>
              </w:rPr>
              <w:t>Total Purchase</w:t>
            </w:r>
          </w:p>
        </w:tc>
        <w:tc>
          <w:tcPr>
            <w:tcW w:w="1060" w:type="dxa"/>
            <w:vAlign w:val="bottom"/>
          </w:tcPr>
          <w:p>
            <w:pPr>
              <w:spacing w:after="0"/>
              <w:rPr>
                <w:sz w:val="24"/>
                <w:szCs w:val="24"/>
                <w:color w:val="auto"/>
              </w:rPr>
            </w:pPr>
          </w:p>
        </w:tc>
      </w:t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Price:</w:t>
            </w:r>
          </w:p>
        </w:tc>
        <w:tc>
          <w:tcPr>
            <w:tcW w:w="1060" w:type="dxa"/>
            <w:vAlign w:val="bottom"/>
          </w:tcPr>
          <w:p>
            <w:pPr>
              <w:ind w:left="400"/>
              <w:spacing w:after="0"/>
              <w:rPr>
                <w:sz w:val="20"/>
                <w:szCs w:val="20"/>
                <w:color w:val="auto"/>
              </w:rPr>
            </w:pPr>
            <w:r>
              <w:rPr>
                <w:rFonts w:ascii="Arial" w:cs="Arial" w:eastAsia="Arial" w:hAnsi="Arial"/>
                <w:sz w:val="18"/>
                <w:szCs w:val="18"/>
                <w:color w:val="auto"/>
                <w:w w:val="85"/>
              </w:rPr>
              <w:t>$545,798</w:t>
            </w:r>
          </w:p>
        </w:tc>
      </w:tr>
    </w:tbl>
    <w:p>
      <w:pPr>
        <w:sectPr>
          <w:pgSz w:w="11900" w:h="16838" w:orient="portrait"/>
          <w:cols w:equalWidth="0" w:num="1">
            <w:col w:w="10219"/>
          </w:cols>
          <w:pgMar w:left="240" w:top="279" w:right="1440"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10.50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65" w:lineRule="exact"/>
        <w:rPr>
          <w:sz w:val="20"/>
          <w:szCs w:val="20"/>
          <w:color w:val="auto"/>
        </w:rPr>
      </w:pPr>
    </w:p>
    <w:p>
      <w:pPr>
        <w:jc w:val="both"/>
        <w:ind w:right="200" w:firstLine="456"/>
        <w:spacing w:after="0" w:line="310" w:lineRule="auto"/>
        <w:rPr>
          <w:sz w:val="20"/>
          <w:szCs w:val="20"/>
          <w:color w:val="auto"/>
        </w:rPr>
      </w:pPr>
      <w:r>
        <w:rPr>
          <w:rFonts w:ascii="Arial" w:cs="Arial" w:eastAsia="Arial" w:hAnsi="Arial"/>
          <w:sz w:val="16"/>
          <w:szCs w:val="16"/>
          <w:color w:val="auto"/>
        </w:rPr>
        <w:t xml:space="preserve">THIS OPTION AGREEMENT, dated as of </w:t>
      </w:r>
      <w:r>
        <w:rPr>
          <w:rFonts w:ascii="Arial" w:cs="Arial" w:eastAsia="Arial" w:hAnsi="Arial"/>
          <w:sz w:val="16"/>
          <w:szCs w:val="16"/>
          <w:b w:val="1"/>
          <w:bCs w:val="1"/>
          <w:u w:val="single" w:color="auto"/>
          <w:color w:val="auto"/>
        </w:rPr>
        <w:t>January 19, 2006</w:t>
      </w:r>
      <w:r>
        <w:rPr>
          <w:rFonts w:ascii="Arial" w:cs="Arial" w:eastAsia="Arial" w:hAnsi="Arial"/>
          <w:sz w:val="16"/>
          <w:szCs w:val="16"/>
          <w:color w:val="auto"/>
        </w:rPr>
        <w:t xml:space="preserve">, is executed by and between MagnaChip Semiconductor LLC, a Delaware limited liability company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Mr. Armando Geday</w:t>
      </w:r>
      <w:r>
        <w:rPr>
          <w:rFonts w:ascii="Arial" w:cs="Arial" w:eastAsia="Arial" w:hAnsi="Arial"/>
          <w:sz w:val="16"/>
          <w:szCs w:val="16"/>
          <w:color w:val="auto"/>
        </w:rPr>
        <w:t xml:space="preserv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Grantee</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the MagnaChip Semiconductor LLC Equity Incentive Plan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Plan</w:t>
      </w:r>
      <w:r>
        <w:rPr>
          <w:rFonts w:ascii="Arial" w:cs="Arial" w:eastAsia="Arial" w:hAnsi="Arial"/>
          <w:sz w:val="16"/>
          <w:szCs w:val="16"/>
          <w:b w:val="1"/>
          <w:bCs w:val="1"/>
          <w:color w:val="auto"/>
        </w:rPr>
        <w:t>”</w:t>
      </w:r>
      <w:r>
        <w:rPr>
          <w:rFonts w:ascii="Arial" w:cs="Arial" w:eastAsia="Arial" w:hAnsi="Arial"/>
          <w:sz w:val="16"/>
          <w:szCs w:val="16"/>
          <w:color w:val="auto"/>
        </w:rPr>
        <w:t>). Capitalized terms that are not defined herein shall have the meanings given to such terms in the Plan.</w:t>
      </w:r>
    </w:p>
    <w:p>
      <w:pPr>
        <w:spacing w:after="0" w:line="97" w:lineRule="exact"/>
        <w:rPr>
          <w:sz w:val="20"/>
          <w:szCs w:val="20"/>
          <w:color w:val="auto"/>
        </w:rPr>
      </w:pPr>
    </w:p>
    <w:p>
      <w:pPr>
        <w:ind w:left="460" w:right="1680"/>
        <w:spacing w:after="0" w:line="441"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of its directors; WHEREAS, the Company has adopted the Plan in order to effect such grants; and</w:t>
      </w:r>
    </w:p>
    <w:p>
      <w:pPr>
        <w:spacing w:after="0" w:line="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WHEREAS, the Grantee is an employee or director as contemplated by the Plan, and the Committee has determined that it is in the interest of the Company to grant these options to the Grantee.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213" w:lineRule="exact"/>
        <w:rPr>
          <w:sz w:val="20"/>
          <w:szCs w:val="20"/>
          <w:color w:val="auto"/>
        </w:rPr>
      </w:pPr>
    </w:p>
    <w:p>
      <w:pPr>
        <w:ind w:left="640" w:hanging="176"/>
        <w:spacing w:after="0"/>
        <w:tabs>
          <w:tab w:leader="none" w:pos="64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ind w:right="120" w:firstLine="464"/>
        <w:spacing w:after="0" w:line="262" w:lineRule="auto"/>
        <w:tabs>
          <w:tab w:leader="none" w:pos="69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 xml:space="preserve">. The Company hereby evidences and confirms the grant to the Grantee, effective as of </w:t>
      </w:r>
      <w:r>
        <w:rPr>
          <w:rFonts w:ascii="Arial" w:cs="Arial" w:eastAsia="Arial" w:hAnsi="Arial"/>
          <w:sz w:val="18"/>
          <w:szCs w:val="18"/>
          <w:b w:val="1"/>
          <w:bCs w:val="1"/>
          <w:u w:val="single" w:color="auto"/>
          <w:color w:val="auto"/>
        </w:rPr>
        <w:t>December 12, 2005</w:t>
      </w:r>
      <w:r>
        <w:rPr>
          <w:rFonts w:ascii="Arial" w:cs="Arial" w:eastAsia="Arial" w:hAnsi="Arial"/>
          <w:sz w:val="18"/>
          <w:szCs w:val="18"/>
          <w:color w:val="auto"/>
        </w:rPr>
        <w:t xml:space="preserve">, or the date of the Grantee’s election as a director of the Company, whichever is later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w:t>
      </w:r>
      <w:r>
        <w:rPr>
          <w:rFonts w:ascii="Arial" w:cs="Arial" w:eastAsia="Arial" w:hAnsi="Arial"/>
          <w:sz w:val="18"/>
          <w:szCs w:val="18"/>
          <w:color w:val="auto"/>
        </w:rPr>
        <w:t xml:space="preserve">), of options to purchase from the Company the number of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r>
        <w:rPr>
          <w:rFonts w:ascii="Arial" w:cs="Arial" w:eastAsia="Arial" w:hAnsi="Arial"/>
          <w:sz w:val="18"/>
          <w:szCs w:val="18"/>
          <w:color w:val="auto"/>
        </w:rPr>
        <w:t>) at the exercise price per Common Unit (the “</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 as follows: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Price</w:t>
            </w:r>
          </w:p>
        </w:tc>
        <w:tc>
          <w:tcPr>
            <w:tcW w:w="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Number of Units</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US$1.04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175,000</w:t>
            </w:r>
          </w:p>
        </w:tc>
      </w:tr>
      <w:tr>
        <w:trPr>
          <w:trHeight w:val="228"/>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175,000</w:t>
            </w:r>
          </w:p>
        </w:tc>
      </w:tr>
    </w:tbl>
    <w:p>
      <w:pPr>
        <w:spacing w:after="0" w:line="141" w:lineRule="exact"/>
        <w:rPr>
          <w:sz w:val="20"/>
          <w:szCs w:val="20"/>
          <w:color w:val="auto"/>
        </w:rPr>
      </w:pPr>
    </w:p>
    <w:p>
      <w:pPr>
        <w:jc w:val="both"/>
        <w:ind w:right="20" w:firstLine="464"/>
        <w:spacing w:after="0" w:line="259" w:lineRule="auto"/>
        <w:tabs>
          <w:tab w:leader="none" w:pos="705"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14" w:name="page315"/>
    <w:bookmarkEnd w:id="314"/>
    <w:p>
      <w:pPr>
        <w:ind w:right="100" w:firstLine="464"/>
        <w:spacing w:after="0" w:line="268" w:lineRule="auto"/>
        <w:tabs>
          <w:tab w:leader="none" w:pos="695"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213" w:lineRule="exact"/>
        <w:rPr>
          <w:sz w:val="20"/>
          <w:szCs w:val="20"/>
          <w:color w:val="auto"/>
        </w:rPr>
      </w:pPr>
    </w:p>
    <w:p>
      <w:pPr>
        <w:ind w:left="640" w:hanging="176"/>
        <w:spacing w:after="0"/>
        <w:tabs>
          <w:tab w:leader="none" w:pos="64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84" w:lineRule="exact"/>
        <w:rPr>
          <w:sz w:val="20"/>
          <w:szCs w:val="20"/>
          <w:color w:val="auto"/>
        </w:rPr>
      </w:pPr>
    </w:p>
    <w:p>
      <w:pPr>
        <w:ind w:right="100" w:firstLine="464"/>
        <w:spacing w:after="0" w:line="310" w:lineRule="auto"/>
        <w:tabs>
          <w:tab w:leader="none" w:pos="695"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Vesting Provisions</w:t>
      </w:r>
      <w:r>
        <w:rPr>
          <w:rFonts w:ascii="Arial" w:cs="Arial" w:eastAsia="Arial" w:hAnsi="Arial"/>
          <w:sz w:val="16"/>
          <w:szCs w:val="16"/>
          <w:color w:val="auto"/>
        </w:rPr>
        <w:t xml:space="preserve">. An installment of 25% of the Options shall become exerciseable on </w:t>
      </w:r>
      <w:r>
        <w:rPr>
          <w:rFonts w:ascii="Arial" w:cs="Arial" w:eastAsia="Arial" w:hAnsi="Arial"/>
          <w:sz w:val="16"/>
          <w:szCs w:val="16"/>
          <w:b w:val="1"/>
          <w:bCs w:val="1"/>
          <w:u w:val="single" w:color="auto"/>
          <w:color w:val="auto"/>
        </w:rPr>
        <w:t>January 19, 2007</w:t>
      </w:r>
      <w:r>
        <w:rPr>
          <w:rFonts w:ascii="Arial" w:cs="Arial" w:eastAsia="Arial" w:hAnsi="Arial"/>
          <w:sz w:val="16"/>
          <w:szCs w:val="16"/>
          <w:color w:val="auto"/>
        </w:rPr>
        <w:t>, and additional installments of 6.25% of the Options shall become exerciseable on the last day of each calendar quarter thereafter (each such date, the “</w:t>
      </w:r>
      <w:r>
        <w:rPr>
          <w:rFonts w:ascii="Arial" w:cs="Arial" w:eastAsia="Arial" w:hAnsi="Arial"/>
          <w:sz w:val="16"/>
          <w:szCs w:val="16"/>
          <w:b w:val="1"/>
          <w:bCs w:val="1"/>
          <w:color w:val="auto"/>
        </w:rPr>
        <w:t>Vesting Date</w:t>
      </w:r>
      <w:r>
        <w:rPr>
          <w:rFonts w:ascii="Arial" w:cs="Arial" w:eastAsia="Arial" w:hAnsi="Arial"/>
          <w:sz w:val="16"/>
          <w:szCs w:val="16"/>
          <w:color w:val="auto"/>
        </w:rPr>
        <w:t>” as to the applicable installment of Options), which lapses shall be cumulative, subject to the Grantee’s continuous directorship with the Company from the Grant Date to such Vesting Date .</w:t>
      </w:r>
    </w:p>
    <w:p>
      <w:pPr>
        <w:spacing w:after="0" w:line="103" w:lineRule="exact"/>
        <w:rPr>
          <w:rFonts w:ascii="Arial" w:cs="Arial" w:eastAsia="Arial" w:hAnsi="Arial"/>
          <w:sz w:val="16"/>
          <w:szCs w:val="16"/>
          <w:color w:val="auto"/>
        </w:rPr>
      </w:pPr>
    </w:p>
    <w:p>
      <w:pPr>
        <w:jc w:val="both"/>
        <w:ind w:right="100" w:firstLine="464"/>
        <w:spacing w:after="0" w:line="259" w:lineRule="auto"/>
        <w:tabs>
          <w:tab w:leader="none" w:pos="705"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Normal Expiration Date</w:t>
      </w:r>
      <w:r>
        <w:rPr>
          <w:rFonts w:ascii="Arial" w:cs="Arial" w:eastAsia="Arial" w:hAnsi="Arial"/>
          <w:sz w:val="18"/>
          <w:szCs w:val="18"/>
          <w:color w:val="auto"/>
        </w:rPr>
        <w:t xml:space="preserve">. Unless the Options earlier terminate in accordance with Section 4, the Options shall terminate on the tenth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 Once Options have become exerciseable pursuant to this Section 2, such Options may be exercised, subject to the provisions hereof, at any time and from time to time until the Normal Expiration Date.</w:t>
      </w:r>
    </w:p>
    <w:p>
      <w:pPr>
        <w:spacing w:after="0" w:line="221" w:lineRule="exact"/>
        <w:rPr>
          <w:sz w:val="20"/>
          <w:szCs w:val="20"/>
          <w:color w:val="auto"/>
        </w:rPr>
      </w:pPr>
    </w:p>
    <w:p>
      <w:pPr>
        <w:ind w:left="640" w:hanging="176"/>
        <w:spacing w:after="0"/>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All or part of the exercisable Options may be exercised by the Grantee upon (</w:t>
      </w:r>
      <w:r>
        <w:rPr>
          <w:rFonts w:ascii="Arial" w:cs="Arial" w:eastAsia="Arial" w:hAnsi="Arial"/>
          <w:sz w:val="16"/>
          <w:szCs w:val="16"/>
          <w:u w:val="single" w:color="auto"/>
          <w:color w:val="auto"/>
        </w:rPr>
        <w:t>a</w:t>
      </w:r>
      <w:r>
        <w:rPr>
          <w:rFonts w:ascii="Arial" w:cs="Arial" w:eastAsia="Arial" w:hAnsi="Arial"/>
          <w:sz w:val="16"/>
          <w:szCs w:val="16"/>
          <w:color w:val="auto"/>
        </w:rPr>
        <w:t>) the Grantee’s written notice to the Company of exercise, (</w:t>
      </w:r>
      <w:r>
        <w:rPr>
          <w:rFonts w:ascii="Arial" w:cs="Arial" w:eastAsia="Arial" w:hAnsi="Arial"/>
          <w:sz w:val="16"/>
          <w:szCs w:val="16"/>
          <w:u w:val="single" w:color="auto"/>
          <w:color w:val="auto"/>
        </w:rPr>
        <w:t>b</w:t>
      </w:r>
      <w:r>
        <w:rPr>
          <w:rFonts w:ascii="Arial" w:cs="Arial" w:eastAsia="Arial" w:hAnsi="Arial"/>
          <w:sz w:val="16"/>
          <w:szCs w:val="16"/>
          <w:color w:val="auto"/>
        </w:rPr>
        <w:t>) the Grantee’s payment of the Option Price in full at the time of exercise (</w:t>
      </w:r>
      <w:r>
        <w:rPr>
          <w:rFonts w:ascii="Arial" w:cs="Arial" w:eastAsia="Arial" w:hAnsi="Arial"/>
          <w:sz w:val="16"/>
          <w:szCs w:val="16"/>
          <w:u w:val="single" w:color="auto"/>
          <w:color w:val="auto"/>
        </w:rPr>
        <w:t>i</w:t>
      </w:r>
      <w:r>
        <w:rPr>
          <w:rFonts w:ascii="Arial" w:cs="Arial" w:eastAsia="Arial" w:hAnsi="Arial"/>
          <w:sz w:val="16"/>
          <w:szCs w:val="16"/>
          <w:color w:val="auto"/>
        </w:rPr>
        <w:t>) in cash or cash equivalents or (</w:t>
      </w:r>
      <w:r>
        <w:rPr>
          <w:rFonts w:ascii="Arial" w:cs="Arial" w:eastAsia="Arial" w:hAnsi="Arial"/>
          <w:sz w:val="16"/>
          <w:szCs w:val="16"/>
          <w:u w:val="single" w:color="auto"/>
          <w:color w:val="auto"/>
        </w:rPr>
        <w:t>ii</w:t>
      </w:r>
      <w:r>
        <w:rPr>
          <w:rFonts w:ascii="Arial" w:cs="Arial" w:eastAsia="Arial" w:hAnsi="Arial"/>
          <w:sz w:val="16"/>
          <w:szCs w:val="16"/>
          <w:color w:val="auto"/>
        </w:rPr>
        <w:t>) in accordance with such procedures or in such other form as the Committee shall from time to time determine and (</w:t>
      </w:r>
      <w:r>
        <w:rPr>
          <w:rFonts w:ascii="Arial" w:cs="Arial" w:eastAsia="Arial" w:hAnsi="Arial"/>
          <w:sz w:val="16"/>
          <w:szCs w:val="16"/>
          <w:u w:val="single" w:color="auto"/>
          <w:color w:val="auto"/>
        </w:rPr>
        <w:t>c</w:t>
      </w:r>
      <w:r>
        <w:rPr>
          <w:rFonts w:ascii="Arial" w:cs="Arial" w:eastAsia="Arial" w:hAnsi="Arial"/>
          <w:sz w:val="16"/>
          <w:szCs w:val="16"/>
          <w:color w:val="auto"/>
        </w:rPr>
        <w:t>) the Grantee’s execution of a joinder to the LLC Agreement (if the Grantee is not then a party to such agreement) in order to become a party to such agreement with respect to the Common Units issuable upon the exercise of such Options.</w:t>
      </w:r>
    </w:p>
    <w:p>
      <w:pPr>
        <w:spacing w:after="0" w:line="194" w:lineRule="exact"/>
        <w:rPr>
          <w:sz w:val="20"/>
          <w:szCs w:val="20"/>
          <w:color w:val="auto"/>
        </w:rPr>
      </w:pPr>
    </w:p>
    <w:p>
      <w:pPr>
        <w:ind w:left="640" w:hanging="176"/>
        <w:spacing w:after="0"/>
        <w:tabs>
          <w:tab w:leader="none" w:pos="64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Termination of Directorship</w:t>
      </w:r>
      <w:r>
        <w:rPr>
          <w:rFonts w:ascii="Arial" w:cs="Arial" w:eastAsia="Arial" w:hAnsi="Arial"/>
          <w:sz w:val="18"/>
          <w:szCs w:val="18"/>
          <w:color w:val="auto"/>
        </w:rPr>
        <w:t>.</w:t>
      </w:r>
    </w:p>
    <w:p>
      <w:pPr>
        <w:spacing w:after="0" w:line="90" w:lineRule="exact"/>
        <w:rPr>
          <w:sz w:val="20"/>
          <w:szCs w:val="20"/>
          <w:color w:val="auto"/>
        </w:rPr>
      </w:pPr>
    </w:p>
    <w:p>
      <w:pPr>
        <w:ind w:right="80" w:firstLine="464"/>
        <w:spacing w:after="0" w:line="259" w:lineRule="auto"/>
        <w:tabs>
          <w:tab w:leader="none" w:pos="69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Upon termination of the Grantee’s directorship,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firstLine="464"/>
        <w:spacing w:after="0" w:line="298" w:lineRule="auto"/>
        <w:tabs>
          <w:tab w:leader="none" w:pos="705" w:val="left"/>
        </w:tabs>
        <w:numPr>
          <w:ilvl w:val="0"/>
          <w:numId w:val="314"/>
        </w:numPr>
        <w:rPr>
          <w:rFonts w:ascii="Arial" w:cs="Arial" w:eastAsia="Arial" w:hAnsi="Arial"/>
          <w:sz w:val="16"/>
          <w:szCs w:val="16"/>
          <w:color w:val="auto"/>
        </w:rPr>
      </w:pPr>
      <w:r>
        <w:rPr>
          <w:rFonts w:ascii="Arial" w:cs="Arial" w:eastAsia="Arial" w:hAnsi="Arial"/>
          <w:sz w:val="16"/>
          <w:szCs w:val="16"/>
          <w:color w:val="auto"/>
        </w:rPr>
        <w:t>Upon any termination of the Grantee’s directorship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directorship is terminated for Cause, then the cash payment shall be equal to the lower of the Fair Market Value and the Option Price of the Common Units so purchased.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9" w:right="279" w:bottom="1440" w:gutter="0" w:footer="0" w:header="0"/>
        </w:sectPr>
      </w:pPr>
    </w:p>
    <w:bookmarkStart w:id="315" w:name="page316"/>
    <w:bookmarkEnd w:id="315"/>
    <w:p>
      <w:pPr>
        <w:ind w:left="640" w:hanging="176"/>
        <w:spacing w:after="0"/>
        <w:tabs>
          <w:tab w:leader="none" w:pos="64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Tax Withholding</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Whenever Common Units are to be issued pursuant to the exercise of an Option or any cash payment is to be made hereunder, The Company shall have the power to withhold, or require the Grantee to remit to the Company, an amount sufficient to satisfy federal, state, and local withholding tax requirements relating to such transaction, and the Company may defer payment of cash or issuance of Common Units until such requirements are satisfied.</w:t>
      </w:r>
    </w:p>
    <w:p>
      <w:pPr>
        <w:spacing w:after="0" w:line="188" w:lineRule="exact"/>
        <w:rPr>
          <w:sz w:val="20"/>
          <w:szCs w:val="20"/>
          <w:color w:val="auto"/>
        </w:rPr>
      </w:pPr>
    </w:p>
    <w:p>
      <w:pPr>
        <w:ind w:left="640" w:hanging="176"/>
        <w:spacing w:after="0"/>
        <w:tabs>
          <w:tab w:leader="none" w:pos="64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 or Common Units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99" w:lineRule="exact"/>
        <w:rPr>
          <w:sz w:val="20"/>
          <w:szCs w:val="20"/>
          <w:color w:val="auto"/>
        </w:rPr>
      </w:pPr>
    </w:p>
    <w:p>
      <w:pPr>
        <w:ind w:left="640" w:hanging="176"/>
        <w:spacing w:after="0"/>
        <w:tabs>
          <w:tab w:leader="none" w:pos="6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94" w:lineRule="exact"/>
        <w:rPr>
          <w:sz w:val="20"/>
          <w:szCs w:val="20"/>
          <w:color w:val="auto"/>
        </w:rPr>
      </w:pPr>
    </w:p>
    <w:p>
      <w:pPr>
        <w:ind w:left="640" w:hanging="176"/>
        <w:spacing w:after="0"/>
        <w:tabs>
          <w:tab w:leader="none" w:pos="64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Common Units shall be issued upon exercise of any Options granted hereunder, if such exercise would result in a violation of applicable law.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16" w:name="page317"/>
    <w:bookmarkEnd w:id="316"/>
    <w:p>
      <w:pPr>
        <w:ind w:left="640" w:hanging="176"/>
        <w:spacing w:after="0"/>
        <w:tabs>
          <w:tab w:leader="none" w:pos="64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Guarantee of Directorship</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Company’s unitholders from terminating the Grantee’s directorship at any time, or confer upon the Grantee any right to continue as a director of the Company.</w:t>
      </w:r>
    </w:p>
    <w:p>
      <w:pPr>
        <w:spacing w:after="0" w:line="213" w:lineRule="exact"/>
        <w:rPr>
          <w:sz w:val="20"/>
          <w:szCs w:val="20"/>
          <w:color w:val="auto"/>
        </w:rPr>
      </w:pPr>
    </w:p>
    <w:p>
      <w:pPr>
        <w:ind w:left="720" w:hanging="256"/>
        <w:spacing w:after="0"/>
        <w:tabs>
          <w:tab w:leader="none" w:pos="72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213" w:lineRule="exact"/>
        <w:rPr>
          <w:sz w:val="20"/>
          <w:szCs w:val="20"/>
          <w:color w:val="auto"/>
        </w:rPr>
      </w:pPr>
    </w:p>
    <w:p>
      <w:pPr>
        <w:ind w:left="720" w:hanging="256"/>
        <w:spacing w:after="0"/>
        <w:tabs>
          <w:tab w:leader="none" w:pos="72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221" w:lineRule="exact"/>
        <w:rPr>
          <w:sz w:val="20"/>
          <w:szCs w:val="20"/>
          <w:color w:val="auto"/>
        </w:rPr>
      </w:pPr>
    </w:p>
    <w:p>
      <w:pPr>
        <w:ind w:left="720" w:hanging="256"/>
        <w:spacing w:after="0"/>
        <w:tabs>
          <w:tab w:leader="none" w:pos="72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201" w:lineRule="exact"/>
        <w:rPr>
          <w:sz w:val="20"/>
          <w:szCs w:val="20"/>
          <w:color w:val="auto"/>
        </w:rPr>
      </w:pPr>
    </w:p>
    <w:p>
      <w:pPr>
        <w:ind w:left="720" w:hanging="256"/>
        <w:spacing w:after="0"/>
        <w:tabs>
          <w:tab w:leader="none" w:pos="72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if to 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891 Daechi-dong Kangnam-gu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17" w:name="page318"/>
    <w:bookmarkEnd w:id="3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(ii) if to the Grantee, to the Grantee at the address as reflected in the Company’s books and records.</w:t>
      </w:r>
    </w:p>
    <w:p>
      <w:pPr>
        <w:spacing w:after="0" w:line="90" w:lineRule="exact"/>
        <w:rPr>
          <w:sz w:val="20"/>
          <w:szCs w:val="20"/>
          <w:color w:val="auto"/>
        </w:rPr>
      </w:pPr>
    </w:p>
    <w:p>
      <w:pPr>
        <w:ind w:left="440" w:right="36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left="-20" w:right="80" w:firstLine="464"/>
        <w:spacing w:after="0" w:line="335" w:lineRule="auto"/>
        <w:tabs>
          <w:tab w:leader="none" w:pos="685" w:val="left"/>
        </w:tabs>
        <w:numPr>
          <w:ilvl w:val="0"/>
          <w:numId w:val="325"/>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left="-20" w:firstLine="464"/>
        <w:spacing w:after="0" w:line="289" w:lineRule="auto"/>
        <w:tabs>
          <w:tab w:leader="none" w:pos="675"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18" w:lineRule="exact"/>
        <w:rPr>
          <w:rFonts w:ascii="Arial" w:cs="Arial" w:eastAsia="Arial" w:hAnsi="Arial"/>
          <w:sz w:val="16"/>
          <w:szCs w:val="16"/>
          <w:color w:val="auto"/>
        </w:rPr>
      </w:pPr>
    </w:p>
    <w:p>
      <w:pPr>
        <w:ind w:left="-20" w:right="20" w:firstLine="464"/>
        <w:spacing w:after="0" w:line="306" w:lineRule="auto"/>
        <w:tabs>
          <w:tab w:leader="none" w:pos="656"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9" w:right="239" w:bottom="1440" w:gutter="0" w:footer="0" w:header="0"/>
        </w:sectPr>
      </w:pPr>
    </w:p>
    <w:bookmarkStart w:id="318" w:name="page319"/>
    <w:bookmarkEnd w:id="318"/>
    <w:p>
      <w:pPr>
        <w:ind w:left="-20" w:firstLine="464"/>
        <w:spacing w:after="0" w:line="268" w:lineRule="auto"/>
        <w:tabs>
          <w:tab w:leader="none" w:pos="685"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w:t>
      </w:r>
      <w:r>
        <w:rPr>
          <w:rFonts w:ascii="Arial" w:cs="Arial" w:eastAsia="Arial" w:hAnsi="Arial"/>
          <w:sz w:val="18"/>
          <w:szCs w:val="18"/>
          <w:color w:val="auto"/>
        </w:rPr>
        <w:t>. THIS AGREEMENT SHALL BE GOVERNED BY AND CONSTRUED IN ACCORDANCE WITH THE LAW OF THE STATE OF DELAWARE.</w:t>
      </w:r>
    </w:p>
    <w:p>
      <w:pPr>
        <w:spacing w:after="0" w:line="131" w:lineRule="exact"/>
        <w:rPr>
          <w:rFonts w:ascii="Arial" w:cs="Arial" w:eastAsia="Arial" w:hAnsi="Arial"/>
          <w:sz w:val="18"/>
          <w:szCs w:val="18"/>
          <w:color w:val="auto"/>
        </w:rPr>
      </w:pPr>
    </w:p>
    <w:p>
      <w:pPr>
        <w:ind w:left="-20" w:right="560" w:firstLine="464"/>
        <w:spacing w:after="0" w:line="268" w:lineRule="auto"/>
        <w:tabs>
          <w:tab w:leader="none" w:pos="685"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left="-20" w:right="620" w:firstLine="464"/>
        <w:spacing w:after="0" w:line="268" w:lineRule="auto"/>
        <w:tabs>
          <w:tab w:leader="none" w:pos="646"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Company and the Grantee have duly executed this Agreement as of the date first above written.</w:t>
      </w:r>
    </w:p>
    <w:p>
      <w:pPr>
        <w:spacing w:after="0" w:line="21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10795</wp:posOffset>
            </wp:positionV>
            <wp:extent cx="25984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2540</wp:posOffset>
            </wp:positionV>
            <wp:extent cx="25984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-635</wp:posOffset>
            </wp:positionV>
            <wp:extent cx="25984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9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GRANTEE</w:t>
      </w:r>
    </w:p>
    <w:p>
      <w:pPr>
        <w:spacing w:after="0" w:line="219"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MR. ARMANDO GEDAY</w:t>
      </w:r>
    </w:p>
    <w:p>
      <w:pPr>
        <w:spacing w:after="0" w:line="231"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Armando Geday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10795</wp:posOffset>
            </wp:positionV>
            <wp:extent cx="25984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Armando Geday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10.51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[Korean Language Redacted]</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SECURITIES REPRESENTED HEREBY HAVE BEEN OFFERED IN AN OFFSHORE TRANSACTION TO A PERSON WHO IS NOT A U.S. PERSON (AS DEFINED HEREIN) PURSUANT TO REGULATION S UNDER THE UNITED STATES SECURITIES ACT OF 1933, AS AMENDED (THE “SECURITIES ACT”).</w:t>
      </w:r>
    </w:p>
    <w:p>
      <w:pPr>
        <w:spacing w:after="0" w:line="1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SECURITIES REPRESENTED HEREBY HAVE BEEN ACQUIRED FOR INVESTMENT AND HAVE NOT BEEN REGISTERED WITH THE SECURITIES AND EXCHANGE COMMISSION UNDER THE SECURITIES ACT AND, AS SUCH, THEY MAY NOT BE OFFERED FOR SALE, SOLD, DELIVERED AFTER SALE, TRANSFERRED, PLEDGED, HYPOTHECATED OR EXERCISED (AS APPLICABLE)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HEREBY AGREES NOT TO ENGAGE IN HEDGING TRANSACTIONS WITH REGARD TO THE SECURITIES UNLESS IN COMPLIANCE WITH THE SECURITIES ACT.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65"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color w:val="auto"/>
        </w:rPr>
        <w:t xml:space="preserve">THIS OPTION AGREEMENT, dated as of </w:t>
      </w:r>
      <w:r>
        <w:rPr>
          <w:rFonts w:ascii="Arial" w:cs="Arial" w:eastAsia="Arial" w:hAnsi="Arial"/>
          <w:sz w:val="18"/>
          <w:szCs w:val="18"/>
          <w:b w:val="1"/>
          <w:bCs w:val="1"/>
          <w:u w:val="single" w:color="auto"/>
          <w:color w:val="auto"/>
        </w:rPr>
        <w:t>March 9, 2006</w:t>
      </w:r>
      <w:r>
        <w:rPr>
          <w:rFonts w:ascii="Arial" w:cs="Arial" w:eastAsia="Arial" w:hAnsi="Arial"/>
          <w:sz w:val="18"/>
          <w:szCs w:val="18"/>
          <w:color w:val="auto"/>
        </w:rPr>
        <w:t xml:space="preserve">, is executed by and between MagnaChip Semiconductor LLC, a Delaware limited liability company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Taeyoung Hwang</w:t>
      </w:r>
      <w:r>
        <w:rPr>
          <w:rFonts w:ascii="Arial" w:cs="Arial" w:eastAsia="Arial" w:hAnsi="Arial"/>
          <w:sz w:val="18"/>
          <w:szCs w:val="18"/>
          <w:color w:val="auto"/>
        </w:rPr>
        <w:t xml:space="preserv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Grantee</w:t>
      </w:r>
      <w:r>
        <w:rPr>
          <w:rFonts w:ascii="Arial" w:cs="Arial" w:eastAsia="Arial" w:hAnsi="Arial"/>
          <w:sz w:val="18"/>
          <w:szCs w:val="18"/>
          <w:b w:val="1"/>
          <w:bCs w:val="1"/>
          <w:color w:val="auto"/>
        </w:rPr>
        <w:t>”</w:t>
      </w:r>
      <w:r>
        <w:rPr>
          <w:rFonts w:ascii="Arial" w:cs="Arial" w:eastAsia="Arial" w:hAnsi="Arial"/>
          <w:sz w:val="18"/>
          <w:szCs w:val="18"/>
          <w:color w:val="auto"/>
        </w:rPr>
        <w:t xml:space="preserve">), pursuant to the MagnaChip Semiconductor LLC Equity Incentive Plan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w:t>
      </w:r>
      <w:r>
        <w:rPr>
          <w:rFonts w:ascii="Arial" w:cs="Arial" w:eastAsia="Arial" w:hAnsi="Arial"/>
          <w:sz w:val="18"/>
          <w:szCs w:val="18"/>
          <w:color w:val="auto"/>
        </w:rPr>
        <w:t>). Capitalized terms that are not defined herein shall have the meanings given to such terms in the Plan.</w:t>
      </w:r>
    </w:p>
    <w:p>
      <w:pPr>
        <w:spacing w:after="0" w:line="132"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of its wholly-owned subsidiary, MagnaChip Semiconductor, Ltd.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MagnaChip Korea</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20" w:name="page321"/>
    <w:bookmarkEnd w:id="3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 has adopted the Plan in order to effect such grants; and</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213" w:lineRule="exact"/>
        <w:rPr>
          <w:sz w:val="20"/>
          <w:szCs w:val="20"/>
          <w:color w:val="auto"/>
        </w:rPr>
      </w:pPr>
    </w:p>
    <w:p>
      <w:pPr>
        <w:ind w:left="640" w:hanging="176"/>
        <w:spacing w:after="0"/>
        <w:tabs>
          <w:tab w:leader="none" w:pos="64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jc w:val="both"/>
        <w:ind w:right="180" w:firstLine="464"/>
        <w:spacing w:after="0" w:line="339" w:lineRule="auto"/>
        <w:tabs>
          <w:tab w:leader="none" w:pos="695"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Confirmation of Grant</w:t>
      </w:r>
      <w:r>
        <w:rPr>
          <w:rFonts w:ascii="Arial" w:cs="Arial" w:eastAsia="Arial" w:hAnsi="Arial"/>
          <w:sz w:val="16"/>
          <w:szCs w:val="16"/>
          <w:color w:val="auto"/>
        </w:rPr>
        <w:t xml:space="preserve">. The Company hereby evidences and confirms the grant to the Grantee, effective as of </w:t>
      </w:r>
      <w:r>
        <w:rPr>
          <w:rFonts w:ascii="Arial" w:cs="Arial" w:eastAsia="Arial" w:hAnsi="Arial"/>
          <w:sz w:val="16"/>
          <w:szCs w:val="16"/>
          <w:b w:val="1"/>
          <w:bCs w:val="1"/>
          <w:u w:val="single" w:color="auto"/>
          <w:color w:val="auto"/>
        </w:rPr>
        <w:t>March 9, 2006</w:t>
      </w:r>
      <w:r>
        <w:rPr>
          <w:rFonts w:ascii="Arial" w:cs="Arial" w:eastAsia="Arial" w:hAnsi="Arial"/>
          <w:sz w:val="16"/>
          <w:szCs w:val="16"/>
          <w:color w:val="auto"/>
        </w:rPr>
        <w:t xml:space="preserv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Grant Date</w:t>
      </w:r>
      <w:r>
        <w:rPr>
          <w:rFonts w:ascii="Arial" w:cs="Arial" w:eastAsia="Arial" w:hAnsi="Arial"/>
          <w:sz w:val="16"/>
          <w:szCs w:val="16"/>
          <w:b w:val="1"/>
          <w:bCs w:val="1"/>
          <w:color w:val="auto"/>
        </w:rPr>
        <w:t>”</w:t>
      </w:r>
      <w:r>
        <w:rPr>
          <w:rFonts w:ascii="Arial" w:cs="Arial" w:eastAsia="Arial" w:hAnsi="Arial"/>
          <w:sz w:val="16"/>
          <w:szCs w:val="16"/>
          <w:color w:val="auto"/>
        </w:rPr>
        <w:t xml:space="preserve">), of options to purchase from the Company the number of Common Units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Options</w:t>
      </w:r>
      <w:r>
        <w:rPr>
          <w:rFonts w:ascii="Arial" w:cs="Arial" w:eastAsia="Arial" w:hAnsi="Arial"/>
          <w:sz w:val="16"/>
          <w:szCs w:val="16"/>
          <w:b w:val="1"/>
          <w:bCs w:val="1"/>
          <w:color w:val="auto"/>
        </w:rPr>
        <w:t>”</w:t>
      </w:r>
      <w:r>
        <w:rPr>
          <w:rFonts w:ascii="Arial" w:cs="Arial" w:eastAsia="Arial" w:hAnsi="Arial"/>
          <w:sz w:val="16"/>
          <w:szCs w:val="16"/>
          <w:color w:val="auto"/>
        </w:rPr>
        <w:t xml:space="preserve">) at the exercise price per Common Unit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 Price</w:t>
      </w:r>
      <w:r>
        <w:rPr>
          <w:rFonts w:ascii="Arial" w:cs="Arial" w:eastAsia="Arial" w:hAnsi="Arial"/>
          <w:sz w:val="16"/>
          <w:szCs w:val="16"/>
          <w:b w:val="1"/>
          <w:bCs w:val="1"/>
          <w:color w:val="auto"/>
        </w:rPr>
        <w:t>”</w:t>
      </w:r>
      <w:r>
        <w:rPr>
          <w:rFonts w:ascii="Arial" w:cs="Arial" w:eastAsia="Arial" w:hAnsi="Arial"/>
          <w:sz w:val="16"/>
          <w:szCs w:val="16"/>
          <w:color w:val="auto"/>
        </w:rPr>
        <w:t>) as follows:</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Price</w:t>
            </w:r>
          </w:p>
        </w:tc>
        <w:tc>
          <w:tcPr>
            <w:tcW w:w="9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Number of Units</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US$ 1.50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25,000</w:t>
            </w:r>
          </w:p>
        </w:tc>
      </w:tr>
    </w:tbl>
    <w:p>
      <w:pPr>
        <w:spacing w:after="0" w:line="147" w:lineRule="exact"/>
        <w:rPr>
          <w:sz w:val="20"/>
          <w:szCs w:val="20"/>
          <w:color w:val="auto"/>
        </w:rPr>
      </w:pPr>
    </w:p>
    <w:p>
      <w:pPr>
        <w:jc w:val="both"/>
        <w:ind w:firstLine="464"/>
        <w:spacing w:after="0" w:line="256" w:lineRule="auto"/>
        <w:tabs>
          <w:tab w:leader="none" w:pos="705"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 In the event of a conflict between the terms and conditions of the Plan and this Option Agreement, the terms and conditions of the Plan shall prevail.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21" w:name="page322"/>
    <w:bookmarkEnd w:id="321"/>
    <w:p>
      <w:pPr>
        <w:ind w:right="20" w:firstLine="464"/>
        <w:spacing w:after="0" w:line="268" w:lineRule="auto"/>
        <w:tabs>
          <w:tab w:leader="none" w:pos="695"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213" w:lineRule="exact"/>
        <w:rPr>
          <w:sz w:val="20"/>
          <w:szCs w:val="20"/>
          <w:color w:val="auto"/>
        </w:rPr>
      </w:pPr>
    </w:p>
    <w:p>
      <w:pPr>
        <w:ind w:left="640" w:hanging="176"/>
        <w:spacing w:after="0"/>
        <w:tabs>
          <w:tab w:leader="none" w:pos="64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91" w:lineRule="auto"/>
        <w:tabs>
          <w:tab w:leader="none" w:pos="695"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Vesting Provisions</w:t>
      </w:r>
      <w:r>
        <w:rPr>
          <w:rFonts w:ascii="Arial" w:cs="Arial" w:eastAsia="Arial" w:hAnsi="Arial"/>
          <w:sz w:val="16"/>
          <w:szCs w:val="16"/>
          <w:color w:val="auto"/>
        </w:rPr>
        <w:t>. An installment of 25% of the Common Units subject to the Options shall become vested and exercisable upon the earlier of: (i) the date of the first closing of a firmly underwritten public offering for any equity securities of the Company, and (ii) the date as designated in the sole discretion of the Equity Compensation Committee of the Company’s Board of Directors as the date upon which the unitholders of the Company as of October 6, 2004, have achieved a 2.5x return on their investment (the “First Vesting Event”). The remaining 75% of the Common Units subject to the Options shall become vested and exercisable as to 25% of such Common Units on each of the first three successive annual anniversaries of the First Vesting Event, subject to the Grantee’s continous employment with MagnaChip Korea from the Grant Date to each such vesting date.</w:t>
      </w:r>
    </w:p>
    <w:p>
      <w:pPr>
        <w:spacing w:after="0" w:line="120"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Normal Expiration Date</w:t>
      </w:r>
      <w:r>
        <w:rPr>
          <w:rFonts w:ascii="Arial" w:cs="Arial" w:eastAsia="Arial" w:hAnsi="Arial"/>
          <w:sz w:val="18"/>
          <w:szCs w:val="18"/>
          <w:color w:val="auto"/>
        </w:rPr>
        <w:t xml:space="preserve">. Unless the Options earlier terminate in accordance with Section 4, the Options shall terminate on the tenth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 Once Options have become vested and exerciseable pursuant to this Section 2, such Options may be exercised, subject to the provisions hereof, at any time and from time to time until the Normal Expiration Date.</w:t>
      </w:r>
    </w:p>
    <w:p>
      <w:pPr>
        <w:spacing w:after="0" w:line="221" w:lineRule="exact"/>
        <w:rPr>
          <w:sz w:val="20"/>
          <w:szCs w:val="20"/>
          <w:color w:val="auto"/>
        </w:rPr>
      </w:pPr>
    </w:p>
    <w:p>
      <w:pPr>
        <w:ind w:left="640" w:hanging="176"/>
        <w:spacing w:after="0"/>
        <w:tabs>
          <w:tab w:leader="none" w:pos="64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or part of the exercisable Options may be exercised by the Grantee upon (a) the Grantee’s written notice to the Company of exercise (on such Exercise Notice as provided by the Company, a form of which is attached hereto as Exhibit A), (b) the Grantee’s payment of the Option</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322" w:name="page323"/>
    <w:bookmarkEnd w:id="322"/>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Price in full at the time of exercise (i) in cash or cash equivalents or (ii) in accordance with such procedures or in such other form as the Committee shall from time to time determine and (c) the Grantee’s execution of a joinder to the LLC Agreement (if the Grantee is not then a party to such agreement) in order to become a party to such agreement with respect to the Common Units issuable upon the exercise of such Options.</w:t>
      </w:r>
    </w:p>
    <w:p>
      <w:pPr>
        <w:spacing w:after="0" w:line="188" w:lineRule="exact"/>
        <w:rPr>
          <w:sz w:val="20"/>
          <w:szCs w:val="20"/>
          <w:color w:val="auto"/>
        </w:rPr>
      </w:pPr>
    </w:p>
    <w:p>
      <w:pPr>
        <w:ind w:left="640" w:hanging="176"/>
        <w:spacing w:after="0"/>
        <w:tabs>
          <w:tab w:leader="none" w:pos="64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59" w:lineRule="auto"/>
        <w:tabs>
          <w:tab w:leader="none" w:pos="69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right="40" w:firstLine="464"/>
        <w:spacing w:after="0" w:line="294" w:lineRule="auto"/>
        <w:tabs>
          <w:tab w:leader="none" w:pos="70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Company’s repurchase right under this provision shall terminate ninety days after the termination of the Grantee’s employment.</w:t>
      </w:r>
    </w:p>
    <w:p>
      <w:pPr>
        <w:spacing w:after="0" w:line="197" w:lineRule="exact"/>
        <w:rPr>
          <w:sz w:val="20"/>
          <w:szCs w:val="20"/>
          <w:color w:val="auto"/>
        </w:rPr>
      </w:pPr>
    </w:p>
    <w:p>
      <w:pPr>
        <w:ind w:left="640" w:hanging="176"/>
        <w:spacing w:after="0"/>
        <w:tabs>
          <w:tab w:leader="none" w:pos="6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Whenever Common Units are to be issued pursuant to the exercise of an Option or any cash payment is to be made hereunder, the Company shall have the power to withhold, or require the Grantee to remit to the Company, an amount sufficient to satisfy national, federal, state, and local withholding tax requirements relating to such transaction, and the Company may defer payment of cash or issuance of Common Units until such requirements are satisfied.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9" w:right="339" w:bottom="1440" w:gutter="0" w:footer="0" w:header="0"/>
        </w:sectPr>
      </w:pPr>
    </w:p>
    <w:bookmarkStart w:id="323" w:name="page324"/>
    <w:bookmarkEnd w:id="323"/>
    <w:p>
      <w:pPr>
        <w:ind w:left="640" w:hanging="176"/>
        <w:spacing w:after="0"/>
        <w:tabs>
          <w:tab w:leader="none" w:pos="64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Awards or Common Units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99" w:lineRule="exact"/>
        <w:rPr>
          <w:sz w:val="20"/>
          <w:szCs w:val="20"/>
          <w:color w:val="auto"/>
        </w:rPr>
      </w:pPr>
    </w:p>
    <w:p>
      <w:pPr>
        <w:ind w:left="640" w:hanging="176"/>
        <w:spacing w:after="0"/>
        <w:tabs>
          <w:tab w:leader="none" w:pos="64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324" w:name="page325"/>
    <w:bookmarkEnd w:id="324"/>
    <w:p>
      <w:pPr>
        <w:ind w:left="640" w:hanging="176"/>
        <w:spacing w:after="0"/>
        <w:tabs>
          <w:tab w:leader="none" w:pos="64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of Law</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Common Units shall be issued upon exercise of any Options granted hereunder, if such exercise would result in a violation of applicable law.</w:t>
      </w:r>
    </w:p>
    <w:p>
      <w:pPr>
        <w:spacing w:after="0" w:line="224" w:lineRule="exact"/>
        <w:rPr>
          <w:sz w:val="20"/>
          <w:szCs w:val="20"/>
          <w:color w:val="auto"/>
        </w:rPr>
      </w:pPr>
    </w:p>
    <w:p>
      <w:pPr>
        <w:ind w:left="640" w:hanging="176"/>
        <w:spacing w:after="0"/>
        <w:tabs>
          <w:tab w:leader="none" w:pos="64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 Korea.</w:t>
      </w:r>
    </w:p>
    <w:p>
      <w:pPr>
        <w:spacing w:after="0" w:line="213" w:lineRule="exact"/>
        <w:rPr>
          <w:sz w:val="20"/>
          <w:szCs w:val="20"/>
          <w:color w:val="auto"/>
        </w:rPr>
      </w:pPr>
    </w:p>
    <w:p>
      <w:pPr>
        <w:ind w:left="720" w:hanging="256"/>
        <w:spacing w:after="0"/>
        <w:tabs>
          <w:tab w:leader="none" w:pos="72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280" w:right="379" w:bottom="1440" w:gutter="0" w:footer="0" w:header="0"/>
        </w:sectPr>
      </w:pPr>
    </w:p>
    <w:bookmarkStart w:id="325" w:name="page326"/>
    <w:bookmarkEnd w:id="325"/>
    <w:p>
      <w:pPr>
        <w:ind w:left="260" w:hanging="256"/>
        <w:spacing w:after="0"/>
        <w:tabs>
          <w:tab w:leader="none" w:pos="26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Acknowledgements and Representations and Warranties of the Grantee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The Grantee acknowledges, understands and agrees that:</w:t>
      </w:r>
    </w:p>
    <w:p>
      <w:pPr>
        <w:spacing w:after="0" w:line="84" w:lineRule="exact"/>
        <w:rPr>
          <w:rFonts w:ascii="Arial" w:cs="Arial" w:eastAsia="Arial" w:hAnsi="Arial"/>
          <w:sz w:val="18"/>
          <w:szCs w:val="18"/>
          <w:color w:val="auto"/>
        </w:rPr>
      </w:pPr>
    </w:p>
    <w:p>
      <w:pPr>
        <w:ind w:firstLine="443"/>
        <w:spacing w:after="0" w:line="296" w:lineRule="auto"/>
        <w:tabs>
          <w:tab w:leader="none" w:pos="648" w:val="left"/>
        </w:tabs>
        <w:numPr>
          <w:ilvl w:val="1"/>
          <w:numId w:val="342"/>
        </w:numPr>
        <w:rPr>
          <w:rFonts w:ascii="Arial" w:cs="Arial" w:eastAsia="Arial" w:hAnsi="Arial"/>
          <w:sz w:val="16"/>
          <w:szCs w:val="16"/>
          <w:color w:val="auto"/>
        </w:rPr>
      </w:pPr>
      <w:r>
        <w:rPr>
          <w:rFonts w:ascii="Arial" w:cs="Arial" w:eastAsia="Arial" w:hAnsi="Arial"/>
          <w:sz w:val="16"/>
          <w:szCs w:val="16"/>
          <w:color w:val="auto"/>
        </w:rPr>
        <w:t>None of the Options nor any Common Units that may be acquired by the Grantee upon exercise of any of the Options (together,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have been registered under the United States </w:t>
      </w:r>
      <w:r>
        <w:rPr>
          <w:rFonts w:ascii="Arial" w:cs="Arial" w:eastAsia="Arial" w:hAnsi="Arial"/>
          <w:sz w:val="16"/>
          <w:szCs w:val="16"/>
          <w:u w:val="single" w:color="auto"/>
          <w:color w:val="auto"/>
        </w:rPr>
        <w:t>Securities Act of 1933, as amended (the “</w:t>
      </w:r>
      <w:r>
        <w:rPr>
          <w:rFonts w:ascii="Arial" w:cs="Arial" w:eastAsia="Arial" w:hAnsi="Arial"/>
          <w:sz w:val="16"/>
          <w:szCs w:val="16"/>
          <w:b w:val="1"/>
          <w:bCs w:val="1"/>
          <w:u w:val="single" w:color="auto"/>
          <w:color w:val="auto"/>
        </w:rPr>
        <w:t>Securities Act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unless so registered, may not be offered or sold in the United States or, directly or indirectly, to U.S. Persons (as defined in subsection (c) below), except in accordance with the provisions of Regulation S of the Securities Act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Regulation S</w:t>
      </w:r>
      <w:r>
        <w:rPr>
          <w:rFonts w:ascii="Arial" w:cs="Arial" w:eastAsia="Arial" w:hAnsi="Arial"/>
          <w:sz w:val="16"/>
          <w:szCs w:val="16"/>
          <w:u w:val="single" w:color="auto"/>
          <w:color w:val="auto"/>
        </w:rPr>
        <w:t>”)</w:t>
      </w:r>
      <w:r>
        <w:rPr>
          <w:rFonts w:ascii="Arial" w:cs="Arial" w:eastAsia="Arial" w:hAnsi="Arial"/>
          <w:sz w:val="16"/>
          <w:szCs w:val="16"/>
          <w:color w:val="auto"/>
        </w:rPr>
        <w:t>, pursuant to an effective registration statement under the Securities Act, or pursuant to an exemption from, or in a transaction not subject to, the registration requirements of the Securities Act;</w:t>
      </w:r>
    </w:p>
    <w:p>
      <w:pPr>
        <w:spacing w:after="0" w:line="32" w:lineRule="exact"/>
        <w:rPr>
          <w:rFonts w:ascii="Arial" w:cs="Arial" w:eastAsia="Arial" w:hAnsi="Arial"/>
          <w:sz w:val="16"/>
          <w:szCs w:val="16"/>
          <w:color w:val="auto"/>
        </w:rPr>
      </w:pPr>
    </w:p>
    <w:p>
      <w:pPr>
        <w:ind w:right="40" w:firstLine="443"/>
        <w:spacing w:after="0" w:line="357" w:lineRule="auto"/>
        <w:tabs>
          <w:tab w:leader="none" w:pos="697" w:val="left"/>
        </w:tabs>
        <w:numPr>
          <w:ilvl w:val="1"/>
          <w:numId w:val="342"/>
        </w:numPr>
        <w:rPr>
          <w:rFonts w:ascii="Arial" w:cs="Arial" w:eastAsia="Arial" w:hAnsi="Arial"/>
          <w:sz w:val="15"/>
          <w:szCs w:val="15"/>
          <w:color w:val="auto"/>
        </w:rPr>
      </w:pPr>
      <w:r>
        <w:rPr>
          <w:rFonts w:ascii="Arial" w:cs="Arial" w:eastAsia="Arial" w:hAnsi="Arial"/>
          <w:sz w:val="15"/>
          <w:szCs w:val="15"/>
          <w:color w:val="auto"/>
        </w:rPr>
        <w:t>Grantee will only offer, transfer or sell the Securities in accordance with the provisions of Regulation S, pursuant to an effective registration statement under the Securities Act, or pursuant to an exemption from, or in a transaction not subject to, the registration requirements of the Securities Act;</w:t>
      </w:r>
    </w:p>
    <w:p>
      <w:pPr>
        <w:ind w:left="740" w:hanging="297"/>
        <w:spacing w:after="0"/>
        <w:tabs>
          <w:tab w:leader="none" w:pos="74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Grantee will not engage in hedging transactions with regard to the Securities unless in compliance with the Securities Act;</w:t>
      </w:r>
    </w:p>
    <w:p>
      <w:pPr>
        <w:spacing w:after="0" w:line="90" w:lineRule="exact"/>
        <w:rPr>
          <w:rFonts w:ascii="Arial" w:cs="Arial" w:eastAsia="Arial" w:hAnsi="Arial"/>
          <w:sz w:val="18"/>
          <w:szCs w:val="18"/>
          <w:color w:val="auto"/>
        </w:rPr>
      </w:pPr>
    </w:p>
    <w:p>
      <w:pPr>
        <w:ind w:firstLine="443"/>
        <w:spacing w:after="0" w:line="370" w:lineRule="auto"/>
        <w:tabs>
          <w:tab w:leader="none" w:pos="736" w:val="left"/>
        </w:tabs>
        <w:numPr>
          <w:ilvl w:val="1"/>
          <w:numId w:val="342"/>
        </w:numPr>
        <w:rPr>
          <w:rFonts w:ascii="Arial" w:cs="Arial" w:eastAsia="Arial" w:hAnsi="Arial"/>
          <w:sz w:val="15"/>
          <w:szCs w:val="15"/>
          <w:color w:val="auto"/>
        </w:rPr>
      </w:pPr>
      <w:r>
        <w:rPr>
          <w:rFonts w:ascii="Arial" w:cs="Arial" w:eastAsia="Arial" w:hAnsi="Arial"/>
          <w:sz w:val="15"/>
          <w:szCs w:val="15"/>
          <w:color w:val="auto"/>
        </w:rPr>
        <w:t>The Company will refuse to register any transfer of the Securities not made in accordance with the provisions of Regulation S, pursuant to an effective registration statement under the Securities Act or pursuant to an available exemption from the registration requirements of the Securities Act; and</w:t>
      </w:r>
    </w:p>
    <w:p>
      <w:pPr>
        <w:spacing w:after="0" w:line="4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700" w:top="280" w:right="319" w:bottom="1440" w:gutter="0" w:footer="0" w:header="0"/>
        </w:sectPr>
      </w:pPr>
    </w:p>
    <w:bookmarkStart w:id="326" w:name="page327"/>
    <w:bookmarkEnd w:id="326"/>
    <w:p>
      <w:pPr>
        <w:ind w:left="440" w:firstLine="443"/>
        <w:spacing w:after="0" w:line="259" w:lineRule="auto"/>
        <w:tabs>
          <w:tab w:leader="none" w:pos="1127" w:val="left"/>
        </w:tabs>
        <w:numPr>
          <w:ilvl w:val="1"/>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 and others will rely upon the truth and accuracy of the acknowledgements, representations and agreements contained in this Option Agreement, and agrees that if any of such acknowledgements, representations and agreements are no longer accurate or have been breached, the Grantee shall promptly notify the Company.</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Grantee represents and warrants to the Company that:</w:t>
      </w:r>
    </w:p>
    <w:p>
      <w:pPr>
        <w:spacing w:after="0" w:line="90" w:lineRule="exact"/>
        <w:rPr>
          <w:rFonts w:ascii="Arial" w:cs="Arial" w:eastAsia="Arial" w:hAnsi="Arial"/>
          <w:sz w:val="18"/>
          <w:szCs w:val="18"/>
          <w:color w:val="auto"/>
        </w:rPr>
      </w:pPr>
    </w:p>
    <w:p>
      <w:pPr>
        <w:ind w:left="440" w:right="500" w:firstLine="443"/>
        <w:spacing w:after="0" w:line="268" w:lineRule="auto"/>
        <w:tabs>
          <w:tab w:leader="none" w:pos="1088"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Grantee is not a U.S. Person and the Grantee is not acquiring the Securities for the account or benefit of, directly or indirectly, any U.S. Person; and</w:t>
      </w:r>
    </w:p>
    <w:p>
      <w:pPr>
        <w:spacing w:after="0" w:line="51" w:lineRule="exact"/>
        <w:rPr>
          <w:sz w:val="20"/>
          <w:szCs w:val="20"/>
          <w:color w:val="auto"/>
        </w:rPr>
      </w:pPr>
    </w:p>
    <w:p>
      <w:pPr>
        <w:jc w:val="both"/>
        <w:ind w:left="440" w:right="40" w:firstLine="443"/>
        <w:spacing w:after="0" w:line="259" w:lineRule="auto"/>
        <w:tabs>
          <w:tab w:leader="none" w:pos="113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Grantee is outside the United States when receiving and executing this Option Agreement and is acquiring the Securities for investment only and not with a view to resale or distribution and, in particular, it has no intention to distribute either directly or indirectly any of the Securities in the United States or to U.S. Persons.</w:t>
      </w:r>
    </w:p>
    <w:p>
      <w:pPr>
        <w:spacing w:after="0" w:line="134" w:lineRule="exact"/>
        <w:rPr>
          <w:rFonts w:ascii="Arial" w:cs="Arial" w:eastAsia="Arial" w:hAnsi="Arial"/>
          <w:sz w:val="18"/>
          <w:szCs w:val="18"/>
          <w:color w:val="auto"/>
        </w:rPr>
      </w:pPr>
    </w:p>
    <w:p>
      <w:pPr>
        <w:ind w:left="-20" w:right="20" w:firstLine="464"/>
        <w:spacing w:after="0" w:line="290" w:lineRule="auto"/>
        <w:tabs>
          <w:tab w:leader="none" w:pos="67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For purposes of this Option Agreement,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U.S. Person</w:t>
      </w:r>
      <w:r>
        <w:rPr>
          <w:rFonts w:ascii="Arial" w:cs="Arial" w:eastAsia="Arial" w:hAnsi="Arial"/>
          <w:sz w:val="16"/>
          <w:szCs w:val="16"/>
          <w:b w:val="1"/>
          <w:bCs w:val="1"/>
          <w:color w:val="auto"/>
        </w:rPr>
        <w:t>”</w:t>
      </w:r>
      <w:r>
        <w:rPr>
          <w:rFonts w:ascii="Arial" w:cs="Arial" w:eastAsia="Arial" w:hAnsi="Arial"/>
          <w:sz w:val="16"/>
          <w:szCs w:val="16"/>
          <w:color w:val="auto"/>
        </w:rPr>
        <w:t xml:space="preserve">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 (vii) any discretionary account or similar account (other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 Securities Act, unless it is organized or incorporated, and owned, by accredited investors (as defined below) who are not natural persons, estates or trusts.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327" w:name="page328"/>
    <w:bookmarkEnd w:id="327"/>
    <w:p>
      <w:pPr>
        <w:ind w:left="720" w:hanging="256"/>
        <w:spacing w:after="0"/>
        <w:tabs>
          <w:tab w:leader="none" w:pos="72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221" w:lineRule="exact"/>
        <w:rPr>
          <w:sz w:val="20"/>
          <w:szCs w:val="20"/>
          <w:color w:val="auto"/>
        </w:rPr>
      </w:pPr>
    </w:p>
    <w:p>
      <w:pPr>
        <w:ind w:left="720" w:hanging="256"/>
        <w:spacing w:after="0"/>
        <w:tabs>
          <w:tab w:leader="none" w:pos="72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201" w:lineRule="exact"/>
        <w:rPr>
          <w:sz w:val="20"/>
          <w:szCs w:val="20"/>
          <w:color w:val="auto"/>
        </w:rPr>
      </w:pPr>
    </w:p>
    <w:p>
      <w:pPr>
        <w:ind w:left="720" w:hanging="256"/>
        <w:spacing w:after="0"/>
        <w:tabs>
          <w:tab w:leader="none" w:pos="72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9" w:right="239" w:bottom="1440" w:gutter="0" w:footer="0" w:header="0"/>
        </w:sectPr>
      </w:pPr>
    </w:p>
    <w:bookmarkStart w:id="328" w:name="page329"/>
    <w:bookmarkEnd w:id="328"/>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if to the Company:</w:t>
      </w:r>
    </w:p>
    <w:p>
      <w:pPr>
        <w:spacing w:after="0" w:line="9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Fax: 82-2-3459-3898</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(ii) if to the Grantee, to the Grantee at the address as reflected in the Company’s books and records.</w:t>
      </w:r>
    </w:p>
    <w:p>
      <w:pPr>
        <w:spacing w:after="0" w:line="90" w:lineRule="exact"/>
        <w:rPr>
          <w:sz w:val="20"/>
          <w:szCs w:val="20"/>
          <w:color w:val="auto"/>
        </w:rPr>
      </w:pPr>
    </w:p>
    <w:p>
      <w:pPr>
        <w:ind w:left="380" w:right="28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left="-80" w:firstLine="464"/>
        <w:spacing w:after="0" w:line="335" w:lineRule="auto"/>
        <w:tabs>
          <w:tab w:leader="none" w:pos="625" w:val="left"/>
        </w:tabs>
        <w:numPr>
          <w:ilvl w:val="0"/>
          <w:numId w:val="351"/>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left="-80" w:right="180" w:firstLine="464"/>
        <w:spacing w:after="0" w:line="268" w:lineRule="auto"/>
        <w:tabs>
          <w:tab w:leader="none" w:pos="615"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 hereto may by written notice to the other (</w:t>
      </w:r>
      <w:r>
        <w:rPr>
          <w:rFonts w:ascii="Arial" w:cs="Arial" w:eastAsia="Arial" w:hAnsi="Arial"/>
          <w:sz w:val="18"/>
          <w:szCs w:val="18"/>
          <w:u w:val="single" w:color="auto"/>
          <w:color w:val="auto"/>
        </w:rPr>
        <w:t>i</w:t>
      </w:r>
      <w:r>
        <w:rPr>
          <w:rFonts w:ascii="Arial" w:cs="Arial" w:eastAsia="Arial" w:hAnsi="Arial"/>
          <w:sz w:val="18"/>
          <w:szCs w:val="18"/>
          <w:color w:val="auto"/>
        </w:rPr>
        <w:t>) extend the time for the performance of any of the obligations or other actions of the other under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279" w:right="319" w:bottom="1440" w:gutter="0" w:footer="0" w:header="0"/>
        </w:sectPr>
      </w:pPr>
    </w:p>
    <w:bookmarkStart w:id="329" w:name="page330"/>
    <w:bookmarkEnd w:id="329"/>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ii</w:t>
      </w:r>
      <w:r>
        <w:rPr>
          <w:rFonts w:ascii="Arial" w:cs="Arial" w:eastAsia="Arial" w:hAnsi="Arial"/>
          <w:sz w:val="18"/>
          <w:szCs w:val="18"/>
          <w:color w:val="auto"/>
        </w:rPr>
        <w:t>) waive compliance with any of the conditions or covenants of the other contained in this Agreement and (</w:t>
      </w:r>
      <w:r>
        <w:rPr>
          <w:rFonts w:ascii="Arial" w:cs="Arial" w:eastAsia="Arial" w:hAnsi="Arial"/>
          <w:sz w:val="18"/>
          <w:szCs w:val="18"/>
          <w:u w:val="single" w:color="auto"/>
          <w:color w:val="auto"/>
        </w:rPr>
        <w:t>iii</w:t>
      </w:r>
      <w:r>
        <w:rPr>
          <w:rFonts w:ascii="Arial" w:cs="Arial" w:eastAsia="Arial" w:hAnsi="Arial"/>
          <w:sz w:val="18"/>
          <w:szCs w:val="18"/>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47" w:lineRule="exact"/>
        <w:rPr>
          <w:sz w:val="20"/>
          <w:szCs w:val="20"/>
          <w:color w:val="auto"/>
        </w:rPr>
      </w:pPr>
    </w:p>
    <w:p>
      <w:pPr>
        <w:ind w:right="320" w:firstLine="464"/>
        <w:spacing w:after="0" w:line="306" w:lineRule="auto"/>
        <w:tabs>
          <w:tab w:leader="none" w:pos="705"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06" w:lineRule="exact"/>
        <w:rPr>
          <w:rFonts w:ascii="Arial" w:cs="Arial" w:eastAsia="Arial" w:hAnsi="Arial"/>
          <w:sz w:val="16"/>
          <w:szCs w:val="16"/>
          <w:color w:val="auto"/>
        </w:rPr>
      </w:pPr>
    </w:p>
    <w:p>
      <w:pPr>
        <w:ind w:firstLine="464"/>
        <w:spacing w:after="0" w:line="268" w:lineRule="auto"/>
        <w:tabs>
          <w:tab w:leader="none" w:pos="695"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WITHOUT REGARDS TO CONFLICTS OF LAWS PROVISIONS.</w:t>
      </w:r>
    </w:p>
    <w:p>
      <w:pPr>
        <w:spacing w:after="0" w:line="131" w:lineRule="exact"/>
        <w:rPr>
          <w:rFonts w:ascii="Arial" w:cs="Arial" w:eastAsia="Arial" w:hAnsi="Arial"/>
          <w:sz w:val="18"/>
          <w:szCs w:val="18"/>
          <w:color w:val="auto"/>
        </w:rPr>
      </w:pPr>
    </w:p>
    <w:p>
      <w:pPr>
        <w:ind w:right="580" w:firstLine="464"/>
        <w:spacing w:after="0" w:line="268" w:lineRule="auto"/>
        <w:tabs>
          <w:tab w:leader="none" w:pos="676"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330" w:name="page331"/>
    <w:bookmarkEnd w:id="330"/>
    <w:p>
      <w:pPr>
        <w:ind w:firstLine="464"/>
        <w:spacing w:after="0" w:line="268" w:lineRule="auto"/>
        <w:tabs>
          <w:tab w:leader="none" w:pos="705"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and the Grantee have duly executed this Agreement as of the date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Tae Young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Tae young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240" w:top="280" w:right="819" w:bottom="1440" w:gutter="0" w:footer="0" w:header="0"/>
        </w:sectPr>
      </w:pPr>
    </w:p>
    <w:bookmarkStart w:id="331" w:name="page332"/>
    <w:bookmarkEnd w:id="33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Form of Exercise Notice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74" w:right="1440" w:bottom="1440" w:gutter="0" w:footer="0" w:header="0"/>
        </w:sectPr>
      </w:pPr>
    </w:p>
    <w:bookmarkStart w:id="332" w:name="page333"/>
    <w:bookmarkEnd w:id="332"/>
    <w:p>
      <w:pPr>
        <w:ind w:left="4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MAGNACHIP SEMICONDUCTOR LLC</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EQUITY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10"/>
          </w:tcPr>
          <w:p>
            <w:pPr>
              <w:ind w:left="460"/>
              <w:spacing w:after="0"/>
              <w:rPr>
                <w:sz w:val="20"/>
                <w:szCs w:val="20"/>
                <w:color w:val="auto"/>
              </w:rPr>
            </w:pPr>
            <w:r>
              <w:rPr>
                <w:rFonts w:ascii="Arial" w:cs="Arial" w:eastAsia="Arial" w:hAnsi="Arial"/>
                <w:sz w:val="18"/>
                <w:szCs w:val="18"/>
                <w:color w:val="auto"/>
              </w:rPr>
              <w:t>1. Exercise of Option. Effective as of today,</w:t>
            </w:r>
          </w:p>
        </w:tc>
        <w:tc>
          <w:tcPr>
            <w:tcW w:w="6940" w:type="dxa"/>
            <w:vAlign w:val="bottom"/>
            <w:gridSpan w:val="11"/>
          </w:tcPr>
          <w:p>
            <w:pPr>
              <w:ind w:left="60"/>
              <w:spacing w:after="0"/>
              <w:rPr>
                <w:sz w:val="20"/>
                <w:szCs w:val="20"/>
                <w:color w:val="auto"/>
              </w:rPr>
            </w:pPr>
            <w:r>
              <w:rPr>
                <w:rFonts w:ascii="Arial" w:cs="Arial" w:eastAsia="Arial" w:hAnsi="Arial"/>
                <w:sz w:val="18"/>
                <w:szCs w:val="18"/>
                <w:color w:val="auto"/>
                <w:w w:val="93"/>
              </w:rPr>
              <w:t>, 200__, the undersigned (“Grantee”) hereby elects to exercise Grantee’s option to purchase</w:t>
            </w:r>
          </w:p>
        </w:tc>
      </w:tr>
      <w:tr>
        <w:trPr>
          <w:trHeight w:val="20"/>
        </w:trPr>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18"/>
          </w:tcPr>
          <w:p>
            <w:pPr>
              <w:ind w:left="40"/>
              <w:spacing w:after="0" w:line="196" w:lineRule="exact"/>
              <w:rPr>
                <w:sz w:val="20"/>
                <w:szCs w:val="20"/>
                <w:color w:val="auto"/>
              </w:rPr>
            </w:pPr>
            <w:r>
              <w:rPr>
                <w:rFonts w:ascii="Arial" w:cs="Arial" w:eastAsia="Arial" w:hAnsi="Arial"/>
                <w:sz w:val="18"/>
                <w:szCs w:val="18"/>
                <w:color w:val="auto"/>
                <w:w w:val="90"/>
              </w:rPr>
              <w:t>Common Units (the “Common Units”) of MagnaChip Semiconductor LLC (the “Company”) under and pursuant to the Company’s Equity Incentive</w:t>
            </w: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Arial" w:cs="Arial" w:eastAsia="Arial" w:hAnsi="Arial"/>
                <w:sz w:val="18"/>
                <w:szCs w:val="18"/>
                <w:color w:val="auto"/>
              </w:rPr>
              <w:t>Plan (the “Plan”) and the Option Agreement dated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80" w:type="dxa"/>
            <w:vAlign w:val="bottom"/>
            <w:gridSpan w:val="9"/>
          </w:tcPr>
          <w:p>
            <w:pPr>
              <w:spacing w:after="0" w:line="196" w:lineRule="exact"/>
              <w:rPr>
                <w:sz w:val="20"/>
                <w:szCs w:val="20"/>
                <w:color w:val="auto"/>
              </w:rPr>
            </w:pPr>
            <w:r>
              <w:rPr>
                <w:rFonts w:ascii="Arial" w:cs="Arial" w:eastAsia="Arial" w:hAnsi="Arial"/>
                <w:sz w:val="18"/>
                <w:szCs w:val="18"/>
                <w:color w:val="auto"/>
                <w:w w:val="90"/>
              </w:rPr>
              <w:t>, 200  (the “Option Agreement”). Capitalized terms not defined herein shall have the meanings</w:t>
            </w:r>
          </w:p>
        </w:tc>
      </w:tr>
      <w:tr>
        <w:trPr>
          <w:trHeight w:val="20"/>
        </w:trPr>
        <w:tc>
          <w:tcPr>
            <w:tcW w:w="76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35"/>
        </w:trPr>
        <w:tc>
          <w:tcPr>
            <w:tcW w:w="4400" w:type="dxa"/>
            <w:vAlign w:val="bottom"/>
            <w:gridSpan w:val="10"/>
          </w:tcPr>
          <w:p>
            <w:pPr>
              <w:spacing w:after="0"/>
              <w:rPr>
                <w:sz w:val="20"/>
                <w:szCs w:val="20"/>
                <w:color w:val="auto"/>
              </w:rPr>
            </w:pPr>
            <w:r>
              <w:rPr>
                <w:rFonts w:ascii="Arial" w:cs="Arial" w:eastAsia="Arial" w:hAnsi="Arial"/>
                <w:sz w:val="18"/>
                <w:szCs w:val="18"/>
                <w:color w:val="auto"/>
                <w:w w:val="89"/>
              </w:rPr>
              <w:t>given to such terms in the Plan and/or the Option Agreement.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Pr>
          <w:p>
            <w:pPr>
              <w:spacing w:after="0"/>
              <w:rPr>
                <w:sz w:val="20"/>
                <w:szCs w:val="20"/>
                <w:color w:val="auto"/>
              </w:rPr>
            </w:pPr>
          </w:p>
        </w:tc>
      </w:tr>
    </w:tbl>
    <w:p>
      <w:pPr>
        <w:spacing w:after="0" w:line="156" w:lineRule="exact"/>
        <w:rPr>
          <w:sz w:val="20"/>
          <w:szCs w:val="20"/>
          <w:color w:val="auto"/>
        </w:rPr>
      </w:pPr>
    </w:p>
    <w:p>
      <w:pPr>
        <w:ind w:right="240" w:firstLine="464"/>
        <w:spacing w:after="0" w:line="268" w:lineRule="auto"/>
        <w:tabs>
          <w:tab w:leader="none" w:pos="63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Grantee herewith delivers to the Company the full purchase price of the Common Units, as set forth in the Option Agreement in such form as permitted by the Option Agreement and the Plan.</w:t>
      </w:r>
    </w:p>
    <w:p>
      <w:pPr>
        <w:spacing w:after="0" w:line="131" w:lineRule="exact"/>
        <w:rPr>
          <w:rFonts w:ascii="Arial" w:cs="Arial" w:eastAsia="Arial" w:hAnsi="Arial"/>
          <w:sz w:val="18"/>
          <w:szCs w:val="18"/>
          <w:color w:val="auto"/>
        </w:rPr>
      </w:pPr>
    </w:p>
    <w:p>
      <w:pPr>
        <w:ind w:right="360" w:firstLine="464"/>
        <w:spacing w:after="0" w:line="268" w:lineRule="auto"/>
        <w:tabs>
          <w:tab w:leader="none" w:pos="63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Representations of Grantee</w:t>
      </w:r>
      <w:r>
        <w:rPr>
          <w:rFonts w:ascii="Arial" w:cs="Arial" w:eastAsia="Arial" w:hAnsi="Arial"/>
          <w:sz w:val="18"/>
          <w:szCs w:val="18"/>
          <w:color w:val="auto"/>
        </w:rPr>
        <w:t>. Grantee acknowledges that Grantee has received, read and understood the Plan and the Option Agreement and agrees to abide by and be bound by their terms and conditions.</w:t>
      </w:r>
    </w:p>
    <w:p>
      <w:pPr>
        <w:spacing w:after="0" w:line="131" w:lineRule="exact"/>
        <w:rPr>
          <w:rFonts w:ascii="Arial" w:cs="Arial" w:eastAsia="Arial" w:hAnsi="Arial"/>
          <w:sz w:val="18"/>
          <w:szCs w:val="18"/>
          <w:color w:val="auto"/>
        </w:rPr>
      </w:pPr>
    </w:p>
    <w:p>
      <w:pPr>
        <w:jc w:val="center"/>
        <w:ind w:firstLine="464"/>
        <w:spacing w:after="0" w:line="323" w:lineRule="auto"/>
        <w:tabs>
          <w:tab w:leader="none" w:pos="632" w:val="left"/>
        </w:tabs>
        <w:numPr>
          <w:ilvl w:val="0"/>
          <w:numId w:val="354"/>
        </w:numPr>
        <w:rPr>
          <w:rFonts w:ascii="Arial" w:cs="Arial" w:eastAsia="Arial" w:hAnsi="Arial"/>
          <w:sz w:val="15"/>
          <w:szCs w:val="15"/>
          <w:color w:val="auto"/>
        </w:rPr>
      </w:pPr>
      <w:r>
        <w:rPr>
          <w:rFonts w:ascii="Arial" w:cs="Arial" w:eastAsia="Arial" w:hAnsi="Arial"/>
          <w:sz w:val="15"/>
          <w:szCs w:val="15"/>
          <w:u w:val="single" w:color="auto"/>
          <w:color w:val="auto"/>
        </w:rPr>
        <w:t>Rights as a Unitholder</w:t>
      </w:r>
      <w:r>
        <w:rPr>
          <w:rFonts w:ascii="Arial" w:cs="Arial" w:eastAsia="Arial" w:hAnsi="Arial"/>
          <w:sz w:val="15"/>
          <w:szCs w:val="15"/>
          <w:color w:val="auto"/>
        </w:rPr>
        <w:t>. Until the issuance of the Common Units (as evidenced by the appropriate entry on the books of the Company or of a duly authorized transfer agent of the Company), no right to vote or receive allocations of profits or losses or any other rights as a Member shall exist with respect to the Common Units, notwithstanding the exercise of the Option. The Common Units shall be issued to the Grantee as soon as practicable after the Option is exercised. No adjustment shall be made for a dividend or other right for which the record date is prior to the date of issuance except as provided in Section 12(a) of the Plan.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333" w:name="page334"/>
    <w:bookmarkEnd w:id="333"/>
    <w:p>
      <w:pPr>
        <w:ind w:left="-8" w:right="420" w:firstLine="464"/>
        <w:spacing w:after="0" w:line="286" w:lineRule="auto"/>
        <w:tabs>
          <w:tab w:leader="none" w:pos="624"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Delivery of Other Documents</w:t>
      </w:r>
      <w:r>
        <w:rPr>
          <w:rFonts w:ascii="Arial" w:cs="Arial" w:eastAsia="Arial" w:hAnsi="Arial"/>
          <w:sz w:val="16"/>
          <w:szCs w:val="16"/>
          <w:color w:val="auto"/>
        </w:rPr>
        <w:t xml:space="preserve">. As a condition to the exercise of this Option, Grantee shall complete, sign and deliver with this Exercise Notice (i) a signature page for the Company’s Securityholders’ Agreement and the Company’s Operating Agreement in the form as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w:t>
      </w:r>
    </w:p>
    <w:p>
      <w:pPr>
        <w:ind w:left="-8" w:right="240" w:firstLine="8"/>
        <w:spacing w:after="0" w:line="261" w:lineRule="auto"/>
        <w:tabs>
          <w:tab w:leader="none" w:pos="25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provided that the Common Units have not been registered under the Securities Act, the Investment Representation Statement in the form attached hereto as Exhibit B, and (iii) and any other documents required by the Company of its holders of Common Units.</w:t>
      </w:r>
    </w:p>
    <w:p>
      <w:pPr>
        <w:spacing w:after="0" w:line="137" w:lineRule="exact"/>
        <w:rPr>
          <w:rFonts w:ascii="Arial" w:cs="Arial" w:eastAsia="Arial" w:hAnsi="Arial"/>
          <w:sz w:val="18"/>
          <w:szCs w:val="18"/>
          <w:color w:val="auto"/>
        </w:rPr>
      </w:pPr>
    </w:p>
    <w:p>
      <w:pPr>
        <w:ind w:left="-8" w:firstLine="464"/>
        <w:spacing w:after="0" w:line="288" w:lineRule="auto"/>
        <w:tabs>
          <w:tab w:leader="none" w:pos="624" w:val="left"/>
        </w:tabs>
        <w:numPr>
          <w:ilvl w:val="1"/>
          <w:numId w:val="356"/>
        </w:numPr>
        <w:rPr>
          <w:rFonts w:ascii="Arial" w:cs="Arial" w:eastAsia="Arial" w:hAnsi="Arial"/>
          <w:sz w:val="16"/>
          <w:szCs w:val="16"/>
          <w:color w:val="auto"/>
        </w:rPr>
      </w:pPr>
      <w:r>
        <w:rPr>
          <w:rFonts w:ascii="Arial" w:cs="Arial" w:eastAsia="Arial" w:hAnsi="Arial"/>
          <w:sz w:val="16"/>
          <w:szCs w:val="16"/>
          <w:u w:val="single" w:color="auto"/>
          <w:color w:val="auto"/>
        </w:rPr>
        <w:t>Non-Transferability of the Common Units</w:t>
      </w:r>
      <w:r>
        <w:rPr>
          <w:rFonts w:ascii="Arial" w:cs="Arial" w:eastAsia="Arial" w:hAnsi="Arial"/>
          <w:sz w:val="16"/>
          <w:szCs w:val="16"/>
          <w:color w:val="auto"/>
        </w:rPr>
        <w:t>. Pursuant to Section 6 of the Option Agreement, 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provided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further provided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Grantee’s designated beneficiary, Grantee’s estate or such transferee as permitted by the Committee.</w:t>
      </w:r>
    </w:p>
    <w:p>
      <w:pPr>
        <w:spacing w:after="0" w:line="119" w:lineRule="exact"/>
        <w:rPr>
          <w:rFonts w:ascii="Arial" w:cs="Arial" w:eastAsia="Arial" w:hAnsi="Arial"/>
          <w:sz w:val="16"/>
          <w:szCs w:val="16"/>
          <w:color w:val="auto"/>
        </w:rPr>
      </w:pPr>
    </w:p>
    <w:p>
      <w:pPr>
        <w:ind w:left="-8" w:right="260" w:firstLine="464"/>
        <w:spacing w:after="0" w:line="332" w:lineRule="auto"/>
        <w:tabs>
          <w:tab w:leader="none" w:pos="624" w:val="left"/>
        </w:tabs>
        <w:numPr>
          <w:ilvl w:val="1"/>
          <w:numId w:val="356"/>
        </w:numPr>
        <w:rPr>
          <w:rFonts w:ascii="Arial" w:cs="Arial" w:eastAsia="Arial" w:hAnsi="Arial"/>
          <w:sz w:val="16"/>
          <w:szCs w:val="16"/>
          <w:color w:val="auto"/>
        </w:rPr>
      </w:pPr>
      <w:r>
        <w:rPr>
          <w:rFonts w:ascii="Arial" w:cs="Arial" w:eastAsia="Arial" w:hAnsi="Arial"/>
          <w:sz w:val="16"/>
          <w:szCs w:val="16"/>
          <w:u w:val="single" w:color="auto"/>
          <w:color w:val="auto"/>
        </w:rPr>
        <w:t>Lock-Up Period</w:t>
      </w:r>
      <w:r>
        <w:rPr>
          <w:rFonts w:ascii="Arial" w:cs="Arial" w:eastAsia="Arial" w:hAnsi="Arial"/>
          <w:sz w:val="16"/>
          <w:szCs w:val="16"/>
          <w:color w:val="auto"/>
        </w:rPr>
        <w:t>. Grantee hereby agrees that Grantee shall not offer, pledge, sell, contract to sell, sell any option or contract to purchase, purchase any option or contract to sell, grant any option, right or warrant to purchase, lend, or otherwise transfer or dispose of, directly or indirectly,</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79" w:right="259" w:bottom="1440" w:gutter="0" w:footer="0" w:header="0"/>
        </w:sectPr>
      </w:pPr>
    </w:p>
    <w:bookmarkStart w:id="334" w:name="page335"/>
    <w:bookmarkEnd w:id="334"/>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Common Units (or the securities into which the Common Units are converted or other securities) of the Company or enter into any swap, hedging or other arrangement that transfers to another, in whole or in part, any of the economic consequences of ownership of any Common Units (or the securities into which the Common Units are converted or other securities) of the Company held by Grantee (other than those included in the registration) for a period specified by the representative of the underwriters of Common Units (or the securities into which the Common Units are converted or other securities) of the Company not to exceed one hundred eighty (180) days following the effective date of any registration statement of the Company filed under the Securities Act.</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Grantee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Units (or the securities into which the Common Units are converted or other securities) of the Company, Grantee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Common Units (or the securities into which the Common Units are converted or other securities) subject to the foregoing restriction until the end of said one hundred eighty (180) day period. Grantee agrees that any transferee of the Options or units acquired pursuant to the Options shall be bound by this Section.</w:t>
      </w:r>
    </w:p>
    <w:p>
      <w:pPr>
        <w:spacing w:after="0" w:line="123" w:lineRule="exact"/>
        <w:rPr>
          <w:sz w:val="20"/>
          <w:szCs w:val="20"/>
          <w:color w:val="auto"/>
        </w:rPr>
      </w:pPr>
    </w:p>
    <w:p>
      <w:pPr>
        <w:ind w:firstLine="464"/>
        <w:spacing w:after="0" w:line="259" w:lineRule="auto"/>
        <w:tabs>
          <w:tab w:leader="none" w:pos="632"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Grantee understands that Grantee may suffer adverse tax consequences as a result of Grantee’s purchase or disposition of the Common Units. Grantee represents that Grantee has consulted with any tax consultants Grantee deems advisable in connection with the purchase or disposition of the Common Units and that Grantee is not relying on the Company for any tax advice.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335" w:name="page336"/>
    <w:bookmarkEnd w:id="335"/>
    <w:p>
      <w:pPr>
        <w:ind w:left="180" w:hanging="176"/>
        <w:spacing w:after="0"/>
        <w:tabs>
          <w:tab w:leader="none" w:pos="18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Restrictive Legends and Stop-Transfer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443"/>
        <w:spacing w:after="0" w:line="259" w:lineRule="auto"/>
        <w:tabs>
          <w:tab w:leader="none" w:pos="677"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Grantee understands and agrees that the Company shall cause the legends set forth below or legends substantially equivalent thereto, to be placed upon any certificate(s) evidencing ownership of the Common Units together with any other legends that may be required by the Company or by state or federal securities laws:</w:t>
      </w:r>
    </w:p>
    <w:p>
      <w:pPr>
        <w:spacing w:after="0" w:line="59"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THE SECURITIES REPRESENTED BY THIS CERTIFICATE HAVE BEEN ACQUIRED FOR INVESTMENT AND HAVE NOT BEEN REGISTERED WITH THE SECURITIES AND EXCHANGE COMMISSION UNDER THE SECURITIES ACT OF 1933, AS AMENDED (THE “ACT”), AND, OR REGISTERED OR QUALIFIED UNDER ANY STATE SECURITIES LAWS AND, AS SUCH, THEY MAY NOT BE OFFERED FOR SALE, SOLD OR OTHERWISE, DELIVERED AFTER SALE, TRANSFERRED, PLEDGED, OR HYPOTHECATED UNLESS AND UNTIL REGISTERED UNDER THE ACT OR, IN THE OPINION OF COMPANY COUNSEL SATISFACTORY TO THE ISSUER OF THESE SECURITIES, SUCH OFFER, SALE OR TRANSFER, PLEDGE OR HYPOTHECATION IS IN COMPLIANCE THEREWITHIN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1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700" w:top="280" w:right="339" w:bottom="1440" w:gutter="0" w:footer="0" w:header="0"/>
        </w:sectPr>
      </w:pPr>
    </w:p>
    <w:bookmarkStart w:id="336" w:name="page337"/>
    <w:bookmarkEnd w:id="336"/>
    <w:p>
      <w:pPr>
        <w:ind w:left="900"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COMMON UNITS REPRESENTED BY THIS CERTIFICATE ARE SUBJECT TO CERTAIN RESTRICTIONS ON TRANSFER AS SET FORTH IN THE EXERCISE NOTICE BETWEEN THE ISSUER AND THE ORIGINAL HOLDER OF THESE COMMON UNITS, A COPY OF WHICH MAY BE OBTAINED AT THE PRINCIPAL OFFICE OF THE ISSUER. SUCH TRANSFER RESTRICTIONS ARE BINDING ON TRANSFEREES OF THESE COMMON UNITS.</w:t>
      </w:r>
    </w:p>
    <w:p>
      <w:pPr>
        <w:spacing w:after="0" w:line="62" w:lineRule="exact"/>
        <w:rPr>
          <w:sz w:val="20"/>
          <w:szCs w:val="20"/>
          <w:color w:val="auto"/>
        </w:rPr>
      </w:pPr>
    </w:p>
    <w:p>
      <w:pPr>
        <w:ind w:left="440" w:right="120" w:firstLine="443"/>
        <w:spacing w:after="0" w:line="259" w:lineRule="auto"/>
        <w:tabs>
          <w:tab w:leader="none" w:pos="1127"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Grantee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59" w:lineRule="exact"/>
        <w:rPr>
          <w:rFonts w:ascii="Arial" w:cs="Arial" w:eastAsia="Arial" w:hAnsi="Arial"/>
          <w:sz w:val="18"/>
          <w:szCs w:val="18"/>
          <w:color w:val="auto"/>
        </w:rPr>
      </w:pPr>
    </w:p>
    <w:p>
      <w:pPr>
        <w:ind w:left="1120" w:hanging="237"/>
        <w:spacing w:after="0"/>
        <w:tabs>
          <w:tab w:leader="none" w:pos="1120"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Refusal to Transfer</w:t>
      </w:r>
      <w:r>
        <w:rPr>
          <w:rFonts w:ascii="Arial" w:cs="Arial" w:eastAsia="Arial" w:hAnsi="Arial"/>
          <w:sz w:val="16"/>
          <w:szCs w:val="16"/>
          <w:color w:val="auto"/>
        </w:rPr>
        <w:t>. The Company shall not be required (i) to transfer on its books any Common Units that have been sold or otherwise</w:t>
      </w:r>
    </w:p>
    <w:p>
      <w:pPr>
        <w:spacing w:after="0" w:line="38" w:lineRule="exact"/>
        <w:rPr>
          <w:rFonts w:ascii="Arial" w:cs="Arial" w:eastAsia="Arial" w:hAnsi="Arial"/>
          <w:sz w:val="16"/>
          <w:szCs w:val="16"/>
          <w:color w:val="auto"/>
        </w:rPr>
      </w:pPr>
    </w:p>
    <w:p>
      <w:pPr>
        <w:ind w:left="440" w:right="120"/>
        <w:spacing w:after="0" w:line="261" w:lineRule="auto"/>
        <w:rPr>
          <w:rFonts w:ascii="Arial" w:cs="Arial" w:eastAsia="Arial" w:hAnsi="Arial"/>
          <w:sz w:val="16"/>
          <w:szCs w:val="16"/>
          <w:color w:val="auto"/>
        </w:rPr>
      </w:pPr>
      <w:r>
        <w:rPr>
          <w:rFonts w:ascii="Arial" w:cs="Arial" w:eastAsia="Arial" w:hAnsi="Arial"/>
          <w:sz w:val="18"/>
          <w:szCs w:val="18"/>
          <w:color w:val="auto"/>
        </w:rPr>
        <w:t>transferred in violation of any of the provisions of this Exercise Notice or (ii) to treat as owner of such Common Units or to accord the right to vote or pay dividends to any purchaser or other transferee to whom such Common Units shall have been so transferred.</w:t>
      </w:r>
    </w:p>
    <w:p>
      <w:pPr>
        <w:spacing w:after="0" w:line="137" w:lineRule="exact"/>
        <w:rPr>
          <w:rFonts w:ascii="Arial" w:cs="Arial" w:eastAsia="Arial" w:hAnsi="Arial"/>
          <w:sz w:val="16"/>
          <w:szCs w:val="16"/>
          <w:color w:val="auto"/>
        </w:rPr>
      </w:pPr>
    </w:p>
    <w:p>
      <w:pPr>
        <w:ind w:left="-20" w:firstLine="464"/>
        <w:spacing w:after="0" w:line="259" w:lineRule="auto"/>
        <w:tabs>
          <w:tab w:leader="none" w:pos="70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Grantee and Grantee’s heirs, executors, administrators, successors and assigns.</w:t>
      </w:r>
    </w:p>
    <w:p>
      <w:pPr>
        <w:spacing w:after="0" w:line="140" w:lineRule="exact"/>
        <w:rPr>
          <w:rFonts w:ascii="Arial" w:cs="Arial" w:eastAsia="Arial" w:hAnsi="Arial"/>
          <w:sz w:val="18"/>
          <w:szCs w:val="18"/>
          <w:color w:val="auto"/>
        </w:rPr>
      </w:pPr>
    </w:p>
    <w:p>
      <w:pPr>
        <w:ind w:left="-20" w:right="160" w:firstLine="464"/>
        <w:spacing w:after="0" w:line="306" w:lineRule="auto"/>
        <w:tabs>
          <w:tab w:leader="none" w:pos="693"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Any dispute regarding the interpretation of this Exercise Notice shall be submitted by Grantee or by the Company forthwith to the Administrator which shall review such dispute at its next regular meeting. The resolution of such a dispute by the Administrator shall be final and binding on all parties. For purposes of interpretation and resolving ambiguities, this Exercise Notice, as executed in English, shall prevail over any translation.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337" w:name="page338"/>
    <w:bookmarkEnd w:id="337"/>
    <w:p>
      <w:pPr>
        <w:ind w:right="220" w:firstLine="464"/>
        <w:spacing w:after="0" w:line="259" w:lineRule="auto"/>
        <w:tabs>
          <w:tab w:leader="none" w:pos="72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Governing Law; Severability</w:t>
      </w:r>
      <w:r>
        <w:rPr>
          <w:rFonts w:ascii="Arial" w:cs="Arial" w:eastAsia="Arial" w:hAnsi="Arial"/>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will continue in full force and effect.</w:t>
      </w:r>
    </w:p>
    <w:p>
      <w:pPr>
        <w:spacing w:after="0" w:line="140" w:lineRule="exact"/>
        <w:rPr>
          <w:rFonts w:ascii="Arial" w:cs="Arial" w:eastAsia="Arial" w:hAnsi="Arial"/>
          <w:sz w:val="18"/>
          <w:szCs w:val="18"/>
          <w:color w:val="auto"/>
        </w:rPr>
      </w:pPr>
    </w:p>
    <w:p>
      <w:pPr>
        <w:ind w:firstLine="464"/>
        <w:spacing w:after="0" w:line="298" w:lineRule="auto"/>
        <w:tabs>
          <w:tab w:leader="none" w:pos="720"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(including all exhibits hereto), the Plan, the Option Agreement, the Company’s Securityholders’ Agreement and the Company’s Operating Agreement constitute the entire agreement of the parties with respect to the subject matter hereof and supersede in their entirety all prior undertakings and agreements of the Company and Grantee with respect to the subject matter hereof, and may not be modified adversely to the Grantee’s interest except by means of a writing signed by the Company and Grantee.</w:t>
      </w:r>
    </w:p>
    <w:p>
      <w:pPr>
        <w:sectPr>
          <w:pgSz w:w="11900" w:h="16838" w:orient="portrait"/>
          <w:cols w:equalWidth="0" w:num="1">
            <w:col w:w="11320"/>
          </w:cols>
          <w:pgMar w:left="240" w:top="279"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2540</wp:posOffset>
            </wp:positionV>
            <wp:extent cx="261556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Submitted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34131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4131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34131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341312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34131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253365</wp:posOffset>
            </wp:positionV>
            <wp:extent cx="346456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105410</wp:posOffset>
            </wp:positionV>
            <wp:extent cx="346456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105410</wp:posOffset>
            </wp:positionV>
            <wp:extent cx="346456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81" w:lineRule="exact"/>
        <w:rPr>
          <w:sz w:val="20"/>
          <w:szCs w:val="20"/>
          <w:color w:val="auto"/>
        </w:rPr>
      </w:pPr>
    </w:p>
    <w:p>
      <w:pPr>
        <w:sectPr>
          <w:pgSz w:w="11900" w:h="16838" w:orient="portrait"/>
          <w:cols w:equalWidth="0" w:num="2">
            <w:col w:w="5360" w:space="720"/>
            <w:col w:w="5240"/>
          </w:cols>
          <w:pgMar w:left="24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20"/>
          </w:cols>
          <w:pgMar w:left="240" w:top="279" w:right="339" w:bottom="1440" w:gutter="0" w:footer="0" w:header="0"/>
          <w:type w:val="continuous"/>
        </w:sectPr>
      </w:pPr>
    </w:p>
    <w:bookmarkStart w:id="338" w:name="page339"/>
    <w:bookmarkEnd w:id="33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A-1 TO EXERCISE NOTICE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JOINDER TO SECURITYHOLDERS’ AGREEMENT AND OPERATING AGREEMENT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Joinder Agreement (this “Joinder Agreement”) is made as of the date written below by the undersigned (the “Joining Party”) in accordance with (i) the Second Amended and Restated Securityholders’ Agreement dated as of October 6, 2004, by and among, MagnaChip Semiconductor LLC (the “Company”), CVC Capital Partners Asia Pacific LP, Asia Investors LLC, CVC Capital Partners Asia II Limited, Citigroup Venture Capital Equity Partners, L.P., CVC Executive Fund LLC, CVC/SSB Employee Fund, L.P., CVC Co-Investors (as defined therein), Francisco Partners, L.P., Francisco Partners Fund A, L.P., Peninsula Investment Pte. Ltd., Hynix Semiconductor Inc., and Management Investors (as defined therein) (the “Securityholders’ Agreement”), as the same may be amended from time to time and (ii) the Operating Agreement (as defined in the Securityholders’ Agreement). Capitalized terms used, but not defined, herein shall have the meaning ascribed to such terms in the Securityholders’ Agreement.</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Joining Party hereby acknowledges, agrees and confirms that, by its execution of this Joinder Agreement, the Joining Party shall be deemed to be a party to the Securityholders’ Agreement and the Operating Agreement as of the date hereof and shall have all of the rights and obligations of (i) a “Securityholder” under the Securityholders’ Agreement as if it had executed the Securityholders’ Agreement and (ii) a “Member” under the Operating Agreement as if it had executed the Operating Agreement. The Joining Party hereby ratifies, as of the date hereof, and agrees to be bound by, all of the terms, provisions and conditions contained in the Securityholders’ Agreement and the Operating Agreement.</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Arial" w:cs="Arial" w:eastAsia="Arial" w:hAnsi="Arial"/>
                <w:sz w:val="18"/>
                <w:szCs w:val="18"/>
                <w:color w:val="auto"/>
                <w:w w:val="88"/>
              </w:rPr>
              <w:t>IN WITNESS WHEREOF, the undersigned has executed this Joinder Agreement as of</w:t>
            </w:r>
          </w:p>
        </w:tc>
        <w:tc>
          <w:tcPr>
            <w:tcW w:w="880" w:type="dxa"/>
            <w:vAlign w:val="bottom"/>
            <w:tcBorders>
              <w:bottom w:val="single" w:sz="8" w:color="auto"/>
            </w:tcBorders>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200__.</w:t>
            </w: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Membership Interests Transferred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2540</wp:posOffset>
            </wp:positionV>
            <wp:extent cx="261556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349059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349059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49059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905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349059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905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349059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2540</wp:posOffset>
            </wp:positionV>
            <wp:extent cx="319024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-635</wp:posOffset>
            </wp:positionV>
            <wp:extent cx="319024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-635</wp:posOffset>
            </wp:positionV>
            <wp:extent cx="319024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3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280" w:right="1440"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 B TO EXERCISE NOTICE</w:t>
            </w:r>
          </w:p>
        </w:tc>
        <w:tc>
          <w:tcPr>
            <w:tcW w:w="520" w:type="dxa"/>
            <w:vAlign w:val="bottom"/>
          </w:tcPr>
          <w:p>
            <w:pPr>
              <w:spacing w:after="0"/>
              <w:rPr>
                <w:sz w:val="17"/>
                <w:szCs w:val="17"/>
                <w:color w:val="auto"/>
              </w:rPr>
            </w:pPr>
          </w:p>
        </w:tc>
      </w:tr>
      <w:tr>
        <w:trPr>
          <w:trHeight w:val="397"/>
        </w:trPr>
        <w:tc>
          <w:tcPr>
            <w:tcW w:w="1200" w:type="dxa"/>
            <w:vAlign w:val="bottom"/>
          </w:tcPr>
          <w:p>
            <w:pPr>
              <w:spacing w:after="0"/>
              <w:rPr>
                <w:sz w:val="24"/>
                <w:szCs w:val="24"/>
                <w:color w:val="auto"/>
              </w:rPr>
            </w:pPr>
          </w:p>
        </w:tc>
        <w:tc>
          <w:tcPr>
            <w:tcW w:w="6480" w:type="dxa"/>
            <w:vAlign w:val="bottom"/>
            <w:gridSpan w:val="3"/>
          </w:tcPr>
          <w:p>
            <w:pPr>
              <w:jc w:val="center"/>
              <w:ind w:left="2452"/>
              <w:spacing w:after="0"/>
              <w:rPr>
                <w:sz w:val="20"/>
                <w:szCs w:val="20"/>
                <w:color w:val="auto"/>
              </w:rPr>
            </w:pPr>
            <w:r>
              <w:rPr>
                <w:rFonts w:ascii="Arial" w:cs="Arial" w:eastAsia="Arial" w:hAnsi="Arial"/>
                <w:sz w:val="18"/>
                <w:szCs w:val="18"/>
                <w:b w:val="1"/>
                <w:bCs w:val="1"/>
                <w:color w:val="auto"/>
                <w:w w:val="97"/>
              </w:rPr>
              <w:t>INVESTMENT REPRESENTATION STATEMENT</w:t>
            </w:r>
          </w:p>
        </w:tc>
      </w:tr>
      <w:tr>
        <w:trPr>
          <w:trHeight w:val="419"/>
        </w:trPr>
        <w:tc>
          <w:tcPr>
            <w:tcW w:w="1200" w:type="dxa"/>
            <w:vAlign w:val="bottom"/>
          </w:tcPr>
          <w:p>
            <w:pPr>
              <w:spacing w:after="0"/>
              <w:rPr>
                <w:sz w:val="20"/>
                <w:szCs w:val="20"/>
                <w:color w:val="auto"/>
              </w:rPr>
            </w:pPr>
            <w:r>
              <w:rPr>
                <w:rFonts w:ascii="Arial" w:cs="Arial" w:eastAsia="Arial" w:hAnsi="Arial"/>
                <w:sz w:val="18"/>
                <w:szCs w:val="18"/>
                <w:color w:val="auto"/>
              </w:rPr>
              <w:t>GRANTEE:</w:t>
            </w:r>
          </w:p>
        </w:tc>
        <w:tc>
          <w:tcPr>
            <w:tcW w:w="3080" w:type="dxa"/>
            <w:vAlign w:val="bottom"/>
          </w:tcPr>
          <w:p>
            <w:pPr>
              <w:ind w:left="280"/>
              <w:spacing w:after="0"/>
              <w:rPr>
                <w:sz w:val="20"/>
                <w:szCs w:val="20"/>
                <w:color w:val="auto"/>
              </w:rPr>
            </w:pPr>
            <w:r>
              <w:rPr>
                <w:rFonts w:ascii="Arial" w:cs="Arial" w:eastAsia="Arial" w:hAnsi="Arial"/>
                <w:sz w:val="18"/>
                <w:szCs w:val="18"/>
                <w:color w:val="auto"/>
                <w:w w:val="99"/>
              </w:rPr>
              <w:t>____________________________</w:t>
            </w: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COMPANY:</w:t>
            </w:r>
          </w:p>
        </w:tc>
        <w:tc>
          <w:tcPr>
            <w:tcW w:w="6480" w:type="dxa"/>
            <w:vAlign w:val="bottom"/>
            <w:gridSpan w:val="3"/>
          </w:tcPr>
          <w:p>
            <w:pPr>
              <w:ind w:left="280"/>
              <w:spacing w:after="0"/>
              <w:rPr>
                <w:sz w:val="20"/>
                <w:szCs w:val="20"/>
                <w:color w:val="auto"/>
              </w:rPr>
            </w:pPr>
            <w:r>
              <w:rPr>
                <w:rFonts w:ascii="Arial" w:cs="Arial" w:eastAsia="Arial" w:hAnsi="Arial"/>
                <w:sz w:val="18"/>
                <w:szCs w:val="18"/>
                <w:color w:val="auto"/>
              </w:rPr>
              <w:t>MagnaChip Semiconductor LLC</w:t>
            </w: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SECURITY:</w:t>
            </w:r>
          </w:p>
        </w:tc>
        <w:tc>
          <w:tcPr>
            <w:tcW w:w="6480" w:type="dxa"/>
            <w:vAlign w:val="bottom"/>
            <w:gridSpan w:val="3"/>
          </w:tcPr>
          <w:p>
            <w:pPr>
              <w:ind w:left="280"/>
              <w:spacing w:after="0"/>
              <w:rPr>
                <w:sz w:val="20"/>
                <w:szCs w:val="20"/>
                <w:color w:val="auto"/>
              </w:rPr>
            </w:pPr>
            <w:r>
              <w:rPr>
                <w:rFonts w:ascii="Arial" w:cs="Arial" w:eastAsia="Arial" w:hAnsi="Arial"/>
                <w:sz w:val="18"/>
                <w:szCs w:val="18"/>
                <w:color w:val="auto"/>
              </w:rPr>
              <w:t>Common Units</w:t>
            </w: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AMOUNT:</w:t>
            </w:r>
          </w:p>
        </w:tc>
        <w:tc>
          <w:tcPr>
            <w:tcW w:w="3080" w:type="dxa"/>
            <w:vAlign w:val="bottom"/>
          </w:tcPr>
          <w:p>
            <w:pPr>
              <w:ind w:left="280"/>
              <w:spacing w:after="0"/>
              <w:rPr>
                <w:sz w:val="20"/>
                <w:szCs w:val="20"/>
                <w:color w:val="auto"/>
              </w:rPr>
            </w:pPr>
            <w:r>
              <w:rPr>
                <w:rFonts w:ascii="Arial" w:cs="Arial" w:eastAsia="Arial" w:hAnsi="Arial"/>
                <w:sz w:val="18"/>
                <w:szCs w:val="18"/>
                <w:color w:val="auto"/>
                <w:w w:val="99"/>
              </w:rPr>
              <w:t>____________________________</w:t>
            </w: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80"/>
              <w:spacing w:after="0"/>
              <w:rPr>
                <w:sz w:val="20"/>
                <w:szCs w:val="20"/>
                <w:color w:val="auto"/>
              </w:rPr>
            </w:pPr>
            <w:r>
              <w:rPr>
                <w:rFonts w:ascii="Arial" w:cs="Arial" w:eastAsia="Arial" w:hAnsi="Arial"/>
                <w:sz w:val="18"/>
                <w:szCs w:val="18"/>
                <w:color w:val="auto"/>
                <w:w w:val="99"/>
              </w:rPr>
              <w:t>____________________________</w:t>
            </w: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60" w:firstLine="456"/>
        <w:spacing w:after="0" w:line="268" w:lineRule="auto"/>
        <w:rPr>
          <w:sz w:val="20"/>
          <w:szCs w:val="20"/>
          <w:color w:val="auto"/>
        </w:rPr>
      </w:pPr>
      <w:r>
        <w:rPr>
          <w:rFonts w:ascii="Arial" w:cs="Arial" w:eastAsia="Arial" w:hAnsi="Arial"/>
          <w:sz w:val="18"/>
          <w:szCs w:val="18"/>
          <w:color w:val="auto"/>
        </w:rPr>
        <w:t>Effective as of the date set forth above, in connection with the purchase of the above-listed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undersigned Grantee hereby represents and warrants to MagnaChip Semiconductor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following:</w:t>
      </w:r>
    </w:p>
    <w:p>
      <w:pPr>
        <w:spacing w:after="0" w:line="132" w:lineRule="exact"/>
        <w:rPr>
          <w:sz w:val="20"/>
          <w:szCs w:val="20"/>
          <w:color w:val="auto"/>
        </w:rPr>
      </w:pPr>
    </w:p>
    <w:p>
      <w:pPr>
        <w:ind w:right="500" w:firstLine="464"/>
        <w:spacing w:after="0" w:line="259" w:lineRule="auto"/>
        <w:tabs>
          <w:tab w:leader="none" w:pos="7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Grantee is not a U.S. person, not voting on behalf of or acquiring the Securities for the account or benefit of any U.S. person and will acquire the Securities in an offshore transaction (each such term having the meaning set forth in Regulation 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purposes of the above representation, “</w:t>
      </w:r>
      <w:r>
        <w:rPr>
          <w:rFonts w:ascii="Arial" w:cs="Arial" w:eastAsia="Arial" w:hAnsi="Arial"/>
          <w:sz w:val="16"/>
          <w:szCs w:val="16"/>
          <w:u w:val="single" w:color="auto"/>
          <w:color w:val="auto"/>
        </w:rPr>
        <w:t>U.S. person</w:t>
      </w:r>
      <w:r>
        <w:rPr>
          <w:rFonts w:ascii="Arial" w:cs="Arial" w:eastAsia="Arial" w:hAnsi="Arial"/>
          <w:sz w:val="16"/>
          <w:szCs w:val="16"/>
          <w:color w:val="auto"/>
        </w:rPr>
        <w:t>”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 (vii) any discretionary account or similar account (other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 Securities Act, unless it is organized or incorporated, and owned, by accredited investors (as defined below) who are not natural persons, estates or trusts.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57" w:right="239" w:bottom="1440" w:gutter="0" w:footer="0" w:header="0"/>
        </w:sectPr>
      </w:pPr>
    </w:p>
    <w:bookmarkStart w:id="341" w:name="page342"/>
    <w:bookmarkEnd w:id="341"/>
    <w:p>
      <w:pPr>
        <w:ind w:left="280" w:hanging="276"/>
        <w:spacing w:after="0"/>
        <w:tabs>
          <w:tab w:leader="none" w:pos="2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 agrees not to engage in hedging transactions with regard to the Securities unless in compliance with the Securities Act.</w:t>
      </w:r>
    </w:p>
    <w:p>
      <w:pPr>
        <w:spacing w:after="0" w:line="171" w:lineRule="exact"/>
        <w:rPr>
          <w:rFonts w:ascii="Arial" w:cs="Arial" w:eastAsia="Arial" w:hAnsi="Arial"/>
          <w:sz w:val="18"/>
          <w:szCs w:val="18"/>
          <w:color w:val="auto"/>
        </w:rPr>
      </w:pPr>
    </w:p>
    <w:p>
      <w:pPr>
        <w:ind w:left="280" w:hanging="276"/>
        <w:spacing w:after="0"/>
        <w:tabs>
          <w:tab w:leader="none" w:pos="28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Grantee understands that no public market currently exists for the Securities and that there are no assurances that any such market will be created.</w:t>
      </w:r>
    </w:p>
    <w:p>
      <w:pPr>
        <w:spacing w:after="0" w:line="194" w:lineRule="exact"/>
        <w:rPr>
          <w:rFonts w:ascii="Arial" w:cs="Arial" w:eastAsia="Arial" w:hAnsi="Arial"/>
          <w:sz w:val="16"/>
          <w:szCs w:val="16"/>
          <w:color w:val="auto"/>
        </w:rPr>
      </w:pPr>
    </w:p>
    <w:p>
      <w:pPr>
        <w:ind w:left="300" w:hanging="296"/>
        <w:spacing w:after="0"/>
        <w:tabs>
          <w:tab w:leader="none" w:pos="30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Grantee acknowledges that certificates representing the Securities will bear the following legend, in addition to any legends otherwise required:</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SECURITIES REPRESENTED BY THIS CERTIFICATE HAVE BEEN ACQUIRED FOR INVESTMENT AND HAVE NOT BEEN REGISTERED WITH THE SECURITIES AND EXCHANGE COMMISSION UNDER THE SECURITIES ACT OF 1933, AS AMENDED, OR REGISTERED OR QUALIFIED UNDER ANY STATE SECURITIES LAWS AND, AS SUCH, THEY MAY NOT BE OFFERED FOR SALE, SOLD, DELIVERED AFTER SALE, TRANSFERRED, PLEDGED, OR HYPOTHECATED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3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700" w:top="280" w:right="299" w:bottom="1440" w:gutter="0" w:footer="0" w:header="0"/>
        </w:sectPr>
      </w:pPr>
    </w:p>
    <w:bookmarkStart w:id="342" w:name="page343"/>
    <w:bookmarkEnd w:id="34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SECURITIES REPRESENTED BY THIS CERTIFICATE ARE SUBJECT TO CERTAIN RESTRICTIONS ON TRANSFER AS SET FORTH IN THE EXERCISE NOTICE BETWEEN THE ISSUER AND THE ORIGINAL HOLDER OF THESE SECURITIES, A COPY OF WHICH MAY BE OBTAINED AT THE PRINCIPAL OFFICE OF THE ISSUER. SUCH TRANSFER RESTRICTIONS ARE BINDING ON TRANSFEREES OF THESE SECURITIES.”</w:t>
      </w:r>
    </w:p>
    <w:p>
      <w:pPr>
        <w:spacing w:after="0" w:line="143" w:lineRule="exact"/>
        <w:rPr>
          <w:sz w:val="20"/>
          <w:szCs w:val="20"/>
          <w:color w:val="auto"/>
        </w:rPr>
      </w:pPr>
    </w:p>
    <w:p>
      <w:pPr>
        <w:ind w:left="280" w:hanging="276"/>
        <w:spacing w:after="0"/>
        <w:tabs>
          <w:tab w:leader="none" w:pos="2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Grantee acknowledges and agrees that:</w:t>
      </w:r>
    </w:p>
    <w:p>
      <w:pPr>
        <w:spacing w:after="0" w:line="90" w:lineRule="exact"/>
        <w:rPr>
          <w:rFonts w:ascii="Arial" w:cs="Arial" w:eastAsia="Arial" w:hAnsi="Arial"/>
          <w:sz w:val="18"/>
          <w:szCs w:val="18"/>
          <w:color w:val="auto"/>
        </w:rPr>
      </w:pPr>
    </w:p>
    <w:p>
      <w:pPr>
        <w:ind w:right="260" w:firstLine="443"/>
        <w:spacing w:after="0" w:line="332" w:lineRule="auto"/>
        <w:tabs>
          <w:tab w:leader="none" w:pos="648" w:val="left"/>
        </w:tabs>
        <w:numPr>
          <w:ilvl w:val="1"/>
          <w:numId w:val="364"/>
        </w:numPr>
        <w:rPr>
          <w:rFonts w:ascii="Arial" w:cs="Arial" w:eastAsia="Arial" w:hAnsi="Arial"/>
          <w:sz w:val="16"/>
          <w:szCs w:val="16"/>
          <w:color w:val="auto"/>
        </w:rPr>
      </w:pPr>
      <w:r>
        <w:rPr>
          <w:rFonts w:ascii="Arial" w:cs="Arial" w:eastAsia="Arial" w:hAnsi="Arial"/>
          <w:sz w:val="16"/>
          <w:szCs w:val="16"/>
          <w:color w:val="auto"/>
        </w:rPr>
        <w:t>The Securities have not been, and there is no assurance that the Securities will ever be, registered under the Securities Act, and in issuing the Securities to Grantee, the Company is relying upon the “safe harbor” provided by Regulation S under the Securities Act;</w:t>
      </w:r>
    </w:p>
    <w:p>
      <w:pPr>
        <w:spacing w:after="0" w:line="4" w:lineRule="exact"/>
        <w:rPr>
          <w:rFonts w:ascii="Arial" w:cs="Arial" w:eastAsia="Arial" w:hAnsi="Arial"/>
          <w:sz w:val="16"/>
          <w:szCs w:val="16"/>
          <w:color w:val="auto"/>
        </w:rPr>
      </w:pPr>
    </w:p>
    <w:p>
      <w:pPr>
        <w:ind w:right="220" w:firstLine="443"/>
        <w:spacing w:after="0" w:line="332" w:lineRule="auto"/>
        <w:tabs>
          <w:tab w:leader="none" w:pos="697" w:val="left"/>
        </w:tabs>
        <w:numPr>
          <w:ilvl w:val="1"/>
          <w:numId w:val="364"/>
        </w:numPr>
        <w:rPr>
          <w:rFonts w:ascii="Arial" w:cs="Arial" w:eastAsia="Arial" w:hAnsi="Arial"/>
          <w:sz w:val="16"/>
          <w:szCs w:val="16"/>
          <w:color w:val="auto"/>
        </w:rPr>
      </w:pPr>
      <w:r>
        <w:rPr>
          <w:rFonts w:ascii="Arial" w:cs="Arial" w:eastAsia="Arial" w:hAnsi="Arial"/>
          <w:sz w:val="16"/>
          <w:szCs w:val="16"/>
          <w:color w:val="auto"/>
        </w:rPr>
        <w:t>It is a condition to the availability of the Regulation S “safe harbor” that the Securities not be offered or sold in the United States or to a U.S. person until the expiration of a period of one year following the purchase of the Securities (the “</w:t>
      </w:r>
      <w:r>
        <w:rPr>
          <w:rFonts w:ascii="Arial" w:cs="Arial" w:eastAsia="Arial" w:hAnsi="Arial"/>
          <w:sz w:val="16"/>
          <w:szCs w:val="16"/>
          <w:u w:val="single" w:color="auto"/>
          <w:color w:val="auto"/>
        </w:rPr>
        <w:t>Distribution Compliance Period</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740" w:hanging="297"/>
        <w:spacing w:after="0"/>
        <w:tabs>
          <w:tab w:leader="none" w:pos="7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Until the expiration of the Distribution Compliance Period:</w:t>
      </w:r>
    </w:p>
    <w:p>
      <w:pPr>
        <w:spacing w:after="0" w:line="90" w:lineRule="exact"/>
        <w:rPr>
          <w:rFonts w:ascii="Arial" w:cs="Arial" w:eastAsia="Arial" w:hAnsi="Arial"/>
          <w:sz w:val="18"/>
          <w:szCs w:val="18"/>
          <w:color w:val="auto"/>
        </w:rPr>
      </w:pPr>
    </w:p>
    <w:p>
      <w:pPr>
        <w:ind w:left="460" w:right="200" w:firstLine="421"/>
        <w:spacing w:after="0" w:line="268" w:lineRule="auto"/>
        <w:tabs>
          <w:tab w:leader="none" w:pos="1119" w:val="left"/>
        </w:tabs>
        <w:numPr>
          <w:ilvl w:val="2"/>
          <w:numId w:val="364"/>
        </w:numPr>
        <w:rPr>
          <w:rFonts w:ascii="Arial" w:cs="Arial" w:eastAsia="Arial" w:hAnsi="Arial"/>
          <w:sz w:val="18"/>
          <w:szCs w:val="18"/>
          <w:color w:val="auto"/>
        </w:rPr>
      </w:pPr>
      <w:r>
        <w:rPr>
          <w:rFonts w:ascii="Arial" w:cs="Arial" w:eastAsia="Arial" w:hAnsi="Arial"/>
          <w:sz w:val="18"/>
          <w:szCs w:val="18"/>
          <w:color w:val="auto"/>
        </w:rPr>
        <w:t>Grantee has not and will not solicit offers to buy, offer for sale or sell any of the Common Units or any beneficial interest therein in the United States or to or for the account of a U.S. person;</w:t>
      </w:r>
    </w:p>
    <w:p>
      <w:pPr>
        <w:spacing w:after="0" w:line="11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00"/>
          </w:cols>
          <w:pgMar w:left="700" w:top="279" w:right="399" w:bottom="1440" w:gutter="0" w:footer="0" w:header="0"/>
        </w:sectPr>
      </w:pPr>
    </w:p>
    <w:bookmarkStart w:id="343" w:name="page344"/>
    <w:bookmarkEnd w:id="343"/>
    <w:p>
      <w:pPr>
        <w:ind w:left="460" w:firstLine="421"/>
        <w:spacing w:after="0" w:line="298" w:lineRule="auto"/>
        <w:tabs>
          <w:tab w:leader="none" w:pos="1128" w:val="left"/>
        </w:tabs>
        <w:numPr>
          <w:ilvl w:val="1"/>
          <w:numId w:val="3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Notwithstanding the foregoing, prior to the expiration of the Distribution Compliance Period, the Common Units may be offered and sold by Grantee only if: (A) the offer or sale is within the United States or for the account of a U.S. person (as such terms are defined in Regulation S), the Common Units are offered and sold pursuant to an effective registration statement or pursuant to an exemption from the registration requirements of the Securities Act; or (B) the offer and sale is outside the United States and to other than a U.S. person; and</w:t>
      </w:r>
    </w:p>
    <w:p>
      <w:pPr>
        <w:spacing w:after="0" w:line="31" w:lineRule="exact"/>
        <w:rPr>
          <w:rFonts w:ascii="Arial" w:cs="Arial" w:eastAsia="Arial" w:hAnsi="Arial"/>
          <w:sz w:val="16"/>
          <w:szCs w:val="16"/>
          <w:color w:val="auto"/>
        </w:rPr>
      </w:pPr>
    </w:p>
    <w:p>
      <w:pPr>
        <w:ind w:left="1120" w:hanging="239"/>
        <w:spacing w:after="0"/>
        <w:tabs>
          <w:tab w:leader="none" w:pos="1120" w:val="left"/>
        </w:tabs>
        <w:numPr>
          <w:ilvl w:val="1"/>
          <w:numId w:val="365"/>
        </w:numPr>
        <w:rPr>
          <w:rFonts w:ascii="Arial" w:cs="Arial" w:eastAsia="Arial" w:hAnsi="Arial"/>
          <w:sz w:val="16"/>
          <w:szCs w:val="16"/>
          <w:color w:val="auto"/>
        </w:rPr>
      </w:pPr>
      <w:r>
        <w:rPr>
          <w:rFonts w:ascii="Arial" w:cs="Arial" w:eastAsia="Arial" w:hAnsi="Arial"/>
          <w:sz w:val="16"/>
          <w:szCs w:val="16"/>
          <w:color w:val="auto"/>
        </w:rPr>
        <w:t>The foregoing restrictions are binding upon subsequent transferees of the Securities, except for transferees pursuant to an effective</w:t>
      </w:r>
    </w:p>
    <w:p>
      <w:pPr>
        <w:spacing w:after="0" w:line="38" w:lineRule="exact"/>
        <w:rPr>
          <w:rFonts w:ascii="Arial" w:cs="Arial" w:eastAsia="Arial" w:hAnsi="Arial"/>
          <w:sz w:val="16"/>
          <w:szCs w:val="16"/>
          <w:color w:val="auto"/>
        </w:rPr>
      </w:pPr>
    </w:p>
    <w:p>
      <w:pPr>
        <w:ind w:left="460" w:right="40"/>
        <w:spacing w:after="0" w:line="261" w:lineRule="auto"/>
        <w:rPr>
          <w:rFonts w:ascii="Arial" w:cs="Arial" w:eastAsia="Arial" w:hAnsi="Arial"/>
          <w:sz w:val="16"/>
          <w:szCs w:val="16"/>
          <w:color w:val="auto"/>
        </w:rPr>
      </w:pPr>
      <w:r>
        <w:rPr>
          <w:rFonts w:ascii="Arial" w:cs="Arial" w:eastAsia="Arial" w:hAnsi="Arial"/>
          <w:sz w:val="18"/>
          <w:szCs w:val="18"/>
          <w:color w:val="auto"/>
        </w:rPr>
        <w:t>registration statement. Grantee agrees that after the Distribution Compliance Period, the Securities may be offered or sold within the United States or to or for the account of a U.S. person only pursuant to applicable securities laws.</w:t>
      </w:r>
    </w:p>
    <w:p>
      <w:pPr>
        <w:spacing w:after="0" w:line="56" w:lineRule="exact"/>
        <w:rPr>
          <w:rFonts w:ascii="Arial" w:cs="Arial" w:eastAsia="Arial" w:hAnsi="Arial"/>
          <w:sz w:val="16"/>
          <w:szCs w:val="16"/>
          <w:color w:val="auto"/>
        </w:rPr>
      </w:pPr>
    </w:p>
    <w:p>
      <w:pPr>
        <w:ind w:right="20" w:firstLine="443"/>
        <w:spacing w:after="0" w:line="332" w:lineRule="auto"/>
        <w:tabs>
          <w:tab w:leader="none" w:pos="736" w:val="left"/>
        </w:tabs>
        <w:numPr>
          <w:ilvl w:val="0"/>
          <w:numId w:val="366"/>
        </w:numPr>
        <w:rPr>
          <w:rFonts w:ascii="Arial" w:cs="Arial" w:eastAsia="Arial" w:hAnsi="Arial"/>
          <w:sz w:val="16"/>
          <w:szCs w:val="16"/>
          <w:color w:val="auto"/>
        </w:rPr>
      </w:pPr>
      <w:r>
        <w:rPr>
          <w:rFonts w:ascii="Arial" w:cs="Arial" w:eastAsia="Arial" w:hAnsi="Arial"/>
          <w:sz w:val="16"/>
          <w:szCs w:val="16"/>
          <w:color w:val="auto"/>
        </w:rPr>
        <w:t>Grantee has not engaged, nor is Grantee aware that any party has engaged, and Grantee will not engage or cause any third party to engage, in any directed selling efforts (as such term is defined in Regulation S) in the United States with respect to the Securities;</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Grantee is not a “distributor” (as defined in Regulation S) or a “dealer” (as defined in the Securities Act); and</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Grantee acknowledges that the Company shall make a notation in its stock books regarding the restrictions on transfer set forth in this</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Section (E) and shall transfer such Securities on the books of the Company only to the extent consistent herewith. In particular, Grantee acknowledges that the Company shall refuse to register any transfer of the Securities not made in accordance with the provisions of Regulation S, pursuant to registration under the Securities Act or pursuant to an available exemption from registration.</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79" w:right="239" w:bottom="1440" w:gutter="0" w:footer="0" w:header="0"/>
        </w:sectPr>
      </w:pPr>
    </w:p>
    <w:bookmarkStart w:id="344" w:name="page345"/>
    <w:bookmarkEnd w:id="344"/>
    <w:p>
      <w:pPr>
        <w:ind w:left="600" w:hanging="256"/>
        <w:spacing w:after="0"/>
        <w:tabs>
          <w:tab w:leader="none" w:pos="6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 will notify any purchaser of the Securities from Grantee of the restrictions relating to the Securities noted herewith.</w:t>
      </w:r>
    </w:p>
    <w:p>
      <w:pPr>
        <w:spacing w:after="0" w:line="171" w:lineRule="exact"/>
        <w:rPr>
          <w:rFonts w:ascii="Arial" w:cs="Arial" w:eastAsia="Arial" w:hAnsi="Arial"/>
          <w:sz w:val="18"/>
          <w:szCs w:val="18"/>
          <w:color w:val="auto"/>
        </w:rPr>
      </w:pPr>
    </w:p>
    <w:p>
      <w:pPr>
        <w:ind w:left="640" w:hanging="296"/>
        <w:spacing w:after="0"/>
        <w:tabs>
          <w:tab w:leader="none" w:pos="64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Grantee has full power and authority to deliver this Investment Representation Statement in relation to the Grantee’s purchase of the Securities.</w:t>
      </w:r>
    </w:p>
    <w:p>
      <w:pPr>
        <w:spacing w:after="0" w:line="194" w:lineRule="exact"/>
        <w:rPr>
          <w:rFonts w:ascii="Arial" w:cs="Arial" w:eastAsia="Arial" w:hAnsi="Arial"/>
          <w:sz w:val="16"/>
          <w:szCs w:val="16"/>
          <w:color w:val="auto"/>
        </w:rPr>
      </w:pPr>
    </w:p>
    <w:p>
      <w:pPr>
        <w:ind w:left="-120" w:right="120" w:firstLine="464"/>
        <w:spacing w:after="0" w:line="268" w:lineRule="auto"/>
        <w:tabs>
          <w:tab w:leader="none" w:pos="62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Grantee acknowledges that the Company and is entitled to rely on the truth and accuracy of the foregoing representations and warranties and that the foregoing representations and warranties will survive Grantee’s admission as a member of the Company.</w:t>
      </w:r>
    </w:p>
    <w:p>
      <w:pPr>
        <w:spacing w:after="0" w:line="131" w:lineRule="exact"/>
        <w:rPr>
          <w:rFonts w:ascii="Arial" w:cs="Arial" w:eastAsia="Arial" w:hAnsi="Arial"/>
          <w:sz w:val="18"/>
          <w:szCs w:val="18"/>
          <w:color w:val="auto"/>
        </w:rPr>
      </w:pPr>
    </w:p>
    <w:p>
      <w:pPr>
        <w:ind w:left="-120" w:right="180" w:firstLine="464"/>
        <w:spacing w:after="0" w:line="298" w:lineRule="auto"/>
        <w:tabs>
          <w:tab w:leader="none" w:pos="556" w:val="left"/>
        </w:tabs>
        <w:numPr>
          <w:ilvl w:val="0"/>
          <w:numId w:val="367"/>
        </w:numPr>
        <w:rPr>
          <w:rFonts w:ascii="Arial" w:cs="Arial" w:eastAsia="Arial" w:hAnsi="Arial"/>
          <w:sz w:val="16"/>
          <w:szCs w:val="16"/>
          <w:color w:val="auto"/>
        </w:rPr>
      </w:pPr>
      <w:r>
        <w:rPr>
          <w:rFonts w:ascii="Arial" w:cs="Arial" w:eastAsia="Arial" w:hAnsi="Arial"/>
          <w:sz w:val="16"/>
          <w:szCs w:val="16"/>
          <w:color w:val="auto"/>
        </w:rPr>
        <w:t>Grantee acknowledges that these representations and warranties may be translated into one or more languages other than English. In case of any inconsistency between the English version of these representations and warranties and a version in any other language, the English version shall prevail. In the event Grantee executes and delivers a non-English version of these representations and warranties, such execution and delivery will also be deemed to be execution and delivery of the English version of these representations and warranties.</w:t>
      </w:r>
    </w:p>
    <w:p>
      <w:pPr>
        <w:spacing w:after="0" w:line="112" w:lineRule="exact"/>
        <w:rPr>
          <w:rFonts w:ascii="Arial" w:cs="Arial" w:eastAsia="Arial" w:hAnsi="Arial"/>
          <w:sz w:val="16"/>
          <w:szCs w:val="16"/>
          <w:color w:val="auto"/>
        </w:rPr>
      </w:pPr>
    </w:p>
    <w:p>
      <w:pPr>
        <w:ind w:left="-120" w:firstLine="464"/>
        <w:spacing w:after="0" w:line="255" w:lineRule="auto"/>
        <w:tabs>
          <w:tab w:leader="none" w:pos="56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Grantee represents and warrants that the above acknowledgements, representations and agreements are true and accurate as of the date hereof. Grantee also agrees to inform the Company should any of the information contained in these representations and warranties cease to be true and/or accurate. Grantee acknowledges that in the event it does not inform the Company of any change to the information contained in these representations and warranties, the Company and its respective professional advisers will be entitled to continue to rely on the truth and accuracy of the foregoing representations and warranties until and including the date the Grantee purchases the Securities.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60" w:top="280" w:right="3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34131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341312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4131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341312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280" w:right="1440"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10.52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[Korean Language Redacted]</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SECURITIES REPRESENTED HEREBY HAVE BEEN OFFERED IN AN OFFSHORE TRANSACTION TO A PERSON WHO IS NOT A U.S. PERSON (AS DEFINED HEREIN) PURSUANT TO REGULATION S UNDER THE UNITED STATES SECURITIES ACT OF 1933, AS AMENDED (THE “SECURITIES ACT”).</w:t>
      </w:r>
    </w:p>
    <w:p>
      <w:pPr>
        <w:spacing w:after="0" w:line="1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SECURITIES REPRESENTED HEREBY HAVE BEEN ACQUIRED FOR INVESTMENT AND HAVE NOT BEEN REGISTERED WITH THE SECURITIES AND EXCHANGE COMMISSION UNDER THE SECURITIES ACT AND, AS SUCH, THEY MAY NOT BE OFFERED FOR SALE, SOLD, DELIVERED AFTER SALE, TRANSFERRED, PLEDGED, HYPOTHECATED OR EXERCISED (AS APPLICABLE)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HEREBY AGREES NOT TO ENGAGE IN HEDGING TRANSACTIONS WITH REGARD TO THE SECURITIES UNLESS IN COMPLIANCE WITH THE SECURITIES ACT.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65" w:lineRule="exact"/>
        <w:rPr>
          <w:sz w:val="20"/>
          <w:szCs w:val="20"/>
          <w:color w:val="auto"/>
        </w:rPr>
      </w:pPr>
    </w:p>
    <w:p>
      <w:pPr>
        <w:jc w:val="both"/>
        <w:ind w:right="540" w:firstLine="913"/>
        <w:spacing w:after="0" w:line="310" w:lineRule="auto"/>
        <w:rPr>
          <w:sz w:val="20"/>
          <w:szCs w:val="20"/>
          <w:color w:val="auto"/>
        </w:rPr>
      </w:pPr>
      <w:r>
        <w:rPr>
          <w:rFonts w:ascii="Arial" w:cs="Arial" w:eastAsia="Arial" w:hAnsi="Arial"/>
          <w:sz w:val="16"/>
          <w:szCs w:val="16"/>
          <w:color w:val="auto"/>
        </w:rPr>
        <w:t xml:space="preserve">THIS OPTION AGREEMENT, dated as of </w:t>
      </w:r>
      <w:r>
        <w:rPr>
          <w:rFonts w:ascii="Arial" w:cs="Arial" w:eastAsia="Arial" w:hAnsi="Arial"/>
          <w:sz w:val="16"/>
          <w:szCs w:val="16"/>
          <w:b w:val="1"/>
          <w:bCs w:val="1"/>
          <w:u w:val="single" w:color="auto"/>
          <w:color w:val="auto"/>
        </w:rPr>
        <w:t>March 9, 2006</w:t>
      </w:r>
      <w:r>
        <w:rPr>
          <w:rFonts w:ascii="Arial" w:cs="Arial" w:eastAsia="Arial" w:hAnsi="Arial"/>
          <w:sz w:val="16"/>
          <w:szCs w:val="16"/>
          <w:color w:val="auto"/>
        </w:rPr>
        <w:t xml:space="preserve">, is executed by and between MagnaChip Semiconductor LLC, a Delaware limited liability company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Robert Krakauer</w:t>
      </w:r>
      <w:r>
        <w:rPr>
          <w:rFonts w:ascii="Arial" w:cs="Arial" w:eastAsia="Arial" w:hAnsi="Arial"/>
          <w:sz w:val="16"/>
          <w:szCs w:val="16"/>
          <w:color w:val="auto"/>
        </w:rPr>
        <w:t xml:space="preserv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Grantee</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the MagnaChip Semiconductor LLC Equity Incentive Plan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Plan</w:t>
      </w:r>
      <w:r>
        <w:rPr>
          <w:rFonts w:ascii="Arial" w:cs="Arial" w:eastAsia="Arial" w:hAnsi="Arial"/>
          <w:sz w:val="16"/>
          <w:szCs w:val="16"/>
          <w:b w:val="1"/>
          <w:bCs w:val="1"/>
          <w:color w:val="auto"/>
        </w:rPr>
        <w:t>”</w:t>
      </w:r>
      <w:r>
        <w:rPr>
          <w:rFonts w:ascii="Arial" w:cs="Arial" w:eastAsia="Arial" w:hAnsi="Arial"/>
          <w:sz w:val="16"/>
          <w:szCs w:val="16"/>
          <w:color w:val="auto"/>
        </w:rPr>
        <w:t>). Capitalized terms that are not defined herein shall have the meanings given to such terms in the Plan.</w:t>
      </w:r>
    </w:p>
    <w:p>
      <w:pPr>
        <w:spacing w:after="0" w:line="97"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of its wholly-owned subsidiary, MagnaChip Semiconductor, Ltd.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MagnaChip Korea</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47" w:name="page348"/>
    <w:bookmarkEnd w:id="34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WHEREAS, the Company has adopted the Plan in order to effect such grants; and</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Confirmation of Grant</w:t>
      </w:r>
      <w:r>
        <w:rPr>
          <w:rFonts w:ascii="Arial" w:cs="Arial" w:eastAsia="Arial" w:hAnsi="Arial"/>
          <w:sz w:val="16"/>
          <w:szCs w:val="16"/>
          <w:color w:val="auto"/>
        </w:rPr>
        <w:t xml:space="preserve">. The Company hereby evidences and confirms the grant to the Grantee, effective as of </w:t>
      </w:r>
      <w:r>
        <w:rPr>
          <w:rFonts w:ascii="Arial" w:cs="Arial" w:eastAsia="Arial" w:hAnsi="Arial"/>
          <w:sz w:val="16"/>
          <w:szCs w:val="16"/>
          <w:b w:val="1"/>
          <w:bCs w:val="1"/>
          <w:u w:val="single" w:color="auto"/>
          <w:color w:val="auto"/>
        </w:rPr>
        <w:t>March 9, 2006</w:t>
      </w:r>
      <w:r>
        <w:rPr>
          <w:rFonts w:ascii="Arial" w:cs="Arial" w:eastAsia="Arial" w:hAnsi="Arial"/>
          <w:sz w:val="16"/>
          <w:szCs w:val="16"/>
          <w:color w:val="auto"/>
        </w:rPr>
        <w:t xml:space="preserv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Grant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Date</w:t>
      </w:r>
      <w:r>
        <w:rPr>
          <w:rFonts w:ascii="Arial" w:cs="Arial" w:eastAsia="Arial" w:hAnsi="Arial"/>
          <w:sz w:val="16"/>
          <w:szCs w:val="16"/>
          <w:b w:val="1"/>
          <w:bCs w:val="1"/>
          <w:color w:val="auto"/>
        </w:rPr>
        <w:t>”</w:t>
      </w:r>
      <w:r>
        <w:rPr>
          <w:rFonts w:ascii="Arial" w:cs="Arial" w:eastAsia="Arial" w:hAnsi="Arial"/>
          <w:sz w:val="16"/>
          <w:szCs w:val="16"/>
          <w:color w:val="auto"/>
        </w:rPr>
        <w:t>), of options to purchase from the Company the number of Common Units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Options</w:t>
      </w:r>
      <w:r>
        <w:rPr>
          <w:rFonts w:ascii="Arial" w:cs="Arial" w:eastAsia="Arial" w:hAnsi="Arial"/>
          <w:sz w:val="16"/>
          <w:szCs w:val="16"/>
          <w:b w:val="1"/>
          <w:bCs w:val="1"/>
          <w:color w:val="auto"/>
        </w:rPr>
        <w:t>”</w:t>
      </w:r>
      <w:r>
        <w:rPr>
          <w:rFonts w:ascii="Arial" w:cs="Arial" w:eastAsia="Arial" w:hAnsi="Arial"/>
          <w:sz w:val="16"/>
          <w:szCs w:val="16"/>
          <w:color w:val="auto"/>
        </w:rPr>
        <w:t>) at the exercise price per Common Unit (the “</w:t>
      </w:r>
      <w:r>
        <w:rPr>
          <w:rFonts w:ascii="Arial" w:cs="Arial" w:eastAsia="Arial" w:hAnsi="Arial"/>
          <w:sz w:val="16"/>
          <w:szCs w:val="16"/>
          <w:b w:val="1"/>
          <w:bCs w:val="1"/>
          <w:u w:val="single" w:color="auto"/>
          <w:color w:val="auto"/>
        </w:rPr>
        <w:t>Option Price</w:t>
      </w:r>
      <w:r>
        <w:rPr>
          <w:rFonts w:ascii="Arial" w:cs="Arial" w:eastAsia="Arial" w:hAnsi="Arial"/>
          <w:sz w:val="16"/>
          <w:szCs w:val="16"/>
          <w:color w:val="auto"/>
        </w:rPr>
        <w: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Price</w:t>
            </w:r>
          </w:p>
        </w:tc>
        <w:tc>
          <w:tcPr>
            <w:tcW w:w="7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Number of Units</w:t>
            </w:r>
          </w:p>
        </w:tc>
      </w:tr>
      <w:tr>
        <w:trPr>
          <w:trHeight w:val="195"/>
        </w:trPr>
        <w:tc>
          <w:tcPr>
            <w:tcW w:w="7860" w:type="dxa"/>
            <w:vAlign w:val="bottom"/>
          </w:tcPr>
          <w:p>
            <w:pPr>
              <w:spacing w:after="0" w:line="195" w:lineRule="exact"/>
              <w:rPr>
                <w:sz w:val="20"/>
                <w:szCs w:val="20"/>
                <w:color w:val="auto"/>
              </w:rPr>
            </w:pPr>
            <w:r>
              <w:rPr>
                <w:rFonts w:ascii="Arial" w:cs="Arial" w:eastAsia="Arial" w:hAnsi="Arial"/>
                <w:sz w:val="18"/>
                <w:szCs w:val="18"/>
                <w:color w:val="auto"/>
              </w:rPr>
              <w:t>US$ 1.50</w:t>
            </w:r>
          </w:p>
        </w:tc>
        <w:tc>
          <w:tcPr>
            <w:tcW w:w="74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185,000</w:t>
            </w: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185,000</w:t>
            </w:r>
          </w:p>
        </w:tc>
      </w:tr>
    </w:tbl>
    <w:p>
      <w:pPr>
        <w:spacing w:after="0" w:line="156" w:lineRule="exact"/>
        <w:rPr>
          <w:sz w:val="20"/>
          <w:szCs w:val="20"/>
          <w:color w:val="auto"/>
        </w:rPr>
      </w:pPr>
    </w:p>
    <w:p>
      <w:pPr>
        <w:ind w:firstLine="921"/>
        <w:spacing w:after="0" w:line="256" w:lineRule="auto"/>
        <w:tabs>
          <w:tab w:leader="none" w:pos="1161"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 . In the event of a conflict between the terms and conditions of the Plan and this Option Agreement, the terms and conditions of the Plan shall prevail.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348" w:name="page349"/>
    <w:bookmarkEnd w:id="348"/>
    <w:p>
      <w:pPr>
        <w:ind w:right="400" w:firstLine="921"/>
        <w:spacing w:after="0" w:line="268" w:lineRule="auto"/>
        <w:tabs>
          <w:tab w:leader="none" w:pos="1152"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213" w:lineRule="exact"/>
        <w:rPr>
          <w:sz w:val="20"/>
          <w:szCs w:val="20"/>
          <w:color w:val="auto"/>
        </w:rPr>
      </w:pPr>
    </w:p>
    <w:p>
      <w:pPr>
        <w:ind w:left="1100" w:hanging="179"/>
        <w:spacing w:after="0"/>
        <w:tabs>
          <w:tab w:leader="none" w:pos="110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Vesting Provisions</w:t>
      </w:r>
      <w:r>
        <w:rPr>
          <w:rFonts w:ascii="Arial" w:cs="Arial" w:eastAsia="Arial" w:hAnsi="Arial"/>
          <w:sz w:val="16"/>
          <w:szCs w:val="16"/>
          <w:color w:val="auto"/>
        </w:rPr>
        <w:t>. An installment of 25% of the Common Units subject to the Options shall become vested and exercisable upon the earlier of:</w:t>
      </w:r>
    </w:p>
    <w:p>
      <w:pPr>
        <w:spacing w:after="0" w:line="38" w:lineRule="exact"/>
        <w:rPr>
          <w:rFonts w:ascii="Arial" w:cs="Arial" w:eastAsia="Arial" w:hAnsi="Arial"/>
          <w:sz w:val="16"/>
          <w:szCs w:val="16"/>
          <w:color w:val="auto"/>
        </w:rPr>
      </w:pPr>
    </w:p>
    <w:p>
      <w:pPr>
        <w:ind w:firstLine="8"/>
        <w:spacing w:after="0" w:line="292" w:lineRule="auto"/>
        <w:tabs>
          <w:tab w:leader="none" w:pos="21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date of the first closing of a firmly underwritten public offering for any equity securities of the Company, and (ii) the date as designated in the sole discretion of the Equity Compensation Committee of the Company’s Board of Directors as the date upon which the unitholders of the Company as of October 6, 2004, have achieved a 2.5x return on their investment (the “First Vesting Event”). The remaining 75% of the Common Units subject to the Options shall become vested and exercisable as to 25% of such Common Units on each of the first three successive annual anniversaries of the First Vesting Event, subject to the Grantee’s continous employment with MagnaChip Korea from the Grant Date to each such vesting date.</w:t>
      </w:r>
    </w:p>
    <w:p>
      <w:pPr>
        <w:spacing w:after="0" w:line="116" w:lineRule="exact"/>
        <w:rPr>
          <w:rFonts w:ascii="Arial" w:cs="Arial" w:eastAsia="Arial" w:hAnsi="Arial"/>
          <w:sz w:val="16"/>
          <w:szCs w:val="16"/>
          <w:color w:val="auto"/>
        </w:rPr>
      </w:pPr>
    </w:p>
    <w:p>
      <w:pPr>
        <w:ind w:right="20" w:firstLine="921"/>
        <w:spacing w:after="0" w:line="306" w:lineRule="auto"/>
        <w:tabs>
          <w:tab w:leader="none" w:pos="1161" w:val="left"/>
        </w:tabs>
        <w:numPr>
          <w:ilvl w:val="1"/>
          <w:numId w:val="373"/>
        </w:numPr>
        <w:rPr>
          <w:rFonts w:ascii="Arial" w:cs="Arial" w:eastAsia="Arial" w:hAnsi="Arial"/>
          <w:sz w:val="16"/>
          <w:szCs w:val="16"/>
          <w:color w:val="auto"/>
        </w:rPr>
      </w:pPr>
      <w:r>
        <w:rPr>
          <w:rFonts w:ascii="Arial" w:cs="Arial" w:eastAsia="Arial" w:hAnsi="Arial"/>
          <w:sz w:val="16"/>
          <w:szCs w:val="16"/>
          <w:u w:val="single" w:color="auto"/>
          <w:color w:val="auto"/>
        </w:rPr>
        <w:t>Normal Expiration Date</w:t>
      </w:r>
      <w:r>
        <w:rPr>
          <w:rFonts w:ascii="Arial" w:cs="Arial" w:eastAsia="Arial" w:hAnsi="Arial"/>
          <w:sz w:val="16"/>
          <w:szCs w:val="16"/>
          <w:color w:val="auto"/>
        </w:rPr>
        <w:t xml:space="preserve">. Unless the Options earlier terminate in accordance with Section 4, the Options shall terminate on the tenth anniversary of the Grant Date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Normal Expiration Date</w:t>
      </w:r>
      <w:r>
        <w:rPr>
          <w:rFonts w:ascii="Arial" w:cs="Arial" w:eastAsia="Arial" w:hAnsi="Arial"/>
          <w:sz w:val="16"/>
          <w:szCs w:val="16"/>
          <w:b w:val="1"/>
          <w:bCs w:val="1"/>
          <w:color w:val="auto"/>
        </w:rPr>
        <w:t>”</w:t>
      </w:r>
      <w:r>
        <w:rPr>
          <w:rFonts w:ascii="Arial" w:cs="Arial" w:eastAsia="Arial" w:hAnsi="Arial"/>
          <w:sz w:val="16"/>
          <w:szCs w:val="16"/>
          <w:color w:val="auto"/>
        </w:rPr>
        <w:t>). Once Options have become vested and exerciseable pursuant to this Section 2, such Options may be exercised, subject to the provisions hereof, at any time and from time to time until the Normal Expiration Date.</w:t>
      </w:r>
    </w:p>
    <w:p>
      <w:pPr>
        <w:spacing w:after="0" w:line="188" w:lineRule="exact"/>
        <w:rPr>
          <w:sz w:val="20"/>
          <w:szCs w:val="20"/>
          <w:color w:val="auto"/>
        </w:rPr>
      </w:pPr>
    </w:p>
    <w:p>
      <w:pPr>
        <w:ind w:left="1100" w:hanging="179"/>
        <w:spacing w:after="0"/>
        <w:tabs>
          <w:tab w:leader="none" w:pos="1100"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All or part of the exercisable Options may be exercised by the Grantee upon (a) the Grantee’s written notice to the Company of exercise (on such Exercise Notice as provided by the Company, a form of which is attached hereto as Exhibit A), (b) the Grantee’s payment of the Option</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349" w:name="page350"/>
    <w:bookmarkEnd w:id="349"/>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in full at the time of exercise (i) in cash or cash equivalents or (ii) in accordance with such procedures or in such other form as the Committee shall from time to time determine and (c) the Grantee’s execution of a joinder to the LLC Agreement (if the Grantee is not then a party to such agreement) in order to become a party to such agreement with respect to the Common Units issuable upon the exercise of such Options.</w:t>
      </w:r>
    </w:p>
    <w:p>
      <w:pPr>
        <w:spacing w:after="0" w:line="188" w:lineRule="exact"/>
        <w:rPr>
          <w:sz w:val="20"/>
          <w:szCs w:val="20"/>
          <w:color w:val="auto"/>
        </w:rPr>
      </w:pPr>
    </w:p>
    <w:p>
      <w:pPr>
        <w:ind w:left="1100" w:hanging="179"/>
        <w:spacing w:after="0"/>
        <w:tabs>
          <w:tab w:leader="none" w:pos="110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firstLine="921"/>
        <w:spacing w:after="0" w:line="259" w:lineRule="auto"/>
        <w:tabs>
          <w:tab w:leader="none" w:pos="115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right="60" w:firstLine="921"/>
        <w:spacing w:after="0" w:line="294" w:lineRule="auto"/>
        <w:tabs>
          <w:tab w:leader="none" w:pos="1162" w:val="left"/>
        </w:tabs>
        <w:numPr>
          <w:ilvl w:val="0"/>
          <w:numId w:val="376"/>
        </w:numPr>
        <w:rPr>
          <w:rFonts w:ascii="Arial" w:cs="Arial" w:eastAsia="Arial" w:hAnsi="Arial"/>
          <w:sz w:val="16"/>
          <w:szCs w:val="16"/>
          <w:color w:val="auto"/>
        </w:rPr>
      </w:pPr>
      <w:r>
        <w:rPr>
          <w:rFonts w:ascii="Arial" w:cs="Arial" w:eastAsia="Arial" w:hAnsi="Arial"/>
          <w:sz w:val="16"/>
          <w:szCs w:val="16"/>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Company’s repurchase right under this provision shall terminate ninety days after the termination of the Grantee’s employment.</w:t>
      </w:r>
    </w:p>
    <w:p>
      <w:pPr>
        <w:spacing w:after="0" w:line="197" w:lineRule="exact"/>
        <w:rPr>
          <w:sz w:val="20"/>
          <w:szCs w:val="20"/>
          <w:color w:val="auto"/>
        </w:rPr>
      </w:pPr>
    </w:p>
    <w:p>
      <w:pPr>
        <w:ind w:left="1100" w:hanging="179"/>
        <w:spacing w:after="0"/>
        <w:tabs>
          <w:tab w:leader="none" w:pos="110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right="160" w:firstLine="913"/>
        <w:spacing w:after="0" w:line="335" w:lineRule="auto"/>
        <w:rPr>
          <w:sz w:val="20"/>
          <w:szCs w:val="20"/>
          <w:color w:val="auto"/>
        </w:rPr>
      </w:pPr>
      <w:r>
        <w:rPr>
          <w:rFonts w:ascii="Arial" w:cs="Arial" w:eastAsia="Arial" w:hAnsi="Arial"/>
          <w:sz w:val="15"/>
          <w:szCs w:val="15"/>
          <w:color w:val="auto"/>
        </w:rPr>
        <w:t>Whenever Common Units are to be issued pursuant to the exercise of an Option or any cash payment is to be made hereunder, the Company shall have the power to withhold, or require the Grantee to remit to the Company, an amount sufficient to satisfy national, federal, state, and local withholding tax requirements relating to such transaction, and the Company may defer payment of cash or issuance of Common Units until such requirements are satisfied.</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350" w:name="page351"/>
    <w:bookmarkEnd w:id="350"/>
    <w:p>
      <w:pPr>
        <w:ind w:left="1100" w:hanging="179"/>
        <w:spacing w:after="0"/>
        <w:tabs>
          <w:tab w:leader="none" w:pos="110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Awards or Common Units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99" w:lineRule="exact"/>
        <w:rPr>
          <w:sz w:val="20"/>
          <w:szCs w:val="20"/>
          <w:color w:val="auto"/>
        </w:rPr>
      </w:pPr>
    </w:p>
    <w:p>
      <w:pPr>
        <w:ind w:left="1100" w:hanging="179"/>
        <w:spacing w:after="0"/>
        <w:tabs>
          <w:tab w:leader="none" w:pos="110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351" w:name="page352"/>
    <w:bookmarkEnd w:id="3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 Requirements of Law.</w:t>
      </w:r>
    </w:p>
    <w:p>
      <w:pPr>
        <w:spacing w:after="0" w:line="9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Common Units shall be issued upon exercise of any Options granted hereunder, if such exercise would result in a violation of applicable law.</w:t>
      </w:r>
    </w:p>
    <w:p>
      <w:pPr>
        <w:spacing w:after="0" w:line="224" w:lineRule="exact"/>
        <w:rPr>
          <w:sz w:val="20"/>
          <w:szCs w:val="20"/>
          <w:color w:val="auto"/>
        </w:rPr>
      </w:pPr>
    </w:p>
    <w:p>
      <w:pPr>
        <w:ind w:left="1100" w:hanging="179"/>
        <w:spacing w:after="0"/>
        <w:tabs>
          <w:tab w:leader="none" w:pos="110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 Korea.</w:t>
      </w:r>
    </w:p>
    <w:p>
      <w:pPr>
        <w:spacing w:after="0" w:line="213" w:lineRule="exact"/>
        <w:rPr>
          <w:sz w:val="20"/>
          <w:szCs w:val="20"/>
          <w:color w:val="auto"/>
        </w:rPr>
      </w:pPr>
    </w:p>
    <w:p>
      <w:pPr>
        <w:ind w:left="1180" w:hanging="259"/>
        <w:spacing w:after="0"/>
        <w:tabs>
          <w:tab w:leader="none" w:pos="118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280" w:right="379" w:bottom="1440" w:gutter="0" w:footer="0" w:header="0"/>
        </w:sectPr>
      </w:pPr>
    </w:p>
    <w:bookmarkStart w:id="352" w:name="page353"/>
    <w:bookmarkEnd w:id="352"/>
    <w:p>
      <w:pPr>
        <w:ind w:left="1160" w:hanging="259"/>
        <w:spacing w:after="0"/>
        <w:tabs>
          <w:tab w:leader="none" w:pos="11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Acknowledgements and </w:t>
      </w:r>
      <w:r>
        <w:rPr>
          <w:rFonts w:ascii="Arial" w:cs="Arial" w:eastAsia="Arial" w:hAnsi="Arial"/>
          <w:sz w:val="18"/>
          <w:szCs w:val="18"/>
          <w:u w:val="single" w:color="auto"/>
          <w:color w:val="auto"/>
        </w:rPr>
        <w:t>Representations and Warranties of the Grantee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 The Grantee acknowledges, understands and agrees that:</w:t>
      </w:r>
    </w:p>
    <w:p>
      <w:pPr>
        <w:spacing w:after="0" w:line="90" w:lineRule="exact"/>
        <w:rPr>
          <w:rFonts w:ascii="Arial" w:cs="Arial" w:eastAsia="Arial" w:hAnsi="Arial"/>
          <w:sz w:val="18"/>
          <w:szCs w:val="18"/>
          <w:color w:val="auto"/>
        </w:rPr>
      </w:pPr>
    </w:p>
    <w:p>
      <w:pPr>
        <w:ind w:left="-20" w:firstLine="1492"/>
        <w:spacing w:after="0" w:line="294" w:lineRule="auto"/>
        <w:tabs>
          <w:tab w:leader="none" w:pos="1673" w:val="left"/>
        </w:tabs>
        <w:numPr>
          <w:ilvl w:val="1"/>
          <w:numId w:val="382"/>
        </w:numPr>
        <w:rPr>
          <w:rFonts w:ascii="Arial" w:cs="Arial" w:eastAsia="Arial" w:hAnsi="Arial"/>
          <w:sz w:val="16"/>
          <w:szCs w:val="16"/>
          <w:color w:val="auto"/>
        </w:rPr>
      </w:pPr>
      <w:r>
        <w:rPr>
          <w:rFonts w:ascii="Arial" w:cs="Arial" w:eastAsia="Arial" w:hAnsi="Arial"/>
          <w:sz w:val="16"/>
          <w:szCs w:val="16"/>
          <w:color w:val="auto"/>
        </w:rPr>
        <w:t xml:space="preserve">None of the Options nor any Common Units that may be acquired by the Grantee upon exercise of any of the Options (together, the </w:t>
      </w:r>
      <w:r>
        <w:rPr>
          <w:rFonts w:ascii="Arial" w:cs="Arial" w:eastAsia="Arial" w:hAnsi="Arial"/>
          <w:sz w:val="16"/>
          <w:szCs w:val="16"/>
          <w:b w:val="1"/>
          <w:bCs w:val="1"/>
          <w:color w:val="auto"/>
        </w:rPr>
        <w:t>“Securities”</w:t>
      </w:r>
      <w:r>
        <w:rPr>
          <w:rFonts w:ascii="Arial" w:cs="Arial" w:eastAsia="Arial" w:hAnsi="Arial"/>
          <w:sz w:val="16"/>
          <w:szCs w:val="16"/>
          <w:color w:val="auto"/>
        </w:rPr>
        <w:t>) have been registered under the United States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Securities Act of 1933, as amended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“Securities Act”</w:t>
      </w:r>
      <w:r>
        <w:rPr>
          <w:rFonts w:ascii="Arial" w:cs="Arial" w:eastAsia="Arial" w:hAnsi="Arial"/>
          <w:sz w:val="16"/>
          <w:szCs w:val="16"/>
          <w:u w:val="single" w:color="auto"/>
          <w:color w:val="auto"/>
        </w:rPr>
        <w:t>)</w:t>
      </w:r>
      <w:r>
        <w:rPr>
          <w:rFonts w:ascii="Arial" w:cs="Arial" w:eastAsia="Arial" w:hAnsi="Arial"/>
          <w:sz w:val="16"/>
          <w:szCs w:val="16"/>
          <w:color w:val="auto"/>
        </w:rPr>
        <w:t>, and, unless so registered, may not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offered or sold in the United States or, directly or indirectly, to U.S. Persons (as defined in subsection (c) below), except in accordance with the provisions of Regulation S of the Securities Act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“Regulation S”</w:t>
      </w:r>
      <w:r>
        <w:rPr>
          <w:rFonts w:ascii="Arial" w:cs="Arial" w:eastAsia="Arial" w:hAnsi="Arial"/>
          <w:sz w:val="16"/>
          <w:szCs w:val="16"/>
          <w:u w:val="single" w:color="auto"/>
          <w:color w:val="auto"/>
        </w:rPr>
        <w:t>)</w:t>
      </w:r>
      <w:r>
        <w:rPr>
          <w:rFonts w:ascii="Arial" w:cs="Arial" w:eastAsia="Arial" w:hAnsi="Arial"/>
          <w:sz w:val="16"/>
          <w:szCs w:val="16"/>
          <w:color w:val="auto"/>
        </w:rPr>
        <w:t>, pursuant to an effective registration statement under the Securities Act, or pursuant to an exemption from, or in a transaction not subject to, the registration requirements of the Securities Act;</w:t>
      </w:r>
    </w:p>
    <w:p>
      <w:pPr>
        <w:spacing w:after="0" w:line="115" w:lineRule="exact"/>
        <w:rPr>
          <w:rFonts w:ascii="Arial" w:cs="Arial" w:eastAsia="Arial" w:hAnsi="Arial"/>
          <w:sz w:val="16"/>
          <w:szCs w:val="16"/>
          <w:color w:val="auto"/>
        </w:rPr>
      </w:pPr>
    </w:p>
    <w:p>
      <w:pPr>
        <w:ind w:left="560" w:right="240" w:firstLine="866"/>
        <w:spacing w:after="0" w:line="259" w:lineRule="auto"/>
        <w:tabs>
          <w:tab w:leader="none" w:pos="168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Grantee will only offer, transfer or sell the Securities in accordance with the provisions of Regulation S, pursuant to an effective registration statement under the Securities Act, or pursuant to an exemption from, or in a transaction not subject to, the registration requirements of the Securities Act;</w:t>
      </w:r>
    </w:p>
    <w:p>
      <w:pPr>
        <w:spacing w:after="0" w:line="140" w:lineRule="exact"/>
        <w:rPr>
          <w:rFonts w:ascii="Arial" w:cs="Arial" w:eastAsia="Arial" w:hAnsi="Arial"/>
          <w:sz w:val="18"/>
          <w:szCs w:val="18"/>
          <w:color w:val="auto"/>
        </w:rPr>
      </w:pPr>
    </w:p>
    <w:p>
      <w:pPr>
        <w:ind w:left="1780" w:hanging="308"/>
        <w:spacing w:after="0"/>
        <w:tabs>
          <w:tab w:leader="none" w:pos="1780" w:val="left"/>
        </w:tabs>
        <w:numPr>
          <w:ilvl w:val="2"/>
          <w:numId w:val="382"/>
        </w:numPr>
        <w:rPr>
          <w:rFonts w:ascii="Arial" w:cs="Arial" w:eastAsia="Arial" w:hAnsi="Arial"/>
          <w:sz w:val="16"/>
          <w:szCs w:val="16"/>
          <w:color w:val="auto"/>
        </w:rPr>
      </w:pPr>
      <w:r>
        <w:rPr>
          <w:rFonts w:ascii="Arial" w:cs="Arial" w:eastAsia="Arial" w:hAnsi="Arial"/>
          <w:sz w:val="16"/>
          <w:szCs w:val="16"/>
          <w:color w:val="auto"/>
        </w:rPr>
        <w:t>Grantee will not engage in hedging transactions with regard to the Securities unless in compliance with the Securities Act;</w:t>
      </w:r>
    </w:p>
    <w:p>
      <w:pPr>
        <w:spacing w:after="0" w:line="194" w:lineRule="exact"/>
        <w:rPr>
          <w:rFonts w:ascii="Arial" w:cs="Arial" w:eastAsia="Arial" w:hAnsi="Arial"/>
          <w:sz w:val="16"/>
          <w:szCs w:val="16"/>
          <w:color w:val="auto"/>
        </w:rPr>
      </w:pPr>
    </w:p>
    <w:p>
      <w:pPr>
        <w:jc w:val="both"/>
        <w:ind w:left="-20" w:right="80" w:firstLine="1492"/>
        <w:spacing w:after="0" w:line="370" w:lineRule="auto"/>
        <w:tabs>
          <w:tab w:leader="none" w:pos="1761" w:val="left"/>
        </w:tabs>
        <w:numPr>
          <w:ilvl w:val="2"/>
          <w:numId w:val="382"/>
        </w:numPr>
        <w:rPr>
          <w:rFonts w:ascii="Arial" w:cs="Arial" w:eastAsia="Arial" w:hAnsi="Arial"/>
          <w:sz w:val="15"/>
          <w:szCs w:val="15"/>
          <w:color w:val="auto"/>
        </w:rPr>
      </w:pPr>
      <w:r>
        <w:rPr>
          <w:rFonts w:ascii="Arial" w:cs="Arial" w:eastAsia="Arial" w:hAnsi="Arial"/>
          <w:sz w:val="15"/>
          <w:szCs w:val="15"/>
          <w:color w:val="auto"/>
        </w:rPr>
        <w:t>The Company will refuse to register any transfer of the Securities not made in accordance with the provisions of Regulation S, pursuant to an effective registration statement under the Securities Act or pursuant to an available exemption from the registration requirements of the Securities Act;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9" w:right="259" w:bottom="1440" w:gutter="0" w:footer="0" w:header="0"/>
        </w:sectPr>
      </w:pPr>
    </w:p>
    <w:bookmarkStart w:id="353" w:name="page354"/>
    <w:bookmarkEnd w:id="353"/>
    <w:p>
      <w:pPr>
        <w:ind w:right="220" w:firstLine="1492"/>
        <w:spacing w:after="0" w:line="259" w:lineRule="auto"/>
        <w:tabs>
          <w:tab w:leader="none" w:pos="1732" w:val="left"/>
        </w:tabs>
        <w:numPr>
          <w:ilvl w:val="1"/>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 and others will rely upon the truth and accuracy of the acknowledgements, representations and agreements contained in this Option Agreement, and agrees that if any of such acknowledgements, representations and agreements are no longer accurate or have been breached, the Grantee shall promptly notify the Company.</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Grantee represents and warrants to the Company that: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384"/>
        </w:numPr>
        <w:rPr>
          <w:rFonts w:ascii="Arial" w:cs="Arial" w:eastAsia="Arial" w:hAnsi="Arial"/>
          <w:sz w:val="16"/>
          <w:szCs w:val="16"/>
          <w:color w:val="auto"/>
        </w:rPr>
      </w:pPr>
      <w:r>
        <w:rPr>
          <w:rFonts w:ascii="Arial" w:cs="Arial" w:eastAsia="Arial" w:hAnsi="Arial"/>
          <w:sz w:val="16"/>
          <w:szCs w:val="16"/>
          <w:color w:val="auto"/>
        </w:rPr>
        <w:t>The Grantee is not a U.S. Person and the Grantee is not acquiring the Securities for the account or benefit of, directly or indirectly,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 Person; and</w:t>
      </w:r>
    </w:p>
    <w:p>
      <w:pPr>
        <w:spacing w:after="0" w:line="165" w:lineRule="exact"/>
        <w:rPr>
          <w:sz w:val="20"/>
          <w:szCs w:val="20"/>
          <w:color w:val="auto"/>
        </w:rPr>
      </w:pPr>
    </w:p>
    <w:p>
      <w:pPr>
        <w:ind w:right="100" w:firstLine="1492"/>
        <w:spacing w:after="0" w:line="259" w:lineRule="auto"/>
        <w:tabs>
          <w:tab w:leader="none" w:pos="174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Grantee is outside the United States when receiving and executing this Option Agreement and is acquiring the Securities for investment only and not with a view to resale or distribution and, in particular, it has no intention to distribute either directly or indirectly any of the Securities in the United States or to U.S. Persons.</w:t>
      </w:r>
    </w:p>
    <w:p>
      <w:pPr>
        <w:spacing w:after="0" w:line="134" w:lineRule="exact"/>
        <w:rPr>
          <w:rFonts w:ascii="Arial" w:cs="Arial" w:eastAsia="Arial" w:hAnsi="Arial"/>
          <w:sz w:val="18"/>
          <w:szCs w:val="18"/>
          <w:color w:val="auto"/>
        </w:rPr>
      </w:pPr>
    </w:p>
    <w:p>
      <w:pPr>
        <w:ind w:firstLine="921"/>
        <w:spacing w:after="0" w:line="285" w:lineRule="auto"/>
        <w:tabs>
          <w:tab w:leader="none" w:pos="115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 xml:space="preserve">For purposes of this Option Agreement,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U.S. Person</w:t>
      </w:r>
      <w:r>
        <w:rPr>
          <w:rFonts w:ascii="Arial" w:cs="Arial" w:eastAsia="Arial" w:hAnsi="Arial"/>
          <w:sz w:val="16"/>
          <w:szCs w:val="16"/>
          <w:b w:val="1"/>
          <w:bCs w:val="1"/>
          <w:color w:val="auto"/>
        </w:rPr>
        <w:t>”</w:t>
      </w:r>
      <w:r>
        <w:rPr>
          <w:rFonts w:ascii="Arial" w:cs="Arial" w:eastAsia="Arial" w:hAnsi="Arial"/>
          <w:sz w:val="16"/>
          <w:szCs w:val="16"/>
          <w:color w:val="auto"/>
        </w:rPr>
        <w:t xml:space="preserve">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 (vii) any discretionary account or similar account</w:t>
      </w:r>
    </w:p>
    <w:p>
      <w:pPr>
        <w:spacing w:after="0" w:line="2" w:lineRule="exact"/>
        <w:rPr>
          <w:rFonts w:ascii="Arial" w:cs="Arial" w:eastAsia="Arial" w:hAnsi="Arial"/>
          <w:sz w:val="16"/>
          <w:szCs w:val="16"/>
          <w:color w:val="auto"/>
        </w:rPr>
      </w:pPr>
    </w:p>
    <w:p>
      <w:pPr>
        <w:ind w:right="260"/>
        <w:spacing w:after="0" w:line="254" w:lineRule="auto"/>
        <w:rPr>
          <w:rFonts w:ascii="Arial" w:cs="Arial" w:eastAsia="Arial" w:hAnsi="Arial"/>
          <w:sz w:val="16"/>
          <w:szCs w:val="16"/>
          <w:color w:val="auto"/>
        </w:rPr>
      </w:pPr>
      <w:r>
        <w:rPr>
          <w:rFonts w:ascii="Arial" w:cs="Arial" w:eastAsia="Arial" w:hAnsi="Arial"/>
          <w:sz w:val="18"/>
          <w:szCs w:val="18"/>
          <w:color w:val="auto"/>
        </w:rPr>
        <w:t>(other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 Securities Act, unless it is organized or incorporated, and owned, by accredited investors (as defined below) who are not natural persons, estates or trusts.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354" w:name="page355"/>
    <w:bookmarkEnd w:id="354"/>
    <w:p>
      <w:pPr>
        <w:ind w:left="1180" w:hanging="259"/>
        <w:spacing w:after="0"/>
        <w:tabs>
          <w:tab w:leader="none" w:pos="118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221" w:lineRule="exact"/>
        <w:rPr>
          <w:sz w:val="20"/>
          <w:szCs w:val="20"/>
          <w:color w:val="auto"/>
        </w:rPr>
      </w:pPr>
    </w:p>
    <w:p>
      <w:pPr>
        <w:ind w:left="1180" w:hanging="259"/>
        <w:spacing w:after="0"/>
        <w:tabs>
          <w:tab w:leader="none" w:pos="118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201" w:lineRule="exact"/>
        <w:rPr>
          <w:sz w:val="20"/>
          <w:szCs w:val="20"/>
          <w:color w:val="auto"/>
        </w:rPr>
      </w:pPr>
    </w:p>
    <w:p>
      <w:pPr>
        <w:ind w:left="1180" w:hanging="259"/>
        <w:spacing w:after="0"/>
        <w:tabs>
          <w:tab w:leader="none" w:pos="118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56" w:lineRule="auto"/>
        <w:tabs>
          <w:tab w:leader="none" w:pos="1152"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if to the Company:</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82-2-3459-3898</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355" w:name="page356"/>
    <w:bookmarkEnd w:id="355"/>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(ii) if to the Grantee, to the Grantee at the address as reflected in the Company’s books and records.</w:t>
      </w:r>
    </w:p>
    <w:p>
      <w:pPr>
        <w:spacing w:after="0" w:line="90" w:lineRule="exact"/>
        <w:rPr>
          <w:sz w:val="20"/>
          <w:szCs w:val="20"/>
          <w:color w:val="auto"/>
        </w:rPr>
      </w:pPr>
    </w:p>
    <w:p>
      <w:pPr>
        <w:ind w:left="840" w:right="12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left="-80" w:firstLine="921"/>
        <w:spacing w:after="0" w:line="256" w:lineRule="auto"/>
        <w:tabs>
          <w:tab w:leader="none" w:pos="1081"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Binding Effect; Benefits</w:t>
      </w:r>
      <w:r>
        <w:rPr>
          <w:rFonts w:ascii="Arial" w:cs="Arial" w:eastAsia="Arial" w:hAnsi="Arial"/>
          <w:sz w:val="18"/>
          <w:szCs w:val="18"/>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43" w:lineRule="exact"/>
        <w:rPr>
          <w:rFonts w:ascii="Arial" w:cs="Arial" w:eastAsia="Arial" w:hAnsi="Arial"/>
          <w:sz w:val="18"/>
          <w:szCs w:val="18"/>
          <w:color w:val="auto"/>
        </w:rPr>
      </w:pPr>
    </w:p>
    <w:p>
      <w:pPr>
        <w:ind w:left="-80" w:firstLine="921"/>
        <w:spacing w:after="0" w:line="268" w:lineRule="auto"/>
        <w:tabs>
          <w:tab w:leader="none" w:pos="1072"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 hereto may by written notice to the other (</w:t>
      </w:r>
      <w:r>
        <w:rPr>
          <w:rFonts w:ascii="Arial" w:cs="Arial" w:eastAsia="Arial" w:hAnsi="Arial"/>
          <w:sz w:val="18"/>
          <w:szCs w:val="18"/>
          <w:u w:val="single" w:color="auto"/>
          <w:color w:val="auto"/>
        </w:rPr>
        <w:t>i</w:t>
      </w:r>
      <w:r>
        <w:rPr>
          <w:rFonts w:ascii="Arial" w:cs="Arial" w:eastAsia="Arial" w:hAnsi="Arial"/>
          <w:sz w:val="18"/>
          <w:szCs w:val="18"/>
          <w:color w:val="auto"/>
        </w:rPr>
        <w:t>) extend the time for the performance of any of the obligations or other actions of the other under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279" w:right="319" w:bottom="1440" w:gutter="0" w:footer="0" w:header="0"/>
        </w:sectPr>
      </w:pPr>
    </w:p>
    <w:bookmarkStart w:id="356" w:name="page357"/>
    <w:bookmarkEnd w:id="35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ii</w:t>
      </w:r>
      <w:r>
        <w:rPr>
          <w:rFonts w:ascii="Arial" w:cs="Arial" w:eastAsia="Arial" w:hAnsi="Arial"/>
          <w:sz w:val="18"/>
          <w:szCs w:val="18"/>
          <w:color w:val="auto"/>
        </w:rPr>
        <w:t>) waive compliance with any of the conditions or covenants of the other contained in this Agreement and (</w:t>
      </w:r>
      <w:r>
        <w:rPr>
          <w:rFonts w:ascii="Arial" w:cs="Arial" w:eastAsia="Arial" w:hAnsi="Arial"/>
          <w:sz w:val="18"/>
          <w:szCs w:val="18"/>
          <w:u w:val="single" w:color="auto"/>
          <w:color w:val="auto"/>
        </w:rPr>
        <w:t>iii</w:t>
      </w:r>
      <w:r>
        <w:rPr>
          <w:rFonts w:ascii="Arial" w:cs="Arial" w:eastAsia="Arial" w:hAnsi="Arial"/>
          <w:sz w:val="18"/>
          <w:szCs w:val="18"/>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47" w:lineRule="exact"/>
        <w:rPr>
          <w:sz w:val="20"/>
          <w:szCs w:val="20"/>
          <w:color w:val="auto"/>
        </w:rPr>
      </w:pPr>
    </w:p>
    <w:p>
      <w:pPr>
        <w:jc w:val="both"/>
        <w:ind w:right="240" w:firstLine="921"/>
        <w:spacing w:after="0" w:line="306" w:lineRule="auto"/>
        <w:tabs>
          <w:tab w:leader="none" w:pos="1161"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06" w:lineRule="exact"/>
        <w:rPr>
          <w:rFonts w:ascii="Arial" w:cs="Arial" w:eastAsia="Arial" w:hAnsi="Arial"/>
          <w:sz w:val="16"/>
          <w:szCs w:val="16"/>
          <w:color w:val="auto"/>
        </w:rPr>
      </w:pPr>
    </w:p>
    <w:p>
      <w:pPr>
        <w:ind w:right="280" w:firstLine="921"/>
        <w:spacing w:after="0" w:line="268" w:lineRule="auto"/>
        <w:tabs>
          <w:tab w:leader="none" w:pos="1152"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WITHOUT REGARDS TO CONFLICTS OF LAWS PROVISIONS.</w:t>
      </w:r>
    </w:p>
    <w:p>
      <w:pPr>
        <w:spacing w:after="0" w:line="131" w:lineRule="exact"/>
        <w:rPr>
          <w:rFonts w:ascii="Arial" w:cs="Arial" w:eastAsia="Arial" w:hAnsi="Arial"/>
          <w:sz w:val="18"/>
          <w:szCs w:val="18"/>
          <w:color w:val="auto"/>
        </w:rPr>
      </w:pPr>
    </w:p>
    <w:p>
      <w:pPr>
        <w:ind w:right="40" w:firstLine="921"/>
        <w:spacing w:after="0" w:line="268" w:lineRule="auto"/>
        <w:tabs>
          <w:tab w:leader="none" w:pos="1132"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80" w:right="339" w:bottom="1440" w:gutter="0" w:footer="0" w:header="0"/>
        </w:sectPr>
      </w:pPr>
    </w:p>
    <w:bookmarkStart w:id="357" w:name="page358"/>
    <w:bookmarkEnd w:id="357"/>
    <w:p>
      <w:pPr>
        <w:ind w:firstLine="921"/>
        <w:spacing w:after="0" w:line="268" w:lineRule="auto"/>
        <w:tabs>
          <w:tab w:leader="none" w:pos="1161"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Company and the Grantee have duly executed this Agreement as of the date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Youm Huh</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Dr. Youm Huh</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Krakauer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80" w:right="359" w:bottom="1440" w:gutter="0" w:footer="0" w:header="0"/>
        </w:sectPr>
      </w:pPr>
    </w:p>
    <w:bookmarkStart w:id="358" w:name="page359"/>
    <w:bookmarkEnd w:id="35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Form of Exercise Notice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74" w:right="1440"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4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9"/>
              </w:rPr>
              <w:t>MAGNACHIP SEMICONDUCTOR LLC</w:t>
            </w:r>
          </w:p>
        </w:tc>
        <w:tc>
          <w:tcPr>
            <w:tcW w:w="4060" w:type="dxa"/>
            <w:vAlign w:val="bottom"/>
          </w:tcPr>
          <w:p>
            <w:pPr>
              <w:spacing w:after="0"/>
              <w:rPr>
                <w:sz w:val="17"/>
                <w:szCs w:val="17"/>
                <w:color w:val="auto"/>
              </w:rPr>
            </w:pPr>
          </w:p>
        </w:tc>
      </w:tr>
      <w:tr>
        <w:trPr>
          <w:trHeight w:val="384"/>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60" w:type="dxa"/>
            <w:vAlign w:val="bottom"/>
            <w:gridSpan w:val="10"/>
          </w:tcPr>
          <w:p>
            <w:pPr>
              <w:jc w:val="center"/>
              <w:ind w:right="4440"/>
              <w:spacing w:after="0"/>
              <w:rPr>
                <w:sz w:val="20"/>
                <w:szCs w:val="20"/>
                <w:color w:val="auto"/>
              </w:rPr>
            </w:pPr>
            <w:r>
              <w:rPr>
                <w:rFonts w:ascii="Arial" w:cs="Arial" w:eastAsia="Arial" w:hAnsi="Arial"/>
                <w:sz w:val="18"/>
                <w:szCs w:val="18"/>
                <w:b w:val="1"/>
                <w:bCs w:val="1"/>
                <w:color w:val="auto"/>
              </w:rPr>
              <w:t>EQUITY INCENTIVE PLAN</w:t>
            </w:r>
          </w:p>
        </w:tc>
      </w:tr>
      <w:tr>
        <w:trPr>
          <w:trHeight w:val="228"/>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40" w:type="dxa"/>
            <w:vAlign w:val="bottom"/>
            <w:gridSpan w:val="8"/>
          </w:tcPr>
          <w:p>
            <w:pPr>
              <w:jc w:val="center"/>
              <w:ind w:right="4740"/>
              <w:spacing w:after="0"/>
              <w:rPr>
                <w:sz w:val="20"/>
                <w:szCs w:val="20"/>
                <w:color w:val="auto"/>
              </w:rPr>
            </w:pPr>
            <w:r>
              <w:rPr>
                <w:rFonts w:ascii="Arial" w:cs="Arial" w:eastAsia="Arial" w:hAnsi="Arial"/>
                <w:sz w:val="18"/>
                <w:szCs w:val="18"/>
                <w:b w:val="1"/>
                <w:bCs w:val="1"/>
                <w:color w:val="auto"/>
                <w:w w:val="99"/>
              </w:rPr>
              <w:t>EXERCISE NOTICE</w:t>
            </w:r>
          </w:p>
        </w:tc>
      </w:tr>
      <w:tr>
        <w:trPr>
          <w:trHeight w:val="372"/>
        </w:trPr>
        <w:tc>
          <w:tcPr>
            <w:tcW w:w="4160" w:type="dxa"/>
            <w:vAlign w:val="bottom"/>
            <w:gridSpan w:val="10"/>
          </w:tcPr>
          <w:p>
            <w:pPr>
              <w:spacing w:after="0"/>
              <w:rPr>
                <w:sz w:val="20"/>
                <w:szCs w:val="20"/>
                <w:color w:val="auto"/>
              </w:rPr>
            </w:pPr>
            <w:r>
              <w:rPr>
                <w:rFonts w:ascii="Arial" w:cs="Arial" w:eastAsia="Arial" w:hAnsi="Arial"/>
                <w:sz w:val="18"/>
                <w:szCs w:val="18"/>
                <w:color w:val="auto"/>
              </w:rPr>
              <w:t>MagnaChip Semiconductor LLC</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16"/>
        </w:trPr>
        <w:tc>
          <w:tcPr>
            <w:tcW w:w="4160" w:type="dxa"/>
            <w:vAlign w:val="bottom"/>
            <w:gridSpan w:val="10"/>
          </w:tcPr>
          <w:p>
            <w:pPr>
              <w:spacing w:after="0"/>
              <w:rPr>
                <w:sz w:val="20"/>
                <w:szCs w:val="20"/>
                <w:color w:val="auto"/>
              </w:rPr>
            </w:pPr>
            <w:r>
              <w:rPr>
                <w:rFonts w:ascii="Arial" w:cs="Arial" w:eastAsia="Arial" w:hAnsi="Arial"/>
                <w:sz w:val="18"/>
                <w:szCs w:val="18"/>
                <w:color w:val="auto"/>
              </w:rPr>
              <w:t>c/o MagnaChip Semiconductor, Ltd.</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160" w:type="dxa"/>
            <w:vAlign w:val="bottom"/>
            <w:gridSpan w:val="10"/>
          </w:tcPr>
          <w:p>
            <w:pPr>
              <w:spacing w:after="0"/>
              <w:rPr>
                <w:sz w:val="20"/>
                <w:szCs w:val="20"/>
                <w:color w:val="auto"/>
              </w:rPr>
            </w:pPr>
            <w:r>
              <w:rPr>
                <w:rFonts w:ascii="Arial" w:cs="Arial" w:eastAsia="Arial" w:hAnsi="Arial"/>
                <w:sz w:val="18"/>
                <w:szCs w:val="18"/>
                <w:color w:val="auto"/>
              </w:rPr>
              <w:t>891 Daechi-dong, Gangnam-gu</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22"/>
        </w:trPr>
        <w:tc>
          <w:tcPr>
            <w:tcW w:w="4160" w:type="dxa"/>
            <w:vAlign w:val="bottom"/>
            <w:gridSpan w:val="10"/>
          </w:tcPr>
          <w:p>
            <w:pPr>
              <w:spacing w:after="0"/>
              <w:rPr>
                <w:sz w:val="20"/>
                <w:szCs w:val="20"/>
                <w:color w:val="auto"/>
              </w:rPr>
            </w:pPr>
            <w:r>
              <w:rPr>
                <w:rFonts w:ascii="Arial" w:cs="Arial" w:eastAsia="Arial" w:hAnsi="Arial"/>
                <w:sz w:val="18"/>
                <w:szCs w:val="18"/>
                <w:color w:val="auto"/>
              </w:rPr>
              <w:t>Seoul, 135-738 Korea</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60" w:type="dxa"/>
            <w:vAlign w:val="bottom"/>
          </w:tcPr>
          <w:p>
            <w:pPr>
              <w:spacing w:after="0"/>
              <w:rPr>
                <w:sz w:val="19"/>
                <w:szCs w:val="19"/>
                <w:color w:val="auto"/>
              </w:rPr>
            </w:pPr>
          </w:p>
        </w:tc>
      </w:tr>
      <w:tr>
        <w:trPr>
          <w:trHeight w:val="378"/>
        </w:trPr>
        <w:tc>
          <w:tcPr>
            <w:tcW w:w="4160" w:type="dxa"/>
            <w:vAlign w:val="bottom"/>
            <w:gridSpan w:val="10"/>
          </w:tcPr>
          <w:p>
            <w:pPr>
              <w:spacing w:after="0"/>
              <w:rPr>
                <w:sz w:val="20"/>
                <w:szCs w:val="20"/>
                <w:color w:val="auto"/>
              </w:rPr>
            </w:pPr>
            <w:r>
              <w:rPr>
                <w:rFonts w:ascii="Arial" w:cs="Arial" w:eastAsia="Arial" w:hAnsi="Arial"/>
                <w:sz w:val="18"/>
                <w:szCs w:val="18"/>
                <w:color w:val="auto"/>
              </w:rPr>
              <w:t>Attention: General Counsel</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40"/>
        </w:trPr>
        <w:tc>
          <w:tcPr>
            <w:tcW w:w="400" w:type="dxa"/>
            <w:vAlign w:val="bottom"/>
          </w:tcPr>
          <w:p>
            <w:pPr>
              <w:spacing w:after="0"/>
              <w:rPr>
                <w:sz w:val="24"/>
                <w:szCs w:val="24"/>
                <w:color w:val="auto"/>
              </w:rPr>
            </w:pPr>
          </w:p>
        </w:tc>
        <w:tc>
          <w:tcPr>
            <w:tcW w:w="3760" w:type="dxa"/>
            <w:vAlign w:val="bottom"/>
            <w:gridSpan w:val="9"/>
          </w:tcPr>
          <w:p>
            <w:pPr>
              <w:ind w:left="60"/>
              <w:spacing w:after="0"/>
              <w:rPr>
                <w:sz w:val="20"/>
                <w:szCs w:val="20"/>
                <w:color w:val="auto"/>
              </w:rPr>
            </w:pPr>
            <w:r>
              <w:rPr>
                <w:rFonts w:ascii="Arial" w:cs="Arial" w:eastAsia="Arial" w:hAnsi="Arial"/>
                <w:sz w:val="18"/>
                <w:szCs w:val="18"/>
                <w:color w:val="auto"/>
              </w:rPr>
              <w:t>1. Exercise of Option. Effective as of today,</w:t>
            </w:r>
          </w:p>
        </w:tc>
        <w:tc>
          <w:tcPr>
            <w:tcW w:w="7200" w:type="dxa"/>
            <w:vAlign w:val="bottom"/>
            <w:gridSpan w:val="12"/>
          </w:tcPr>
          <w:p>
            <w:pPr>
              <w:ind w:left="300"/>
              <w:spacing w:after="0"/>
              <w:rPr>
                <w:sz w:val="20"/>
                <w:szCs w:val="20"/>
                <w:color w:val="auto"/>
              </w:rPr>
            </w:pPr>
            <w:r>
              <w:rPr>
                <w:rFonts w:ascii="Arial" w:cs="Arial" w:eastAsia="Arial" w:hAnsi="Arial"/>
                <w:sz w:val="18"/>
                <w:szCs w:val="18"/>
                <w:color w:val="auto"/>
                <w:w w:val="95"/>
              </w:rPr>
              <w:t>, 200  , the undersigned (“Grantee”) hereby elects to exercise Grantee’s option to purchase</w:t>
            </w: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20" w:type="dxa"/>
            <w:vAlign w:val="bottom"/>
            <w:gridSpan w:val="20"/>
          </w:tcPr>
          <w:p>
            <w:pPr>
              <w:ind w:left="40"/>
              <w:spacing w:after="0" w:line="196" w:lineRule="exact"/>
              <w:rPr>
                <w:sz w:val="20"/>
                <w:szCs w:val="20"/>
                <w:color w:val="auto"/>
              </w:rPr>
            </w:pPr>
            <w:r>
              <w:rPr>
                <w:rFonts w:ascii="Arial" w:cs="Arial" w:eastAsia="Arial" w:hAnsi="Arial"/>
                <w:sz w:val="18"/>
                <w:szCs w:val="18"/>
                <w:color w:val="auto"/>
                <w:w w:val="90"/>
              </w:rPr>
              <w:t>Common Units (the “Common Units”) of MagnaChip Semiconductor LLC (the “Company”) under and pursuant to the Company’s Equity Incentive Plan</w:t>
            </w:r>
          </w:p>
        </w:tc>
      </w:tr>
      <w:tr>
        <w:trPr>
          <w:trHeight w:val="20"/>
        </w:trPr>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r>
      <w:tr>
        <w:trPr>
          <w:trHeight w:val="196"/>
        </w:trPr>
        <w:tc>
          <w:tcPr>
            <w:tcW w:w="4160" w:type="dxa"/>
            <w:vAlign w:val="bottom"/>
            <w:gridSpan w:val="10"/>
          </w:tcPr>
          <w:p>
            <w:pPr>
              <w:spacing w:after="0" w:line="196" w:lineRule="exact"/>
              <w:rPr>
                <w:sz w:val="20"/>
                <w:szCs w:val="20"/>
                <w:color w:val="auto"/>
              </w:rPr>
            </w:pPr>
            <w:r>
              <w:rPr>
                <w:rFonts w:ascii="Arial" w:cs="Arial" w:eastAsia="Arial" w:hAnsi="Arial"/>
                <w:sz w:val="18"/>
                <w:szCs w:val="18"/>
                <w:color w:val="auto"/>
              </w:rPr>
              <w:t>(the “Plan”) and the Option Agreement dated,</w:t>
            </w:r>
          </w:p>
        </w:tc>
        <w:tc>
          <w:tcPr>
            <w:tcW w:w="7200" w:type="dxa"/>
            <w:vAlign w:val="bottom"/>
            <w:gridSpan w:val="12"/>
          </w:tcPr>
          <w:p>
            <w:pPr>
              <w:spacing w:after="0" w:line="196" w:lineRule="exact"/>
              <w:rPr>
                <w:sz w:val="20"/>
                <w:szCs w:val="20"/>
                <w:color w:val="auto"/>
              </w:rPr>
            </w:pPr>
            <w:r>
              <w:rPr>
                <w:rFonts w:ascii="Arial" w:cs="Arial" w:eastAsia="Arial" w:hAnsi="Arial"/>
                <w:sz w:val="18"/>
                <w:szCs w:val="18"/>
                <w:color w:val="auto"/>
                <w:w w:val="89"/>
              </w:rPr>
              <w:t>, 200   (the “Option Agreement”). Capitalized terms not defined herein shall have the meanings given</w:t>
            </w:r>
          </w:p>
        </w:tc>
      </w:tr>
      <w:tr>
        <w:trPr>
          <w:trHeight w:val="20"/>
        </w:trPr>
        <w:tc>
          <w:tcPr>
            <w:tcW w:w="40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35"/>
        </w:trPr>
        <w:tc>
          <w:tcPr>
            <w:tcW w:w="4160" w:type="dxa"/>
            <w:vAlign w:val="bottom"/>
            <w:gridSpan w:val="10"/>
          </w:tcPr>
          <w:p>
            <w:pPr>
              <w:spacing w:after="0"/>
              <w:rPr>
                <w:sz w:val="20"/>
                <w:szCs w:val="20"/>
                <w:color w:val="auto"/>
              </w:rPr>
            </w:pPr>
            <w:r>
              <w:rPr>
                <w:rFonts w:ascii="Arial" w:cs="Arial" w:eastAsia="Arial" w:hAnsi="Arial"/>
                <w:sz w:val="18"/>
                <w:szCs w:val="18"/>
                <w:color w:val="auto"/>
                <w:w w:val="93"/>
              </w:rPr>
              <w:t>to such terms in the Plan and/or the Option Agreement.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40" w:firstLine="464"/>
        <w:spacing w:after="0" w:line="268" w:lineRule="auto"/>
        <w:tabs>
          <w:tab w:leader="none" w:pos="632"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Grantee herewith delivers to the Company the full purchase price of the Common Units, as set forth in the Option Agreement in such form as permitted by the Option Agreement and the Plan.</w:t>
      </w:r>
    </w:p>
    <w:p>
      <w:pPr>
        <w:spacing w:after="0" w:line="131" w:lineRule="exact"/>
        <w:rPr>
          <w:rFonts w:ascii="Arial" w:cs="Arial" w:eastAsia="Arial" w:hAnsi="Arial"/>
          <w:sz w:val="18"/>
          <w:szCs w:val="18"/>
          <w:color w:val="auto"/>
        </w:rPr>
      </w:pPr>
    </w:p>
    <w:p>
      <w:pPr>
        <w:ind w:right="360" w:firstLine="464"/>
        <w:spacing w:after="0" w:line="268" w:lineRule="auto"/>
        <w:tabs>
          <w:tab w:leader="none" w:pos="632"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Representations of Grantee</w:t>
      </w:r>
      <w:r>
        <w:rPr>
          <w:rFonts w:ascii="Arial" w:cs="Arial" w:eastAsia="Arial" w:hAnsi="Arial"/>
          <w:sz w:val="18"/>
          <w:szCs w:val="18"/>
          <w:color w:val="auto"/>
        </w:rPr>
        <w:t>. Grantee acknowledges that Grantee has received, read and understood the Plan and the Option Agreement and agrees to abide by and be bound by their terms and conditions.</w:t>
      </w:r>
    </w:p>
    <w:p>
      <w:pPr>
        <w:spacing w:after="0" w:line="131" w:lineRule="exact"/>
        <w:rPr>
          <w:rFonts w:ascii="Arial" w:cs="Arial" w:eastAsia="Arial" w:hAnsi="Arial"/>
          <w:sz w:val="18"/>
          <w:szCs w:val="18"/>
          <w:color w:val="auto"/>
        </w:rPr>
      </w:pPr>
    </w:p>
    <w:p>
      <w:pPr>
        <w:jc w:val="center"/>
        <w:ind w:firstLine="464"/>
        <w:spacing w:after="0" w:line="323" w:lineRule="auto"/>
        <w:tabs>
          <w:tab w:leader="none" w:pos="632"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Rights as a Unitholder</w:t>
      </w:r>
      <w:r>
        <w:rPr>
          <w:rFonts w:ascii="Arial" w:cs="Arial" w:eastAsia="Arial" w:hAnsi="Arial"/>
          <w:sz w:val="15"/>
          <w:szCs w:val="15"/>
          <w:color w:val="auto"/>
        </w:rPr>
        <w:t>. Until the issuance of the Common Units (as evidenced by the appropriate entry on the books of the Company or of a duly authorized transfer agent of the Company), no right to vote or receive allocations of profits or losses or any other rights as a Member shall exist with respect to the Common Units, notwithstanding the exercise of the Option. The Common Units shall be issued to the Grantee as soon as practicable after the Option is exercised. No adjustment shall be made for a dividend or other right for which the record date is prior to the date of issuance except as provided in Section 12(a) of the Plan.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57" w:right="239" w:bottom="1440" w:gutter="0" w:footer="0" w:header="0"/>
        </w:sectPr>
      </w:pPr>
    </w:p>
    <w:bookmarkStart w:id="360" w:name="page361"/>
    <w:bookmarkEnd w:id="360"/>
    <w:p>
      <w:pPr>
        <w:ind w:left="-8" w:right="420" w:firstLine="464"/>
        <w:spacing w:after="0" w:line="286" w:lineRule="auto"/>
        <w:tabs>
          <w:tab w:leader="none" w:pos="624" w:val="left"/>
        </w:tabs>
        <w:numPr>
          <w:ilvl w:val="1"/>
          <w:numId w:val="3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Delivery of Other Documents</w:t>
      </w:r>
      <w:r>
        <w:rPr>
          <w:rFonts w:ascii="Arial" w:cs="Arial" w:eastAsia="Arial" w:hAnsi="Arial"/>
          <w:sz w:val="16"/>
          <w:szCs w:val="16"/>
          <w:color w:val="auto"/>
        </w:rPr>
        <w:t xml:space="preserve">. As a condition to the exercise of this Option, Grantee shall complete, sign and deliver with this Exercise Notice (i) a signature page for the Company’s Securityholders’ Agreement and the Company’s Operating Agreement in the form as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w:t>
      </w:r>
    </w:p>
    <w:p>
      <w:pPr>
        <w:ind w:left="-8" w:right="240" w:firstLine="8"/>
        <w:spacing w:after="0" w:line="261" w:lineRule="auto"/>
        <w:tabs>
          <w:tab w:leader="none" w:pos="25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provided that the Common Units have not been registered under the Securities Act, the Investment Representation Statement in the form attached hereto as Exhibit B, and (iii) and any other documents required by the Company of its holders of Common Units.</w:t>
      </w:r>
    </w:p>
    <w:p>
      <w:pPr>
        <w:spacing w:after="0" w:line="137" w:lineRule="exact"/>
        <w:rPr>
          <w:rFonts w:ascii="Arial" w:cs="Arial" w:eastAsia="Arial" w:hAnsi="Arial"/>
          <w:sz w:val="18"/>
          <w:szCs w:val="18"/>
          <w:color w:val="auto"/>
        </w:rPr>
      </w:pPr>
    </w:p>
    <w:p>
      <w:pPr>
        <w:ind w:left="-8" w:firstLine="464"/>
        <w:spacing w:after="0" w:line="288" w:lineRule="auto"/>
        <w:tabs>
          <w:tab w:leader="none" w:pos="624" w:val="left"/>
        </w:tabs>
        <w:numPr>
          <w:ilvl w:val="1"/>
          <w:numId w:val="396"/>
        </w:numPr>
        <w:rPr>
          <w:rFonts w:ascii="Arial" w:cs="Arial" w:eastAsia="Arial" w:hAnsi="Arial"/>
          <w:sz w:val="16"/>
          <w:szCs w:val="16"/>
          <w:color w:val="auto"/>
        </w:rPr>
      </w:pPr>
      <w:r>
        <w:rPr>
          <w:rFonts w:ascii="Arial" w:cs="Arial" w:eastAsia="Arial" w:hAnsi="Arial"/>
          <w:sz w:val="16"/>
          <w:szCs w:val="16"/>
          <w:u w:val="single" w:color="auto"/>
          <w:color w:val="auto"/>
        </w:rPr>
        <w:t>Non-Transferability of the Common Units</w:t>
      </w:r>
      <w:r>
        <w:rPr>
          <w:rFonts w:ascii="Arial" w:cs="Arial" w:eastAsia="Arial" w:hAnsi="Arial"/>
          <w:sz w:val="16"/>
          <w:szCs w:val="16"/>
          <w:color w:val="auto"/>
        </w:rPr>
        <w:t>. Pursuant to Section 6 of the Option Agreement, 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provided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further provided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Grantee’s designated beneficiary, Grantee’s estate or such transferee as permitted by the Committee.</w:t>
      </w:r>
    </w:p>
    <w:p>
      <w:pPr>
        <w:spacing w:after="0" w:line="119" w:lineRule="exact"/>
        <w:rPr>
          <w:rFonts w:ascii="Arial" w:cs="Arial" w:eastAsia="Arial" w:hAnsi="Arial"/>
          <w:sz w:val="16"/>
          <w:szCs w:val="16"/>
          <w:color w:val="auto"/>
        </w:rPr>
      </w:pPr>
    </w:p>
    <w:p>
      <w:pPr>
        <w:ind w:left="-8" w:right="260" w:firstLine="464"/>
        <w:spacing w:after="0" w:line="332" w:lineRule="auto"/>
        <w:tabs>
          <w:tab w:leader="none" w:pos="624" w:val="left"/>
        </w:tabs>
        <w:numPr>
          <w:ilvl w:val="1"/>
          <w:numId w:val="396"/>
        </w:numPr>
        <w:rPr>
          <w:rFonts w:ascii="Arial" w:cs="Arial" w:eastAsia="Arial" w:hAnsi="Arial"/>
          <w:sz w:val="16"/>
          <w:szCs w:val="16"/>
          <w:color w:val="auto"/>
        </w:rPr>
      </w:pPr>
      <w:r>
        <w:rPr>
          <w:rFonts w:ascii="Arial" w:cs="Arial" w:eastAsia="Arial" w:hAnsi="Arial"/>
          <w:sz w:val="16"/>
          <w:szCs w:val="16"/>
          <w:u w:val="single" w:color="auto"/>
          <w:color w:val="auto"/>
        </w:rPr>
        <w:t>Lock-Up Period</w:t>
      </w:r>
      <w:r>
        <w:rPr>
          <w:rFonts w:ascii="Arial" w:cs="Arial" w:eastAsia="Arial" w:hAnsi="Arial"/>
          <w:sz w:val="16"/>
          <w:szCs w:val="16"/>
          <w:color w:val="auto"/>
        </w:rPr>
        <w:t>. Grantee hereby agrees that Grantee shall not offer, pledge, sell, contract to sell, sell any option or contract to purchase, purchase any option or contract to sell, grant any option, right or warrant to purchase, lend, or otherwise transfer or dispose of, directly or indirectly,</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79" w:right="259" w:bottom="1440" w:gutter="0" w:footer="0" w:header="0"/>
        </w:sectPr>
      </w:pPr>
    </w:p>
    <w:bookmarkStart w:id="361" w:name="page362"/>
    <w:bookmarkEnd w:id="361"/>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Common Units (or the securities into which the Common Units are converted or other securities) of the Company or enter into any swap, hedging or other arrangement that transfers to another, in whole or in part, any of the economic consequences of ownership of any Common Units (or the securities into which the Common Units are converted or other securities) of the Company held by Grantee (other than those included in the registration) for a period specified by the representative of the underwriters of Common Units (or the securities into which the Common Units are converted or other securities) of the Company not to exceed one hundred eighty (180) days following the effective date of any registration statement of the Company filed under the Securities Act.</w:t>
      </w:r>
    </w:p>
    <w:p>
      <w:pPr>
        <w:spacing w:after="0" w:line="11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Grantee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Units (or the securities into which the Common Units are converted or other securities) of the Company, Grantee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Common Units (or the securities into which the Common Units are converted or other securities) subject to the foregoing restriction until the end of said one hundred eighty (180) day period. Grantee agrees that any transferee of the Options or units acquired pursuant to the Options shall be bound by this Section.</w:t>
      </w:r>
    </w:p>
    <w:p>
      <w:pPr>
        <w:spacing w:after="0" w:line="123" w:lineRule="exact"/>
        <w:rPr>
          <w:sz w:val="20"/>
          <w:szCs w:val="20"/>
          <w:color w:val="auto"/>
        </w:rPr>
      </w:pPr>
    </w:p>
    <w:p>
      <w:pPr>
        <w:ind w:right="20" w:firstLine="464"/>
        <w:spacing w:after="0" w:line="259" w:lineRule="auto"/>
        <w:tabs>
          <w:tab w:leader="none" w:pos="632"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Grantee understands that Grantee may suffer adverse tax consequences as a result of Grantee’s purchase or disposition of the Common Units. Grantee represents that Grantee has consulted with any tax consultants Grantee deems advisable in connection with the purchase or disposition of the Common Units and that Grantee is not relying on the Company for any tax advice.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362" w:name="page363"/>
    <w:bookmarkEnd w:id="362"/>
    <w:p>
      <w:pPr>
        <w:ind w:left="600" w:hanging="176"/>
        <w:spacing w:after="0"/>
        <w:tabs>
          <w:tab w:leader="none" w:pos="60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Restrictive Legends and Stop-Transfer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0" w:firstLine="921"/>
        <w:spacing w:after="0" w:line="259" w:lineRule="auto"/>
        <w:tabs>
          <w:tab w:leader="none" w:pos="1112"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Grantee understands and agrees that the Company shall cause the legends set forth below or legends substantially equivalent thereto, to be placed upon any certificate(s) evidencing ownership of the Common Units together with any other legends that may be required by the Company or by state or federal securities laws:</w:t>
      </w:r>
    </w:p>
    <w:p>
      <w:pPr>
        <w:spacing w:after="0" w:line="59" w:lineRule="exact"/>
        <w:rPr>
          <w:sz w:val="20"/>
          <w:szCs w:val="20"/>
          <w:color w:val="auto"/>
        </w:rPr>
      </w:pPr>
    </w:p>
    <w:p>
      <w:pPr>
        <w:ind w:left="880" w:right="60"/>
        <w:spacing w:after="0" w:line="286" w:lineRule="auto"/>
        <w:rPr>
          <w:sz w:val="20"/>
          <w:szCs w:val="20"/>
          <w:color w:val="auto"/>
        </w:rPr>
      </w:pPr>
      <w:r>
        <w:rPr>
          <w:rFonts w:ascii="Arial" w:cs="Arial" w:eastAsia="Arial" w:hAnsi="Arial"/>
          <w:sz w:val="16"/>
          <w:szCs w:val="16"/>
          <w:color w:val="auto"/>
        </w:rPr>
        <w:t>THE SECURITIES REPRESENTED BY THIS CERTIFICATE HAVE BEEN ACQUIRED FOR INVESTMENT AND HAVE NOT BEEN REGISTERED WITH THE SECURITIES AND EXCHANGE COMMISSION UNDER THE SECURITIES ACT OF 1933, AS AMENDED (THE “ACT”), AND, OR REGISTERED OR QUALIFIED UNDER ANY STATE SECURITIES LAWS AND, AS SUCH, THEY MAY NOT BE OFFERED FOR SALE, SOLD OR OTHERWISE, DELIVERED AFTER SALE, TRANSFERRED, PLEDGED, OR HYPOTHECATED UNLESS AND UNTIL REGISTERED UNDER THE ACT OR, IN THE OPINION OF COMPANY COUNSEL SATISFACTORY TO THE ISSUER OF THESE SECURITIES, SUCH OFFER, SALE OR TRANSFER, PLEDGE OR HYPOTHECATION IS IN COMPLIANCE THEREWITHIN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80" w:top="280" w:right="279" w:bottom="1440" w:gutter="0" w:footer="0" w:header="0"/>
        </w:sectPr>
      </w:pPr>
    </w:p>
    <w:bookmarkStart w:id="363" w:name="page364"/>
    <w:bookmarkEnd w:id="363"/>
    <w:p>
      <w:pPr>
        <w:ind w:left="900"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COMMON UNITS REPRESENTED BY THIS CERTIFICATE ARE SUBJECT TO CERTAIN RESTRICTIONS ON TRANSFER AS SET FORTH IN THE EXERCISE NOTICE BETWEEN THE ISSUER AND THE ORIGINAL HOLDER OF THESE COMMON UNITS, A COPY OF WHICH MAY BE OBTAINED AT THE PRINCIPAL OFFICE OF THE ISSUER. SUCH TRANSFER RESTRICTIONS ARE BINDING ON TRANSFEREES OF THESE COMMON UNITS.</w:t>
      </w:r>
    </w:p>
    <w:p>
      <w:pPr>
        <w:spacing w:after="0" w:line="143" w:lineRule="exact"/>
        <w:rPr>
          <w:sz w:val="20"/>
          <w:szCs w:val="20"/>
          <w:color w:val="auto"/>
        </w:rPr>
      </w:pPr>
    </w:p>
    <w:p>
      <w:pPr>
        <w:ind w:left="-20" w:right="140" w:firstLine="921"/>
        <w:spacing w:after="0" w:line="259" w:lineRule="auto"/>
        <w:tabs>
          <w:tab w:leader="none" w:pos="1141" w:val="left"/>
        </w:tabs>
        <w:numPr>
          <w:ilvl w:val="1"/>
          <w:numId w:val="399"/>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Grantee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40" w:lineRule="exact"/>
        <w:rPr>
          <w:rFonts w:ascii="Arial" w:cs="Arial" w:eastAsia="Arial" w:hAnsi="Arial"/>
          <w:sz w:val="18"/>
          <w:szCs w:val="18"/>
          <w:color w:val="auto"/>
        </w:rPr>
      </w:pPr>
    </w:p>
    <w:p>
      <w:pPr>
        <w:ind w:left="-20" w:right="580" w:firstLine="921"/>
        <w:spacing w:after="0" w:line="306" w:lineRule="auto"/>
        <w:tabs>
          <w:tab w:leader="none" w:pos="1132" w:val="left"/>
        </w:tabs>
        <w:numPr>
          <w:ilvl w:val="1"/>
          <w:numId w:val="399"/>
        </w:numPr>
        <w:rPr>
          <w:rFonts w:ascii="Arial" w:cs="Arial" w:eastAsia="Arial" w:hAnsi="Arial"/>
          <w:sz w:val="16"/>
          <w:szCs w:val="16"/>
          <w:color w:val="auto"/>
        </w:rPr>
      </w:pPr>
      <w:r>
        <w:rPr>
          <w:rFonts w:ascii="Arial" w:cs="Arial" w:eastAsia="Arial" w:hAnsi="Arial"/>
          <w:sz w:val="16"/>
          <w:szCs w:val="16"/>
          <w:u w:val="single" w:color="auto"/>
          <w:color w:val="auto"/>
        </w:rPr>
        <w:t>Refusal to Transfer</w:t>
      </w:r>
      <w:r>
        <w:rPr>
          <w:rFonts w:ascii="Arial" w:cs="Arial" w:eastAsia="Arial" w:hAnsi="Arial"/>
          <w:sz w:val="16"/>
          <w:szCs w:val="16"/>
          <w:color w:val="auto"/>
        </w:rPr>
        <w:t>. The Company shall not be required (i) to transfer on its books any Common Units that have been sold or otherwise transferred in violation of any of the provisions of this Exercise Notice or (ii) to treat as owner of such Common Units or to accord the right to vote or pay dividends to any purchaser or other transferee to whom such Common Units shall have been so transferred.</w:t>
      </w:r>
    </w:p>
    <w:p>
      <w:pPr>
        <w:spacing w:after="0" w:line="106" w:lineRule="exact"/>
        <w:rPr>
          <w:rFonts w:ascii="Arial" w:cs="Arial" w:eastAsia="Arial" w:hAnsi="Arial"/>
          <w:sz w:val="16"/>
          <w:szCs w:val="16"/>
          <w:color w:val="auto"/>
        </w:rPr>
      </w:pPr>
    </w:p>
    <w:p>
      <w:pPr>
        <w:ind w:left="-20" w:firstLine="464"/>
        <w:spacing w:after="0" w:line="259" w:lineRule="auto"/>
        <w:tabs>
          <w:tab w:leader="none" w:pos="70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Grantee and Grantee’s heirs, executors, administrators, successors and assigns.</w:t>
      </w:r>
    </w:p>
    <w:p>
      <w:pPr>
        <w:spacing w:after="0" w:line="140" w:lineRule="exact"/>
        <w:rPr>
          <w:rFonts w:ascii="Arial" w:cs="Arial" w:eastAsia="Arial" w:hAnsi="Arial"/>
          <w:sz w:val="18"/>
          <w:szCs w:val="18"/>
          <w:color w:val="auto"/>
        </w:rPr>
      </w:pPr>
    </w:p>
    <w:p>
      <w:pPr>
        <w:ind w:left="-20" w:right="160" w:firstLine="464"/>
        <w:spacing w:after="0" w:line="306" w:lineRule="auto"/>
        <w:tabs>
          <w:tab w:leader="none" w:pos="693"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Any dispute regarding the interpretation of this Exercise Notice shall be submitted by Grantee or by the Company forthwith to the Administrator which shall review such dispute at its next regular meeting. The resolution of such a dispute by the Administrator shall be final and binding on all parties. For purposes of interpretation and resolving ambiguities, this Exercise Notice, as executed in English, shall prevail over any translation.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364" w:name="page365"/>
    <w:bookmarkEnd w:id="364"/>
    <w:p>
      <w:pPr>
        <w:ind w:right="220" w:firstLine="464"/>
        <w:spacing w:after="0" w:line="259" w:lineRule="auto"/>
        <w:tabs>
          <w:tab w:leader="none" w:pos="72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Severability</w:t>
      </w:r>
      <w:r>
        <w:rPr>
          <w:rFonts w:ascii="Arial" w:cs="Arial" w:eastAsia="Arial" w:hAnsi="Arial"/>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will continue in full force and effect.</w:t>
      </w:r>
    </w:p>
    <w:p>
      <w:pPr>
        <w:spacing w:after="0" w:line="140" w:lineRule="exact"/>
        <w:rPr>
          <w:rFonts w:ascii="Arial" w:cs="Arial" w:eastAsia="Arial" w:hAnsi="Arial"/>
          <w:sz w:val="18"/>
          <w:szCs w:val="18"/>
          <w:color w:val="auto"/>
        </w:rPr>
      </w:pPr>
    </w:p>
    <w:p>
      <w:pPr>
        <w:ind w:firstLine="464"/>
        <w:spacing w:after="0" w:line="298" w:lineRule="auto"/>
        <w:tabs>
          <w:tab w:leader="none" w:pos="720"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(including all exhibits hereto), the Plan, the Option Agreement, the Company’s Securityholders’ Agreement and the Company’s Operating Agreement constitute the entire agreement of the parties with respect to the subject matter hereof and supersede in their entirety all prior undertakings and agreements of the Company and Grantee with respect to the subject matter hereof, and may not be modified adversely to the Grantee’s interest except by means of a writing signed by the Company and Grantee.</w:t>
      </w:r>
    </w:p>
    <w:p>
      <w:pPr>
        <w:sectPr>
          <w:pgSz w:w="11900" w:h="16838" w:orient="portrait"/>
          <w:cols w:equalWidth="0" w:num="1">
            <w:col w:w="11320"/>
          </w:cols>
          <w:pgMar w:left="240" w:top="280"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83019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37045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37045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37045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37045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37045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227330</wp:posOffset>
            </wp:positionV>
            <wp:extent cx="282130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217170</wp:posOffset>
            </wp:positionV>
            <wp:extent cx="282130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217170</wp:posOffset>
            </wp:positionV>
            <wp:extent cx="282130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81" w:lineRule="exact"/>
        <w:rPr>
          <w:sz w:val="20"/>
          <w:szCs w:val="20"/>
          <w:color w:val="auto"/>
        </w:rPr>
      </w:pPr>
    </w:p>
    <w:p>
      <w:pPr>
        <w:sectPr>
          <w:pgSz w:w="11900" w:h="16838" w:orient="portrait"/>
          <w:cols w:equalWidth="0" w:num="2">
            <w:col w:w="6260" w:space="720"/>
            <w:col w:w="4340"/>
          </w:cols>
          <w:pgMar w:left="240" w:top="2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20"/>
          </w:cols>
          <w:pgMar w:left="240" w:top="280" w:right="339" w:bottom="1440" w:gutter="0" w:footer="0" w:header="0"/>
          <w:type w:val="continuous"/>
        </w:sectPr>
      </w:pPr>
    </w:p>
    <w:bookmarkStart w:id="365" w:name="page366"/>
    <w:bookmarkEnd w:id="365"/>
    <w:p>
      <w:pPr>
        <w:ind w:left="4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A-1 TO EXERCISE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JOINDER TO SECURITYHOLDERS’ AGREEMENT AND OPERATING AGREEMENT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Joinder Agreement (this “Joinder Agreement”) is made as of the date written below by the undersigned (the “Joining Party”) in accordance with</w:t>
      </w:r>
    </w:p>
    <w:p>
      <w:pPr>
        <w:spacing w:after="0" w:line="38" w:lineRule="exact"/>
        <w:rPr>
          <w:sz w:val="20"/>
          <w:szCs w:val="20"/>
          <w:color w:val="auto"/>
        </w:rPr>
      </w:pPr>
    </w:p>
    <w:p>
      <w:pPr>
        <w:ind w:right="100" w:firstLine="8"/>
        <w:spacing w:after="0" w:line="290" w:lineRule="auto"/>
        <w:tabs>
          <w:tab w:leader="none" w:pos="21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Second Amended and Restated Securityholders’ Agreement dated as of October 6, 2004, by and among, MagnaChip Semiconductor LLC (the “Company”), CVC Capital Partners Asia Pacific LP, Asia Investors LLC, CVC Capital Partners Asia II Limited, Citigroup Venture Capital Equity Partners, L.P., CVC Executive Fund LLC, CVC/SSB Employee Fund, L.P., CVC Co-Investors (as defined therein), Francisco Partners, L.P., Francisco Partners Fund A, L.P., Peninsula Investment Pte. Ltd., Hynix Semiconductor Inc., and Management Investors (as defined therein) (the “Securityholders’ Agreement”), as the same may be amended from time to time and (ii) the Operating Agreement (as defined in the Securityholders’ Agreement). Capitalized terms used, but not defined, herein shall have the meaning ascribed to such terms in the Securityholders’ Agreement.</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Joining Party hereby acknowledges, agrees and confirms that, by its execution of this Joinder Agreement, the Joining Party shall be deemed to be a party to the Securityholders’ Agreement and the Operating Agreement as of the date hereof and shall have all of the rights and obligations of (i) a “Securityholder” under the Securityholders’ Agreement as if it had executed the Securityholders’ Agreement and (ii) a “Member” under the Operating Agreement as if it had executed the Operating Agreement. The Joining Party hereby ratifies, as of the date hereof, and agrees to be bound by, all of the terms, provisions and conditions contained in the Securityholders’ Agreement and the Operating Agreement.</w:t>
      </w:r>
    </w:p>
    <w:p>
      <w:pPr>
        <w:spacing w:after="0" w:line="9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Arial" w:cs="Arial" w:eastAsia="Arial" w:hAnsi="Arial"/>
                <w:sz w:val="18"/>
                <w:szCs w:val="18"/>
                <w:color w:val="auto"/>
                <w:w w:val="88"/>
              </w:rPr>
              <w:t>IN WITNESS WHEREOF, the undersigned has executed this Joinder Agreement as of</w:t>
            </w:r>
          </w:p>
        </w:tc>
        <w:tc>
          <w:tcPr>
            <w:tcW w:w="88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6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3" w:right="25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Membership Interests Transferred: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10795</wp:posOffset>
            </wp:positionV>
            <wp:extent cx="19983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289877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289877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279" w:right="1440" w:bottom="1440" w:gutter="0" w:footer="0" w:header="0"/>
        </w:sectPr>
      </w:pPr>
    </w:p>
    <w:bookmarkStart w:id="367" w:name="page368"/>
    <w:bookmarkEnd w:id="367"/>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TO EXERCISE NOTICE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REPRESENTATION STATEMENT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MagnaChip Semiconductor LLC</w:t>
      </w:r>
    </w:p>
    <w:p>
      <w:pPr>
        <w:spacing w:after="0" w:line="11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Common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Effective as of the date set forth above, in connection with the purchase of the above-listed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undersigned Grantee hereby represents and warrants to MagnaChip Semiconductor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following:</w:t>
      </w:r>
    </w:p>
    <w:p>
      <w:pPr>
        <w:spacing w:after="0" w:line="51" w:lineRule="exact"/>
        <w:rPr>
          <w:sz w:val="20"/>
          <w:szCs w:val="20"/>
          <w:color w:val="auto"/>
        </w:rPr>
      </w:pPr>
    </w:p>
    <w:p>
      <w:pPr>
        <w:ind w:right="480" w:firstLine="464"/>
        <w:spacing w:after="0" w:line="259" w:lineRule="auto"/>
        <w:tabs>
          <w:tab w:leader="none" w:pos="74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Grantee is not a U.S. person, not voting on behalf of or acquiring the Securities for the account or benefit of any U.S. person and will acquire the Securities in an offshore transaction (each such term having the meaning set forth in Regulation 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40"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For purposes of the above representation, “</w:t>
      </w:r>
      <w:r>
        <w:rPr>
          <w:rFonts w:ascii="Arial" w:cs="Arial" w:eastAsia="Arial" w:hAnsi="Arial"/>
          <w:sz w:val="16"/>
          <w:szCs w:val="16"/>
          <w:u w:val="single" w:color="auto"/>
          <w:color w:val="auto"/>
        </w:rPr>
        <w:t>U.S. person</w:t>
      </w:r>
      <w:r>
        <w:rPr>
          <w:rFonts w:ascii="Arial" w:cs="Arial" w:eastAsia="Arial" w:hAnsi="Arial"/>
          <w:sz w:val="16"/>
          <w:szCs w:val="16"/>
          <w:color w:val="auto"/>
        </w:rPr>
        <w:t>”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 (vii) any discretionary account or similar account</w:t>
      </w:r>
    </w:p>
    <w:p>
      <w:pPr>
        <w:spacing w:after="0" w:line="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 Securities Act, unless it is organized or incorporated, and owned, by accredited investors (as defined below) who are not natural persons, estates or trusts.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68" w:name="page369"/>
    <w:bookmarkEnd w:id="368"/>
    <w:p>
      <w:pPr>
        <w:ind w:left="280" w:hanging="276"/>
        <w:spacing w:after="0"/>
        <w:tabs>
          <w:tab w:leader="none" w:pos="2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 agrees not to engage in hedging transactions with regard to the Securities unless in compliance with the Securities Act.</w:t>
      </w:r>
    </w:p>
    <w:p>
      <w:pPr>
        <w:spacing w:after="0" w:line="171" w:lineRule="exact"/>
        <w:rPr>
          <w:rFonts w:ascii="Arial" w:cs="Arial" w:eastAsia="Arial" w:hAnsi="Arial"/>
          <w:sz w:val="18"/>
          <w:szCs w:val="18"/>
          <w:color w:val="auto"/>
        </w:rPr>
      </w:pPr>
    </w:p>
    <w:p>
      <w:pPr>
        <w:ind w:left="280" w:hanging="276"/>
        <w:spacing w:after="0"/>
        <w:tabs>
          <w:tab w:leader="none" w:pos="28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Grantee understands that no public market currently exists for the Securities and that there are no assurances that any such market will be created.</w:t>
      </w:r>
    </w:p>
    <w:p>
      <w:pPr>
        <w:spacing w:after="0" w:line="194" w:lineRule="exact"/>
        <w:rPr>
          <w:rFonts w:ascii="Arial" w:cs="Arial" w:eastAsia="Arial" w:hAnsi="Arial"/>
          <w:sz w:val="16"/>
          <w:szCs w:val="16"/>
          <w:color w:val="auto"/>
        </w:rPr>
      </w:pPr>
    </w:p>
    <w:p>
      <w:pPr>
        <w:ind w:left="300" w:hanging="296"/>
        <w:spacing w:after="0"/>
        <w:tabs>
          <w:tab w:leader="none" w:pos="30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Grantee acknowledges that certificates representing the Securities will bear the following legend, in addition to any legends otherwise required:</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SECURITIES REPRESENTED BY THIS CERTIFICATE HAVE BEEN ACQUIRED FOR INVESTMENT AND HAVE NOT BEEN REGISTERED WITH THE SECURITIES AND EXCHANGE COMMISSION UNDER THE SECURITIES ACT OF 1933, AS AMENDED, OR REGISTERED OR QUALIFIED UNDER ANY STATE SECURITIES LAWS AND, AS SUCH, THEY MAY NOT BE OFFERED FOR SALE, SOLD, DELIVERED AFTER SALE, TRANSFERRED, PLEDGED, OR HYPOTHECATED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3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700" w:top="280" w:right="299" w:bottom="1440" w:gutter="0" w:footer="0" w:header="0"/>
        </w:sectPr>
      </w:pPr>
    </w:p>
    <w:bookmarkStart w:id="369" w:name="page370"/>
    <w:bookmarkEnd w:id="369"/>
    <w:p>
      <w:pPr>
        <w:ind w:lef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SECURITIES REPRESENTED BY THIS CERTIFICATE ARE SUBJECT TO CERTAIN RESTRICTIONS ON TRANSFER AS SET FORTH IN THE EXERCISE NOTICE BETWEEN THE ISSUER AND THE ORIGINAL HOLDER OF THESE SECURITIES, A COPY OF WHICH MAY BE OBTAINED AT THE PRINCIPAL OFFICE OF THE ISSUER. SUCH TRANSFER RESTRICTIONS ARE BINDING ON TRANSFEREES OF THESE SECURITIES.”</w:t>
      </w:r>
    </w:p>
    <w:p>
      <w:pPr>
        <w:spacing w:after="0" w:line="143" w:lineRule="exact"/>
        <w:rPr>
          <w:sz w:val="20"/>
          <w:szCs w:val="20"/>
          <w:color w:val="auto"/>
        </w:rPr>
      </w:pPr>
    </w:p>
    <w:p>
      <w:pPr>
        <w:ind w:left="580" w:hanging="276"/>
        <w:spacing w:after="0"/>
        <w:tabs>
          <w:tab w:leader="none" w:pos="5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Grantee acknowledges and agrees that:</w:t>
      </w:r>
    </w:p>
    <w:p>
      <w:pPr>
        <w:spacing w:after="0" w:line="90" w:lineRule="exact"/>
        <w:rPr>
          <w:rFonts w:ascii="Arial" w:cs="Arial" w:eastAsia="Arial" w:hAnsi="Arial"/>
          <w:sz w:val="18"/>
          <w:szCs w:val="18"/>
          <w:color w:val="auto"/>
        </w:rPr>
      </w:pPr>
    </w:p>
    <w:p>
      <w:pPr>
        <w:ind w:left="-160" w:right="240" w:firstLine="921"/>
        <w:spacing w:after="0" w:line="268" w:lineRule="auto"/>
        <w:tabs>
          <w:tab w:leader="none" w:pos="963" w:val="left"/>
        </w:tabs>
        <w:numPr>
          <w:ilvl w:val="1"/>
          <w:numId w:val="405"/>
        </w:numPr>
        <w:rPr>
          <w:rFonts w:ascii="Arial" w:cs="Arial" w:eastAsia="Arial" w:hAnsi="Arial"/>
          <w:sz w:val="18"/>
          <w:szCs w:val="18"/>
          <w:color w:val="auto"/>
        </w:rPr>
      </w:pPr>
      <w:r>
        <w:rPr>
          <w:rFonts w:ascii="Arial" w:cs="Arial" w:eastAsia="Arial" w:hAnsi="Arial"/>
          <w:sz w:val="18"/>
          <w:szCs w:val="18"/>
          <w:color w:val="auto"/>
        </w:rPr>
        <w:t>The Securities have not been, and there is no assurance that the Securities will ever be, registered under the Securities Act, and in issuing the Securities to Grantee, the Company is relying upon the “safe harbor” provided by Regulation S under the Securities Act;</w:t>
      </w:r>
    </w:p>
    <w:p>
      <w:pPr>
        <w:spacing w:after="0" w:line="131" w:lineRule="exact"/>
        <w:rPr>
          <w:rFonts w:ascii="Arial" w:cs="Arial" w:eastAsia="Arial" w:hAnsi="Arial"/>
          <w:sz w:val="18"/>
          <w:szCs w:val="18"/>
          <w:color w:val="auto"/>
        </w:rPr>
      </w:pPr>
    </w:p>
    <w:p>
      <w:pPr>
        <w:ind w:left="-160" w:right="200" w:firstLine="921"/>
        <w:spacing w:after="0" w:line="332" w:lineRule="auto"/>
        <w:tabs>
          <w:tab w:leader="none" w:pos="1011" w:val="left"/>
        </w:tabs>
        <w:numPr>
          <w:ilvl w:val="1"/>
          <w:numId w:val="405"/>
        </w:numPr>
        <w:rPr>
          <w:rFonts w:ascii="Arial" w:cs="Arial" w:eastAsia="Arial" w:hAnsi="Arial"/>
          <w:sz w:val="16"/>
          <w:szCs w:val="16"/>
          <w:color w:val="auto"/>
        </w:rPr>
      </w:pPr>
      <w:r>
        <w:rPr>
          <w:rFonts w:ascii="Arial" w:cs="Arial" w:eastAsia="Arial" w:hAnsi="Arial"/>
          <w:sz w:val="16"/>
          <w:szCs w:val="16"/>
          <w:color w:val="auto"/>
        </w:rPr>
        <w:t>It is a condition to the availability of the Regulation S “safe harbor” that the Securities not be offered or sold in the United States or to a U.S. person until the expiration of a period of one year following the purchase of the Securities (the “</w:t>
      </w:r>
      <w:r>
        <w:rPr>
          <w:rFonts w:ascii="Arial" w:cs="Arial" w:eastAsia="Arial" w:hAnsi="Arial"/>
          <w:sz w:val="16"/>
          <w:szCs w:val="16"/>
          <w:u w:val="single" w:color="auto"/>
          <w:color w:val="auto"/>
        </w:rPr>
        <w:t>Distribution Compliance Period</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left="1060" w:hanging="299"/>
        <w:spacing w:after="0"/>
        <w:tabs>
          <w:tab w:leader="none" w:pos="106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Until the expiration of the Distribution Compliance Period:</w:t>
      </w:r>
    </w:p>
    <w:p>
      <w:pPr>
        <w:spacing w:after="0" w:line="90" w:lineRule="exact"/>
        <w:rPr>
          <w:rFonts w:ascii="Arial" w:cs="Arial" w:eastAsia="Arial" w:hAnsi="Arial"/>
          <w:sz w:val="18"/>
          <w:szCs w:val="18"/>
          <w:color w:val="auto"/>
        </w:rPr>
      </w:pPr>
    </w:p>
    <w:p>
      <w:pPr>
        <w:ind w:left="-160" w:right="60" w:firstLine="1492"/>
        <w:spacing w:after="0" w:line="268" w:lineRule="auto"/>
        <w:tabs>
          <w:tab w:leader="none" w:pos="1562" w:val="left"/>
        </w:tabs>
        <w:numPr>
          <w:ilvl w:val="2"/>
          <w:numId w:val="405"/>
        </w:numPr>
        <w:rPr>
          <w:rFonts w:ascii="Arial" w:cs="Arial" w:eastAsia="Arial" w:hAnsi="Arial"/>
          <w:sz w:val="18"/>
          <w:szCs w:val="18"/>
          <w:color w:val="auto"/>
        </w:rPr>
      </w:pPr>
      <w:r>
        <w:rPr>
          <w:rFonts w:ascii="Arial" w:cs="Arial" w:eastAsia="Arial" w:hAnsi="Arial"/>
          <w:sz w:val="18"/>
          <w:szCs w:val="18"/>
          <w:color w:val="auto"/>
        </w:rPr>
        <w:t>Grantee has not and will not solicit offers to buy, offer for sale or sell any of the Common Units or any beneficial interest therein in the United States or to or for the account of a U.S. person;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400" w:top="280" w:right="399" w:bottom="1440" w:gutter="0" w:footer="0" w:header="0"/>
        </w:sectPr>
      </w:pPr>
    </w:p>
    <w:bookmarkStart w:id="370" w:name="page371"/>
    <w:bookmarkEnd w:id="370"/>
    <w:p>
      <w:pPr>
        <w:ind w:left="-8" w:firstLine="1492"/>
        <w:spacing w:after="0" w:line="284" w:lineRule="auto"/>
        <w:tabs>
          <w:tab w:leader="none" w:pos="1724" w:val="left"/>
        </w:tabs>
        <w:numPr>
          <w:ilvl w:val="2"/>
          <w:numId w:val="4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Notwithstanding the foregoing, prior to the expiration of the Distribution Compliance Period, the Common Units may be offered and sold by Grantee only if: (A) the offer or sale is within the United States or for the account of a U.S. person (as such terms are defined in Regulation S), the Common Units are offered and sold pursuant to an effective registration statement or pursuant to an exemption from the registration requirements of the Securities Act; or</w:t>
      </w:r>
    </w:p>
    <w:p>
      <w:pPr>
        <w:spacing w:after="0" w:line="1" w:lineRule="exact"/>
        <w:rPr>
          <w:rFonts w:ascii="Arial" w:cs="Arial" w:eastAsia="Arial" w:hAnsi="Arial"/>
          <w:sz w:val="16"/>
          <w:szCs w:val="16"/>
          <w:color w:val="auto"/>
        </w:rPr>
      </w:pPr>
    </w:p>
    <w:p>
      <w:pPr>
        <w:ind w:left="272" w:hanging="272"/>
        <w:spacing w:after="0"/>
        <w:tabs>
          <w:tab w:leader="none" w:pos="27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offer and sale is outside the United States and to other than a U.S. person; and</w:t>
      </w:r>
    </w:p>
    <w:p>
      <w:pPr>
        <w:spacing w:after="0" w:line="164" w:lineRule="exact"/>
        <w:rPr>
          <w:rFonts w:ascii="Arial" w:cs="Arial" w:eastAsia="Arial" w:hAnsi="Arial"/>
          <w:sz w:val="18"/>
          <w:szCs w:val="18"/>
          <w:color w:val="auto"/>
        </w:rPr>
      </w:pPr>
    </w:p>
    <w:p>
      <w:pPr>
        <w:ind w:left="-8" w:right="60" w:firstLine="1492"/>
        <w:spacing w:after="0" w:line="259" w:lineRule="auto"/>
        <w:tabs>
          <w:tab w:leader="none" w:pos="1714" w:val="left"/>
        </w:tabs>
        <w:numPr>
          <w:ilvl w:val="2"/>
          <w:numId w:val="407"/>
        </w:numPr>
        <w:rPr>
          <w:rFonts w:ascii="Arial" w:cs="Arial" w:eastAsia="Arial" w:hAnsi="Arial"/>
          <w:sz w:val="18"/>
          <w:szCs w:val="18"/>
          <w:color w:val="auto"/>
        </w:rPr>
      </w:pPr>
      <w:r>
        <w:rPr>
          <w:rFonts w:ascii="Arial" w:cs="Arial" w:eastAsia="Arial" w:hAnsi="Arial"/>
          <w:sz w:val="18"/>
          <w:szCs w:val="18"/>
          <w:color w:val="auto"/>
        </w:rPr>
        <w:t>The foregoing restrictions are binding upon subsequent transferees of the Securities, except for transferees pursuant to an effective registration statement. Grantee agrees that after the Distribution Compliance Period, the Securities may be offered or sold within the United States or to or for the account of a U.S. person only pursuant to applicable securities laws.</w:t>
      </w:r>
    </w:p>
    <w:p>
      <w:pPr>
        <w:spacing w:after="0" w:line="140" w:lineRule="exact"/>
        <w:rPr>
          <w:rFonts w:ascii="Arial" w:cs="Arial" w:eastAsia="Arial" w:hAnsi="Arial"/>
          <w:sz w:val="18"/>
          <w:szCs w:val="18"/>
          <w:color w:val="auto"/>
        </w:rPr>
      </w:pPr>
    </w:p>
    <w:p>
      <w:pPr>
        <w:ind w:left="-8" w:right="300" w:firstLine="921"/>
        <w:spacing w:after="0" w:line="268" w:lineRule="auto"/>
        <w:tabs>
          <w:tab w:leader="none" w:pos="120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Grantee has not engaged, nor is Grantee aware that any party has engaged, and Grantee will not engage or cause any third party to engage, in any directed selling efforts (as such term is defined in Regulation S) in the United States with respect to the Securities;</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Grantee is not a “distributor” (as defined in Regulation S) or a “dealer” (as defined in the Securities Act); and</w:t>
      </w:r>
    </w:p>
    <w:p>
      <w:pPr>
        <w:spacing w:after="0" w:line="171" w:lineRule="exact"/>
        <w:rPr>
          <w:rFonts w:ascii="Arial" w:cs="Arial" w:eastAsia="Arial" w:hAnsi="Arial"/>
          <w:sz w:val="18"/>
          <w:szCs w:val="18"/>
          <w:color w:val="auto"/>
        </w:rPr>
      </w:pPr>
    </w:p>
    <w:p>
      <w:pPr>
        <w:ind w:left="1212" w:hanging="299"/>
        <w:spacing w:after="0"/>
        <w:tabs>
          <w:tab w:leader="none" w:pos="1212" w:val="left"/>
        </w:tabs>
        <w:numPr>
          <w:ilvl w:val="1"/>
          <w:numId w:val="407"/>
        </w:numPr>
        <w:rPr>
          <w:rFonts w:ascii="Arial" w:cs="Arial" w:eastAsia="Arial" w:hAnsi="Arial"/>
          <w:sz w:val="16"/>
          <w:szCs w:val="16"/>
          <w:color w:val="auto"/>
        </w:rPr>
      </w:pPr>
      <w:r>
        <w:rPr>
          <w:rFonts w:ascii="Arial" w:cs="Arial" w:eastAsia="Arial" w:hAnsi="Arial"/>
          <w:sz w:val="16"/>
          <w:szCs w:val="16"/>
          <w:color w:val="auto"/>
        </w:rPr>
        <w:t>Grantee acknowledges that the Company shall make a notation in its stock books regarding the restrictions on transfer set forth in this Section</w:t>
      </w:r>
    </w:p>
    <w:p>
      <w:pPr>
        <w:spacing w:after="0" w:line="38" w:lineRule="exact"/>
        <w:rPr>
          <w:rFonts w:ascii="Arial" w:cs="Arial" w:eastAsia="Arial" w:hAnsi="Arial"/>
          <w:sz w:val="16"/>
          <w:szCs w:val="16"/>
          <w:color w:val="auto"/>
        </w:rPr>
      </w:pPr>
    </w:p>
    <w:p>
      <w:pPr>
        <w:jc w:val="both"/>
        <w:ind w:left="-8" w:right="100" w:firstLine="8"/>
        <w:spacing w:after="0" w:line="255" w:lineRule="auto"/>
        <w:tabs>
          <w:tab w:leader="none" w:pos="2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and shall transfer such Securities on the books of the Company only to the extent consistent herewith. In particular, Grantee acknowledges that the Company shall refuse to register any transfer of the Securities not made in accordance with the provisions of Regulation S, pursuant to registration under the Securities Act or pursuant to an available exemption from registration.</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79" w:right="239" w:bottom="1440" w:gutter="0" w:footer="0" w:header="0"/>
        </w:sectPr>
      </w:pPr>
    </w:p>
    <w:bookmarkStart w:id="371" w:name="page372"/>
    <w:bookmarkEnd w:id="371"/>
    <w:p>
      <w:pPr>
        <w:ind w:left="600" w:hanging="256"/>
        <w:spacing w:after="0"/>
        <w:tabs>
          <w:tab w:leader="none" w:pos="6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Grantee will notify any purchaser of the Securities from Grantee of the restrictions relating to the Securities noted herewith.</w:t>
      </w:r>
    </w:p>
    <w:p>
      <w:pPr>
        <w:spacing w:after="0" w:line="171" w:lineRule="exact"/>
        <w:rPr>
          <w:rFonts w:ascii="Arial" w:cs="Arial" w:eastAsia="Arial" w:hAnsi="Arial"/>
          <w:sz w:val="18"/>
          <w:szCs w:val="18"/>
          <w:color w:val="auto"/>
        </w:rPr>
      </w:pPr>
    </w:p>
    <w:p>
      <w:pPr>
        <w:ind w:left="640" w:hanging="296"/>
        <w:spacing w:after="0"/>
        <w:tabs>
          <w:tab w:leader="none" w:pos="64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Grantee has full power and authority to deliver this Investment Representation Statement in relation to the Grantee’s purchase of the Securities.</w:t>
      </w:r>
    </w:p>
    <w:p>
      <w:pPr>
        <w:spacing w:after="0" w:line="194" w:lineRule="exact"/>
        <w:rPr>
          <w:rFonts w:ascii="Arial" w:cs="Arial" w:eastAsia="Arial" w:hAnsi="Arial"/>
          <w:sz w:val="16"/>
          <w:szCs w:val="16"/>
          <w:color w:val="auto"/>
        </w:rPr>
      </w:pPr>
    </w:p>
    <w:p>
      <w:pPr>
        <w:ind w:left="-120" w:right="120" w:firstLine="464"/>
        <w:spacing w:after="0" w:line="268" w:lineRule="auto"/>
        <w:tabs>
          <w:tab w:leader="none" w:pos="62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Grantee acknowledges that the Company and is entitled to rely on the truth and accuracy of the foregoing representations and warranties and that the foregoing representations and warranties will survive Grantee’s admission as a member of the Company.</w:t>
      </w:r>
    </w:p>
    <w:p>
      <w:pPr>
        <w:spacing w:after="0" w:line="131" w:lineRule="exact"/>
        <w:rPr>
          <w:rFonts w:ascii="Arial" w:cs="Arial" w:eastAsia="Arial" w:hAnsi="Arial"/>
          <w:sz w:val="18"/>
          <w:szCs w:val="18"/>
          <w:color w:val="auto"/>
        </w:rPr>
      </w:pPr>
    </w:p>
    <w:p>
      <w:pPr>
        <w:ind w:left="-120" w:right="180" w:firstLine="464"/>
        <w:spacing w:after="0" w:line="298" w:lineRule="auto"/>
        <w:tabs>
          <w:tab w:leader="none" w:pos="556" w:val="left"/>
        </w:tabs>
        <w:numPr>
          <w:ilvl w:val="0"/>
          <w:numId w:val="409"/>
        </w:numPr>
        <w:rPr>
          <w:rFonts w:ascii="Arial" w:cs="Arial" w:eastAsia="Arial" w:hAnsi="Arial"/>
          <w:sz w:val="16"/>
          <w:szCs w:val="16"/>
          <w:color w:val="auto"/>
        </w:rPr>
      </w:pPr>
      <w:r>
        <w:rPr>
          <w:rFonts w:ascii="Arial" w:cs="Arial" w:eastAsia="Arial" w:hAnsi="Arial"/>
          <w:sz w:val="16"/>
          <w:szCs w:val="16"/>
          <w:color w:val="auto"/>
        </w:rPr>
        <w:t>Grantee acknowledges that these representations and warranties may be translated into one or more languages other than English. In case of any inconsistency between the English version of these representations and warranties and a version in any other language, the English version shall prevail. In the event Grantee executes and delivers a non-English version of these representations and warranties, such execution and delivery will also be deemed to be execution and delivery of the English version of these representations and warranties.</w:t>
      </w:r>
    </w:p>
    <w:p>
      <w:pPr>
        <w:spacing w:after="0" w:line="112" w:lineRule="exact"/>
        <w:rPr>
          <w:rFonts w:ascii="Arial" w:cs="Arial" w:eastAsia="Arial" w:hAnsi="Arial"/>
          <w:sz w:val="16"/>
          <w:szCs w:val="16"/>
          <w:color w:val="auto"/>
        </w:rPr>
      </w:pPr>
    </w:p>
    <w:p>
      <w:pPr>
        <w:ind w:left="-120" w:firstLine="464"/>
        <w:spacing w:after="0" w:line="255" w:lineRule="auto"/>
        <w:tabs>
          <w:tab w:leader="none" w:pos="56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Grantee represents and warrants that the above acknowledgements, representations and agreements are true and accurate as of the date hereof. Grantee also agrees to inform the Company should any of the information contained in these representations and warranties cease to be true and/or accurate. Grantee acknowledges that in the event it does not inform the Company of any change to the information contained in these representations and warranties, the Company and its respective professional advisers will be entitled to continue to rely on the truth and accuracy of the foregoing representations and warranties until and including the date the Grantee purchases the Securities.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60" w:top="279" w:right="33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289877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280" w:right="1440"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10.53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[Korean Language Redacted]</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SECURITIES REPRESENTED HEREBY HAVE BEEN OFFERED IN AN OFFSHORE TRANSACTION TO A PERSON WHO IS NOT A U.S. PERSON (AS DEFINED HEREIN) PURSUANT TO REGULATION S UNDER THE UNITED STATES SECURITIES ACT OF 1933, AS AMENDED (THE “SECURITIES ACT”).</w:t>
      </w:r>
    </w:p>
    <w:p>
      <w:pPr>
        <w:spacing w:after="0" w:line="1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SECURITIES REPRESENTED HEREBY HAVE BEEN ACQUIRED FOR INVESTMENT AND HAVE NOT BEEN REGISTERED WITH THE SECURITIES AND EXCHANGE COMMISSION UNDER THE SECURITIES ACT AND, AS SUCH, THEY MAY NOT BE OFFERED FOR SALE, SOLD, DELIVERED AFTER SALE, TRANSFERRED, PLEDGED, HYPOTHECATED OR EXERCISED (AS APPLICABLE)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HEREBY AGREES NOT TO ENGAGE IN HEDGING TRANSACTIONS WITH REGARD TO THE SECURITIES UNLESS IN COMPLIANCE WITH THE SECURITIES ACT.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65"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 xml:space="preserve">THIS OPTION AGREEMENT, dated as of </w:t>
      </w:r>
      <w:r>
        <w:rPr>
          <w:rFonts w:ascii="Arial" w:cs="Arial" w:eastAsia="Arial" w:hAnsi="Arial"/>
          <w:sz w:val="18"/>
          <w:szCs w:val="18"/>
          <w:b w:val="1"/>
          <w:bCs w:val="1"/>
          <w:color w:val="auto"/>
        </w:rPr>
        <w:t>March 9, 2006</w:t>
      </w:r>
      <w:r>
        <w:rPr>
          <w:rFonts w:ascii="Arial" w:cs="Arial" w:eastAsia="Arial" w:hAnsi="Arial"/>
          <w:sz w:val="18"/>
          <w:szCs w:val="18"/>
          <w:color w:val="auto"/>
        </w:rPr>
        <w:t xml:space="preserve">, is executed by and between MagnaChip Semiconductor LLC, a Delaware limited liability company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Channy Lee</w:t>
      </w:r>
      <w:r>
        <w:rPr>
          <w:rFonts w:ascii="Arial" w:cs="Arial" w:eastAsia="Arial" w:hAnsi="Arial"/>
          <w:sz w:val="18"/>
          <w:szCs w:val="18"/>
          <w:color w:val="auto"/>
        </w:rPr>
        <w:t xml:space="preserv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Grantee</w:t>
      </w:r>
      <w:r>
        <w:rPr>
          <w:rFonts w:ascii="Arial" w:cs="Arial" w:eastAsia="Arial" w:hAnsi="Arial"/>
          <w:sz w:val="18"/>
          <w:szCs w:val="18"/>
          <w:b w:val="1"/>
          <w:bCs w:val="1"/>
          <w:color w:val="auto"/>
        </w:rPr>
        <w:t>”</w:t>
      </w:r>
      <w:r>
        <w:rPr>
          <w:rFonts w:ascii="Arial" w:cs="Arial" w:eastAsia="Arial" w:hAnsi="Arial"/>
          <w:sz w:val="18"/>
          <w:szCs w:val="18"/>
          <w:color w:val="auto"/>
        </w:rPr>
        <w:t xml:space="preserve">), pursuant to the MagnaChip Semiconductor LLC Equity Incentive Plan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w:t>
      </w:r>
      <w:r>
        <w:rPr>
          <w:rFonts w:ascii="Arial" w:cs="Arial" w:eastAsia="Arial" w:hAnsi="Arial"/>
          <w:sz w:val="18"/>
          <w:szCs w:val="18"/>
          <w:color w:val="auto"/>
        </w:rPr>
        <w:t>). Capitalized terms that are not defined herein shall have the meanings given to such terms in the Plan.</w:t>
      </w:r>
    </w:p>
    <w:p>
      <w:pPr>
        <w:spacing w:after="0" w:line="132"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of its wholly-owned subsidiary, MagnaChip Semiconductor, Ltd.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MagnaChip Korea</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74" w:name="page375"/>
    <w:bookmarkEnd w:id="3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WHEREAS, the Company has adopted the Plan in order to effect such grants; and</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213" w:lineRule="exact"/>
        <w:rPr>
          <w:sz w:val="20"/>
          <w:szCs w:val="20"/>
          <w:color w:val="auto"/>
        </w:rPr>
      </w:pPr>
    </w:p>
    <w:p>
      <w:pPr>
        <w:ind w:left="640" w:hanging="176"/>
        <w:spacing w:after="0"/>
        <w:tabs>
          <w:tab w:leader="none" w:pos="640"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jc w:val="both"/>
        <w:ind w:right="180" w:firstLine="464"/>
        <w:spacing w:after="0" w:line="339" w:lineRule="auto"/>
        <w:tabs>
          <w:tab w:leader="none" w:pos="695"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Confirmation of Grant</w:t>
      </w:r>
      <w:r>
        <w:rPr>
          <w:rFonts w:ascii="Arial" w:cs="Arial" w:eastAsia="Arial" w:hAnsi="Arial"/>
          <w:sz w:val="16"/>
          <w:szCs w:val="16"/>
          <w:color w:val="auto"/>
        </w:rPr>
        <w:t xml:space="preserve">. The Company hereby evidences and confirms the grant to the Grantee, effective as of </w:t>
      </w:r>
      <w:r>
        <w:rPr>
          <w:rFonts w:ascii="Arial" w:cs="Arial" w:eastAsia="Arial" w:hAnsi="Arial"/>
          <w:sz w:val="16"/>
          <w:szCs w:val="16"/>
          <w:b w:val="1"/>
          <w:bCs w:val="1"/>
          <w:u w:val="single" w:color="auto"/>
          <w:color w:val="auto"/>
        </w:rPr>
        <w:t>March 9, 2006</w:t>
      </w:r>
      <w:r>
        <w:rPr>
          <w:rFonts w:ascii="Arial" w:cs="Arial" w:eastAsia="Arial" w:hAnsi="Arial"/>
          <w:sz w:val="16"/>
          <w:szCs w:val="16"/>
          <w:color w:val="auto"/>
        </w:rPr>
        <w:t xml:space="preserv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Grant Date</w:t>
      </w:r>
      <w:r>
        <w:rPr>
          <w:rFonts w:ascii="Arial" w:cs="Arial" w:eastAsia="Arial" w:hAnsi="Arial"/>
          <w:sz w:val="16"/>
          <w:szCs w:val="16"/>
          <w:b w:val="1"/>
          <w:bCs w:val="1"/>
          <w:color w:val="auto"/>
        </w:rPr>
        <w:t>”</w:t>
      </w:r>
      <w:r>
        <w:rPr>
          <w:rFonts w:ascii="Arial" w:cs="Arial" w:eastAsia="Arial" w:hAnsi="Arial"/>
          <w:sz w:val="16"/>
          <w:szCs w:val="16"/>
          <w:color w:val="auto"/>
        </w:rPr>
        <w:t xml:space="preserve">), of options to purchase from the Company the number of Common Units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Options</w:t>
      </w:r>
      <w:r>
        <w:rPr>
          <w:rFonts w:ascii="Arial" w:cs="Arial" w:eastAsia="Arial" w:hAnsi="Arial"/>
          <w:sz w:val="16"/>
          <w:szCs w:val="16"/>
          <w:b w:val="1"/>
          <w:bCs w:val="1"/>
          <w:color w:val="auto"/>
        </w:rPr>
        <w:t>”</w:t>
      </w:r>
      <w:r>
        <w:rPr>
          <w:rFonts w:ascii="Arial" w:cs="Arial" w:eastAsia="Arial" w:hAnsi="Arial"/>
          <w:sz w:val="16"/>
          <w:szCs w:val="16"/>
          <w:color w:val="auto"/>
        </w:rPr>
        <w:t xml:space="preserve">) at the exercise price per Common Unit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 Price</w:t>
      </w:r>
      <w:r>
        <w:rPr>
          <w:rFonts w:ascii="Arial" w:cs="Arial" w:eastAsia="Arial" w:hAnsi="Arial"/>
          <w:sz w:val="16"/>
          <w:szCs w:val="16"/>
          <w:b w:val="1"/>
          <w:bCs w:val="1"/>
          <w:color w:val="auto"/>
        </w:rPr>
        <w:t>”</w:t>
      </w:r>
      <w:r>
        <w:rPr>
          <w:rFonts w:ascii="Arial" w:cs="Arial" w:eastAsia="Arial" w:hAnsi="Arial"/>
          <w:sz w:val="16"/>
          <w:szCs w:val="16"/>
          <w:color w:val="auto"/>
        </w:rPr>
        <w:t>) as follows:</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Price</w:t>
            </w:r>
          </w:p>
        </w:tc>
        <w:tc>
          <w:tcPr>
            <w:tcW w:w="9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Number of Units</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US$ 1.50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25,000</w:t>
            </w:r>
          </w:p>
        </w:tc>
      </w:tr>
    </w:tbl>
    <w:p>
      <w:pPr>
        <w:spacing w:after="0" w:line="147" w:lineRule="exact"/>
        <w:rPr>
          <w:sz w:val="20"/>
          <w:szCs w:val="20"/>
          <w:color w:val="auto"/>
        </w:rPr>
      </w:pPr>
    </w:p>
    <w:p>
      <w:pPr>
        <w:jc w:val="both"/>
        <w:ind w:firstLine="464"/>
        <w:spacing w:after="0" w:line="256" w:lineRule="auto"/>
        <w:tabs>
          <w:tab w:leader="none" w:pos="705"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 . In the event of a conflict between the terms and conditions of the Plan and this Option Agreement, the terms and conditions of the Plan shall prevail.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75" w:name="page376"/>
    <w:bookmarkEnd w:id="375"/>
    <w:p>
      <w:pPr>
        <w:ind w:right="20" w:firstLine="464"/>
        <w:spacing w:after="0" w:line="268" w:lineRule="auto"/>
        <w:tabs>
          <w:tab w:leader="none" w:pos="695"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213" w:lineRule="exact"/>
        <w:rPr>
          <w:sz w:val="20"/>
          <w:szCs w:val="20"/>
          <w:color w:val="auto"/>
        </w:rPr>
      </w:pPr>
    </w:p>
    <w:p>
      <w:pPr>
        <w:ind w:left="640" w:hanging="176"/>
        <w:spacing w:after="0"/>
        <w:tabs>
          <w:tab w:leader="none" w:pos="64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91" w:lineRule="auto"/>
        <w:tabs>
          <w:tab w:leader="none" w:pos="695" w:val="left"/>
        </w:tabs>
        <w:numPr>
          <w:ilvl w:val="0"/>
          <w:numId w:val="415"/>
        </w:numPr>
        <w:rPr>
          <w:rFonts w:ascii="Arial" w:cs="Arial" w:eastAsia="Arial" w:hAnsi="Arial"/>
          <w:sz w:val="16"/>
          <w:szCs w:val="16"/>
          <w:color w:val="auto"/>
        </w:rPr>
      </w:pPr>
      <w:r>
        <w:rPr>
          <w:rFonts w:ascii="Arial" w:cs="Arial" w:eastAsia="Arial" w:hAnsi="Arial"/>
          <w:sz w:val="16"/>
          <w:szCs w:val="16"/>
          <w:u w:val="single" w:color="auto"/>
          <w:color w:val="auto"/>
        </w:rPr>
        <w:t>Vesting Provisions</w:t>
      </w:r>
      <w:r>
        <w:rPr>
          <w:rFonts w:ascii="Arial" w:cs="Arial" w:eastAsia="Arial" w:hAnsi="Arial"/>
          <w:sz w:val="16"/>
          <w:szCs w:val="16"/>
          <w:color w:val="auto"/>
        </w:rPr>
        <w:t>. An installment of 25% of the Common Units subject to the Options shall become vested and exercisable upon the earlier of: (i) the date of the first closing of a firmly underwritten public offering for any equity securities of the Company, and (ii) the date as designated in the sole discretion of the Equity Compensation Committee of the Company’s Board of Directors as the date upon which the unitholders of the Company as of October 6, 2004, have achieved a 2.5x return on their investment (the “First Vesting Event”). The remaining 75% of the Common Units subject to the Options shall become vested and exercisable as to 25% of such Common Units on each of the first three successive annual anniversaries of the First Vesting Event, subject to the Grantee’s continous employment with MagnaChip Korea from the Grant Date to each such vesting date.</w:t>
      </w:r>
    </w:p>
    <w:p>
      <w:pPr>
        <w:spacing w:after="0" w:line="120"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Normal Expiration Date</w:t>
      </w:r>
      <w:r>
        <w:rPr>
          <w:rFonts w:ascii="Arial" w:cs="Arial" w:eastAsia="Arial" w:hAnsi="Arial"/>
          <w:sz w:val="18"/>
          <w:szCs w:val="18"/>
          <w:color w:val="auto"/>
        </w:rPr>
        <w:t xml:space="preserve">. Unless the Options earlier terminate in accordance with Section 4, the Options shall terminate on the tenth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 Once Options have become vested and exerciseable pursuant to this Section 2, such Options may be exercised, subject to the provisions hereof, at any time and from time to time until the Normal Expiration Date.</w:t>
      </w:r>
    </w:p>
    <w:p>
      <w:pPr>
        <w:spacing w:after="0" w:line="221" w:lineRule="exact"/>
        <w:rPr>
          <w:sz w:val="20"/>
          <w:szCs w:val="20"/>
          <w:color w:val="auto"/>
        </w:rPr>
      </w:pPr>
    </w:p>
    <w:p>
      <w:pPr>
        <w:ind w:left="640" w:hanging="176"/>
        <w:spacing w:after="0"/>
        <w:tabs>
          <w:tab w:leader="none" w:pos="64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or part of the exercisable Options may be exercised by the Grantee upon (a) the Grantee’s written notice to the Company of exercise (on such Exercise Notice as provided by the Company, a form of which is attached hereto as Exhibit A), (b) the Grantee’s payment of the Option</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9" w:right="359" w:bottom="1440" w:gutter="0" w:footer="0" w:header="0"/>
        </w:sectPr>
      </w:pPr>
    </w:p>
    <w:bookmarkStart w:id="376" w:name="page377"/>
    <w:bookmarkEnd w:id="376"/>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in full at the time of exercise (i) in cash or cash equivalents or (ii) in accordance with such procedures or in such other form as the Committee shall from time to time determine and (c) the Grantee’s execution of a joinder to the LLC Agreement (if the Grantee is not then a party to such agreement) in order to become a party to such agreement with respect to the Common Units issuable upon the exercise of such Options.</w:t>
      </w:r>
    </w:p>
    <w:p>
      <w:pPr>
        <w:spacing w:after="0" w:line="188" w:lineRule="exact"/>
        <w:rPr>
          <w:sz w:val="20"/>
          <w:szCs w:val="20"/>
          <w:color w:val="auto"/>
        </w:rPr>
      </w:pPr>
    </w:p>
    <w:p>
      <w:pPr>
        <w:ind w:left="640" w:hanging="176"/>
        <w:spacing w:after="0"/>
        <w:tabs>
          <w:tab w:leader="none" w:pos="64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59" w:lineRule="auto"/>
        <w:tabs>
          <w:tab w:leader="none" w:pos="69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right="40" w:firstLine="464"/>
        <w:spacing w:after="0" w:line="294" w:lineRule="auto"/>
        <w:tabs>
          <w:tab w:leader="none" w:pos="705" w:val="left"/>
        </w:tabs>
        <w:numPr>
          <w:ilvl w:val="0"/>
          <w:numId w:val="418"/>
        </w:numPr>
        <w:rPr>
          <w:rFonts w:ascii="Arial" w:cs="Arial" w:eastAsia="Arial" w:hAnsi="Arial"/>
          <w:sz w:val="16"/>
          <w:szCs w:val="16"/>
          <w:color w:val="auto"/>
        </w:rPr>
      </w:pPr>
      <w:r>
        <w:rPr>
          <w:rFonts w:ascii="Arial" w:cs="Arial" w:eastAsia="Arial" w:hAnsi="Arial"/>
          <w:sz w:val="16"/>
          <w:szCs w:val="16"/>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Company’s repurchase right under this provision shall terminate ninety days after the termination of the Grantee’s employment.</w:t>
      </w:r>
    </w:p>
    <w:p>
      <w:pPr>
        <w:spacing w:after="0" w:line="197" w:lineRule="exact"/>
        <w:rPr>
          <w:sz w:val="20"/>
          <w:szCs w:val="20"/>
          <w:color w:val="auto"/>
        </w:rPr>
      </w:pPr>
    </w:p>
    <w:p>
      <w:pPr>
        <w:ind w:left="640" w:hanging="176"/>
        <w:spacing w:after="0"/>
        <w:tabs>
          <w:tab w:leader="none" w:pos="64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Whenever Common Units are to be issued pursuant to the exercise of an Option or any cash payment is to be made hereunder, the Company shall have the power to withhold, or require the Grantee to remit to the Company, an amount sufficient to satisfy national, federal, state, and local withholding tax requirements relating to such transaction, and the Company may defer payment of cash or issuance of Common Units until such requirements are satisfied.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377" w:name="page378"/>
    <w:bookmarkEnd w:id="377"/>
    <w:p>
      <w:pPr>
        <w:ind w:left="640" w:hanging="176"/>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Awards or Common Units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99" w:lineRule="exact"/>
        <w:rPr>
          <w:sz w:val="20"/>
          <w:szCs w:val="20"/>
          <w:color w:val="auto"/>
        </w:rPr>
      </w:pPr>
    </w:p>
    <w:p>
      <w:pPr>
        <w:ind w:left="640" w:hanging="176"/>
        <w:spacing w:after="0"/>
        <w:tabs>
          <w:tab w:leader="none" w:pos="64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378" w:name="page379"/>
    <w:bookmarkEnd w:id="378"/>
    <w:p>
      <w:pPr>
        <w:ind w:left="640" w:hanging="176"/>
        <w:spacing w:after="0"/>
        <w:tabs>
          <w:tab w:leader="none" w:pos="640"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of Law</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Common Units shall be issued upon exercise of any Options granted hereunder, if such exercise would result in a violation of applicable law.</w:t>
      </w:r>
    </w:p>
    <w:p>
      <w:pPr>
        <w:spacing w:after="0" w:line="224" w:lineRule="exact"/>
        <w:rPr>
          <w:sz w:val="20"/>
          <w:szCs w:val="20"/>
          <w:color w:val="auto"/>
        </w:rPr>
      </w:pPr>
    </w:p>
    <w:p>
      <w:pPr>
        <w:ind w:left="640" w:hanging="176"/>
        <w:spacing w:after="0"/>
        <w:tabs>
          <w:tab w:leader="none" w:pos="64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 Korea.</w:t>
      </w:r>
    </w:p>
    <w:p>
      <w:pPr>
        <w:spacing w:after="0" w:line="213" w:lineRule="exact"/>
        <w:rPr>
          <w:sz w:val="20"/>
          <w:szCs w:val="20"/>
          <w:color w:val="auto"/>
        </w:rPr>
      </w:pPr>
    </w:p>
    <w:p>
      <w:pPr>
        <w:ind w:left="720" w:hanging="256"/>
        <w:spacing w:after="0"/>
        <w:tabs>
          <w:tab w:leader="none" w:pos="72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280" w:right="379" w:bottom="1440" w:gutter="0" w:footer="0" w:header="0"/>
        </w:sectPr>
      </w:pPr>
    </w:p>
    <w:bookmarkStart w:id="379" w:name="page380"/>
    <w:bookmarkEnd w:id="379"/>
    <w:p>
      <w:pPr>
        <w:ind w:left="260" w:hanging="256"/>
        <w:spacing w:after="0"/>
        <w:tabs>
          <w:tab w:leader="none" w:pos="260"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Acknowledgements and Representations and Warranties of the Grantee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The Grantee acknowledges, understands and agrees that:</w:t>
      </w:r>
    </w:p>
    <w:p>
      <w:pPr>
        <w:spacing w:after="0" w:line="84" w:lineRule="exact"/>
        <w:rPr>
          <w:rFonts w:ascii="Arial" w:cs="Arial" w:eastAsia="Arial" w:hAnsi="Arial"/>
          <w:sz w:val="18"/>
          <w:szCs w:val="18"/>
          <w:color w:val="auto"/>
        </w:rPr>
      </w:pPr>
    </w:p>
    <w:p>
      <w:pPr>
        <w:ind w:firstLine="443"/>
        <w:spacing w:after="0" w:line="296" w:lineRule="auto"/>
        <w:tabs>
          <w:tab w:leader="none" w:pos="648" w:val="left"/>
        </w:tabs>
        <w:numPr>
          <w:ilvl w:val="1"/>
          <w:numId w:val="425"/>
        </w:numPr>
        <w:rPr>
          <w:rFonts w:ascii="Arial" w:cs="Arial" w:eastAsia="Arial" w:hAnsi="Arial"/>
          <w:sz w:val="16"/>
          <w:szCs w:val="16"/>
          <w:color w:val="auto"/>
        </w:rPr>
      </w:pPr>
      <w:r>
        <w:rPr>
          <w:rFonts w:ascii="Arial" w:cs="Arial" w:eastAsia="Arial" w:hAnsi="Arial"/>
          <w:sz w:val="16"/>
          <w:szCs w:val="16"/>
          <w:color w:val="auto"/>
        </w:rPr>
        <w:t xml:space="preserve">None of the Options nor any Common Units that may be acquired by the Grantee upon exercise of any of the Options (together,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have been registered under the United States </w:t>
      </w:r>
      <w:r>
        <w:rPr>
          <w:rFonts w:ascii="Arial" w:cs="Arial" w:eastAsia="Arial" w:hAnsi="Arial"/>
          <w:sz w:val="16"/>
          <w:szCs w:val="16"/>
          <w:u w:val="single" w:color="auto"/>
          <w:color w:val="auto"/>
        </w:rPr>
        <w:t>Securities Act of 1933, as amended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 Act”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unless so registered, may not be offered or sold in the United States or, directly or indirectly, to U.S. Persons (as defined in subsection (c) below), except in accordance with the provisions of Regulation S of the Securities Act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“Regulation S”</w:t>
      </w:r>
      <w:r>
        <w:rPr>
          <w:rFonts w:ascii="Arial" w:cs="Arial" w:eastAsia="Arial" w:hAnsi="Arial"/>
          <w:sz w:val="16"/>
          <w:szCs w:val="16"/>
          <w:u w:val="single" w:color="auto"/>
          <w:color w:val="auto"/>
        </w:rPr>
        <w:t>)</w:t>
      </w:r>
      <w:r>
        <w:rPr>
          <w:rFonts w:ascii="Arial" w:cs="Arial" w:eastAsia="Arial" w:hAnsi="Arial"/>
          <w:sz w:val="16"/>
          <w:szCs w:val="16"/>
          <w:color w:val="auto"/>
        </w:rPr>
        <w:t>, pursuant to an effective registration statement under the Securities Act, or pursuant to an exemption from, or in a transaction not subject to, the registration requirements of the Securities Act;</w:t>
      </w:r>
    </w:p>
    <w:p>
      <w:pPr>
        <w:spacing w:after="0" w:line="32" w:lineRule="exact"/>
        <w:rPr>
          <w:rFonts w:ascii="Arial" w:cs="Arial" w:eastAsia="Arial" w:hAnsi="Arial"/>
          <w:sz w:val="16"/>
          <w:szCs w:val="16"/>
          <w:color w:val="auto"/>
        </w:rPr>
      </w:pPr>
    </w:p>
    <w:p>
      <w:pPr>
        <w:ind w:right="60" w:firstLine="443"/>
        <w:spacing w:after="0" w:line="357" w:lineRule="auto"/>
        <w:tabs>
          <w:tab w:leader="none" w:pos="697" w:val="left"/>
        </w:tabs>
        <w:numPr>
          <w:ilvl w:val="1"/>
          <w:numId w:val="425"/>
        </w:numPr>
        <w:rPr>
          <w:rFonts w:ascii="Arial" w:cs="Arial" w:eastAsia="Arial" w:hAnsi="Arial"/>
          <w:sz w:val="15"/>
          <w:szCs w:val="15"/>
          <w:color w:val="auto"/>
        </w:rPr>
      </w:pPr>
      <w:r>
        <w:rPr>
          <w:rFonts w:ascii="Arial" w:cs="Arial" w:eastAsia="Arial" w:hAnsi="Arial"/>
          <w:sz w:val="15"/>
          <w:szCs w:val="15"/>
          <w:color w:val="auto"/>
        </w:rPr>
        <w:t>Grantee will only offer, transfer or sell the Securities in accordance with the provisions of Regulation S, pursuant to an effective registration statement under the Securities Act, or pursuant to an exemption from, or in a transaction not subject to, the registration requirements of the Securities Act;</w:t>
      </w:r>
    </w:p>
    <w:p>
      <w:pPr>
        <w:ind w:left="740" w:hanging="297"/>
        <w:spacing w:after="0"/>
        <w:tabs>
          <w:tab w:leader="none" w:pos="74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Grantee will not engage in hedging transactions with regard to the Securities unless in compliance with the Securities Act;</w:t>
      </w:r>
    </w:p>
    <w:p>
      <w:pPr>
        <w:spacing w:after="0" w:line="90" w:lineRule="exact"/>
        <w:rPr>
          <w:rFonts w:ascii="Arial" w:cs="Arial" w:eastAsia="Arial" w:hAnsi="Arial"/>
          <w:sz w:val="18"/>
          <w:szCs w:val="18"/>
          <w:color w:val="auto"/>
        </w:rPr>
      </w:pPr>
    </w:p>
    <w:p>
      <w:pPr>
        <w:ind w:right="20" w:firstLine="443"/>
        <w:spacing w:after="0" w:line="370" w:lineRule="auto"/>
        <w:tabs>
          <w:tab w:leader="none" w:pos="736" w:val="left"/>
        </w:tabs>
        <w:numPr>
          <w:ilvl w:val="1"/>
          <w:numId w:val="425"/>
        </w:numPr>
        <w:rPr>
          <w:rFonts w:ascii="Arial" w:cs="Arial" w:eastAsia="Arial" w:hAnsi="Arial"/>
          <w:sz w:val="15"/>
          <w:szCs w:val="15"/>
          <w:color w:val="auto"/>
        </w:rPr>
      </w:pPr>
      <w:r>
        <w:rPr>
          <w:rFonts w:ascii="Arial" w:cs="Arial" w:eastAsia="Arial" w:hAnsi="Arial"/>
          <w:sz w:val="15"/>
          <w:szCs w:val="15"/>
          <w:color w:val="auto"/>
        </w:rPr>
        <w:t>The Company will refuse to register any transfer of the Securities not made in accordance with the provisions of Regulation S, pursuant to an effective registration statement under the Securities Act or pursuant to an available exemption from the registration requirements of the Securities Act; and</w:t>
      </w:r>
    </w:p>
    <w:p>
      <w:pPr>
        <w:spacing w:after="0" w:line="4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80" w:right="299" w:bottom="1440" w:gutter="0" w:footer="0" w:header="0"/>
        </w:sectPr>
      </w:pPr>
    </w:p>
    <w:bookmarkStart w:id="380" w:name="page381"/>
    <w:bookmarkEnd w:id="380"/>
    <w:p>
      <w:pPr>
        <w:ind w:firstLine="443"/>
        <w:spacing w:after="0" w:line="259" w:lineRule="auto"/>
        <w:tabs>
          <w:tab w:leader="none" w:pos="687" w:val="left"/>
        </w:tabs>
        <w:numPr>
          <w:ilvl w:val="1"/>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 and others will rely upon the truth and accuracy of the acknowledgements, representations and agreements contained in this Option Agreement, and agrees that if any of such acknowledgements, representations and agreements are no longer accurate or have been breached, the Grantee shall promptly notify the Company.</w:t>
      </w:r>
    </w:p>
    <w:p>
      <w:pPr>
        <w:spacing w:after="0" w:line="140" w:lineRule="exact"/>
        <w:rPr>
          <w:rFonts w:ascii="Arial" w:cs="Arial" w:eastAsia="Arial" w:hAnsi="Arial"/>
          <w:sz w:val="18"/>
          <w:szCs w:val="18"/>
          <w:color w:val="auto"/>
        </w:rPr>
      </w:pPr>
    </w:p>
    <w:p>
      <w:pPr>
        <w:ind w:left="260" w:hanging="256"/>
        <w:spacing w:after="0"/>
        <w:tabs>
          <w:tab w:leader="none" w:pos="2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Grantee represents and warrants to the Company that:</w:t>
      </w:r>
    </w:p>
    <w:p>
      <w:pPr>
        <w:spacing w:after="0" w:line="90" w:lineRule="exact"/>
        <w:rPr>
          <w:rFonts w:ascii="Arial" w:cs="Arial" w:eastAsia="Arial" w:hAnsi="Arial"/>
          <w:sz w:val="18"/>
          <w:szCs w:val="18"/>
          <w:color w:val="auto"/>
        </w:rPr>
      </w:pPr>
    </w:p>
    <w:p>
      <w:pPr>
        <w:ind w:right="500" w:firstLine="443"/>
        <w:spacing w:after="0" w:line="268" w:lineRule="auto"/>
        <w:tabs>
          <w:tab w:leader="none" w:pos="648"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Grantee is not a U.S. Person and the Grantee is not acquiring the Securities for the account or benefit of, directly or indirectly, any U.S. Person; and</w:t>
      </w:r>
    </w:p>
    <w:p>
      <w:pPr>
        <w:spacing w:after="0" w:line="51" w:lineRule="exact"/>
        <w:rPr>
          <w:sz w:val="20"/>
          <w:szCs w:val="20"/>
          <w:color w:val="auto"/>
        </w:rPr>
      </w:pPr>
    </w:p>
    <w:p>
      <w:pPr>
        <w:jc w:val="both"/>
        <w:ind w:right="40" w:firstLine="443"/>
        <w:spacing w:after="0" w:line="259" w:lineRule="auto"/>
        <w:tabs>
          <w:tab w:leader="none" w:pos="697"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Grantee is outside the United States when receiving and executing this Option Agreement and is acquiring the Securities for investment only and not with a view to resale or distribution and, in particular, it has no intention to distribute either directly or indirectly any of the Securities in the United States or to U.S. Persons.</w:t>
      </w:r>
    </w:p>
    <w:p>
      <w:pPr>
        <w:spacing w:after="0" w:line="53" w:lineRule="exact"/>
        <w:rPr>
          <w:sz w:val="20"/>
          <w:szCs w:val="20"/>
          <w:color w:val="auto"/>
        </w:rPr>
      </w:pPr>
    </w:p>
    <w:p>
      <w:pPr>
        <w:ind w:right="100" w:firstLine="443"/>
        <w:spacing w:after="0" w:line="290" w:lineRule="auto"/>
        <w:tabs>
          <w:tab w:leader="none" w:pos="677" w:val="left"/>
        </w:tabs>
        <w:numPr>
          <w:ilvl w:val="0"/>
          <w:numId w:val="429"/>
        </w:numPr>
        <w:rPr>
          <w:rFonts w:ascii="Arial" w:cs="Arial" w:eastAsia="Arial" w:hAnsi="Arial"/>
          <w:sz w:val="16"/>
          <w:szCs w:val="16"/>
          <w:color w:val="auto"/>
        </w:rPr>
      </w:pPr>
      <w:r>
        <w:rPr>
          <w:rFonts w:ascii="Arial" w:cs="Arial" w:eastAsia="Arial" w:hAnsi="Arial"/>
          <w:sz w:val="16"/>
          <w:szCs w:val="16"/>
          <w:color w:val="auto"/>
        </w:rPr>
        <w:t xml:space="preserve">For purposes of this Option Agreement,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U.S. Person</w:t>
      </w:r>
      <w:r>
        <w:rPr>
          <w:rFonts w:ascii="Arial" w:cs="Arial" w:eastAsia="Arial" w:hAnsi="Arial"/>
          <w:sz w:val="16"/>
          <w:szCs w:val="16"/>
          <w:b w:val="1"/>
          <w:bCs w:val="1"/>
          <w:color w:val="auto"/>
        </w:rPr>
        <w:t>”</w:t>
      </w:r>
      <w:r>
        <w:rPr>
          <w:rFonts w:ascii="Arial" w:cs="Arial" w:eastAsia="Arial" w:hAnsi="Arial"/>
          <w:sz w:val="16"/>
          <w:szCs w:val="16"/>
          <w:color w:val="auto"/>
        </w:rPr>
        <w:t xml:space="preserve">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 (vii) any discretionary account or similar account (other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 Securities Act, unless it is organized or incorporated, and owned, by accredited investors (as defined below) who are not natural persons, estates or trusts.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9" w:right="239" w:bottom="1440" w:gutter="0" w:footer="0" w:header="0"/>
        </w:sectPr>
      </w:pPr>
    </w:p>
    <w:bookmarkStart w:id="381" w:name="page382"/>
    <w:bookmarkEnd w:id="381"/>
    <w:p>
      <w:pPr>
        <w:ind w:left="720" w:hanging="256"/>
        <w:spacing w:after="0"/>
        <w:tabs>
          <w:tab w:leader="none" w:pos="720"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221" w:lineRule="exact"/>
        <w:rPr>
          <w:sz w:val="20"/>
          <w:szCs w:val="20"/>
          <w:color w:val="auto"/>
        </w:rPr>
      </w:pPr>
    </w:p>
    <w:p>
      <w:pPr>
        <w:ind w:left="720" w:hanging="256"/>
        <w:spacing w:after="0"/>
        <w:tabs>
          <w:tab w:leader="none" w:pos="720"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201" w:lineRule="exact"/>
        <w:rPr>
          <w:sz w:val="20"/>
          <w:szCs w:val="20"/>
          <w:color w:val="auto"/>
        </w:rPr>
      </w:pPr>
    </w:p>
    <w:p>
      <w:pPr>
        <w:ind w:left="720" w:hanging="256"/>
        <w:spacing w:after="0"/>
        <w:tabs>
          <w:tab w:leader="none" w:pos="720"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if to 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82-2-3459-3898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82" w:name="page383"/>
    <w:bookmarkEnd w:id="382"/>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if to the Grantee, to the Grantee at the address as reflected in the Company’s books and records.</w:t>
      </w:r>
    </w:p>
    <w:p>
      <w:pPr>
        <w:spacing w:after="0" w:line="90" w:lineRule="exact"/>
        <w:rPr>
          <w:sz w:val="20"/>
          <w:szCs w:val="20"/>
          <w:color w:val="auto"/>
        </w:rPr>
      </w:pPr>
    </w:p>
    <w:p>
      <w:pPr>
        <w:ind w:left="380" w:right="28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left="-80" w:firstLine="464"/>
        <w:spacing w:after="0" w:line="335" w:lineRule="auto"/>
        <w:tabs>
          <w:tab w:leader="none" w:pos="625" w:val="left"/>
        </w:tabs>
        <w:numPr>
          <w:ilvl w:val="0"/>
          <w:numId w:val="434"/>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left="-80" w:right="180" w:firstLine="464"/>
        <w:spacing w:after="0" w:line="268" w:lineRule="auto"/>
        <w:tabs>
          <w:tab w:leader="none" w:pos="615"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 hereto may by written notice to the other (</w:t>
      </w:r>
      <w:r>
        <w:rPr>
          <w:rFonts w:ascii="Arial" w:cs="Arial" w:eastAsia="Arial" w:hAnsi="Arial"/>
          <w:sz w:val="18"/>
          <w:szCs w:val="18"/>
          <w:u w:val="single" w:color="auto"/>
          <w:color w:val="auto"/>
        </w:rPr>
        <w:t>i</w:t>
      </w:r>
      <w:r>
        <w:rPr>
          <w:rFonts w:ascii="Arial" w:cs="Arial" w:eastAsia="Arial" w:hAnsi="Arial"/>
          <w:sz w:val="18"/>
          <w:szCs w:val="18"/>
          <w:color w:val="auto"/>
        </w:rPr>
        <w:t>) extend the time for the performance of any of the obligations or other actions of the other under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279" w:right="319" w:bottom="1440" w:gutter="0" w:footer="0" w:header="0"/>
        </w:sectPr>
      </w:pPr>
    </w:p>
    <w:bookmarkStart w:id="383" w:name="page384"/>
    <w:bookmarkEnd w:id="383"/>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ii</w:t>
      </w:r>
      <w:r>
        <w:rPr>
          <w:rFonts w:ascii="Arial" w:cs="Arial" w:eastAsia="Arial" w:hAnsi="Arial"/>
          <w:sz w:val="18"/>
          <w:szCs w:val="18"/>
          <w:color w:val="auto"/>
        </w:rPr>
        <w:t>) waive compliance with any of the conditions or covenants of the other contained in this Agreement and (</w:t>
      </w:r>
      <w:r>
        <w:rPr>
          <w:rFonts w:ascii="Arial" w:cs="Arial" w:eastAsia="Arial" w:hAnsi="Arial"/>
          <w:sz w:val="18"/>
          <w:szCs w:val="18"/>
          <w:u w:val="single" w:color="auto"/>
          <w:color w:val="auto"/>
        </w:rPr>
        <w:t>iii</w:t>
      </w:r>
      <w:r>
        <w:rPr>
          <w:rFonts w:ascii="Arial" w:cs="Arial" w:eastAsia="Arial" w:hAnsi="Arial"/>
          <w:sz w:val="18"/>
          <w:szCs w:val="18"/>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47" w:lineRule="exact"/>
        <w:rPr>
          <w:sz w:val="20"/>
          <w:szCs w:val="20"/>
          <w:color w:val="auto"/>
        </w:rPr>
      </w:pPr>
    </w:p>
    <w:p>
      <w:pPr>
        <w:ind w:right="320" w:firstLine="464"/>
        <w:spacing w:after="0" w:line="306" w:lineRule="auto"/>
        <w:tabs>
          <w:tab w:leader="none" w:pos="705" w:val="left"/>
        </w:tabs>
        <w:numPr>
          <w:ilvl w:val="0"/>
          <w:numId w:val="43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06" w:lineRule="exact"/>
        <w:rPr>
          <w:rFonts w:ascii="Arial" w:cs="Arial" w:eastAsia="Arial" w:hAnsi="Arial"/>
          <w:sz w:val="16"/>
          <w:szCs w:val="16"/>
          <w:color w:val="auto"/>
        </w:rPr>
      </w:pPr>
    </w:p>
    <w:p>
      <w:pPr>
        <w:ind w:firstLine="464"/>
        <w:spacing w:after="0" w:line="268" w:lineRule="auto"/>
        <w:tabs>
          <w:tab w:leader="none" w:pos="695"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WITHOUT REGARDS TO CONFLICTS OF LAWS PROVISIONS.</w:t>
      </w:r>
    </w:p>
    <w:p>
      <w:pPr>
        <w:spacing w:after="0" w:line="131" w:lineRule="exact"/>
        <w:rPr>
          <w:rFonts w:ascii="Arial" w:cs="Arial" w:eastAsia="Arial" w:hAnsi="Arial"/>
          <w:sz w:val="18"/>
          <w:szCs w:val="18"/>
          <w:color w:val="auto"/>
        </w:rPr>
      </w:pPr>
    </w:p>
    <w:p>
      <w:pPr>
        <w:ind w:right="580" w:firstLine="464"/>
        <w:spacing w:after="0" w:line="268" w:lineRule="auto"/>
        <w:tabs>
          <w:tab w:leader="none" w:pos="676"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384" w:name="page385"/>
    <w:bookmarkEnd w:id="384"/>
    <w:p>
      <w:pPr>
        <w:ind w:firstLine="464"/>
        <w:spacing w:after="0" w:line="268" w:lineRule="auto"/>
        <w:tabs>
          <w:tab w:leader="none" w:pos="705"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and the Grantee have duly executed this Agreement as of the date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Dr.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Dr. Youm Huh</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Chan Hee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Channy Lee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240" w:top="280" w:right="819" w:bottom="1440" w:gutter="0" w:footer="0" w:header="0"/>
        </w:sectPr>
      </w:pPr>
    </w:p>
    <w:bookmarkStart w:id="385" w:name="page386"/>
    <w:bookmarkEnd w:id="385"/>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Form of Exercise Notice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73" w:right="1440" w:bottom="1440" w:gutter="0" w:footer="0" w:header="0"/>
        </w:sectPr>
      </w:pPr>
    </w:p>
    <w:bookmarkStart w:id="386" w:name="page387"/>
    <w:bookmarkEnd w:id="386"/>
    <w:p>
      <w:pPr>
        <w:ind w:left="4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LLC</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EQUITY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71" w:lineRule="exact"/>
        <w:rPr>
          <w:sz w:val="20"/>
          <w:szCs w:val="20"/>
          <w:color w:val="auto"/>
        </w:rPr>
      </w:pPr>
    </w:p>
    <w:p>
      <w:pPr>
        <w:ind w:left="640" w:hanging="176"/>
        <w:spacing w:after="0"/>
        <w:tabs>
          <w:tab w:leader="none" w:pos="640" w:val="left"/>
        </w:tabs>
        <w:numPr>
          <w:ilvl w:val="0"/>
          <w:numId w:val="437"/>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 200__, the undersigned (“</w:t>
      </w:r>
      <w:r>
        <w:rPr>
          <w:rFonts w:ascii="Arial" w:cs="Arial" w:eastAsia="Arial" w:hAnsi="Arial"/>
          <w:sz w:val="16"/>
          <w:szCs w:val="16"/>
          <w:u w:val="single" w:color="auto"/>
          <w:color w:val="auto"/>
        </w:rPr>
        <w:t>Grantee</w:t>
      </w:r>
      <w:r>
        <w:rPr>
          <w:rFonts w:ascii="Arial" w:cs="Arial" w:eastAsia="Arial" w:hAnsi="Arial"/>
          <w:sz w:val="16"/>
          <w:szCs w:val="16"/>
          <w:color w:val="auto"/>
        </w:rPr>
        <w:t>”) hereby elects to exercise Grantee’s option to purchase</w:t>
      </w:r>
    </w:p>
    <w:p>
      <w:pPr>
        <w:spacing w:after="0" w:line="38" w:lineRule="exact"/>
        <w:rPr>
          <w:rFonts w:ascii="Arial" w:cs="Arial" w:eastAsia="Arial" w:hAnsi="Arial"/>
          <w:sz w:val="16"/>
          <w:szCs w:val="16"/>
          <w:color w:val="auto"/>
        </w:rPr>
      </w:pPr>
    </w:p>
    <w:p>
      <w:pPr>
        <w:ind w:right="160"/>
        <w:spacing w:after="0" w:line="255" w:lineRule="auto"/>
        <w:rPr>
          <w:rFonts w:ascii="Arial" w:cs="Arial" w:eastAsia="Arial" w:hAnsi="Arial"/>
          <w:sz w:val="16"/>
          <w:szCs w:val="16"/>
          <w:color w:val="auto"/>
        </w:rPr>
      </w:pPr>
      <w:r>
        <w:rPr>
          <w:rFonts w:ascii="Arial" w:cs="Arial" w:eastAsia="Arial" w:hAnsi="Arial"/>
          <w:sz w:val="18"/>
          <w:szCs w:val="18"/>
          <w:color w:val="auto"/>
        </w:rPr>
        <w:t>_________ Common Units (the “</w:t>
      </w:r>
      <w:r>
        <w:rPr>
          <w:rFonts w:ascii="Arial" w:cs="Arial" w:eastAsia="Arial" w:hAnsi="Arial"/>
          <w:sz w:val="18"/>
          <w:szCs w:val="18"/>
          <w:u w:val="single" w:color="auto"/>
          <w:color w:val="auto"/>
        </w:rPr>
        <w:t>Common Units</w:t>
      </w:r>
      <w:r>
        <w:rPr>
          <w:rFonts w:ascii="Arial" w:cs="Arial" w:eastAsia="Arial" w:hAnsi="Arial"/>
          <w:sz w:val="18"/>
          <w:szCs w:val="18"/>
          <w:color w:val="auto"/>
        </w:rPr>
        <w:t>”) of MagnaChip Semiconductor LLC (the “</w:t>
      </w:r>
      <w:r>
        <w:rPr>
          <w:rFonts w:ascii="Arial" w:cs="Arial" w:eastAsia="Arial" w:hAnsi="Arial"/>
          <w:sz w:val="18"/>
          <w:szCs w:val="18"/>
          <w:u w:val="single" w:color="auto"/>
          <w:color w:val="auto"/>
        </w:rPr>
        <w:t>Company</w:t>
      </w:r>
      <w:r>
        <w:rPr>
          <w:rFonts w:ascii="Arial" w:cs="Arial" w:eastAsia="Arial" w:hAnsi="Arial"/>
          <w:sz w:val="18"/>
          <w:szCs w:val="18"/>
          <w:color w:val="auto"/>
        </w:rPr>
        <w:t>”) under and pursuant to the Company’s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 Option Agreement dated , _______________, 200__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Capitalized terms not defined herein shall have the meanings given to such terms in the Plan and/or the Option Agreement.</w:t>
      </w:r>
    </w:p>
    <w:p>
      <w:pPr>
        <w:spacing w:after="0" w:line="144" w:lineRule="exact"/>
        <w:rPr>
          <w:rFonts w:ascii="Arial" w:cs="Arial" w:eastAsia="Arial" w:hAnsi="Arial"/>
          <w:sz w:val="16"/>
          <w:szCs w:val="16"/>
          <w:color w:val="auto"/>
        </w:rPr>
      </w:pPr>
    </w:p>
    <w:p>
      <w:pPr>
        <w:ind w:right="240" w:firstLine="464"/>
        <w:spacing w:after="0" w:line="268" w:lineRule="auto"/>
        <w:tabs>
          <w:tab w:leader="none" w:pos="632"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Grantee herewith delivers to the Company the full purchase price of the Common Units, as set forth in the Option Agreement in such form as permitted by the Option Agreement and the Plan.</w:t>
      </w:r>
    </w:p>
    <w:p>
      <w:pPr>
        <w:spacing w:after="0" w:line="131" w:lineRule="exact"/>
        <w:rPr>
          <w:rFonts w:ascii="Arial" w:cs="Arial" w:eastAsia="Arial" w:hAnsi="Arial"/>
          <w:sz w:val="18"/>
          <w:szCs w:val="18"/>
          <w:color w:val="auto"/>
        </w:rPr>
      </w:pPr>
    </w:p>
    <w:p>
      <w:pPr>
        <w:ind w:right="360" w:firstLine="464"/>
        <w:spacing w:after="0" w:line="268" w:lineRule="auto"/>
        <w:tabs>
          <w:tab w:leader="none" w:pos="632"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Representations of Grantee</w:t>
      </w:r>
      <w:r>
        <w:rPr>
          <w:rFonts w:ascii="Arial" w:cs="Arial" w:eastAsia="Arial" w:hAnsi="Arial"/>
          <w:sz w:val="18"/>
          <w:szCs w:val="18"/>
          <w:color w:val="auto"/>
        </w:rPr>
        <w:t>. Grantee acknowledges that Grantee has received, read and understood the Plan and the Option Agreement and agrees to abide by and be bound by their terms and conditions.</w:t>
      </w:r>
    </w:p>
    <w:p>
      <w:pPr>
        <w:spacing w:after="0" w:line="131" w:lineRule="exact"/>
        <w:rPr>
          <w:rFonts w:ascii="Arial" w:cs="Arial" w:eastAsia="Arial" w:hAnsi="Arial"/>
          <w:sz w:val="18"/>
          <w:szCs w:val="18"/>
          <w:color w:val="auto"/>
        </w:rPr>
      </w:pPr>
    </w:p>
    <w:p>
      <w:pPr>
        <w:jc w:val="center"/>
        <w:ind w:firstLine="464"/>
        <w:spacing w:after="0" w:line="323" w:lineRule="auto"/>
        <w:tabs>
          <w:tab w:leader="none" w:pos="632" w:val="left"/>
        </w:tabs>
        <w:numPr>
          <w:ilvl w:val="0"/>
          <w:numId w:val="437"/>
        </w:numPr>
        <w:rPr>
          <w:rFonts w:ascii="Arial" w:cs="Arial" w:eastAsia="Arial" w:hAnsi="Arial"/>
          <w:sz w:val="15"/>
          <w:szCs w:val="15"/>
          <w:color w:val="auto"/>
        </w:rPr>
      </w:pPr>
      <w:r>
        <w:rPr>
          <w:rFonts w:ascii="Arial" w:cs="Arial" w:eastAsia="Arial" w:hAnsi="Arial"/>
          <w:sz w:val="15"/>
          <w:szCs w:val="15"/>
          <w:u w:val="single" w:color="auto"/>
          <w:color w:val="auto"/>
        </w:rPr>
        <w:t>Rights as a Unitholder</w:t>
      </w:r>
      <w:r>
        <w:rPr>
          <w:rFonts w:ascii="Arial" w:cs="Arial" w:eastAsia="Arial" w:hAnsi="Arial"/>
          <w:sz w:val="15"/>
          <w:szCs w:val="15"/>
          <w:color w:val="auto"/>
        </w:rPr>
        <w:t>. Until the issuance of the Common Units (as evidenced by the appropriate entry on the books of the Company or of a duly authorized transfer agent of the Company), no right to vote or receive allocations of profits or losses or any other rights as a Member shall exist with respect to the Common Units, notwithstanding the exercise of the Option. The Common Units shall be issued to the Grantee as soon as practicable after the Option is exercised. No adjustment shall be made for a dividend or other right for which the record date is prior to the date of issuance except as provided in Section 12(a) of the Plan.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87" w:name="page388"/>
    <w:bookmarkEnd w:id="387"/>
    <w:p>
      <w:pPr>
        <w:ind w:left="-8" w:right="420" w:firstLine="464"/>
        <w:spacing w:after="0" w:line="286" w:lineRule="auto"/>
        <w:tabs>
          <w:tab w:leader="none" w:pos="624" w:val="left"/>
        </w:tabs>
        <w:numPr>
          <w:ilvl w:val="1"/>
          <w:numId w:val="4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Delivery of Other Documents</w:t>
      </w:r>
      <w:r>
        <w:rPr>
          <w:rFonts w:ascii="Arial" w:cs="Arial" w:eastAsia="Arial" w:hAnsi="Arial"/>
          <w:sz w:val="16"/>
          <w:szCs w:val="16"/>
          <w:color w:val="auto"/>
        </w:rPr>
        <w:t xml:space="preserve">. As a condition to the exercise of this Option, Grantee shall complete, sign and deliver with this Exercise Notice (i) a signature page for the Company’s Securityholders’ Agreement and the Company’s Operating Agreement in the form as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w:t>
      </w:r>
    </w:p>
    <w:p>
      <w:pPr>
        <w:ind w:left="-8" w:right="240" w:firstLine="8"/>
        <w:spacing w:after="0" w:line="261" w:lineRule="auto"/>
        <w:tabs>
          <w:tab w:leader="none" w:pos="25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provided that the Common Units have not been registered under the Securities Act, the Investment Representation Statement in the form attached hereto as Exhibit B, and (iii) and any other documents required by the Company of its holders of Common Units.</w:t>
      </w:r>
    </w:p>
    <w:p>
      <w:pPr>
        <w:spacing w:after="0" w:line="137" w:lineRule="exact"/>
        <w:rPr>
          <w:rFonts w:ascii="Arial" w:cs="Arial" w:eastAsia="Arial" w:hAnsi="Arial"/>
          <w:sz w:val="18"/>
          <w:szCs w:val="18"/>
          <w:color w:val="auto"/>
        </w:rPr>
      </w:pPr>
    </w:p>
    <w:p>
      <w:pPr>
        <w:ind w:left="-8" w:firstLine="464"/>
        <w:spacing w:after="0" w:line="288" w:lineRule="auto"/>
        <w:tabs>
          <w:tab w:leader="none" w:pos="624" w:val="left"/>
        </w:tabs>
        <w:numPr>
          <w:ilvl w:val="1"/>
          <w:numId w:val="439"/>
        </w:numPr>
        <w:rPr>
          <w:rFonts w:ascii="Arial" w:cs="Arial" w:eastAsia="Arial" w:hAnsi="Arial"/>
          <w:sz w:val="16"/>
          <w:szCs w:val="16"/>
          <w:color w:val="auto"/>
        </w:rPr>
      </w:pPr>
      <w:r>
        <w:rPr>
          <w:rFonts w:ascii="Arial" w:cs="Arial" w:eastAsia="Arial" w:hAnsi="Arial"/>
          <w:sz w:val="16"/>
          <w:szCs w:val="16"/>
          <w:u w:val="single" w:color="auto"/>
          <w:color w:val="auto"/>
        </w:rPr>
        <w:t>Non-Transferability of the Common Units</w:t>
      </w:r>
      <w:r>
        <w:rPr>
          <w:rFonts w:ascii="Arial" w:cs="Arial" w:eastAsia="Arial" w:hAnsi="Arial"/>
          <w:sz w:val="16"/>
          <w:szCs w:val="16"/>
          <w:color w:val="auto"/>
        </w:rPr>
        <w:t>. Pursuant to Section 6 of the Option Agreement, 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provided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further provided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Grantee’s designated beneficiary, Grantee’s estate or such transferee as permitted by the Committee.</w:t>
      </w:r>
    </w:p>
    <w:p>
      <w:pPr>
        <w:spacing w:after="0" w:line="119" w:lineRule="exact"/>
        <w:rPr>
          <w:rFonts w:ascii="Arial" w:cs="Arial" w:eastAsia="Arial" w:hAnsi="Arial"/>
          <w:sz w:val="16"/>
          <w:szCs w:val="16"/>
          <w:color w:val="auto"/>
        </w:rPr>
      </w:pPr>
    </w:p>
    <w:p>
      <w:pPr>
        <w:ind w:left="-8" w:right="260" w:firstLine="464"/>
        <w:spacing w:after="0" w:line="332" w:lineRule="auto"/>
        <w:tabs>
          <w:tab w:leader="none" w:pos="624" w:val="left"/>
        </w:tabs>
        <w:numPr>
          <w:ilvl w:val="1"/>
          <w:numId w:val="439"/>
        </w:numPr>
        <w:rPr>
          <w:rFonts w:ascii="Arial" w:cs="Arial" w:eastAsia="Arial" w:hAnsi="Arial"/>
          <w:sz w:val="16"/>
          <w:szCs w:val="16"/>
          <w:color w:val="auto"/>
        </w:rPr>
      </w:pPr>
      <w:r>
        <w:rPr>
          <w:rFonts w:ascii="Arial" w:cs="Arial" w:eastAsia="Arial" w:hAnsi="Arial"/>
          <w:sz w:val="16"/>
          <w:szCs w:val="16"/>
          <w:u w:val="single" w:color="auto"/>
          <w:color w:val="auto"/>
        </w:rPr>
        <w:t>Lock-Up Period</w:t>
      </w:r>
      <w:r>
        <w:rPr>
          <w:rFonts w:ascii="Arial" w:cs="Arial" w:eastAsia="Arial" w:hAnsi="Arial"/>
          <w:sz w:val="16"/>
          <w:szCs w:val="16"/>
          <w:color w:val="auto"/>
        </w:rPr>
        <w:t>. Grantee hereby agrees that Grantee shall not offer, pledge, sell, contract to sell, sell any option or contract to purchase, purchase any option or contract to sell, grant any option, right or warrant to purchase, lend, or otherwise transfer or dispose of, directly or indirectly,</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79" w:right="259" w:bottom="1440" w:gutter="0" w:footer="0" w:header="0"/>
        </w:sectPr>
      </w:pPr>
    </w:p>
    <w:bookmarkStart w:id="388" w:name="page389"/>
    <w:bookmarkEnd w:id="388"/>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Common Units (or the securities into which the Common Units are converted or other securities) of the Company or enter into any swap, hedging or other arrangement that transfers to another, in whole or in part, any of the economic consequences of ownership of any Common Units (or the securities into which the Common Units are converted or other securities) of the Company held by Grantee (other than those included in the registration) for a period specified by the representative of the underwriters of Common Units (or the securities into which the Common Units are converted or other securities) of the Company not to exceed one hundred eighty (180) days following the effective date of any registration statement of the Company filed under the Securities Act.</w:t>
      </w:r>
    </w:p>
    <w:p>
      <w:pPr>
        <w:spacing w:after="0" w:line="35"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Grantee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Units (or the securities into which the Common Units are converted or other securities) of the Company, Grantee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Common Units (or the securities into which the Common Units are converted or other securities) subject to the foregoing restriction until the end of said one hundred eighty (180) day period. Grantee agrees that any transferee of the Options or units acquired pursuant to the Options shall be bound by this Section.</w:t>
      </w:r>
    </w:p>
    <w:p>
      <w:pPr>
        <w:spacing w:after="0" w:line="123" w:lineRule="exact"/>
        <w:rPr>
          <w:sz w:val="20"/>
          <w:szCs w:val="20"/>
          <w:color w:val="auto"/>
        </w:rPr>
      </w:pPr>
    </w:p>
    <w:p>
      <w:pPr>
        <w:ind w:right="40" w:firstLine="464"/>
        <w:spacing w:after="0" w:line="259" w:lineRule="auto"/>
        <w:tabs>
          <w:tab w:leader="none" w:pos="632"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Grantee understands that Grantee may suffer adverse tax consequences as a result of Grantee’s purchase or disposition of the Common Units. Grantee represents that Grantee has consulted with any tax consultants Grantee deems advisable in connection with the purchase or disposition of the Common Units and that Grantee is not relying on the Company for any tax advice.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9" w:right="239" w:bottom="1440" w:gutter="0" w:footer="0" w:header="0"/>
        </w:sectPr>
      </w:pPr>
    </w:p>
    <w:bookmarkStart w:id="389" w:name="page390"/>
    <w:bookmarkEnd w:id="389"/>
    <w:p>
      <w:pPr>
        <w:ind w:left="180" w:hanging="176"/>
        <w:spacing w:after="0"/>
        <w:tabs>
          <w:tab w:leader="none" w:pos="180"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Restrictive Legends and Stop-Transfer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443"/>
        <w:spacing w:after="0" w:line="259" w:lineRule="auto"/>
        <w:tabs>
          <w:tab w:leader="none" w:pos="677"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Grantee understands and agrees that the Company shall cause the legends set forth below or legends substantially equivalent thereto, to be placed upon any certificate(s) evidencing ownership of the Common Units together with any other legends that may be required by the Company or by state or federal securities laws:</w:t>
      </w:r>
    </w:p>
    <w:p>
      <w:pPr>
        <w:spacing w:after="0" w:line="59"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THE SECURITIES REPRESENTED BY THIS CERTIFICATE HAVE BEEN ACQUIRED FOR INVESTMENT AND HAVE NOT BEEN REGISTERED WITH THE SECURITIES AND EXCHANGE COMMISSION UNDER THE SECURITIES ACT OF 1933, AS AMENDED (THE “ACT”), AND, OR REGISTERED OR QUALIFIED UNDER ANY STATE SECURITIES LAWS AND, AS SUCH, THEY MAY NOT BE OFFERED FOR SALE, SOLD OR OTHERWISE, DELIVERED AFTER SALE, TRANSFERRED, PLEDGED, OR HYPOTHECATED UNLESS AND UNTIL REGISTERED UNDER THE ACT OR, IN THE OPINION OF COMPANY COUNSEL SATISFACTORY TO THE ISSUER OF THESE SECURITIES, SUCH OFFER, SALE OR TRANSFER, PLEDGE OR HYPOTHECATION IS IN COMPLIANCE THEREWITHIN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1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700" w:top="280" w:right="339" w:bottom="1440" w:gutter="0" w:footer="0" w:header="0"/>
        </w:sectPr>
      </w:pPr>
    </w:p>
    <w:bookmarkStart w:id="390" w:name="page391"/>
    <w:bookmarkEnd w:id="390"/>
    <w:p>
      <w:pPr>
        <w:ind w:left="900"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COMMON UNITS REPRESENTED BY THIS CERTIFICATE ARE SUBJECT TO CERTAIN RESTRICTIONS ON TRANSFER AS SET FORTH IN THE EXERCISE NOTICE BETWEEN THE ISSUER AND THE ORIGINAL HOLDER OF THESE COMMON UNITS, A COPY OF WHICH MAY BE OBTAINED AT THE PRINCIPAL OFFICE OF THE ISSUER. SUCH TRANSFER RESTRICTIONS ARE BINDING ON TRANSFEREES OF THESE COMMON UNITS.</w:t>
      </w:r>
    </w:p>
    <w:p>
      <w:pPr>
        <w:spacing w:after="0" w:line="62" w:lineRule="exact"/>
        <w:rPr>
          <w:sz w:val="20"/>
          <w:szCs w:val="20"/>
          <w:color w:val="auto"/>
        </w:rPr>
      </w:pPr>
    </w:p>
    <w:p>
      <w:pPr>
        <w:ind w:left="440" w:right="120" w:firstLine="443"/>
        <w:spacing w:after="0" w:line="259" w:lineRule="auto"/>
        <w:tabs>
          <w:tab w:leader="none" w:pos="1127" w:val="left"/>
        </w:tabs>
        <w:numPr>
          <w:ilvl w:val="1"/>
          <w:numId w:val="442"/>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Grantee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59" w:lineRule="exact"/>
        <w:rPr>
          <w:rFonts w:ascii="Arial" w:cs="Arial" w:eastAsia="Arial" w:hAnsi="Arial"/>
          <w:sz w:val="18"/>
          <w:szCs w:val="18"/>
          <w:color w:val="auto"/>
        </w:rPr>
      </w:pPr>
    </w:p>
    <w:p>
      <w:pPr>
        <w:ind w:left="1120" w:hanging="237"/>
        <w:spacing w:after="0"/>
        <w:tabs>
          <w:tab w:leader="none" w:pos="1120" w:val="left"/>
        </w:tabs>
        <w:numPr>
          <w:ilvl w:val="1"/>
          <w:numId w:val="442"/>
        </w:numPr>
        <w:rPr>
          <w:rFonts w:ascii="Arial" w:cs="Arial" w:eastAsia="Arial" w:hAnsi="Arial"/>
          <w:sz w:val="16"/>
          <w:szCs w:val="16"/>
          <w:color w:val="auto"/>
        </w:rPr>
      </w:pPr>
      <w:r>
        <w:rPr>
          <w:rFonts w:ascii="Arial" w:cs="Arial" w:eastAsia="Arial" w:hAnsi="Arial"/>
          <w:sz w:val="16"/>
          <w:szCs w:val="16"/>
          <w:u w:val="single" w:color="auto"/>
          <w:color w:val="auto"/>
        </w:rPr>
        <w:t>Refusal to Transfer</w:t>
      </w:r>
      <w:r>
        <w:rPr>
          <w:rFonts w:ascii="Arial" w:cs="Arial" w:eastAsia="Arial" w:hAnsi="Arial"/>
          <w:sz w:val="16"/>
          <w:szCs w:val="16"/>
          <w:color w:val="auto"/>
        </w:rPr>
        <w:t>. The Company shall not be required (i) to transfer on its books any Common Units that have been sold or otherwise</w:t>
      </w:r>
    </w:p>
    <w:p>
      <w:pPr>
        <w:spacing w:after="0" w:line="38" w:lineRule="exact"/>
        <w:rPr>
          <w:rFonts w:ascii="Arial" w:cs="Arial" w:eastAsia="Arial" w:hAnsi="Arial"/>
          <w:sz w:val="16"/>
          <w:szCs w:val="16"/>
          <w:color w:val="auto"/>
        </w:rPr>
      </w:pPr>
    </w:p>
    <w:p>
      <w:pPr>
        <w:ind w:left="440" w:right="120"/>
        <w:spacing w:after="0" w:line="261" w:lineRule="auto"/>
        <w:rPr>
          <w:rFonts w:ascii="Arial" w:cs="Arial" w:eastAsia="Arial" w:hAnsi="Arial"/>
          <w:sz w:val="16"/>
          <w:szCs w:val="16"/>
          <w:color w:val="auto"/>
        </w:rPr>
      </w:pPr>
      <w:r>
        <w:rPr>
          <w:rFonts w:ascii="Arial" w:cs="Arial" w:eastAsia="Arial" w:hAnsi="Arial"/>
          <w:sz w:val="18"/>
          <w:szCs w:val="18"/>
          <w:color w:val="auto"/>
        </w:rPr>
        <w:t>transferred in violation of any of the provisions of this Exercise Notice or (ii) to treat as owner of such Common Units or to accord the right to vote or pay dividends to any purchaser or other transferee to whom such Common Units shall have been so transferred.</w:t>
      </w:r>
    </w:p>
    <w:p>
      <w:pPr>
        <w:spacing w:after="0" w:line="137" w:lineRule="exact"/>
        <w:rPr>
          <w:rFonts w:ascii="Arial" w:cs="Arial" w:eastAsia="Arial" w:hAnsi="Arial"/>
          <w:sz w:val="16"/>
          <w:szCs w:val="16"/>
          <w:color w:val="auto"/>
        </w:rPr>
      </w:pPr>
    </w:p>
    <w:p>
      <w:pPr>
        <w:ind w:left="-20" w:firstLine="464"/>
        <w:spacing w:after="0" w:line="259" w:lineRule="auto"/>
        <w:tabs>
          <w:tab w:leader="none" w:pos="700"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Grantee and Grantee’s heirs, executors, administrators, successors and assigns.</w:t>
      </w:r>
    </w:p>
    <w:p>
      <w:pPr>
        <w:spacing w:after="0" w:line="140" w:lineRule="exact"/>
        <w:rPr>
          <w:rFonts w:ascii="Arial" w:cs="Arial" w:eastAsia="Arial" w:hAnsi="Arial"/>
          <w:sz w:val="18"/>
          <w:szCs w:val="18"/>
          <w:color w:val="auto"/>
        </w:rPr>
      </w:pPr>
    </w:p>
    <w:p>
      <w:pPr>
        <w:ind w:left="-20" w:right="160" w:firstLine="464"/>
        <w:spacing w:after="0" w:line="306" w:lineRule="auto"/>
        <w:tabs>
          <w:tab w:leader="none" w:pos="693" w:val="left"/>
        </w:tabs>
        <w:numPr>
          <w:ilvl w:val="0"/>
          <w:numId w:val="443"/>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Any dispute regarding the interpretation of this Exercise Notice shall be submitted by Grantee or by the Company forthwith to the Administrator which shall review such dispute at its next regular meeting. The resolution of such a dispute by the Administrator shall be final and binding on all parties. For purposes of interpretation and resolving ambiguities, this Exercise Notice, as executed in English, shall prevail over any translation.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391" w:name="page392"/>
    <w:bookmarkEnd w:id="391"/>
    <w:p>
      <w:pPr>
        <w:ind w:right="220" w:firstLine="464"/>
        <w:spacing w:after="0" w:line="259" w:lineRule="auto"/>
        <w:tabs>
          <w:tab w:leader="none" w:pos="72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Severability</w:t>
      </w:r>
      <w:r>
        <w:rPr>
          <w:rFonts w:ascii="Arial" w:cs="Arial" w:eastAsia="Arial" w:hAnsi="Arial"/>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will continue in full force and effect.</w:t>
      </w:r>
    </w:p>
    <w:p>
      <w:pPr>
        <w:spacing w:after="0" w:line="140" w:lineRule="exact"/>
        <w:rPr>
          <w:rFonts w:ascii="Arial" w:cs="Arial" w:eastAsia="Arial" w:hAnsi="Arial"/>
          <w:sz w:val="18"/>
          <w:szCs w:val="18"/>
          <w:color w:val="auto"/>
        </w:rPr>
      </w:pPr>
    </w:p>
    <w:p>
      <w:pPr>
        <w:ind w:firstLine="464"/>
        <w:spacing w:after="0" w:line="298" w:lineRule="auto"/>
        <w:tabs>
          <w:tab w:leader="none" w:pos="720"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(including all exhibits hereto), the Plan, the Option Agreement, the Company’s Securityholders’ Agreement and the Company’s Operating Agreement constitute the entire agreement of the parties with respect to the subject matter hereof and supersede in their entirety all prior undertakings and agreements of the Company and Grantee with respect to the subject matter hereof, and may not be modified adversely to the Grantee’s interest except by means of a writing signed by the Company and Grantee.</w:t>
      </w:r>
    </w:p>
    <w:p>
      <w:pPr>
        <w:sectPr>
          <w:pgSz w:w="11900" w:h="16838" w:orient="portrait"/>
          <w:cols w:equalWidth="0" w:num="1">
            <w:col w:w="11320"/>
          </w:cols>
          <w:pgMar w:left="240" w:top="280"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2540</wp:posOffset>
            </wp:positionV>
            <wp:extent cx="261556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Submitted by: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341312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41312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341312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341312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341312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257175</wp:posOffset>
            </wp:positionV>
            <wp:extent cx="346456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105410</wp:posOffset>
            </wp:positionV>
            <wp:extent cx="346456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105410</wp:posOffset>
            </wp:positionV>
            <wp:extent cx="346456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81" w:lineRule="exact"/>
        <w:rPr>
          <w:sz w:val="20"/>
          <w:szCs w:val="20"/>
          <w:color w:val="auto"/>
        </w:rPr>
      </w:pPr>
    </w:p>
    <w:p>
      <w:pPr>
        <w:sectPr>
          <w:pgSz w:w="11900" w:h="16838" w:orient="portrait"/>
          <w:cols w:equalWidth="0" w:num="2">
            <w:col w:w="5360" w:space="720"/>
            <w:col w:w="5240"/>
          </w:cols>
          <w:pgMar w:left="240" w:top="2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20"/>
          </w:cols>
          <w:pgMar w:left="240" w:top="280" w:right="339" w:bottom="1440" w:gutter="0" w:footer="0" w:header="0"/>
          <w:type w:val="continuous"/>
        </w:sectPr>
      </w:pPr>
    </w:p>
    <w:bookmarkStart w:id="392" w:name="page393"/>
    <w:bookmarkEnd w:id="39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A-1 TO EXERCISE NOTICE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JOINDER TO SECURITYHOLDERS’ AGREEMENT AND OPERATING AGREEMENT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Joinder Agreement (this “Joinder Agreement”) is made as of the date written below by the undersigned (the “Joining Party”) in accordance with (i) the Second Amended and Restated Securityholders’ Agreement dated as of October 6, 2004, by and among, MagnaChip Semiconductor LLC (the “Company”), CVC Capital Partners Asia Pacific LP, Asia Investors LLC, CVC Capital Partners Asia II Limited, Citigroup Venture Capital Equity Partners, L.P., CVC Executive Fund LLC, CVC/SSB Employee Fund, L.P., CVC Co-Investors (as defined therein), Francisco Partners, L.P., Francisco Partners Fund A, L.P., Peninsula Investment Pte. Ltd., Hynix Semiconductor Inc., and Management Investors (as defined therein) (the “Securityholders’ Agreement”), as the same may be amended from time to time and (ii) the Operating Agreement (as defined in the Securityholders’ Agreement). Capitalized terms used, but not defined, herein shall have the meaning ascribed to such terms in the Securityholders’ Agreement.</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Joining Party hereby acknowledges, agrees and confirms that, by its execution of this Joinder Agreement, the Joining Party shall be deemed to be a party to the Securityholders’ Agreement and the Operating Agreement as of the date hereof and shall have all of the rights and obligations of (i) a “Securityholder” under the Securityholders’ Agreement as if it had executed the Securityholders’ Agreement and (ii) a “Member” under the Operating Agreement as if it had executed the Operating Agreement. The Joining Party hereby ratifies, as of the date hereof, and agrees to be bound by, all of the terms, provisions and conditions contained in the Securityholders’ Agreement and the Operating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Joinder Agreement as of _______________, 200__.</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Membership Interests Transferred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2540</wp:posOffset>
            </wp:positionV>
            <wp:extent cx="261556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341312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341312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41312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341312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341312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2540</wp:posOffset>
            </wp:positionV>
            <wp:extent cx="261556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wp:posOffset>
            </wp:positionV>
            <wp:extent cx="261556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wp:posOffset>
            </wp:positionV>
            <wp:extent cx="261556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3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279" w:right="1440"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 B TO EXERCISE NOTICE</w:t>
            </w:r>
          </w:p>
        </w:tc>
        <w:tc>
          <w:tcPr>
            <w:tcW w:w="520" w:type="dxa"/>
            <w:vAlign w:val="bottom"/>
          </w:tcPr>
          <w:p>
            <w:pPr>
              <w:spacing w:after="0"/>
              <w:rPr>
                <w:sz w:val="17"/>
                <w:szCs w:val="17"/>
                <w:color w:val="auto"/>
              </w:rPr>
            </w:pPr>
          </w:p>
        </w:tc>
      </w:tr>
      <w:tr>
        <w:trPr>
          <w:trHeight w:val="397"/>
        </w:trPr>
        <w:tc>
          <w:tcPr>
            <w:tcW w:w="1200" w:type="dxa"/>
            <w:vAlign w:val="bottom"/>
          </w:tcPr>
          <w:p>
            <w:pPr>
              <w:spacing w:after="0"/>
              <w:rPr>
                <w:sz w:val="24"/>
                <w:szCs w:val="24"/>
                <w:color w:val="auto"/>
              </w:rPr>
            </w:pPr>
          </w:p>
        </w:tc>
        <w:tc>
          <w:tcPr>
            <w:tcW w:w="6480" w:type="dxa"/>
            <w:vAlign w:val="bottom"/>
            <w:gridSpan w:val="3"/>
          </w:tcPr>
          <w:p>
            <w:pPr>
              <w:jc w:val="center"/>
              <w:ind w:left="2452"/>
              <w:spacing w:after="0"/>
              <w:rPr>
                <w:sz w:val="20"/>
                <w:szCs w:val="20"/>
                <w:color w:val="auto"/>
              </w:rPr>
            </w:pPr>
            <w:r>
              <w:rPr>
                <w:rFonts w:ascii="Arial" w:cs="Arial" w:eastAsia="Arial" w:hAnsi="Arial"/>
                <w:sz w:val="18"/>
                <w:szCs w:val="18"/>
                <w:b w:val="1"/>
                <w:bCs w:val="1"/>
                <w:color w:val="auto"/>
                <w:w w:val="97"/>
              </w:rPr>
              <w:t>INVESTMENT REPRESENTATION STATEMENT</w:t>
            </w:r>
          </w:p>
        </w:tc>
      </w:tr>
      <w:tr>
        <w:trPr>
          <w:trHeight w:val="419"/>
        </w:trPr>
        <w:tc>
          <w:tcPr>
            <w:tcW w:w="1200" w:type="dxa"/>
            <w:vAlign w:val="bottom"/>
          </w:tcPr>
          <w:p>
            <w:pPr>
              <w:spacing w:after="0"/>
              <w:rPr>
                <w:sz w:val="20"/>
                <w:szCs w:val="20"/>
                <w:color w:val="auto"/>
              </w:rPr>
            </w:pPr>
            <w:r>
              <w:rPr>
                <w:rFonts w:ascii="Arial" w:cs="Arial" w:eastAsia="Arial" w:hAnsi="Arial"/>
                <w:sz w:val="18"/>
                <w:szCs w:val="18"/>
                <w:color w:val="auto"/>
              </w:rPr>
              <w:t>GRANTEE:</w:t>
            </w:r>
          </w:p>
        </w:tc>
        <w:tc>
          <w:tcPr>
            <w:tcW w:w="3080" w:type="dxa"/>
            <w:vAlign w:val="bottom"/>
          </w:tcPr>
          <w:p>
            <w:pPr>
              <w:ind w:left="280"/>
              <w:spacing w:after="0"/>
              <w:rPr>
                <w:sz w:val="20"/>
                <w:szCs w:val="20"/>
                <w:color w:val="auto"/>
              </w:rPr>
            </w:pPr>
            <w:r>
              <w:rPr>
                <w:rFonts w:ascii="Arial" w:cs="Arial" w:eastAsia="Arial" w:hAnsi="Arial"/>
                <w:sz w:val="18"/>
                <w:szCs w:val="18"/>
                <w:color w:val="auto"/>
                <w:w w:val="99"/>
              </w:rPr>
              <w:t>____________________________</w:t>
            </w: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COMPANY:</w:t>
            </w:r>
          </w:p>
        </w:tc>
        <w:tc>
          <w:tcPr>
            <w:tcW w:w="6480" w:type="dxa"/>
            <w:vAlign w:val="bottom"/>
            <w:gridSpan w:val="3"/>
          </w:tcPr>
          <w:p>
            <w:pPr>
              <w:ind w:left="280"/>
              <w:spacing w:after="0"/>
              <w:rPr>
                <w:sz w:val="20"/>
                <w:szCs w:val="20"/>
                <w:color w:val="auto"/>
              </w:rPr>
            </w:pPr>
            <w:r>
              <w:rPr>
                <w:rFonts w:ascii="Arial" w:cs="Arial" w:eastAsia="Arial" w:hAnsi="Arial"/>
                <w:sz w:val="18"/>
                <w:szCs w:val="18"/>
                <w:color w:val="auto"/>
              </w:rPr>
              <w:t>MagnaChip Semiconductor LLC</w:t>
            </w: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SECURITY:</w:t>
            </w:r>
          </w:p>
        </w:tc>
        <w:tc>
          <w:tcPr>
            <w:tcW w:w="6480" w:type="dxa"/>
            <w:vAlign w:val="bottom"/>
            <w:gridSpan w:val="3"/>
          </w:tcPr>
          <w:p>
            <w:pPr>
              <w:ind w:left="280"/>
              <w:spacing w:after="0"/>
              <w:rPr>
                <w:sz w:val="20"/>
                <w:szCs w:val="20"/>
                <w:color w:val="auto"/>
              </w:rPr>
            </w:pPr>
            <w:r>
              <w:rPr>
                <w:rFonts w:ascii="Arial" w:cs="Arial" w:eastAsia="Arial" w:hAnsi="Arial"/>
                <w:sz w:val="18"/>
                <w:szCs w:val="18"/>
                <w:color w:val="auto"/>
              </w:rPr>
              <w:t>Common Units</w:t>
            </w: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AMOUNT:</w:t>
            </w:r>
          </w:p>
        </w:tc>
        <w:tc>
          <w:tcPr>
            <w:tcW w:w="3080" w:type="dxa"/>
            <w:vAlign w:val="bottom"/>
          </w:tcPr>
          <w:p>
            <w:pPr>
              <w:ind w:left="280"/>
              <w:spacing w:after="0"/>
              <w:rPr>
                <w:sz w:val="20"/>
                <w:szCs w:val="20"/>
                <w:color w:val="auto"/>
              </w:rPr>
            </w:pPr>
            <w:r>
              <w:rPr>
                <w:rFonts w:ascii="Arial" w:cs="Arial" w:eastAsia="Arial" w:hAnsi="Arial"/>
                <w:sz w:val="18"/>
                <w:szCs w:val="18"/>
                <w:color w:val="auto"/>
                <w:w w:val="99"/>
              </w:rPr>
              <w:t>____________________________</w:t>
            </w: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80"/>
              <w:spacing w:after="0"/>
              <w:rPr>
                <w:sz w:val="20"/>
                <w:szCs w:val="20"/>
                <w:color w:val="auto"/>
              </w:rPr>
            </w:pPr>
            <w:r>
              <w:rPr>
                <w:rFonts w:ascii="Arial" w:cs="Arial" w:eastAsia="Arial" w:hAnsi="Arial"/>
                <w:sz w:val="18"/>
                <w:szCs w:val="18"/>
                <w:color w:val="auto"/>
                <w:w w:val="99"/>
              </w:rPr>
              <w:t>____________________________</w:t>
            </w: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40" w:firstLine="456"/>
        <w:spacing w:after="0" w:line="268" w:lineRule="auto"/>
        <w:rPr>
          <w:sz w:val="20"/>
          <w:szCs w:val="20"/>
          <w:color w:val="auto"/>
        </w:rPr>
      </w:pPr>
      <w:r>
        <w:rPr>
          <w:rFonts w:ascii="Arial" w:cs="Arial" w:eastAsia="Arial" w:hAnsi="Arial"/>
          <w:sz w:val="18"/>
          <w:szCs w:val="18"/>
          <w:color w:val="auto"/>
        </w:rPr>
        <w:t>Effective as of the date set forth above, in connection with the purchase of the above-listed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undersigned Grantee hereby represents and warrants to MagnaChip Semiconductor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following:</w:t>
      </w:r>
    </w:p>
    <w:p>
      <w:pPr>
        <w:spacing w:after="0" w:line="132" w:lineRule="exact"/>
        <w:rPr>
          <w:sz w:val="20"/>
          <w:szCs w:val="20"/>
          <w:color w:val="auto"/>
        </w:rPr>
      </w:pPr>
    </w:p>
    <w:p>
      <w:pPr>
        <w:ind w:right="380" w:firstLine="464"/>
        <w:spacing w:after="0" w:line="259" w:lineRule="auto"/>
        <w:tabs>
          <w:tab w:leader="none" w:pos="74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Grantee is not a U.S. person, not voting on behalf of or acquiring the Securities for the account or benefit of any U.S. person and will acquire the Securities in an offshore transaction (each such term having the meaning set forth in Regulation 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59"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For purposes of the above representation, “</w:t>
      </w:r>
      <w:r>
        <w:rPr>
          <w:rFonts w:ascii="Arial" w:cs="Arial" w:eastAsia="Arial" w:hAnsi="Arial"/>
          <w:sz w:val="16"/>
          <w:szCs w:val="16"/>
          <w:u w:val="single" w:color="auto"/>
          <w:color w:val="auto"/>
        </w:rPr>
        <w:t>U.S. person</w:t>
      </w:r>
      <w:r>
        <w:rPr>
          <w:rFonts w:ascii="Arial" w:cs="Arial" w:eastAsia="Arial" w:hAnsi="Arial"/>
          <w:sz w:val="16"/>
          <w:szCs w:val="16"/>
          <w:color w:val="auto"/>
        </w:rPr>
        <w:t>”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 (vii) any discretionary account or similar account (other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 Securities Act, unless it is organized or incorporated, and owned, by accredited investors (as defined below) who are not natural persons, estates or trusts.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257" w:right="359" w:bottom="1440" w:gutter="0" w:footer="0" w:header="0"/>
        </w:sectPr>
      </w:pPr>
    </w:p>
    <w:bookmarkStart w:id="395" w:name="page396"/>
    <w:bookmarkEnd w:id="395"/>
    <w:p>
      <w:pPr>
        <w:ind w:left="280" w:hanging="276"/>
        <w:spacing w:after="0"/>
        <w:tabs>
          <w:tab w:leader="none" w:pos="2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 agrees not to engage in hedging transactions with regard to the Securities unless in compliance with the Securities Act.</w:t>
      </w:r>
    </w:p>
    <w:p>
      <w:pPr>
        <w:spacing w:after="0" w:line="171" w:lineRule="exact"/>
        <w:rPr>
          <w:rFonts w:ascii="Arial" w:cs="Arial" w:eastAsia="Arial" w:hAnsi="Arial"/>
          <w:sz w:val="18"/>
          <w:szCs w:val="18"/>
          <w:color w:val="auto"/>
        </w:rPr>
      </w:pPr>
    </w:p>
    <w:p>
      <w:pPr>
        <w:ind w:left="280" w:hanging="276"/>
        <w:spacing w:after="0"/>
        <w:tabs>
          <w:tab w:leader="none" w:pos="28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Grantee understands that no public market currently exists for the Securities and that there are no assurances that any such market will be created.</w:t>
      </w:r>
    </w:p>
    <w:p>
      <w:pPr>
        <w:spacing w:after="0" w:line="194" w:lineRule="exact"/>
        <w:rPr>
          <w:rFonts w:ascii="Arial" w:cs="Arial" w:eastAsia="Arial" w:hAnsi="Arial"/>
          <w:sz w:val="16"/>
          <w:szCs w:val="16"/>
          <w:color w:val="auto"/>
        </w:rPr>
      </w:pPr>
    </w:p>
    <w:p>
      <w:pPr>
        <w:ind w:left="300" w:hanging="296"/>
        <w:spacing w:after="0"/>
        <w:tabs>
          <w:tab w:leader="none" w:pos="30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Grantee acknowledges that certificates representing the Securities will bear the following legend, in addition to any legends otherwise required:</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SECURITIES REPRESENTED BY THIS CERTIFICATE HAVE BEEN ACQUIRED FOR INVESTMENT AND HAVE NOT BEEN REGISTERED WITH THE SECURITIES AND EXCHANGE COMMISSION UNDER THE SECURITIES ACT OF 1933, AS AMENDED, OR REGISTERED OR QUALIFIED UNDER ANY STATE SECURITIES LAWS AND, AS SUCH, THEY MAY NOT BE OFFERED FOR SALE, SOLD, DELIVERED AFTER SALE, TRANSFERRED, PLEDGED, OR HYPOTHECATED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3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700" w:top="280" w:right="299" w:bottom="1440" w:gutter="0" w:footer="0" w:header="0"/>
        </w:sectPr>
      </w:pPr>
    </w:p>
    <w:bookmarkStart w:id="396" w:name="page397"/>
    <w:bookmarkEnd w:id="39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SECURITIES REPRESENTED BY THIS CERTIFICATE ARE SUBJECT TO CERTAIN RESTRICTIONS ON TRANSFER AS SET FORTH IN THE EXERCISE NOTICE BETWEEN THE ISSUER AND THE ORIGINAL HOLDER OF THESE SECURITIES, A COPY OF WHICH MAY BE OBTAINED AT THE PRINCIPAL OFFICE OF THE ISSUER. SUCH TRANSFER RESTRICTIONS ARE BINDING ON TRANSFEREES OF THESE SECURITIES.”</w:t>
      </w:r>
    </w:p>
    <w:p>
      <w:pPr>
        <w:spacing w:after="0" w:line="143" w:lineRule="exact"/>
        <w:rPr>
          <w:sz w:val="20"/>
          <w:szCs w:val="20"/>
          <w:color w:val="auto"/>
        </w:rPr>
      </w:pPr>
    </w:p>
    <w:p>
      <w:pPr>
        <w:ind w:left="280" w:hanging="276"/>
        <w:spacing w:after="0"/>
        <w:tabs>
          <w:tab w:leader="none" w:pos="28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Grantee acknowledges and agrees that:</w:t>
      </w:r>
    </w:p>
    <w:p>
      <w:pPr>
        <w:spacing w:after="0" w:line="90" w:lineRule="exact"/>
        <w:rPr>
          <w:rFonts w:ascii="Arial" w:cs="Arial" w:eastAsia="Arial" w:hAnsi="Arial"/>
          <w:sz w:val="18"/>
          <w:szCs w:val="18"/>
          <w:color w:val="auto"/>
        </w:rPr>
      </w:pPr>
    </w:p>
    <w:p>
      <w:pPr>
        <w:ind w:right="260" w:firstLine="443"/>
        <w:spacing w:after="0" w:line="332" w:lineRule="auto"/>
        <w:tabs>
          <w:tab w:leader="none" w:pos="648" w:val="left"/>
        </w:tabs>
        <w:numPr>
          <w:ilvl w:val="1"/>
          <w:numId w:val="447"/>
        </w:numPr>
        <w:rPr>
          <w:rFonts w:ascii="Arial" w:cs="Arial" w:eastAsia="Arial" w:hAnsi="Arial"/>
          <w:sz w:val="16"/>
          <w:szCs w:val="16"/>
          <w:color w:val="auto"/>
        </w:rPr>
      </w:pPr>
      <w:r>
        <w:rPr>
          <w:rFonts w:ascii="Arial" w:cs="Arial" w:eastAsia="Arial" w:hAnsi="Arial"/>
          <w:sz w:val="16"/>
          <w:szCs w:val="16"/>
          <w:color w:val="auto"/>
        </w:rPr>
        <w:t>The Securities have not been, and there is no assurance that the Securities will ever be, registered under the Securities Act, and in issuing the Securities to Grantee, the Company is relying upon the “safe harbor” provided by Regulation S under the Securities Act;</w:t>
      </w:r>
    </w:p>
    <w:p>
      <w:pPr>
        <w:spacing w:after="0" w:line="4" w:lineRule="exact"/>
        <w:rPr>
          <w:rFonts w:ascii="Arial" w:cs="Arial" w:eastAsia="Arial" w:hAnsi="Arial"/>
          <w:sz w:val="16"/>
          <w:szCs w:val="16"/>
          <w:color w:val="auto"/>
        </w:rPr>
      </w:pPr>
    </w:p>
    <w:p>
      <w:pPr>
        <w:ind w:right="220" w:firstLine="443"/>
        <w:spacing w:after="0" w:line="332" w:lineRule="auto"/>
        <w:tabs>
          <w:tab w:leader="none" w:pos="697" w:val="left"/>
        </w:tabs>
        <w:numPr>
          <w:ilvl w:val="1"/>
          <w:numId w:val="447"/>
        </w:numPr>
        <w:rPr>
          <w:rFonts w:ascii="Arial" w:cs="Arial" w:eastAsia="Arial" w:hAnsi="Arial"/>
          <w:sz w:val="16"/>
          <w:szCs w:val="16"/>
          <w:color w:val="auto"/>
        </w:rPr>
      </w:pPr>
      <w:r>
        <w:rPr>
          <w:rFonts w:ascii="Arial" w:cs="Arial" w:eastAsia="Arial" w:hAnsi="Arial"/>
          <w:sz w:val="16"/>
          <w:szCs w:val="16"/>
          <w:color w:val="auto"/>
        </w:rPr>
        <w:t>It is a condition to the availability of the Regulation S “safe harbor” that the Securities not be offered or sold in the United States or to a U.S. person until the expiration of a period of one year following the purchase of the Securities (the “</w:t>
      </w:r>
      <w:r>
        <w:rPr>
          <w:rFonts w:ascii="Arial" w:cs="Arial" w:eastAsia="Arial" w:hAnsi="Arial"/>
          <w:sz w:val="16"/>
          <w:szCs w:val="16"/>
          <w:u w:val="single" w:color="auto"/>
          <w:color w:val="auto"/>
        </w:rPr>
        <w:t>Distribution Compliance Period</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740" w:hanging="297"/>
        <w:spacing w:after="0"/>
        <w:tabs>
          <w:tab w:leader="none" w:pos="74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Until the expiration of the Distribution Compliance Period:</w:t>
      </w:r>
    </w:p>
    <w:p>
      <w:pPr>
        <w:spacing w:after="0" w:line="90" w:lineRule="exact"/>
        <w:rPr>
          <w:rFonts w:ascii="Arial" w:cs="Arial" w:eastAsia="Arial" w:hAnsi="Arial"/>
          <w:sz w:val="18"/>
          <w:szCs w:val="18"/>
          <w:color w:val="auto"/>
        </w:rPr>
      </w:pPr>
    </w:p>
    <w:p>
      <w:pPr>
        <w:ind w:left="460" w:right="200" w:firstLine="421"/>
        <w:spacing w:after="0" w:line="268" w:lineRule="auto"/>
        <w:tabs>
          <w:tab w:leader="none" w:pos="1119" w:val="left"/>
        </w:tabs>
        <w:numPr>
          <w:ilvl w:val="2"/>
          <w:numId w:val="447"/>
        </w:numPr>
        <w:rPr>
          <w:rFonts w:ascii="Arial" w:cs="Arial" w:eastAsia="Arial" w:hAnsi="Arial"/>
          <w:sz w:val="18"/>
          <w:szCs w:val="18"/>
          <w:color w:val="auto"/>
        </w:rPr>
      </w:pPr>
      <w:r>
        <w:rPr>
          <w:rFonts w:ascii="Arial" w:cs="Arial" w:eastAsia="Arial" w:hAnsi="Arial"/>
          <w:sz w:val="18"/>
          <w:szCs w:val="18"/>
          <w:color w:val="auto"/>
        </w:rPr>
        <w:t>Grantee has not and will not solicit offers to buy, offer for sale or sell any of the Common Units or any beneficial interest therein in the United States or to or for the account of a U.S. person;</w:t>
      </w:r>
    </w:p>
    <w:p>
      <w:pPr>
        <w:spacing w:after="0" w:line="11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00"/>
          </w:cols>
          <w:pgMar w:left="700" w:top="280" w:right="399" w:bottom="1440" w:gutter="0" w:footer="0" w:header="0"/>
        </w:sectPr>
      </w:pPr>
    </w:p>
    <w:bookmarkStart w:id="397" w:name="page398"/>
    <w:bookmarkEnd w:id="397"/>
    <w:p>
      <w:pPr>
        <w:ind w:left="460" w:firstLine="421"/>
        <w:spacing w:after="0" w:line="298" w:lineRule="auto"/>
        <w:tabs>
          <w:tab w:leader="none" w:pos="1128" w:val="left"/>
        </w:tabs>
        <w:numPr>
          <w:ilvl w:val="1"/>
          <w:numId w:val="4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Notwithstanding the foregoing, prior to the expiration of the Distribution Compliance Period, the Common Units may be offered and sold by Grantee only if: (A) the offer or sale is within the United States or for the account of a U.S. person (as such terms are defined in Regulation S), the Common Units are offered and sold pursuant to an effective registration statement or pursuant to an exemption from the registration requirements of the Securities Act; or (B) the offer and sale is outside the United States and to other than a U.S. person; and</w:t>
      </w:r>
    </w:p>
    <w:p>
      <w:pPr>
        <w:spacing w:after="0" w:line="31" w:lineRule="exact"/>
        <w:rPr>
          <w:rFonts w:ascii="Arial" w:cs="Arial" w:eastAsia="Arial" w:hAnsi="Arial"/>
          <w:sz w:val="16"/>
          <w:szCs w:val="16"/>
          <w:color w:val="auto"/>
        </w:rPr>
      </w:pPr>
    </w:p>
    <w:p>
      <w:pPr>
        <w:ind w:left="1120" w:hanging="239"/>
        <w:spacing w:after="0"/>
        <w:tabs>
          <w:tab w:leader="none" w:pos="112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The foregoing restrictions are binding upon subsequent transferees of the Securities, except for transferees pursuant to an effective</w:t>
      </w:r>
    </w:p>
    <w:p>
      <w:pPr>
        <w:spacing w:after="0" w:line="38" w:lineRule="exact"/>
        <w:rPr>
          <w:rFonts w:ascii="Arial" w:cs="Arial" w:eastAsia="Arial" w:hAnsi="Arial"/>
          <w:sz w:val="16"/>
          <w:szCs w:val="16"/>
          <w:color w:val="auto"/>
        </w:rPr>
      </w:pPr>
    </w:p>
    <w:p>
      <w:pPr>
        <w:ind w:left="460" w:right="40"/>
        <w:spacing w:after="0" w:line="261" w:lineRule="auto"/>
        <w:rPr>
          <w:rFonts w:ascii="Arial" w:cs="Arial" w:eastAsia="Arial" w:hAnsi="Arial"/>
          <w:sz w:val="16"/>
          <w:szCs w:val="16"/>
          <w:color w:val="auto"/>
        </w:rPr>
      </w:pPr>
      <w:r>
        <w:rPr>
          <w:rFonts w:ascii="Arial" w:cs="Arial" w:eastAsia="Arial" w:hAnsi="Arial"/>
          <w:sz w:val="18"/>
          <w:szCs w:val="18"/>
          <w:color w:val="auto"/>
        </w:rPr>
        <w:t>registration statement. Grantee agrees that after the Distribution Compliance Period, the Securities may be offered or sold within the United States or to or for the account of a U.S. person only pursuant to applicable securities laws.</w:t>
      </w:r>
    </w:p>
    <w:p>
      <w:pPr>
        <w:spacing w:after="0" w:line="56" w:lineRule="exact"/>
        <w:rPr>
          <w:rFonts w:ascii="Arial" w:cs="Arial" w:eastAsia="Arial" w:hAnsi="Arial"/>
          <w:sz w:val="16"/>
          <w:szCs w:val="16"/>
          <w:color w:val="auto"/>
        </w:rPr>
      </w:pPr>
    </w:p>
    <w:p>
      <w:pPr>
        <w:ind w:right="20" w:firstLine="443"/>
        <w:spacing w:after="0" w:line="332" w:lineRule="auto"/>
        <w:tabs>
          <w:tab w:leader="none" w:pos="73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Grantee has not engaged, nor is Grantee aware that any party has engaged, and Grantee will not engage or cause any third party to engage, in any directed selling efforts (as such term is defined in Regulation S) in the United States with respect to the Securities;</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Grantee is not a “distributor” (as defined in Regulation S) or a “dealer” (as defined in the Securities Act); and</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Grantee acknowledges that the Company shall make a notation in its stock books regarding the restrictions on transfer set forth in this</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Section (E) and shall transfer such Securities on the books of the Company only to the extent consistent herewith. In particular, Grantee acknowledges that the Company shall refuse to register any transfer of the Securities not made in accordance with the provisions of Regulation S, pursuant to registration under the Securities Act or pursuant to an available exemption from registration.</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79" w:right="239" w:bottom="1440" w:gutter="0" w:footer="0" w:header="0"/>
        </w:sectPr>
      </w:pPr>
    </w:p>
    <w:bookmarkStart w:id="398" w:name="page399"/>
    <w:bookmarkEnd w:id="398"/>
    <w:p>
      <w:pPr>
        <w:ind w:left="600" w:hanging="256"/>
        <w:spacing w:after="0"/>
        <w:tabs>
          <w:tab w:leader="none" w:pos="6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Grantee will notify any purchaser of the Securities from Grantee of the restrictions relating to the Securities noted herewith.</w:t>
      </w:r>
    </w:p>
    <w:p>
      <w:pPr>
        <w:spacing w:after="0" w:line="171" w:lineRule="exact"/>
        <w:rPr>
          <w:rFonts w:ascii="Arial" w:cs="Arial" w:eastAsia="Arial" w:hAnsi="Arial"/>
          <w:sz w:val="18"/>
          <w:szCs w:val="18"/>
          <w:color w:val="auto"/>
        </w:rPr>
      </w:pPr>
    </w:p>
    <w:p>
      <w:pPr>
        <w:ind w:left="640" w:hanging="296"/>
        <w:spacing w:after="0"/>
        <w:tabs>
          <w:tab w:leader="none" w:pos="64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Grantee has full power and authority to deliver this Investment Representation Statement in relation to the Grantee’s purchase of the Securities.</w:t>
      </w:r>
    </w:p>
    <w:p>
      <w:pPr>
        <w:spacing w:after="0" w:line="194" w:lineRule="exact"/>
        <w:rPr>
          <w:rFonts w:ascii="Arial" w:cs="Arial" w:eastAsia="Arial" w:hAnsi="Arial"/>
          <w:sz w:val="16"/>
          <w:szCs w:val="16"/>
          <w:color w:val="auto"/>
        </w:rPr>
      </w:pPr>
    </w:p>
    <w:p>
      <w:pPr>
        <w:ind w:left="-120" w:right="120" w:firstLine="464"/>
        <w:spacing w:after="0" w:line="268" w:lineRule="auto"/>
        <w:tabs>
          <w:tab w:leader="none" w:pos="62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Grantee acknowledges that the Company and is entitled to rely on the truth and accuracy of the foregoing representations and warranties and that the foregoing representations and warranties will survive Grantee’s admission as a member of the Company.</w:t>
      </w:r>
    </w:p>
    <w:p>
      <w:pPr>
        <w:spacing w:after="0" w:line="131" w:lineRule="exact"/>
        <w:rPr>
          <w:rFonts w:ascii="Arial" w:cs="Arial" w:eastAsia="Arial" w:hAnsi="Arial"/>
          <w:sz w:val="18"/>
          <w:szCs w:val="18"/>
          <w:color w:val="auto"/>
        </w:rPr>
      </w:pPr>
    </w:p>
    <w:p>
      <w:pPr>
        <w:ind w:left="-120" w:right="180" w:firstLine="464"/>
        <w:spacing w:after="0" w:line="298" w:lineRule="auto"/>
        <w:tabs>
          <w:tab w:leader="none" w:pos="556" w:val="left"/>
        </w:tabs>
        <w:numPr>
          <w:ilvl w:val="0"/>
          <w:numId w:val="450"/>
        </w:numPr>
        <w:rPr>
          <w:rFonts w:ascii="Arial" w:cs="Arial" w:eastAsia="Arial" w:hAnsi="Arial"/>
          <w:sz w:val="16"/>
          <w:szCs w:val="16"/>
          <w:color w:val="auto"/>
        </w:rPr>
      </w:pPr>
      <w:r>
        <w:rPr>
          <w:rFonts w:ascii="Arial" w:cs="Arial" w:eastAsia="Arial" w:hAnsi="Arial"/>
          <w:sz w:val="16"/>
          <w:szCs w:val="16"/>
          <w:color w:val="auto"/>
        </w:rPr>
        <w:t>Grantee acknowledges that these representations and warranties may be translated into one or more languages other than English. In case of any inconsistency between the English version of these representations and warranties and a version in any other language, the English version shall prevail. In the event Grantee executes and delivers a non-English version of these representations and warranties, such execution and delivery will also be deemed to be execution and delivery of the English version of these representations and warranties.</w:t>
      </w:r>
    </w:p>
    <w:p>
      <w:pPr>
        <w:spacing w:after="0" w:line="112" w:lineRule="exact"/>
        <w:rPr>
          <w:rFonts w:ascii="Arial" w:cs="Arial" w:eastAsia="Arial" w:hAnsi="Arial"/>
          <w:sz w:val="16"/>
          <w:szCs w:val="16"/>
          <w:color w:val="auto"/>
        </w:rPr>
      </w:pPr>
    </w:p>
    <w:p>
      <w:pPr>
        <w:ind w:left="-120" w:firstLine="464"/>
        <w:spacing w:after="0" w:line="255" w:lineRule="auto"/>
        <w:tabs>
          <w:tab w:leader="none" w:pos="56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Grantee represents and warrants that the above acknowledgements, representations and agreements are true and accurate as of the date hereof. Grantee also agrees to inform the Company should any of the information contained in these representations and warranties cease to be true and/or accurate. Grantee acknowledges that in the event it does not inform the Company of any change to the information contained in these representations and warranties, the Company and its respective professional advisers will be entitled to continue to rely on the truth and accuracy of the foregoing representations and warranties until and including the date the Grantee purchases the Securities.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60" w:top="279" w:right="339" w:bottom="1440" w:gutter="0" w:footer="0" w:header="0"/>
        </w:sectPr>
      </w:pPr>
    </w:p>
    <w:bookmarkStart w:id="399" w:name="page400"/>
    <w:bookmarkEnd w:id="3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341312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341312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41312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396875</wp:posOffset>
            </wp:positionV>
            <wp:extent cx="341312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280" w:right="1440"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10.54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[Korean Language Redacted]</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SECURITIES REPRESENTED HEREBY HAVE BEEN OFFERED IN AN OFFSHORE TRANSACTION TO A PERSON WHO IS NOT A U.S. PERSON (AS DEFINED HEREIN) PURSUANT TO REGULATION S UNDER THE UNITED STATES SECURITIES ACT OF 1933, AS AMENDED (THE “SECURITIES ACT”).</w:t>
      </w:r>
    </w:p>
    <w:p>
      <w:pPr>
        <w:spacing w:after="0" w:line="1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SECURITIES REPRESENTED HEREBY HAVE BEEN ACQUIRED FOR INVESTMENT AND HAVE NOT BEEN REGISTERED WITH THE SECURITIES AND EXCHANGE COMMISSION UNDER THE SECURITIES ACT AND, AS SUCH, THEY MAY NOT BE OFFERED FOR SALE, SOLD, DELIVERED AFTER SALE, TRANSFERRED, PLEDGED, HYPOTHECATED OR EXERCISED (AS APPLICABLE)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HEREBY AGREES NOT TO ENGAGE IN HEDGING TRANSACTIONS WITH REGARD TO THE SECURITIES UNLESS IN COMPLIANCE WITH THE SECURITIES ACT.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65" w:lineRule="exact"/>
        <w:rPr>
          <w:sz w:val="20"/>
          <w:szCs w:val="20"/>
          <w:color w:val="auto"/>
        </w:rPr>
      </w:pPr>
    </w:p>
    <w:p>
      <w:pPr>
        <w:ind w:right="360" w:firstLine="913"/>
        <w:spacing w:after="0" w:line="310" w:lineRule="auto"/>
        <w:rPr>
          <w:sz w:val="20"/>
          <w:szCs w:val="20"/>
          <w:color w:val="auto"/>
        </w:rPr>
      </w:pPr>
      <w:r>
        <w:rPr>
          <w:rFonts w:ascii="Arial" w:cs="Arial" w:eastAsia="Arial" w:hAnsi="Arial"/>
          <w:sz w:val="16"/>
          <w:szCs w:val="16"/>
          <w:color w:val="auto"/>
        </w:rPr>
        <w:t xml:space="preserve">THIS OPTION AGREEMENT, dated as of </w:t>
      </w:r>
      <w:r>
        <w:rPr>
          <w:rFonts w:ascii="Arial" w:cs="Arial" w:eastAsia="Arial" w:hAnsi="Arial"/>
          <w:sz w:val="16"/>
          <w:szCs w:val="16"/>
          <w:b w:val="1"/>
          <w:bCs w:val="1"/>
          <w:u w:val="single" w:color="auto"/>
          <w:color w:val="auto"/>
        </w:rPr>
        <w:t>March 9, 2006</w:t>
      </w:r>
      <w:r>
        <w:rPr>
          <w:rFonts w:ascii="Arial" w:cs="Arial" w:eastAsia="Arial" w:hAnsi="Arial"/>
          <w:sz w:val="16"/>
          <w:szCs w:val="16"/>
          <w:color w:val="auto"/>
        </w:rPr>
        <w:t xml:space="preserve">, is executed by and between MagnaChip Semiconductor LLC, a Delaware limited liability company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Victoria Miller Nam</w:t>
      </w:r>
      <w:r>
        <w:rPr>
          <w:rFonts w:ascii="Arial" w:cs="Arial" w:eastAsia="Arial" w:hAnsi="Arial"/>
          <w:sz w:val="16"/>
          <w:szCs w:val="16"/>
          <w:color w:val="auto"/>
        </w:rPr>
        <w:t xml:space="preserv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Grantee</w:t>
      </w:r>
      <w:r>
        <w:rPr>
          <w:rFonts w:ascii="Arial" w:cs="Arial" w:eastAsia="Arial" w:hAnsi="Arial"/>
          <w:sz w:val="16"/>
          <w:szCs w:val="16"/>
          <w:b w:val="1"/>
          <w:bCs w:val="1"/>
          <w:color w:val="auto"/>
        </w:rPr>
        <w:t>”</w:t>
      </w:r>
      <w:r>
        <w:rPr>
          <w:rFonts w:ascii="Arial" w:cs="Arial" w:eastAsia="Arial" w:hAnsi="Arial"/>
          <w:sz w:val="16"/>
          <w:szCs w:val="16"/>
          <w:color w:val="auto"/>
        </w:rPr>
        <w:t>), pursuant to the MagnaChip Semiconductor LLC Equity Incentive Plan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Capitalized terms that are not defined herein shall have the meanings given to such terms in the Plan.</w:t>
      </w:r>
    </w:p>
    <w:p>
      <w:pPr>
        <w:spacing w:after="0" w:line="97"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of its wholly-owned subsidiary, MagnaChip Semiconductor, Ltd. (“</w:t>
      </w:r>
      <w:r>
        <w:rPr>
          <w:rFonts w:ascii="Arial" w:cs="Arial" w:eastAsia="Arial" w:hAnsi="Arial"/>
          <w:sz w:val="18"/>
          <w:szCs w:val="18"/>
          <w:b w:val="1"/>
          <w:bCs w:val="1"/>
          <w:u w:val="single" w:color="auto"/>
          <w:color w:val="auto"/>
        </w:rPr>
        <w:t>MagnaChip Korea</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01" w:name="page402"/>
    <w:bookmarkEnd w:id="40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WHEREAS, the Company has adopted the Plan in order to effect such grants; and</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Confirmation of Grant</w:t>
      </w:r>
      <w:r>
        <w:rPr>
          <w:rFonts w:ascii="Arial" w:cs="Arial" w:eastAsia="Arial" w:hAnsi="Arial"/>
          <w:sz w:val="16"/>
          <w:szCs w:val="16"/>
          <w:color w:val="auto"/>
        </w:rPr>
        <w:t xml:space="preserve">. The Company hereby evidences and confirms the grant to the Grantee, effective as of </w:t>
      </w:r>
      <w:r>
        <w:rPr>
          <w:rFonts w:ascii="Arial" w:cs="Arial" w:eastAsia="Arial" w:hAnsi="Arial"/>
          <w:sz w:val="16"/>
          <w:szCs w:val="16"/>
          <w:b w:val="1"/>
          <w:bCs w:val="1"/>
          <w:u w:val="single" w:color="auto"/>
          <w:color w:val="auto"/>
        </w:rPr>
        <w:t>March 9, 2006</w:t>
      </w:r>
      <w:r>
        <w:rPr>
          <w:rFonts w:ascii="Arial" w:cs="Arial" w:eastAsia="Arial" w:hAnsi="Arial"/>
          <w:sz w:val="16"/>
          <w:szCs w:val="16"/>
          <w:color w:val="auto"/>
        </w:rPr>
        <w:t xml:space="preserv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Grant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Date</w:t>
      </w:r>
      <w:r>
        <w:rPr>
          <w:rFonts w:ascii="Arial" w:cs="Arial" w:eastAsia="Arial" w:hAnsi="Arial"/>
          <w:sz w:val="16"/>
          <w:szCs w:val="16"/>
          <w:b w:val="1"/>
          <w:bCs w:val="1"/>
          <w:color w:val="auto"/>
        </w:rPr>
        <w:t>”</w:t>
      </w:r>
      <w:r>
        <w:rPr>
          <w:rFonts w:ascii="Arial" w:cs="Arial" w:eastAsia="Arial" w:hAnsi="Arial"/>
          <w:sz w:val="16"/>
          <w:szCs w:val="16"/>
          <w:color w:val="auto"/>
        </w:rPr>
        <w:t>), of options to purchase from the Company the number of Common Units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Options</w:t>
      </w:r>
      <w:r>
        <w:rPr>
          <w:rFonts w:ascii="Arial" w:cs="Arial" w:eastAsia="Arial" w:hAnsi="Arial"/>
          <w:sz w:val="16"/>
          <w:szCs w:val="16"/>
          <w:b w:val="1"/>
          <w:bCs w:val="1"/>
          <w:color w:val="auto"/>
        </w:rPr>
        <w:t>”</w:t>
      </w:r>
      <w:r>
        <w:rPr>
          <w:rFonts w:ascii="Arial" w:cs="Arial" w:eastAsia="Arial" w:hAnsi="Arial"/>
          <w:sz w:val="16"/>
          <w:szCs w:val="16"/>
          <w:color w:val="auto"/>
        </w:rPr>
        <w:t>) at the exercise price per Common Unit (the “</w:t>
      </w:r>
      <w:r>
        <w:rPr>
          <w:rFonts w:ascii="Arial" w:cs="Arial" w:eastAsia="Arial" w:hAnsi="Arial"/>
          <w:sz w:val="16"/>
          <w:szCs w:val="16"/>
          <w:b w:val="1"/>
          <w:bCs w:val="1"/>
          <w:u w:val="single" w:color="auto"/>
          <w:color w:val="auto"/>
        </w:rPr>
        <w:t>Option Price</w:t>
      </w:r>
      <w:r>
        <w:rPr>
          <w:rFonts w:ascii="Arial" w:cs="Arial" w:eastAsia="Arial" w:hAnsi="Arial"/>
          <w:sz w:val="16"/>
          <w:szCs w:val="16"/>
          <w:color w:val="auto"/>
        </w:rPr>
        <w: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Price</w:t>
            </w:r>
          </w:p>
        </w:tc>
        <w:tc>
          <w:tcPr>
            <w:tcW w:w="9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Number of Units</w:t>
            </w:r>
          </w:p>
        </w:tc>
      </w:tr>
      <w:tr>
        <w:trPr>
          <w:trHeight w:val="195"/>
        </w:trPr>
        <w:tc>
          <w:tcPr>
            <w:tcW w:w="7700" w:type="dxa"/>
            <w:vAlign w:val="bottom"/>
          </w:tcPr>
          <w:p>
            <w:pPr>
              <w:spacing w:after="0" w:line="195" w:lineRule="exact"/>
              <w:rPr>
                <w:sz w:val="20"/>
                <w:szCs w:val="20"/>
                <w:color w:val="auto"/>
              </w:rPr>
            </w:pPr>
            <w:r>
              <w:rPr>
                <w:rFonts w:ascii="Arial" w:cs="Arial" w:eastAsia="Arial" w:hAnsi="Arial"/>
                <w:sz w:val="18"/>
                <w:szCs w:val="18"/>
                <w:color w:val="auto"/>
              </w:rPr>
              <w:t>US$ 1.50</w:t>
            </w:r>
          </w:p>
        </w:tc>
        <w:tc>
          <w:tcPr>
            <w:tcW w:w="90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40,000</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40,000</w:t>
            </w:r>
          </w:p>
        </w:tc>
      </w:tr>
    </w:tbl>
    <w:p>
      <w:pPr>
        <w:spacing w:after="0" w:line="156" w:lineRule="exact"/>
        <w:rPr>
          <w:sz w:val="20"/>
          <w:szCs w:val="20"/>
          <w:color w:val="auto"/>
        </w:rPr>
      </w:pPr>
    </w:p>
    <w:p>
      <w:pPr>
        <w:ind w:firstLine="921"/>
        <w:spacing w:after="0" w:line="256" w:lineRule="auto"/>
        <w:tabs>
          <w:tab w:leader="none" w:pos="1161"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 . In the event of a conflict between the terms and conditions of the Plan and this Option Agreement, the terms and conditions of the Plan shall prevail.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02" w:name="page403"/>
    <w:bookmarkEnd w:id="402"/>
    <w:p>
      <w:pPr>
        <w:ind w:right="400" w:firstLine="921"/>
        <w:spacing w:after="0" w:line="268" w:lineRule="auto"/>
        <w:tabs>
          <w:tab w:leader="none" w:pos="1152"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213" w:lineRule="exact"/>
        <w:rPr>
          <w:sz w:val="20"/>
          <w:szCs w:val="20"/>
          <w:color w:val="auto"/>
        </w:rPr>
      </w:pPr>
    </w:p>
    <w:p>
      <w:pPr>
        <w:ind w:left="1100" w:hanging="179"/>
        <w:spacing w:after="0"/>
        <w:tabs>
          <w:tab w:leader="none" w:pos="110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455"/>
        </w:numPr>
        <w:rPr>
          <w:rFonts w:ascii="Arial" w:cs="Arial" w:eastAsia="Arial" w:hAnsi="Arial"/>
          <w:sz w:val="16"/>
          <w:szCs w:val="16"/>
          <w:color w:val="auto"/>
        </w:rPr>
      </w:pPr>
      <w:r>
        <w:rPr>
          <w:rFonts w:ascii="Arial" w:cs="Arial" w:eastAsia="Arial" w:hAnsi="Arial"/>
          <w:sz w:val="16"/>
          <w:szCs w:val="16"/>
          <w:u w:val="single" w:color="auto"/>
          <w:color w:val="auto"/>
        </w:rPr>
        <w:t>Vesting Provisions</w:t>
      </w:r>
      <w:r>
        <w:rPr>
          <w:rFonts w:ascii="Arial" w:cs="Arial" w:eastAsia="Arial" w:hAnsi="Arial"/>
          <w:sz w:val="16"/>
          <w:szCs w:val="16"/>
          <w:color w:val="auto"/>
        </w:rPr>
        <w:t>. An installment of 25% of the Common Units subject to the Options shall become vested and exercisable upon the earlier of:</w:t>
      </w:r>
    </w:p>
    <w:p>
      <w:pPr>
        <w:spacing w:after="0" w:line="38" w:lineRule="exact"/>
        <w:rPr>
          <w:rFonts w:ascii="Arial" w:cs="Arial" w:eastAsia="Arial" w:hAnsi="Arial"/>
          <w:sz w:val="16"/>
          <w:szCs w:val="16"/>
          <w:color w:val="auto"/>
        </w:rPr>
      </w:pPr>
    </w:p>
    <w:p>
      <w:pPr>
        <w:ind w:firstLine="8"/>
        <w:spacing w:after="0" w:line="292" w:lineRule="auto"/>
        <w:tabs>
          <w:tab w:leader="none" w:pos="21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date of the first closing of a firmly underwritten public offering for any equity securities of the Company, and (ii) the date as designated in the sole discretion of the Equity Compensation Committee of the Company’s Board of Directors as the date upon which the unitholders of the Company as of October 6, 2004, have achieved a 2.5x return on their investment (the “First Vesting Event”). The remaining 75% of the Common Units subject to the Options shall become vested and exercisable as to 25% of such Common Units on each of the first three successive annual anniversaries of the First Vesting Event, subject to the Grantee’s continous employment with MagnaChip Korea from the Grant Date to each such vesting date.</w:t>
      </w:r>
    </w:p>
    <w:p>
      <w:pPr>
        <w:spacing w:after="0" w:line="116" w:lineRule="exact"/>
        <w:rPr>
          <w:rFonts w:ascii="Arial" w:cs="Arial" w:eastAsia="Arial" w:hAnsi="Arial"/>
          <w:sz w:val="16"/>
          <w:szCs w:val="16"/>
          <w:color w:val="auto"/>
        </w:rPr>
      </w:pPr>
    </w:p>
    <w:p>
      <w:pPr>
        <w:ind w:right="20" w:firstLine="921"/>
        <w:spacing w:after="0" w:line="306" w:lineRule="auto"/>
        <w:tabs>
          <w:tab w:leader="none" w:pos="1161" w:val="left"/>
        </w:tabs>
        <w:numPr>
          <w:ilvl w:val="1"/>
          <w:numId w:val="456"/>
        </w:numPr>
        <w:rPr>
          <w:rFonts w:ascii="Arial" w:cs="Arial" w:eastAsia="Arial" w:hAnsi="Arial"/>
          <w:sz w:val="16"/>
          <w:szCs w:val="16"/>
          <w:color w:val="auto"/>
        </w:rPr>
      </w:pPr>
      <w:r>
        <w:rPr>
          <w:rFonts w:ascii="Arial" w:cs="Arial" w:eastAsia="Arial" w:hAnsi="Arial"/>
          <w:sz w:val="16"/>
          <w:szCs w:val="16"/>
          <w:u w:val="single" w:color="auto"/>
          <w:color w:val="auto"/>
        </w:rPr>
        <w:t>Normal Expiration Date</w:t>
      </w:r>
      <w:r>
        <w:rPr>
          <w:rFonts w:ascii="Arial" w:cs="Arial" w:eastAsia="Arial" w:hAnsi="Arial"/>
          <w:sz w:val="16"/>
          <w:szCs w:val="16"/>
          <w:color w:val="auto"/>
        </w:rPr>
        <w:t xml:space="preserve">. Unless the Options earlier terminate in accordance with Section 4, the Options shall terminate on the tenth anniversary of the Grant Date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Normal Expiration Date</w:t>
      </w:r>
      <w:r>
        <w:rPr>
          <w:rFonts w:ascii="Arial" w:cs="Arial" w:eastAsia="Arial" w:hAnsi="Arial"/>
          <w:sz w:val="16"/>
          <w:szCs w:val="16"/>
          <w:b w:val="1"/>
          <w:bCs w:val="1"/>
          <w:color w:val="auto"/>
        </w:rPr>
        <w:t>”</w:t>
      </w:r>
      <w:r>
        <w:rPr>
          <w:rFonts w:ascii="Arial" w:cs="Arial" w:eastAsia="Arial" w:hAnsi="Arial"/>
          <w:sz w:val="16"/>
          <w:szCs w:val="16"/>
          <w:color w:val="auto"/>
        </w:rPr>
        <w:t>). Once Options have become vested and exerciseable pursuant to this Section 2, such Options may be exercised, subject to the provisions hereof, at any time and from time to time until the Normal Expiration Date.</w:t>
      </w:r>
    </w:p>
    <w:p>
      <w:pPr>
        <w:spacing w:after="0" w:line="188" w:lineRule="exact"/>
        <w:rPr>
          <w:sz w:val="20"/>
          <w:szCs w:val="20"/>
          <w:color w:val="auto"/>
        </w:rPr>
      </w:pPr>
    </w:p>
    <w:p>
      <w:pPr>
        <w:ind w:left="1100" w:hanging="179"/>
        <w:spacing w:after="0"/>
        <w:tabs>
          <w:tab w:leader="none" w:pos="1100"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All or part of the exercisable Options may be exercised by the Grantee upon (a) the Grantee’s written notice to the Company of exercise (on such Exercise Notice as provided by the Company, a form of which is attached hereto as Exhibit A), (b) the Grantee’s payment of the Option</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9" w:right="359" w:bottom="1440" w:gutter="0" w:footer="0" w:header="0"/>
        </w:sectPr>
      </w:pPr>
    </w:p>
    <w:bookmarkStart w:id="403" w:name="page404"/>
    <w:bookmarkEnd w:id="403"/>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Price in full at the time of exercise (i) in cash or cash equivalents or (ii) in accordance with such procedures or in such other form as the Committee shall from time to time determine and (c) the Grantee’s execution of a joinder to the LLC Agreement (if the Grantee is not then a party to such agreement) in order to become a party to such agreement with respect to the Common Units issuable upon the exercise of such Options.</w:t>
      </w:r>
    </w:p>
    <w:p>
      <w:pPr>
        <w:spacing w:after="0" w:line="188" w:lineRule="exact"/>
        <w:rPr>
          <w:sz w:val="20"/>
          <w:szCs w:val="20"/>
          <w:color w:val="auto"/>
        </w:rPr>
      </w:pPr>
    </w:p>
    <w:p>
      <w:pPr>
        <w:ind w:left="1100" w:hanging="179"/>
        <w:spacing w:after="0"/>
        <w:tabs>
          <w:tab w:leader="none" w:pos="1100"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firstLine="921"/>
        <w:spacing w:after="0" w:line="259" w:lineRule="auto"/>
        <w:tabs>
          <w:tab w:leader="none" w:pos="1152" w:val="left"/>
        </w:tabs>
        <w:numPr>
          <w:ilvl w:val="0"/>
          <w:numId w:val="459"/>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right="60" w:firstLine="921"/>
        <w:spacing w:after="0" w:line="294" w:lineRule="auto"/>
        <w:tabs>
          <w:tab w:leader="none" w:pos="1162" w:val="left"/>
        </w:tabs>
        <w:numPr>
          <w:ilvl w:val="0"/>
          <w:numId w:val="459"/>
        </w:numPr>
        <w:rPr>
          <w:rFonts w:ascii="Arial" w:cs="Arial" w:eastAsia="Arial" w:hAnsi="Arial"/>
          <w:sz w:val="16"/>
          <w:szCs w:val="16"/>
          <w:color w:val="auto"/>
        </w:rPr>
      </w:pPr>
      <w:r>
        <w:rPr>
          <w:rFonts w:ascii="Arial" w:cs="Arial" w:eastAsia="Arial" w:hAnsi="Arial"/>
          <w:sz w:val="16"/>
          <w:szCs w:val="16"/>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Company’s repurchase right under this provision shall terminate ninety days after the termination of the Grantee’s employment.</w:t>
      </w:r>
    </w:p>
    <w:p>
      <w:pPr>
        <w:spacing w:after="0" w:line="197" w:lineRule="exact"/>
        <w:rPr>
          <w:sz w:val="20"/>
          <w:szCs w:val="20"/>
          <w:color w:val="auto"/>
        </w:rPr>
      </w:pPr>
    </w:p>
    <w:p>
      <w:pPr>
        <w:ind w:left="1100" w:hanging="179"/>
        <w:spacing w:after="0"/>
        <w:tabs>
          <w:tab w:leader="none" w:pos="1100"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right="160" w:firstLine="913"/>
        <w:spacing w:after="0" w:line="335" w:lineRule="auto"/>
        <w:rPr>
          <w:sz w:val="20"/>
          <w:szCs w:val="20"/>
          <w:color w:val="auto"/>
        </w:rPr>
      </w:pPr>
      <w:r>
        <w:rPr>
          <w:rFonts w:ascii="Arial" w:cs="Arial" w:eastAsia="Arial" w:hAnsi="Arial"/>
          <w:sz w:val="15"/>
          <w:szCs w:val="15"/>
          <w:color w:val="auto"/>
        </w:rPr>
        <w:t>Whenever Common Units are to be issued pursuant to the exercise of an Option or any cash payment is to be made hereunder, the Company shall have the power to withhold, or require the Grantee to remit to the Company, an amount sufficient to satisfy national, federal, state, and local withholding tax requirements relating to such transaction, and the Company may defer payment of cash or issuance of Common Units until such requirements are satisfied.</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9" w:right="359" w:bottom="1440" w:gutter="0" w:footer="0" w:header="0"/>
        </w:sectPr>
      </w:pPr>
    </w:p>
    <w:bookmarkStart w:id="404" w:name="page405"/>
    <w:bookmarkEnd w:id="404"/>
    <w:p>
      <w:pPr>
        <w:ind w:left="1100" w:hanging="179"/>
        <w:spacing w:after="0"/>
        <w:tabs>
          <w:tab w:leader="none" w:pos="1100"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Awards or Common Units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99" w:lineRule="exact"/>
        <w:rPr>
          <w:sz w:val="20"/>
          <w:szCs w:val="20"/>
          <w:color w:val="auto"/>
        </w:rPr>
      </w:pPr>
    </w:p>
    <w:p>
      <w:pPr>
        <w:ind w:left="1100" w:hanging="179"/>
        <w:spacing w:after="0"/>
        <w:tabs>
          <w:tab w:leader="none" w:pos="1100"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05" w:name="page406"/>
    <w:bookmarkEnd w:id="405"/>
    <w:p>
      <w:pPr>
        <w:ind w:left="1100" w:hanging="179"/>
        <w:spacing w:after="0"/>
        <w:tabs>
          <w:tab w:leader="none" w:pos="1100"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of Law</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Common Units shall be issued upon exercise of any Options granted hereunder, if such exercise would result in a violation of applicable law.</w:t>
      </w:r>
    </w:p>
    <w:p>
      <w:pPr>
        <w:spacing w:after="0" w:line="224" w:lineRule="exact"/>
        <w:rPr>
          <w:sz w:val="20"/>
          <w:szCs w:val="20"/>
          <w:color w:val="auto"/>
        </w:rPr>
      </w:pPr>
    </w:p>
    <w:p>
      <w:pPr>
        <w:ind w:left="1100" w:hanging="179"/>
        <w:spacing w:after="0"/>
        <w:tabs>
          <w:tab w:leader="none" w:pos="1100"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 Korea.</w:t>
      </w:r>
    </w:p>
    <w:p>
      <w:pPr>
        <w:spacing w:after="0" w:line="213" w:lineRule="exact"/>
        <w:rPr>
          <w:sz w:val="20"/>
          <w:szCs w:val="20"/>
          <w:color w:val="auto"/>
        </w:rPr>
      </w:pPr>
    </w:p>
    <w:p>
      <w:pPr>
        <w:ind w:left="1180" w:hanging="259"/>
        <w:spacing w:after="0"/>
        <w:tabs>
          <w:tab w:leader="none" w:pos="118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80"/>
          </w:cols>
          <w:pgMar w:left="240" w:top="280" w:right="379" w:bottom="1440" w:gutter="0" w:footer="0" w:header="0"/>
        </w:sectPr>
      </w:pPr>
    </w:p>
    <w:bookmarkStart w:id="406" w:name="page407"/>
    <w:bookmarkEnd w:id="406"/>
    <w:p>
      <w:pPr>
        <w:ind w:left="1140" w:hanging="259"/>
        <w:spacing w:after="0"/>
        <w:tabs>
          <w:tab w:leader="none" w:pos="1140" w:val="left"/>
        </w:tabs>
        <w:numPr>
          <w:ilvl w:val="0"/>
          <w:numId w:val="4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Acknowledgements and </w:t>
      </w:r>
      <w:r>
        <w:rPr>
          <w:rFonts w:ascii="Arial" w:cs="Arial" w:eastAsia="Arial" w:hAnsi="Arial"/>
          <w:sz w:val="18"/>
          <w:szCs w:val="18"/>
          <w:u w:val="single" w:color="auto"/>
          <w:color w:val="auto"/>
        </w:rPr>
        <w:t>Representations and Warranties of the Grantee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 The Grantee acknowledges, understands and agrees that:</w:t>
      </w:r>
    </w:p>
    <w:p>
      <w:pPr>
        <w:spacing w:after="0" w:line="90" w:lineRule="exact"/>
        <w:rPr>
          <w:rFonts w:ascii="Arial" w:cs="Arial" w:eastAsia="Arial" w:hAnsi="Arial"/>
          <w:sz w:val="18"/>
          <w:szCs w:val="18"/>
          <w:color w:val="auto"/>
        </w:rPr>
      </w:pPr>
    </w:p>
    <w:p>
      <w:pPr>
        <w:ind w:left="-40" w:firstLine="1492"/>
        <w:spacing w:after="0" w:line="294" w:lineRule="auto"/>
        <w:tabs>
          <w:tab w:leader="none" w:pos="1653" w:val="left"/>
        </w:tabs>
        <w:numPr>
          <w:ilvl w:val="1"/>
          <w:numId w:val="466"/>
        </w:numPr>
        <w:rPr>
          <w:rFonts w:ascii="Arial" w:cs="Arial" w:eastAsia="Arial" w:hAnsi="Arial"/>
          <w:sz w:val="16"/>
          <w:szCs w:val="16"/>
          <w:color w:val="auto"/>
        </w:rPr>
      </w:pPr>
      <w:r>
        <w:rPr>
          <w:rFonts w:ascii="Arial" w:cs="Arial" w:eastAsia="Arial" w:hAnsi="Arial"/>
          <w:sz w:val="16"/>
          <w:szCs w:val="16"/>
          <w:color w:val="auto"/>
        </w:rPr>
        <w:t>None of the Options nor any Common Units that may be acquired by the Grantee upon exercise of any of the Options (together,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have been registered under the United States </w:t>
      </w:r>
      <w:r>
        <w:rPr>
          <w:rFonts w:ascii="Arial" w:cs="Arial" w:eastAsia="Arial" w:hAnsi="Arial"/>
          <w:sz w:val="16"/>
          <w:szCs w:val="16"/>
          <w:u w:val="single" w:color="auto"/>
          <w:color w:val="auto"/>
        </w:rPr>
        <w:t>Securities Act of 1933, as amended (the “</w:t>
      </w:r>
      <w:r>
        <w:rPr>
          <w:rFonts w:ascii="Arial" w:cs="Arial" w:eastAsia="Arial" w:hAnsi="Arial"/>
          <w:sz w:val="16"/>
          <w:szCs w:val="16"/>
          <w:b w:val="1"/>
          <w:bCs w:val="1"/>
          <w:u w:val="single" w:color="auto"/>
          <w:color w:val="auto"/>
        </w:rPr>
        <w:t>Securities Act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unless so registered, may not be offered or sold in the United States or, directly or indirectly, to U.S. Persons (as defined in subsection (c) below), except in accordance with the provisions of Regulation S of the Securities Act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Regulation S</w:t>
      </w:r>
      <w:r>
        <w:rPr>
          <w:rFonts w:ascii="Arial" w:cs="Arial" w:eastAsia="Arial" w:hAnsi="Arial"/>
          <w:sz w:val="16"/>
          <w:szCs w:val="16"/>
          <w:u w:val="single" w:color="auto"/>
          <w:color w:val="auto"/>
        </w:rPr>
        <w:t>”)</w:t>
      </w:r>
      <w:r>
        <w:rPr>
          <w:rFonts w:ascii="Arial" w:cs="Arial" w:eastAsia="Arial" w:hAnsi="Arial"/>
          <w:sz w:val="16"/>
          <w:szCs w:val="16"/>
          <w:color w:val="auto"/>
        </w:rPr>
        <w:t>, pursuant to an effective registration statement under the Securities Act, or pursuant to an exemption from, or in a transaction not subject to, the registration requirements of the Securities Act;</w:t>
      </w:r>
    </w:p>
    <w:p>
      <w:pPr>
        <w:spacing w:after="0" w:line="115" w:lineRule="exact"/>
        <w:rPr>
          <w:rFonts w:ascii="Arial" w:cs="Arial" w:eastAsia="Arial" w:hAnsi="Arial"/>
          <w:sz w:val="16"/>
          <w:szCs w:val="16"/>
          <w:color w:val="auto"/>
        </w:rPr>
      </w:pPr>
    </w:p>
    <w:p>
      <w:pPr>
        <w:ind w:left="-40" w:right="60" w:firstLine="1492"/>
        <w:spacing w:after="0" w:line="259" w:lineRule="auto"/>
        <w:tabs>
          <w:tab w:leader="none" w:pos="1702" w:val="left"/>
        </w:tabs>
        <w:numPr>
          <w:ilvl w:val="1"/>
          <w:numId w:val="466"/>
        </w:numPr>
        <w:rPr>
          <w:rFonts w:ascii="Arial" w:cs="Arial" w:eastAsia="Arial" w:hAnsi="Arial"/>
          <w:sz w:val="18"/>
          <w:szCs w:val="18"/>
          <w:color w:val="auto"/>
        </w:rPr>
      </w:pPr>
      <w:r>
        <w:rPr>
          <w:rFonts w:ascii="Arial" w:cs="Arial" w:eastAsia="Arial" w:hAnsi="Arial"/>
          <w:sz w:val="18"/>
          <w:szCs w:val="18"/>
          <w:color w:val="auto"/>
        </w:rPr>
        <w:t>Grantee will only offer, transfer or sell the Securities in accordance with the provisions of Regulation S, pursuant to an effective registration statement under the Securities Act, or pursuant to an exemption from, or in a transaction not subject to, the registration requirements of the Securities Act;</w:t>
      </w:r>
    </w:p>
    <w:p>
      <w:pPr>
        <w:spacing w:after="0" w:line="140" w:lineRule="exact"/>
        <w:rPr>
          <w:rFonts w:ascii="Arial" w:cs="Arial" w:eastAsia="Arial" w:hAnsi="Arial"/>
          <w:sz w:val="18"/>
          <w:szCs w:val="18"/>
          <w:color w:val="auto"/>
        </w:rPr>
      </w:pPr>
    </w:p>
    <w:p>
      <w:pPr>
        <w:ind w:left="1760" w:hanging="308"/>
        <w:spacing w:after="0"/>
        <w:tabs>
          <w:tab w:leader="none" w:pos="176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Grantee will not engage in hedging transactions with regard to the Securities unless in compliance with the Securities Act;</w:t>
      </w:r>
    </w:p>
    <w:p>
      <w:pPr>
        <w:spacing w:after="0" w:line="194" w:lineRule="exact"/>
        <w:rPr>
          <w:rFonts w:ascii="Arial" w:cs="Arial" w:eastAsia="Arial" w:hAnsi="Arial"/>
          <w:sz w:val="16"/>
          <w:szCs w:val="16"/>
          <w:color w:val="auto"/>
        </w:rPr>
      </w:pPr>
    </w:p>
    <w:p>
      <w:pPr>
        <w:jc w:val="both"/>
        <w:ind w:left="-40" w:right="80" w:firstLine="1492"/>
        <w:spacing w:after="0" w:line="370" w:lineRule="auto"/>
        <w:tabs>
          <w:tab w:leader="none" w:pos="1741" w:val="left"/>
        </w:tabs>
        <w:numPr>
          <w:ilvl w:val="1"/>
          <w:numId w:val="466"/>
        </w:numPr>
        <w:rPr>
          <w:rFonts w:ascii="Arial" w:cs="Arial" w:eastAsia="Arial" w:hAnsi="Arial"/>
          <w:sz w:val="15"/>
          <w:szCs w:val="15"/>
          <w:color w:val="auto"/>
        </w:rPr>
      </w:pPr>
      <w:r>
        <w:rPr>
          <w:rFonts w:ascii="Arial" w:cs="Arial" w:eastAsia="Arial" w:hAnsi="Arial"/>
          <w:sz w:val="15"/>
          <w:szCs w:val="15"/>
          <w:color w:val="auto"/>
        </w:rPr>
        <w:t>The Company will refuse to register any transfer of the Securities not made in accordance with the provisions of Regulation S, pursuant to an effective registration statement under the Securities Act or pursuant to an available exemption from the registration requirements of the Securities Act;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280" w:right="259" w:bottom="1440" w:gutter="0" w:footer="0" w:header="0"/>
        </w:sectPr>
      </w:pPr>
    </w:p>
    <w:bookmarkStart w:id="407" w:name="page408"/>
    <w:bookmarkEnd w:id="407"/>
    <w:p>
      <w:pPr>
        <w:ind w:right="220" w:firstLine="1492"/>
        <w:spacing w:after="0" w:line="259" w:lineRule="auto"/>
        <w:tabs>
          <w:tab w:leader="none" w:pos="1732" w:val="left"/>
        </w:tabs>
        <w:numPr>
          <w:ilvl w:val="1"/>
          <w:numId w:val="4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 and others will rely upon the truth and accuracy of the acknowledgements, representations and agreements contained in this Option Agreement, and agrees that if any of such acknowledgements, representations and agreements are no longer accurate or have been breached, the Grantee shall promptly notify the Company.</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Grantee represents and warrants to the Company that: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468"/>
        </w:numPr>
        <w:rPr>
          <w:rFonts w:ascii="Arial" w:cs="Arial" w:eastAsia="Arial" w:hAnsi="Arial"/>
          <w:sz w:val="16"/>
          <w:szCs w:val="16"/>
          <w:color w:val="auto"/>
        </w:rPr>
      </w:pPr>
      <w:r>
        <w:rPr>
          <w:rFonts w:ascii="Arial" w:cs="Arial" w:eastAsia="Arial" w:hAnsi="Arial"/>
          <w:sz w:val="16"/>
          <w:szCs w:val="16"/>
          <w:color w:val="auto"/>
        </w:rPr>
        <w:t>The Grantee is not a U.S. Person and the Grantee is not acquiring the Securities for the account or benefit of, directly or indirectly,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 Person; and</w:t>
      </w:r>
    </w:p>
    <w:p>
      <w:pPr>
        <w:spacing w:after="0" w:line="165" w:lineRule="exact"/>
        <w:rPr>
          <w:sz w:val="20"/>
          <w:szCs w:val="20"/>
          <w:color w:val="auto"/>
        </w:rPr>
      </w:pPr>
    </w:p>
    <w:p>
      <w:pPr>
        <w:ind w:right="100" w:firstLine="1492"/>
        <w:spacing w:after="0" w:line="259" w:lineRule="auto"/>
        <w:tabs>
          <w:tab w:leader="none" w:pos="174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Grantee is outside the United States when receiving and executing this Option Agreement and is acquiring the Securities for investment only and not with a view to resale or distribution and, in particular, it has no intention to distribute either directly or indirectly any of the Securities in the United States or to U.S. Persons.</w:t>
      </w:r>
    </w:p>
    <w:p>
      <w:pPr>
        <w:spacing w:after="0" w:line="134" w:lineRule="exact"/>
        <w:rPr>
          <w:rFonts w:ascii="Arial" w:cs="Arial" w:eastAsia="Arial" w:hAnsi="Arial"/>
          <w:sz w:val="18"/>
          <w:szCs w:val="18"/>
          <w:color w:val="auto"/>
        </w:rPr>
      </w:pPr>
    </w:p>
    <w:p>
      <w:pPr>
        <w:ind w:firstLine="921"/>
        <w:spacing w:after="0" w:line="285" w:lineRule="auto"/>
        <w:tabs>
          <w:tab w:leader="none" w:pos="1152" w:val="left"/>
        </w:tabs>
        <w:numPr>
          <w:ilvl w:val="0"/>
          <w:numId w:val="470"/>
        </w:numPr>
        <w:rPr>
          <w:rFonts w:ascii="Arial" w:cs="Arial" w:eastAsia="Arial" w:hAnsi="Arial"/>
          <w:sz w:val="16"/>
          <w:szCs w:val="16"/>
          <w:color w:val="auto"/>
        </w:rPr>
      </w:pPr>
      <w:r>
        <w:rPr>
          <w:rFonts w:ascii="Arial" w:cs="Arial" w:eastAsia="Arial" w:hAnsi="Arial"/>
          <w:sz w:val="16"/>
          <w:szCs w:val="16"/>
          <w:color w:val="auto"/>
        </w:rPr>
        <w:t>For purposes of this Option Agreement, “</w:t>
      </w:r>
      <w:r>
        <w:rPr>
          <w:rFonts w:ascii="Arial" w:cs="Arial" w:eastAsia="Arial" w:hAnsi="Arial"/>
          <w:sz w:val="16"/>
          <w:szCs w:val="16"/>
          <w:b w:val="1"/>
          <w:bCs w:val="1"/>
          <w:u w:val="single" w:color="auto"/>
          <w:color w:val="auto"/>
        </w:rPr>
        <w:t>U.S. Person</w:t>
      </w:r>
      <w:r>
        <w:rPr>
          <w:rFonts w:ascii="Arial" w:cs="Arial" w:eastAsia="Arial" w:hAnsi="Arial"/>
          <w:sz w:val="16"/>
          <w:szCs w:val="16"/>
          <w:color w:val="auto"/>
        </w:rPr>
        <w:t>”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 (vii) any discretionary account or similar account</w:t>
      </w:r>
    </w:p>
    <w:p>
      <w:pPr>
        <w:spacing w:after="0" w:line="2" w:lineRule="exact"/>
        <w:rPr>
          <w:rFonts w:ascii="Arial" w:cs="Arial" w:eastAsia="Arial" w:hAnsi="Arial"/>
          <w:sz w:val="16"/>
          <w:szCs w:val="16"/>
          <w:color w:val="auto"/>
        </w:rPr>
      </w:pPr>
    </w:p>
    <w:p>
      <w:pPr>
        <w:ind w:right="260"/>
        <w:spacing w:after="0" w:line="254" w:lineRule="auto"/>
        <w:rPr>
          <w:rFonts w:ascii="Arial" w:cs="Arial" w:eastAsia="Arial" w:hAnsi="Arial"/>
          <w:sz w:val="16"/>
          <w:szCs w:val="16"/>
          <w:color w:val="auto"/>
        </w:rPr>
      </w:pPr>
      <w:r>
        <w:rPr>
          <w:rFonts w:ascii="Arial" w:cs="Arial" w:eastAsia="Arial" w:hAnsi="Arial"/>
          <w:sz w:val="18"/>
          <w:szCs w:val="18"/>
          <w:color w:val="auto"/>
        </w:rPr>
        <w:t>(other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 Securities Act, unless it is organized or incorporated, and owned, by accredited investors (as defined below) who are not natural persons, estates or trusts.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9" w:right="259" w:bottom="1440" w:gutter="0" w:footer="0" w:header="0"/>
        </w:sectPr>
      </w:pPr>
    </w:p>
    <w:bookmarkStart w:id="408" w:name="page409"/>
    <w:bookmarkEnd w:id="408"/>
    <w:p>
      <w:pPr>
        <w:ind w:left="1180" w:hanging="259"/>
        <w:spacing w:after="0"/>
        <w:tabs>
          <w:tab w:leader="none" w:pos="1180"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221" w:lineRule="exact"/>
        <w:rPr>
          <w:sz w:val="20"/>
          <w:szCs w:val="20"/>
          <w:color w:val="auto"/>
        </w:rPr>
      </w:pPr>
    </w:p>
    <w:p>
      <w:pPr>
        <w:ind w:left="1180" w:hanging="259"/>
        <w:spacing w:after="0"/>
        <w:tabs>
          <w:tab w:leader="none" w:pos="1180"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201" w:lineRule="exact"/>
        <w:rPr>
          <w:sz w:val="20"/>
          <w:szCs w:val="20"/>
          <w:color w:val="auto"/>
        </w:rPr>
      </w:pPr>
    </w:p>
    <w:p>
      <w:pPr>
        <w:ind w:left="1180" w:hanging="259"/>
        <w:spacing w:after="0"/>
        <w:tabs>
          <w:tab w:leader="none" w:pos="1180" w:val="left"/>
        </w:tabs>
        <w:numPr>
          <w:ilvl w:val="0"/>
          <w:numId w:val="47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56" w:lineRule="auto"/>
        <w:tabs>
          <w:tab w:leader="none" w:pos="1152"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if to the Company:</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82-2-3459-3898</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9" w:right="279" w:bottom="1440" w:gutter="0" w:footer="0" w:header="0"/>
        </w:sectPr>
      </w:pPr>
    </w:p>
    <w:bookmarkStart w:id="409" w:name="page410"/>
    <w:bookmarkEnd w:id="409"/>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if to the Grantee, to the Grantee at the address as reflected in the Company’s books and records.</w:t>
      </w:r>
    </w:p>
    <w:p>
      <w:pPr>
        <w:spacing w:after="0" w:line="90" w:lineRule="exact"/>
        <w:rPr>
          <w:sz w:val="20"/>
          <w:szCs w:val="20"/>
          <w:color w:val="auto"/>
        </w:rPr>
      </w:pPr>
    </w:p>
    <w:p>
      <w:pPr>
        <w:ind w:left="840" w:right="12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left="-80" w:firstLine="921"/>
        <w:spacing w:after="0" w:line="256" w:lineRule="auto"/>
        <w:tabs>
          <w:tab w:leader="none" w:pos="1081"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Binding Effect; Benefits</w:t>
      </w:r>
      <w:r>
        <w:rPr>
          <w:rFonts w:ascii="Arial" w:cs="Arial" w:eastAsia="Arial" w:hAnsi="Arial"/>
          <w:sz w:val="18"/>
          <w:szCs w:val="18"/>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43" w:lineRule="exact"/>
        <w:rPr>
          <w:rFonts w:ascii="Arial" w:cs="Arial" w:eastAsia="Arial" w:hAnsi="Arial"/>
          <w:sz w:val="18"/>
          <w:szCs w:val="18"/>
          <w:color w:val="auto"/>
        </w:rPr>
      </w:pPr>
    </w:p>
    <w:p>
      <w:pPr>
        <w:ind w:left="-80" w:firstLine="921"/>
        <w:spacing w:after="0" w:line="268" w:lineRule="auto"/>
        <w:tabs>
          <w:tab w:leader="none" w:pos="1072"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 hereto may by written notice to the other (</w:t>
      </w:r>
      <w:r>
        <w:rPr>
          <w:rFonts w:ascii="Arial" w:cs="Arial" w:eastAsia="Arial" w:hAnsi="Arial"/>
          <w:sz w:val="18"/>
          <w:szCs w:val="18"/>
          <w:u w:val="single" w:color="auto"/>
          <w:color w:val="auto"/>
        </w:rPr>
        <w:t>i</w:t>
      </w:r>
      <w:r>
        <w:rPr>
          <w:rFonts w:ascii="Arial" w:cs="Arial" w:eastAsia="Arial" w:hAnsi="Arial"/>
          <w:sz w:val="18"/>
          <w:szCs w:val="18"/>
          <w:color w:val="auto"/>
        </w:rPr>
        <w:t>) extend the time for the performance of any of the obligations or other actions of the other under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280" w:right="319" w:bottom="1440" w:gutter="0" w:footer="0" w:header="0"/>
        </w:sectPr>
      </w:pPr>
    </w:p>
    <w:bookmarkStart w:id="410" w:name="page411"/>
    <w:bookmarkEnd w:id="41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ii</w:t>
      </w:r>
      <w:r>
        <w:rPr>
          <w:rFonts w:ascii="Arial" w:cs="Arial" w:eastAsia="Arial" w:hAnsi="Arial"/>
          <w:sz w:val="18"/>
          <w:szCs w:val="18"/>
          <w:color w:val="auto"/>
        </w:rPr>
        <w:t>) waive compliance with any of the conditions or covenants of the other contained in this Agreement and (</w:t>
      </w:r>
      <w:r>
        <w:rPr>
          <w:rFonts w:ascii="Arial" w:cs="Arial" w:eastAsia="Arial" w:hAnsi="Arial"/>
          <w:sz w:val="18"/>
          <w:szCs w:val="18"/>
          <w:u w:val="single" w:color="auto"/>
          <w:color w:val="auto"/>
        </w:rPr>
        <w:t>iii</w:t>
      </w:r>
      <w:r>
        <w:rPr>
          <w:rFonts w:ascii="Arial" w:cs="Arial" w:eastAsia="Arial" w:hAnsi="Arial"/>
          <w:sz w:val="18"/>
          <w:szCs w:val="18"/>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47" w:lineRule="exact"/>
        <w:rPr>
          <w:sz w:val="20"/>
          <w:szCs w:val="20"/>
          <w:color w:val="auto"/>
        </w:rPr>
      </w:pPr>
    </w:p>
    <w:p>
      <w:pPr>
        <w:jc w:val="both"/>
        <w:ind w:right="240" w:firstLine="921"/>
        <w:spacing w:after="0" w:line="306" w:lineRule="auto"/>
        <w:tabs>
          <w:tab w:leader="none" w:pos="1161" w:val="left"/>
        </w:tabs>
        <w:numPr>
          <w:ilvl w:val="0"/>
          <w:numId w:val="47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06" w:lineRule="exact"/>
        <w:rPr>
          <w:rFonts w:ascii="Arial" w:cs="Arial" w:eastAsia="Arial" w:hAnsi="Arial"/>
          <w:sz w:val="16"/>
          <w:szCs w:val="16"/>
          <w:color w:val="auto"/>
        </w:rPr>
      </w:pPr>
    </w:p>
    <w:p>
      <w:pPr>
        <w:ind w:right="280" w:firstLine="921"/>
        <w:spacing w:after="0" w:line="268" w:lineRule="auto"/>
        <w:tabs>
          <w:tab w:leader="none" w:pos="1152"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WITHOUT REGARDS TO CONFLICTS OF LAWS PROVISIONS.</w:t>
      </w:r>
    </w:p>
    <w:p>
      <w:pPr>
        <w:spacing w:after="0" w:line="131" w:lineRule="exact"/>
        <w:rPr>
          <w:rFonts w:ascii="Arial" w:cs="Arial" w:eastAsia="Arial" w:hAnsi="Arial"/>
          <w:sz w:val="18"/>
          <w:szCs w:val="18"/>
          <w:color w:val="auto"/>
        </w:rPr>
      </w:pPr>
    </w:p>
    <w:p>
      <w:pPr>
        <w:ind w:right="40" w:firstLine="921"/>
        <w:spacing w:after="0" w:line="268" w:lineRule="auto"/>
        <w:tabs>
          <w:tab w:leader="none" w:pos="1132"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80" w:right="339" w:bottom="1440" w:gutter="0" w:footer="0" w:header="0"/>
        </w:sectPr>
      </w:pPr>
    </w:p>
    <w:bookmarkStart w:id="411" w:name="page412"/>
    <w:bookmarkEnd w:id="411"/>
    <w:p>
      <w:pPr>
        <w:ind w:firstLine="921"/>
        <w:spacing w:after="0" w:line="268" w:lineRule="auto"/>
        <w:tabs>
          <w:tab w:leader="none" w:pos="1161"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Company and the Grantee have duly executed this Agreement as of the date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Sang Park</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Sang Park</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GRANTEE</w:t>
            </w:r>
          </w:p>
        </w:tc>
      </w:tr>
      <w:tr>
        <w:trPr>
          <w:trHeight w:val="324"/>
        </w:trPr>
        <w:tc>
          <w:tcPr>
            <w:tcW w:w="66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Victoria Miller Nam</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Victoria Miller Nam</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80" w:right="359" w:bottom="1440" w:gutter="0" w:footer="0" w:header="0"/>
        </w:sectPr>
      </w:pPr>
    </w:p>
    <w:bookmarkStart w:id="412" w:name="page413"/>
    <w:bookmarkEnd w:id="41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Form of Exercise Notice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73" w:right="1440"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0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b w:val="1"/>
                <w:bCs w:val="1"/>
                <w:color w:val="auto"/>
                <w:w w:val="97"/>
              </w:rPr>
              <w:t>MAGNACHIP SEMICONDUCTOR LLC</w:t>
            </w:r>
          </w:p>
        </w:tc>
        <w:tc>
          <w:tcPr>
            <w:tcW w:w="4120" w:type="dxa"/>
            <w:vAlign w:val="bottom"/>
          </w:tcPr>
          <w:p>
            <w:pPr>
              <w:spacing w:after="0"/>
              <w:rPr>
                <w:sz w:val="17"/>
                <w:szCs w:val="17"/>
                <w:color w:val="auto"/>
              </w:rPr>
            </w:pPr>
          </w:p>
        </w:tc>
      </w:tr>
      <w:tr>
        <w:trPr>
          <w:trHeight w:val="384"/>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80" w:type="dxa"/>
            <w:vAlign w:val="bottom"/>
            <w:gridSpan w:val="11"/>
          </w:tcPr>
          <w:p>
            <w:pPr>
              <w:jc w:val="center"/>
              <w:ind w:right="4540"/>
              <w:spacing w:after="0"/>
              <w:rPr>
                <w:sz w:val="20"/>
                <w:szCs w:val="20"/>
                <w:color w:val="auto"/>
              </w:rPr>
            </w:pPr>
            <w:r>
              <w:rPr>
                <w:rFonts w:ascii="Arial" w:cs="Arial" w:eastAsia="Arial" w:hAnsi="Arial"/>
                <w:sz w:val="18"/>
                <w:szCs w:val="18"/>
                <w:b w:val="1"/>
                <w:bCs w:val="1"/>
                <w:color w:val="auto"/>
              </w:rPr>
              <w:t>EQUITY INCENTIVE PLAN</w:t>
            </w:r>
          </w:p>
        </w:tc>
      </w:tr>
      <w:tr>
        <w:trPr>
          <w:trHeight w:val="228"/>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0" w:type="dxa"/>
            <w:vAlign w:val="bottom"/>
            <w:gridSpan w:val="9"/>
          </w:tcPr>
          <w:p>
            <w:pPr>
              <w:jc w:val="center"/>
              <w:ind w:right="4800"/>
              <w:spacing w:after="0"/>
              <w:rPr>
                <w:sz w:val="20"/>
                <w:szCs w:val="20"/>
                <w:color w:val="auto"/>
              </w:rPr>
            </w:pPr>
            <w:r>
              <w:rPr>
                <w:rFonts w:ascii="Arial" w:cs="Arial" w:eastAsia="Arial" w:hAnsi="Arial"/>
                <w:sz w:val="18"/>
                <w:szCs w:val="18"/>
                <w:b w:val="1"/>
                <w:bCs w:val="1"/>
                <w:color w:val="auto"/>
                <w:w w:val="99"/>
              </w:rPr>
              <w:t>EXERCISE NOTICE</w:t>
            </w:r>
          </w:p>
        </w:tc>
      </w:tr>
      <w:tr>
        <w:trPr>
          <w:trHeight w:val="372"/>
        </w:trPr>
        <w:tc>
          <w:tcPr>
            <w:tcW w:w="4200" w:type="dxa"/>
            <w:vAlign w:val="bottom"/>
            <w:gridSpan w:val="10"/>
          </w:tcPr>
          <w:p>
            <w:pPr>
              <w:spacing w:after="0"/>
              <w:rPr>
                <w:sz w:val="20"/>
                <w:szCs w:val="20"/>
                <w:color w:val="auto"/>
              </w:rPr>
            </w:pPr>
            <w:r>
              <w:rPr>
                <w:rFonts w:ascii="Arial" w:cs="Arial" w:eastAsia="Arial" w:hAnsi="Arial"/>
                <w:sz w:val="18"/>
                <w:szCs w:val="18"/>
                <w:color w:val="auto"/>
              </w:rPr>
              <w:t>MagnaChip Semiconductor LLC</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16"/>
        </w:trPr>
        <w:tc>
          <w:tcPr>
            <w:tcW w:w="4200" w:type="dxa"/>
            <w:vAlign w:val="bottom"/>
            <w:gridSpan w:val="10"/>
          </w:tcPr>
          <w:p>
            <w:pPr>
              <w:spacing w:after="0"/>
              <w:rPr>
                <w:sz w:val="20"/>
                <w:szCs w:val="20"/>
                <w:color w:val="auto"/>
              </w:rPr>
            </w:pPr>
            <w:r>
              <w:rPr>
                <w:rFonts w:ascii="Arial" w:cs="Arial" w:eastAsia="Arial" w:hAnsi="Arial"/>
                <w:sz w:val="18"/>
                <w:szCs w:val="18"/>
                <w:color w:val="auto"/>
              </w:rPr>
              <w:t>c/o MagnaChip Semiconductor, Ltd.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4200" w:type="dxa"/>
            <w:vAlign w:val="bottom"/>
            <w:gridSpan w:val="10"/>
          </w:tcPr>
          <w:p>
            <w:pPr>
              <w:spacing w:after="0"/>
              <w:rPr>
                <w:sz w:val="20"/>
                <w:szCs w:val="20"/>
                <w:color w:val="auto"/>
              </w:rPr>
            </w:pPr>
            <w:r>
              <w:rPr>
                <w:rFonts w:ascii="Arial" w:cs="Arial" w:eastAsia="Arial" w:hAnsi="Arial"/>
                <w:sz w:val="18"/>
                <w:szCs w:val="18"/>
                <w:color w:val="auto"/>
              </w:rPr>
              <w:t>891 Daechi-dong, Gangnam-gu</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22"/>
        </w:trPr>
        <w:tc>
          <w:tcPr>
            <w:tcW w:w="4200" w:type="dxa"/>
            <w:vAlign w:val="bottom"/>
            <w:gridSpan w:val="10"/>
          </w:tcPr>
          <w:p>
            <w:pPr>
              <w:spacing w:after="0"/>
              <w:rPr>
                <w:sz w:val="20"/>
                <w:szCs w:val="20"/>
                <w:color w:val="auto"/>
              </w:rPr>
            </w:pPr>
            <w:r>
              <w:rPr>
                <w:rFonts w:ascii="Arial" w:cs="Arial" w:eastAsia="Arial" w:hAnsi="Arial"/>
                <w:sz w:val="18"/>
                <w:szCs w:val="18"/>
                <w:color w:val="auto"/>
              </w:rPr>
              <w:t>Seoul, 135-738 Korea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78"/>
        </w:trPr>
        <w:tc>
          <w:tcPr>
            <w:tcW w:w="4200" w:type="dxa"/>
            <w:vAlign w:val="bottom"/>
            <w:gridSpan w:val="10"/>
          </w:tcPr>
          <w:p>
            <w:pPr>
              <w:spacing w:after="0"/>
              <w:rPr>
                <w:sz w:val="20"/>
                <w:szCs w:val="20"/>
                <w:color w:val="auto"/>
              </w:rPr>
            </w:pPr>
            <w:r>
              <w:rPr>
                <w:rFonts w:ascii="Arial" w:cs="Arial" w:eastAsia="Arial" w:hAnsi="Arial"/>
                <w:sz w:val="18"/>
                <w:szCs w:val="18"/>
                <w:color w:val="auto"/>
              </w:rPr>
              <w:t>Attention: General Counsel</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340"/>
        </w:trPr>
        <w:tc>
          <w:tcPr>
            <w:tcW w:w="400" w:type="dxa"/>
            <w:vAlign w:val="bottom"/>
          </w:tcPr>
          <w:p>
            <w:pPr>
              <w:spacing w:after="0"/>
              <w:rPr>
                <w:sz w:val="24"/>
                <w:szCs w:val="24"/>
                <w:color w:val="auto"/>
              </w:rPr>
            </w:pPr>
          </w:p>
        </w:tc>
        <w:tc>
          <w:tcPr>
            <w:tcW w:w="3800" w:type="dxa"/>
            <w:vAlign w:val="bottom"/>
            <w:gridSpan w:val="9"/>
          </w:tcPr>
          <w:p>
            <w:pPr>
              <w:ind w:left="60"/>
              <w:spacing w:after="0"/>
              <w:rPr>
                <w:sz w:val="20"/>
                <w:szCs w:val="20"/>
                <w:color w:val="auto"/>
              </w:rPr>
            </w:pPr>
            <w:r>
              <w:rPr>
                <w:rFonts w:ascii="Arial" w:cs="Arial" w:eastAsia="Arial" w:hAnsi="Arial"/>
                <w:sz w:val="18"/>
                <w:szCs w:val="18"/>
                <w:color w:val="auto"/>
              </w:rPr>
              <w:t>1. Exercise of Option. Effective as of today,</w:t>
            </w:r>
          </w:p>
        </w:tc>
        <w:tc>
          <w:tcPr>
            <w:tcW w:w="7220" w:type="dxa"/>
            <w:vAlign w:val="bottom"/>
            <w:gridSpan w:val="13"/>
          </w:tcPr>
          <w:p>
            <w:pPr>
              <w:ind w:left="260"/>
              <w:spacing w:after="0"/>
              <w:rPr>
                <w:sz w:val="20"/>
                <w:szCs w:val="20"/>
                <w:color w:val="auto"/>
              </w:rPr>
            </w:pPr>
            <w:r>
              <w:rPr>
                <w:rFonts w:ascii="Arial" w:cs="Arial" w:eastAsia="Arial" w:hAnsi="Arial"/>
                <w:sz w:val="18"/>
                <w:szCs w:val="18"/>
                <w:color w:val="auto"/>
                <w:w w:val="95"/>
              </w:rPr>
              <w:t>, 200  , the undersigned (“Grantee”) hereby elects to exercise Grantee’s option to purchase</w:t>
            </w: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80" w:type="dxa"/>
            <w:vAlign w:val="bottom"/>
            <w:gridSpan w:val="21"/>
          </w:tcPr>
          <w:p>
            <w:pPr>
              <w:ind w:left="40"/>
              <w:spacing w:after="0" w:line="196" w:lineRule="exact"/>
              <w:rPr>
                <w:sz w:val="20"/>
                <w:szCs w:val="20"/>
                <w:color w:val="auto"/>
              </w:rPr>
            </w:pPr>
            <w:r>
              <w:rPr>
                <w:rFonts w:ascii="Arial" w:cs="Arial" w:eastAsia="Arial" w:hAnsi="Arial"/>
                <w:sz w:val="18"/>
                <w:szCs w:val="18"/>
                <w:color w:val="auto"/>
                <w:w w:val="90"/>
              </w:rPr>
              <w:t>Common Units (the “Common Units”) of MagnaChip Semiconductor LLC (the “Company”) under and pursuant to the Company’s Equity Incentive Plan</w:t>
            </w:r>
          </w:p>
        </w:tc>
      </w:tr>
      <w:tr>
        <w:trPr>
          <w:trHeight w:val="20"/>
        </w:trPr>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196"/>
        </w:trPr>
        <w:tc>
          <w:tcPr>
            <w:tcW w:w="4200" w:type="dxa"/>
            <w:vAlign w:val="bottom"/>
            <w:gridSpan w:val="10"/>
          </w:tcPr>
          <w:p>
            <w:pPr>
              <w:spacing w:after="0" w:line="196" w:lineRule="exact"/>
              <w:rPr>
                <w:sz w:val="20"/>
                <w:szCs w:val="20"/>
                <w:color w:val="auto"/>
              </w:rPr>
            </w:pPr>
            <w:r>
              <w:rPr>
                <w:rFonts w:ascii="Arial" w:cs="Arial" w:eastAsia="Arial" w:hAnsi="Arial"/>
                <w:sz w:val="18"/>
                <w:szCs w:val="18"/>
                <w:color w:val="auto"/>
              </w:rPr>
              <w:t>(the “Plan”) and the Option Agreement dated ,</w:t>
            </w:r>
          </w:p>
        </w:tc>
        <w:tc>
          <w:tcPr>
            <w:tcW w:w="7220" w:type="dxa"/>
            <w:vAlign w:val="bottom"/>
            <w:gridSpan w:val="13"/>
          </w:tcPr>
          <w:p>
            <w:pPr>
              <w:spacing w:after="0" w:line="196" w:lineRule="exact"/>
              <w:rPr>
                <w:sz w:val="20"/>
                <w:szCs w:val="20"/>
                <w:color w:val="auto"/>
              </w:rPr>
            </w:pPr>
            <w:r>
              <w:rPr>
                <w:rFonts w:ascii="Arial" w:cs="Arial" w:eastAsia="Arial" w:hAnsi="Arial"/>
                <w:sz w:val="18"/>
                <w:szCs w:val="18"/>
                <w:color w:val="auto"/>
                <w:w w:val="89"/>
              </w:rPr>
              <w:t>, 200   (the “Option Agreement”). Capitalized terms not defined herein shall have the meanings given</w:t>
            </w:r>
          </w:p>
        </w:tc>
      </w:tr>
      <w:tr>
        <w:trPr>
          <w:trHeight w:val="20"/>
        </w:trPr>
        <w:tc>
          <w:tcPr>
            <w:tcW w:w="40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35"/>
        </w:trPr>
        <w:tc>
          <w:tcPr>
            <w:tcW w:w="4200" w:type="dxa"/>
            <w:vAlign w:val="bottom"/>
            <w:gridSpan w:val="10"/>
          </w:tcPr>
          <w:p>
            <w:pPr>
              <w:spacing w:after="0"/>
              <w:rPr>
                <w:sz w:val="20"/>
                <w:szCs w:val="20"/>
                <w:color w:val="auto"/>
              </w:rPr>
            </w:pPr>
            <w:r>
              <w:rPr>
                <w:rFonts w:ascii="Arial" w:cs="Arial" w:eastAsia="Arial" w:hAnsi="Arial"/>
                <w:sz w:val="18"/>
                <w:szCs w:val="18"/>
                <w:color w:val="auto"/>
                <w:w w:val="94"/>
              </w:rPr>
              <w:t>to such terms in the Plan and/or the Option Agreement.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ind w:right="240" w:firstLine="464"/>
        <w:spacing w:after="0" w:line="268" w:lineRule="auto"/>
        <w:tabs>
          <w:tab w:leader="none" w:pos="632"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Grantee herewith delivers to the Company the full purchase price of the Common Units, as set forth in the Option Agreement in such form as permitted by the Option Agreement and the Plan.</w:t>
      </w:r>
    </w:p>
    <w:p>
      <w:pPr>
        <w:spacing w:after="0" w:line="131" w:lineRule="exact"/>
        <w:rPr>
          <w:rFonts w:ascii="Arial" w:cs="Arial" w:eastAsia="Arial" w:hAnsi="Arial"/>
          <w:sz w:val="18"/>
          <w:szCs w:val="18"/>
          <w:color w:val="auto"/>
        </w:rPr>
      </w:pPr>
    </w:p>
    <w:p>
      <w:pPr>
        <w:ind w:right="360" w:firstLine="464"/>
        <w:spacing w:after="0" w:line="268" w:lineRule="auto"/>
        <w:tabs>
          <w:tab w:leader="none" w:pos="632"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Representations of Grantee</w:t>
      </w:r>
      <w:r>
        <w:rPr>
          <w:rFonts w:ascii="Arial" w:cs="Arial" w:eastAsia="Arial" w:hAnsi="Arial"/>
          <w:sz w:val="18"/>
          <w:szCs w:val="18"/>
          <w:color w:val="auto"/>
        </w:rPr>
        <w:t>. Grantee acknowledges that Grantee has received, read and understood the Plan and the Option Agreement and agrees to abide by and be bound by their terms and conditions.</w:t>
      </w:r>
    </w:p>
    <w:p>
      <w:pPr>
        <w:spacing w:after="0" w:line="131" w:lineRule="exact"/>
        <w:rPr>
          <w:rFonts w:ascii="Arial" w:cs="Arial" w:eastAsia="Arial" w:hAnsi="Arial"/>
          <w:sz w:val="18"/>
          <w:szCs w:val="18"/>
          <w:color w:val="auto"/>
        </w:rPr>
      </w:pPr>
    </w:p>
    <w:p>
      <w:pPr>
        <w:jc w:val="center"/>
        <w:ind w:firstLine="464"/>
        <w:spacing w:after="0" w:line="323" w:lineRule="auto"/>
        <w:tabs>
          <w:tab w:leader="none" w:pos="632" w:val="left"/>
        </w:tabs>
        <w:numPr>
          <w:ilvl w:val="0"/>
          <w:numId w:val="478"/>
        </w:numPr>
        <w:rPr>
          <w:rFonts w:ascii="Arial" w:cs="Arial" w:eastAsia="Arial" w:hAnsi="Arial"/>
          <w:sz w:val="15"/>
          <w:szCs w:val="15"/>
          <w:color w:val="auto"/>
        </w:rPr>
      </w:pPr>
      <w:r>
        <w:rPr>
          <w:rFonts w:ascii="Arial" w:cs="Arial" w:eastAsia="Arial" w:hAnsi="Arial"/>
          <w:sz w:val="15"/>
          <w:szCs w:val="15"/>
          <w:u w:val="single" w:color="auto"/>
          <w:color w:val="auto"/>
        </w:rPr>
        <w:t>Rights as a Unitholder</w:t>
      </w:r>
      <w:r>
        <w:rPr>
          <w:rFonts w:ascii="Arial" w:cs="Arial" w:eastAsia="Arial" w:hAnsi="Arial"/>
          <w:sz w:val="15"/>
          <w:szCs w:val="15"/>
          <w:color w:val="auto"/>
        </w:rPr>
        <w:t>. Until the issuance of the Common Units (as evidenced by the appropriate entry on the books of the Company or of a duly authorized transfer agent of the Company), no right to vote or receive allocations of profits or losses or any other rights as a Member shall exist with respect to the Common Units, notwithstanding the exercise of the Option. The Common Units shall be issued to the Grantee as soon as practicable after the Option is exercised. No adjustment shall be made for a dividend or other right for which the record date is prior to the date of issuance except as provided in Section 12(a) of the Plan.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56" w:right="239" w:bottom="1440" w:gutter="0" w:footer="0" w:header="0"/>
        </w:sectPr>
      </w:pPr>
    </w:p>
    <w:bookmarkStart w:id="414" w:name="page415"/>
    <w:bookmarkEnd w:id="414"/>
    <w:p>
      <w:pPr>
        <w:ind w:left="-8" w:right="420" w:firstLine="464"/>
        <w:spacing w:after="0" w:line="286" w:lineRule="auto"/>
        <w:tabs>
          <w:tab w:leader="none" w:pos="624" w:val="left"/>
        </w:tabs>
        <w:numPr>
          <w:ilvl w:val="1"/>
          <w:numId w:val="47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of Other Documents</w:t>
      </w:r>
      <w:r>
        <w:rPr>
          <w:rFonts w:ascii="Arial" w:cs="Arial" w:eastAsia="Arial" w:hAnsi="Arial"/>
          <w:sz w:val="16"/>
          <w:szCs w:val="16"/>
          <w:color w:val="auto"/>
        </w:rPr>
        <w:t xml:space="preserve">. As a condition to the exercise of this Option, Grantee shall complete, sign and deliver with this Exercise Notice (i) a signature page for the Company’s Securityholders’ Agreement and the Company’s Operating Agreement in the form as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w:t>
      </w:r>
    </w:p>
    <w:p>
      <w:pPr>
        <w:ind w:left="-8" w:right="240" w:firstLine="8"/>
        <w:spacing w:after="0" w:line="261" w:lineRule="auto"/>
        <w:tabs>
          <w:tab w:leader="none" w:pos="25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provided that the Common Units have not been registered under the Securities Act, the Investment Representation Statement in the form attached hereto as Exhibit B, and (iii) and any other documents required by the Company of its holders of Common Units.</w:t>
      </w:r>
    </w:p>
    <w:p>
      <w:pPr>
        <w:spacing w:after="0" w:line="137" w:lineRule="exact"/>
        <w:rPr>
          <w:rFonts w:ascii="Arial" w:cs="Arial" w:eastAsia="Arial" w:hAnsi="Arial"/>
          <w:sz w:val="18"/>
          <w:szCs w:val="18"/>
          <w:color w:val="auto"/>
        </w:rPr>
      </w:pPr>
    </w:p>
    <w:p>
      <w:pPr>
        <w:ind w:left="-8" w:firstLine="464"/>
        <w:spacing w:after="0" w:line="288" w:lineRule="auto"/>
        <w:tabs>
          <w:tab w:leader="none" w:pos="624" w:val="left"/>
        </w:tabs>
        <w:numPr>
          <w:ilvl w:val="1"/>
          <w:numId w:val="480"/>
        </w:numPr>
        <w:rPr>
          <w:rFonts w:ascii="Arial" w:cs="Arial" w:eastAsia="Arial" w:hAnsi="Arial"/>
          <w:sz w:val="16"/>
          <w:szCs w:val="16"/>
          <w:color w:val="auto"/>
        </w:rPr>
      </w:pPr>
      <w:r>
        <w:rPr>
          <w:rFonts w:ascii="Arial" w:cs="Arial" w:eastAsia="Arial" w:hAnsi="Arial"/>
          <w:sz w:val="16"/>
          <w:szCs w:val="16"/>
          <w:u w:val="single" w:color="auto"/>
          <w:color w:val="auto"/>
        </w:rPr>
        <w:t>Non-Transferability of the Common Units</w:t>
      </w:r>
      <w:r>
        <w:rPr>
          <w:rFonts w:ascii="Arial" w:cs="Arial" w:eastAsia="Arial" w:hAnsi="Arial"/>
          <w:sz w:val="16"/>
          <w:szCs w:val="16"/>
          <w:color w:val="auto"/>
        </w:rPr>
        <w:t>. Pursuant to Section 6 of the Option Agreement, 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provided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further provided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Grantee’s designated beneficiary, Grantee’s estate or such transferee as permitted by the Committee.</w:t>
      </w:r>
    </w:p>
    <w:p>
      <w:pPr>
        <w:spacing w:after="0" w:line="119" w:lineRule="exact"/>
        <w:rPr>
          <w:rFonts w:ascii="Arial" w:cs="Arial" w:eastAsia="Arial" w:hAnsi="Arial"/>
          <w:sz w:val="16"/>
          <w:szCs w:val="16"/>
          <w:color w:val="auto"/>
        </w:rPr>
      </w:pPr>
    </w:p>
    <w:p>
      <w:pPr>
        <w:ind w:left="-8" w:right="260" w:firstLine="464"/>
        <w:spacing w:after="0" w:line="332" w:lineRule="auto"/>
        <w:tabs>
          <w:tab w:leader="none" w:pos="624" w:val="left"/>
        </w:tabs>
        <w:numPr>
          <w:ilvl w:val="1"/>
          <w:numId w:val="480"/>
        </w:numPr>
        <w:rPr>
          <w:rFonts w:ascii="Arial" w:cs="Arial" w:eastAsia="Arial" w:hAnsi="Arial"/>
          <w:sz w:val="16"/>
          <w:szCs w:val="16"/>
          <w:color w:val="auto"/>
        </w:rPr>
      </w:pPr>
      <w:r>
        <w:rPr>
          <w:rFonts w:ascii="Arial" w:cs="Arial" w:eastAsia="Arial" w:hAnsi="Arial"/>
          <w:sz w:val="16"/>
          <w:szCs w:val="16"/>
          <w:u w:val="single" w:color="auto"/>
          <w:color w:val="auto"/>
        </w:rPr>
        <w:t>Lock-Up Period</w:t>
      </w:r>
      <w:r>
        <w:rPr>
          <w:rFonts w:ascii="Arial" w:cs="Arial" w:eastAsia="Arial" w:hAnsi="Arial"/>
          <w:sz w:val="16"/>
          <w:szCs w:val="16"/>
          <w:color w:val="auto"/>
        </w:rPr>
        <w:t>. Grantee hereby agrees that Grantee shall not offer, pledge, sell, contract to sell, sell any option or contract to purchase, purchase any option or contract to sell, grant any option, right or warrant to purchase, lend, or otherwise transfer or dispose of, directly or indirectly,</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80" w:right="259" w:bottom="1440" w:gutter="0" w:footer="0" w:header="0"/>
        </w:sectPr>
      </w:pPr>
    </w:p>
    <w:bookmarkStart w:id="415" w:name="page416"/>
    <w:bookmarkEnd w:id="415"/>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Common Units (or the securities into which the Common Units are converted or other securities) of the Company or enter into any swap, hedging or other arrangement that transfers to another, in whole or in part, any of the economic consequences of ownership of any Common Units (or the securities into which the Common Units are converted or other securities) of the Company held by Grantee (other than those included in the registration) for a period specified by the representative of the underwriters of Common Units (or the securities into which the Common Units are converted or other securities) of the Company not to exceed one hundred eighty (180) days following the effective date of any registration statement of the Company filed under the Securities Act.</w:t>
      </w:r>
    </w:p>
    <w:p>
      <w:pPr>
        <w:spacing w:after="0" w:line="11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Grantee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Units (or the securities into which the Common Units are converted or other securities) of the Company, Grantee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Common Units (or the securities into which the Common Units are converted or other securities) subject to the foregoing restriction until the end of said one hundred eighty (180) day period. Grantee agrees that any transferee of the Options or units acquired pursuant to the Options shall be bound by this Section.</w:t>
      </w:r>
    </w:p>
    <w:p>
      <w:pPr>
        <w:spacing w:after="0" w:line="123" w:lineRule="exact"/>
        <w:rPr>
          <w:sz w:val="20"/>
          <w:szCs w:val="20"/>
          <w:color w:val="auto"/>
        </w:rPr>
      </w:pPr>
    </w:p>
    <w:p>
      <w:pPr>
        <w:ind w:right="20" w:firstLine="464"/>
        <w:spacing w:after="0" w:line="259" w:lineRule="auto"/>
        <w:tabs>
          <w:tab w:leader="none" w:pos="632"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Grantee understands that Grantee may suffer adverse tax consequences as a result of Grantee’s purchase or disposition of the Common Units. Grantee represents that Grantee has consulted with any tax consultants Grantee deems advisable in connection with the purchase or disposition of the Common Units and that Grantee is not relying on the Company for any tax advice.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416" w:name="page417"/>
    <w:bookmarkEnd w:id="416"/>
    <w:p>
      <w:pPr>
        <w:ind w:left="600" w:hanging="176"/>
        <w:spacing w:after="0"/>
        <w:tabs>
          <w:tab w:leader="none" w:pos="600"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Restrictive Legends and Stop-Transfer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0" w:firstLine="921"/>
        <w:spacing w:after="0" w:line="259" w:lineRule="auto"/>
        <w:tabs>
          <w:tab w:leader="none" w:pos="1112" w:val="left"/>
        </w:tabs>
        <w:numPr>
          <w:ilvl w:val="1"/>
          <w:numId w:val="482"/>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Grantee understands and agrees that the Company shall cause the legends set forth below or legends substantially equivalent thereto, to be placed upon any certificate(s) evidencing ownership of the Common Units together with any other legends that may be required by the Company or by state or federal securities laws:</w:t>
      </w:r>
    </w:p>
    <w:p>
      <w:pPr>
        <w:spacing w:after="0" w:line="59" w:lineRule="exact"/>
        <w:rPr>
          <w:sz w:val="20"/>
          <w:szCs w:val="20"/>
          <w:color w:val="auto"/>
        </w:rPr>
      </w:pPr>
    </w:p>
    <w:p>
      <w:pPr>
        <w:ind w:left="880" w:right="60"/>
        <w:spacing w:after="0" w:line="286" w:lineRule="auto"/>
        <w:rPr>
          <w:sz w:val="20"/>
          <w:szCs w:val="20"/>
          <w:color w:val="auto"/>
        </w:rPr>
      </w:pPr>
      <w:r>
        <w:rPr>
          <w:rFonts w:ascii="Arial" w:cs="Arial" w:eastAsia="Arial" w:hAnsi="Arial"/>
          <w:sz w:val="16"/>
          <w:szCs w:val="16"/>
          <w:color w:val="auto"/>
        </w:rPr>
        <w:t>THE SECURITIES REPRESENTED BY THIS CERTIFICATE HAVE BEEN ACQUIRED FOR INVESTMENT AND HAVE NOT BEEN REGISTERED WITH THE SECURITIES AND EXCHANGE COMMISSION UNDER THE SECURITIES ACT OF 1933, AS AMENDED (THE “ACT”), AND, OR REGISTERED OR QUALIFIED UNDER ANY STATE SECURITIES LAWS AND, AS SUCH, THEY MAY NOT BE OFFERED FOR SALE, SOLD OR OTHERWISE, DELIVERED AFTER SALE, TRANSFERRED, PLEDGED, OR HYPOTHECATED UNLESS AND UNTIL REGISTERED UNDER THE ACT OR, IN THE OPINION OF COMPANY COUNSEL SATISFACTORY TO THE ISSUER OF THESE SECURITIES, SUCH OFFER, SALE OR TRANSFER, PLEDGE OR HYPOTHECATION IS IN COMPLIANCE THEREWITHIN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80" w:top="280" w:right="279" w:bottom="1440" w:gutter="0" w:footer="0" w:header="0"/>
        </w:sectPr>
      </w:pPr>
    </w:p>
    <w:bookmarkStart w:id="417" w:name="page418"/>
    <w:bookmarkEnd w:id="417"/>
    <w:p>
      <w:pPr>
        <w:ind w:left="900"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COMMON UNITS REPRESENTED BY THIS CERTIFICATE ARE SUBJECT TO CERTAIN RESTRICTIONS ON TRANSFER AS SET FORTH IN THE EXERCISE NOTICE BETWEEN THE ISSUER AND THE ORIGINAL HOLDER OF THESE COMMON UNITS, A COPY OF WHICH MAY BE OBTAINED AT THE PRINCIPAL OFFICE OF THE ISSUER. SUCH TRANSFER RESTRICTIONS ARE BINDING ON TRANSFEREES OF THESE COMMON UNITS.</w:t>
      </w:r>
    </w:p>
    <w:p>
      <w:pPr>
        <w:spacing w:after="0" w:line="143" w:lineRule="exact"/>
        <w:rPr>
          <w:sz w:val="20"/>
          <w:szCs w:val="20"/>
          <w:color w:val="auto"/>
        </w:rPr>
      </w:pPr>
    </w:p>
    <w:p>
      <w:pPr>
        <w:ind w:left="-20" w:right="140" w:firstLine="921"/>
        <w:spacing w:after="0" w:line="259" w:lineRule="auto"/>
        <w:tabs>
          <w:tab w:leader="none" w:pos="1141" w:val="left"/>
        </w:tabs>
        <w:numPr>
          <w:ilvl w:val="1"/>
          <w:numId w:val="483"/>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Grantee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40" w:lineRule="exact"/>
        <w:rPr>
          <w:rFonts w:ascii="Arial" w:cs="Arial" w:eastAsia="Arial" w:hAnsi="Arial"/>
          <w:sz w:val="18"/>
          <w:szCs w:val="18"/>
          <w:color w:val="auto"/>
        </w:rPr>
      </w:pPr>
    </w:p>
    <w:p>
      <w:pPr>
        <w:ind w:left="-20" w:right="580" w:firstLine="921"/>
        <w:spacing w:after="0" w:line="306" w:lineRule="auto"/>
        <w:tabs>
          <w:tab w:leader="none" w:pos="1132" w:val="left"/>
        </w:tabs>
        <w:numPr>
          <w:ilvl w:val="1"/>
          <w:numId w:val="483"/>
        </w:numPr>
        <w:rPr>
          <w:rFonts w:ascii="Arial" w:cs="Arial" w:eastAsia="Arial" w:hAnsi="Arial"/>
          <w:sz w:val="16"/>
          <w:szCs w:val="16"/>
          <w:color w:val="auto"/>
        </w:rPr>
      </w:pPr>
      <w:r>
        <w:rPr>
          <w:rFonts w:ascii="Arial" w:cs="Arial" w:eastAsia="Arial" w:hAnsi="Arial"/>
          <w:sz w:val="16"/>
          <w:szCs w:val="16"/>
          <w:u w:val="single" w:color="auto"/>
          <w:color w:val="auto"/>
        </w:rPr>
        <w:t>Refusal to Transfer</w:t>
      </w:r>
      <w:r>
        <w:rPr>
          <w:rFonts w:ascii="Arial" w:cs="Arial" w:eastAsia="Arial" w:hAnsi="Arial"/>
          <w:sz w:val="16"/>
          <w:szCs w:val="16"/>
          <w:color w:val="auto"/>
        </w:rPr>
        <w:t>. The Company shall not be required (i) to transfer on its books any Common Units that have been sold or otherwise transferred in violation of any of the provisions of this Exercise Notice or (ii) to treat as owner of such Common Units or to accord the right to vote or pay dividends to any purchaser or other transferee to whom such Common Units shall have been so transferred.</w:t>
      </w:r>
    </w:p>
    <w:p>
      <w:pPr>
        <w:spacing w:after="0" w:line="106" w:lineRule="exact"/>
        <w:rPr>
          <w:rFonts w:ascii="Arial" w:cs="Arial" w:eastAsia="Arial" w:hAnsi="Arial"/>
          <w:sz w:val="16"/>
          <w:szCs w:val="16"/>
          <w:color w:val="auto"/>
        </w:rPr>
      </w:pPr>
    </w:p>
    <w:p>
      <w:pPr>
        <w:ind w:left="-20" w:firstLine="464"/>
        <w:spacing w:after="0" w:line="259" w:lineRule="auto"/>
        <w:tabs>
          <w:tab w:leader="none" w:pos="70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Grantee and Grantee’s heirs, executors, administrators, successors and assigns.</w:t>
      </w:r>
    </w:p>
    <w:p>
      <w:pPr>
        <w:spacing w:after="0" w:line="140" w:lineRule="exact"/>
        <w:rPr>
          <w:rFonts w:ascii="Arial" w:cs="Arial" w:eastAsia="Arial" w:hAnsi="Arial"/>
          <w:sz w:val="18"/>
          <w:szCs w:val="18"/>
          <w:color w:val="auto"/>
        </w:rPr>
      </w:pPr>
    </w:p>
    <w:p>
      <w:pPr>
        <w:ind w:left="-20" w:right="160" w:firstLine="464"/>
        <w:spacing w:after="0" w:line="306" w:lineRule="auto"/>
        <w:tabs>
          <w:tab w:leader="none" w:pos="693" w:val="left"/>
        </w:tabs>
        <w:numPr>
          <w:ilvl w:val="0"/>
          <w:numId w:val="484"/>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Any dispute regarding the interpretation of this Exercise Notice shall be submitted by Grantee or by the Company forthwith to the Administrator which shall review such dispute at its next regular meeting. The resolution of such a dispute by the Administrator shall be final and binding on all parties. For purposes of interpretation and resolving ambiguities, this Exercise Notice, as executed in English, shall prevail over any translation.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9" w:right="239" w:bottom="1440" w:gutter="0" w:footer="0" w:header="0"/>
        </w:sectPr>
      </w:pPr>
    </w:p>
    <w:bookmarkStart w:id="418" w:name="page419"/>
    <w:bookmarkEnd w:id="418"/>
    <w:p>
      <w:pPr>
        <w:ind w:right="220" w:firstLine="464"/>
        <w:spacing w:after="0" w:line="259" w:lineRule="auto"/>
        <w:tabs>
          <w:tab w:leader="none" w:pos="72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Severability</w:t>
      </w:r>
      <w:r>
        <w:rPr>
          <w:rFonts w:ascii="Arial" w:cs="Arial" w:eastAsia="Arial" w:hAnsi="Arial"/>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will continue in full force and effect.</w:t>
      </w:r>
    </w:p>
    <w:p>
      <w:pPr>
        <w:spacing w:after="0" w:line="140" w:lineRule="exact"/>
        <w:rPr>
          <w:rFonts w:ascii="Arial" w:cs="Arial" w:eastAsia="Arial" w:hAnsi="Arial"/>
          <w:sz w:val="18"/>
          <w:szCs w:val="18"/>
          <w:color w:val="auto"/>
        </w:rPr>
      </w:pPr>
    </w:p>
    <w:p>
      <w:pPr>
        <w:ind w:firstLine="464"/>
        <w:spacing w:after="0" w:line="298" w:lineRule="auto"/>
        <w:tabs>
          <w:tab w:leader="none" w:pos="720" w:val="left"/>
        </w:tabs>
        <w:numPr>
          <w:ilvl w:val="0"/>
          <w:numId w:val="48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(including all exhibits hereto), the Plan, the Option Agreement, the Company’s Securityholders’ Agreement and the Company’s Operating Agreement constitute the entire agreement of the parties with respect to the subject matter hereof and supersede in their entirety all prior undertakings and agreements of the Company and Grantee with respect to the subject matter hereof, and may not be modified adversely to the Grantee’s interest except by means of a writing signed by the Company and Grantee.</w:t>
      </w:r>
    </w:p>
    <w:p>
      <w:pPr>
        <w:sectPr>
          <w:pgSz w:w="11900" w:h="16838" w:orient="portrait"/>
          <w:cols w:equalWidth="0" w:num="1">
            <w:col w:w="11320"/>
          </w:cols>
          <w:pgMar w:left="240" w:top="280"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83019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7045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7045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37045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37045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37045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275272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275272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275272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81" w:lineRule="exact"/>
        <w:rPr>
          <w:sz w:val="20"/>
          <w:szCs w:val="20"/>
          <w:color w:val="auto"/>
        </w:rPr>
      </w:pPr>
    </w:p>
    <w:p>
      <w:pPr>
        <w:sectPr>
          <w:pgSz w:w="11900" w:h="16838" w:orient="portrait"/>
          <w:cols w:equalWidth="0" w:num="2">
            <w:col w:w="6360" w:space="720"/>
            <w:col w:w="4240"/>
          </w:cols>
          <w:pgMar w:left="240" w:top="2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20"/>
          </w:cols>
          <w:pgMar w:left="240" w:top="280" w:right="339" w:bottom="1440" w:gutter="0" w:footer="0" w:header="0"/>
          <w:type w:val="continuous"/>
        </w:sectPr>
      </w:pPr>
    </w:p>
    <w:bookmarkStart w:id="419" w:name="page420"/>
    <w:bookmarkEnd w:id="419"/>
    <w:p>
      <w:pPr>
        <w:ind w:left="4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 TO EXERCISE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JOINDER TO SECURITYHOLDERS’ AGREEMENT AND OPERATING AGREEMENT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Joinder Agreement (this “Joinder Agreement”) is made as of the date written below by the undersigned (the “Joining Party”) in accordance with</w:t>
      </w:r>
    </w:p>
    <w:p>
      <w:pPr>
        <w:spacing w:after="0" w:line="38" w:lineRule="exact"/>
        <w:rPr>
          <w:sz w:val="20"/>
          <w:szCs w:val="20"/>
          <w:color w:val="auto"/>
        </w:rPr>
      </w:pPr>
    </w:p>
    <w:p>
      <w:pPr>
        <w:ind w:right="100" w:firstLine="8"/>
        <w:spacing w:after="0" w:line="290" w:lineRule="auto"/>
        <w:tabs>
          <w:tab w:leader="none" w:pos="21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the Second Amended and Restated Securityholders’ Agreement dated as of October 6, 2004, by and among, MagnaChip Semiconductor LLC (the “Company”), CVC Capital Partners Asia Pacific LP, Asia Investors LLC, CVC Capital Partners Asia II Limited, Citigroup Venture Capital Equity Partners, L.P., CVC Executive Fund LLC, CVC/SSB Employee Fund, L.P., CVC Co-Investors (as defined therein), Francisco Partners, L.P., Francisco Partners Fund A, L.P., Peninsula Investment Pte. Ltd., Hynix Semiconductor Inc., and Management Investors (as defined therein) (the “Securityholders’ Agreement”), as the same may be amended from time to time and (ii) the Operating Agreement (as defined in the Securityholders’ Agreement). Capitalized terms used, but not defined, herein shall have the meaning ascribed to such terms in the Securityholders’ Agreement.</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Joining Party hereby acknowledges, agrees and confirms that, by its execution of this Joinder Agreement, the Joining Party shall be deemed to be a party to the Securityholders’ Agreement and the Operating Agreement as of the date hereof and shall have all of the rights and obligations of (i) a “Securityholder” under the Securityholders’ Agreement as if it had executed the Securityholders’ Agreement and (ii) a “Member” under the Operating Agreement as if it had executed the Operating Agreement. The Joining Party hereby ratifies, as of the date hereof, and agrees to be bound by, all of the terms, provisions and conditions contained in the Securityholders’ Agreement and the Operating Agreement.</w:t>
      </w:r>
    </w:p>
    <w:p>
      <w:pPr>
        <w:spacing w:after="0" w:line="9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Arial" w:cs="Arial" w:eastAsia="Arial" w:hAnsi="Arial"/>
                <w:sz w:val="18"/>
                <w:szCs w:val="18"/>
                <w:color w:val="auto"/>
                <w:w w:val="88"/>
              </w:rPr>
              <w:t>IN WITNESS WHEREOF, the undersigned has executed this Joinder Agreement as of</w:t>
            </w:r>
          </w:p>
        </w:tc>
        <w:tc>
          <w:tcPr>
            <w:tcW w:w="88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6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Membership Interests Transferred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10795</wp:posOffset>
            </wp:positionV>
            <wp:extent cx="186118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289877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289877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279" w:right="1440" w:bottom="1440" w:gutter="0" w:footer="0" w:header="0"/>
        </w:sectPr>
      </w:pPr>
    </w:p>
    <w:bookmarkStart w:id="421" w:name="page422"/>
    <w:bookmarkEnd w:id="42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TO EXERCISE NOTICE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REPRESENTATION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MagnaChip Semiconductor LLC</w:t>
      </w:r>
    </w:p>
    <w:p>
      <w:pPr>
        <w:spacing w:after="0" w:line="11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Common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Effective as of the date set forth above, in connection with the purchase of the above-listed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undersigned Grantee hereby represents and warrants to MagnaChip Semiconductor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following:</w:t>
      </w:r>
    </w:p>
    <w:p>
      <w:pPr>
        <w:spacing w:after="0" w:line="51" w:lineRule="exact"/>
        <w:rPr>
          <w:sz w:val="20"/>
          <w:szCs w:val="20"/>
          <w:color w:val="auto"/>
        </w:rPr>
      </w:pPr>
    </w:p>
    <w:p>
      <w:pPr>
        <w:ind w:right="500" w:firstLine="464"/>
        <w:spacing w:after="0" w:line="259" w:lineRule="auto"/>
        <w:tabs>
          <w:tab w:leader="none" w:pos="74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Grantee is not a U.S. person, not voting on behalf of or acquiring the Securities for the account or benefit of any U.S. person and will acquire the Securities in an offshore transaction (each such term having the meaning set forth in Regulation 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purposes of the above representation, “</w:t>
      </w:r>
      <w:r>
        <w:rPr>
          <w:rFonts w:ascii="Arial" w:cs="Arial" w:eastAsia="Arial" w:hAnsi="Arial"/>
          <w:sz w:val="16"/>
          <w:szCs w:val="16"/>
          <w:u w:val="single" w:color="auto"/>
          <w:color w:val="auto"/>
        </w:rPr>
        <w:t>U.S. person</w:t>
      </w:r>
      <w:r>
        <w:rPr>
          <w:rFonts w:ascii="Arial" w:cs="Arial" w:eastAsia="Arial" w:hAnsi="Arial"/>
          <w:sz w:val="16"/>
          <w:szCs w:val="16"/>
          <w:color w:val="auto"/>
        </w:rPr>
        <w:t>”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 (vii) any discretionary account or similar account (other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 Securities Act, unless it is organized or incorporated, and owned, by accredited investors (as defined below) who are not natural persons, estates or trusts.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422" w:name="page423"/>
    <w:bookmarkEnd w:id="422"/>
    <w:p>
      <w:pPr>
        <w:ind w:left="280" w:hanging="276"/>
        <w:spacing w:after="0"/>
        <w:tabs>
          <w:tab w:leader="none" w:pos="2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Grantee agrees not to engage in hedging transactions with regard to the Securities unless in compliance with the Securities Act.</w:t>
      </w:r>
    </w:p>
    <w:p>
      <w:pPr>
        <w:spacing w:after="0" w:line="171" w:lineRule="exact"/>
        <w:rPr>
          <w:rFonts w:ascii="Arial" w:cs="Arial" w:eastAsia="Arial" w:hAnsi="Arial"/>
          <w:sz w:val="18"/>
          <w:szCs w:val="18"/>
          <w:color w:val="auto"/>
        </w:rPr>
      </w:pPr>
    </w:p>
    <w:p>
      <w:pPr>
        <w:ind w:left="280" w:hanging="276"/>
        <w:spacing w:after="0"/>
        <w:tabs>
          <w:tab w:leader="none" w:pos="28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Grantee understands that no public market currently exists for the Securities and that there are no assurances that any such market will be created.</w:t>
      </w:r>
    </w:p>
    <w:p>
      <w:pPr>
        <w:spacing w:after="0" w:line="194" w:lineRule="exact"/>
        <w:rPr>
          <w:rFonts w:ascii="Arial" w:cs="Arial" w:eastAsia="Arial" w:hAnsi="Arial"/>
          <w:sz w:val="16"/>
          <w:szCs w:val="16"/>
          <w:color w:val="auto"/>
        </w:rPr>
      </w:pPr>
    </w:p>
    <w:p>
      <w:pPr>
        <w:ind w:left="300" w:hanging="296"/>
        <w:spacing w:after="0"/>
        <w:tabs>
          <w:tab w:leader="none" w:pos="30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Grantee acknowledges that certificates representing the Securities will bear the following legend, in addition to any legends otherwise required:</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SECURITIES REPRESENTED BY THIS CERTIFICATE HAVE BEEN ACQUIRED FOR INVESTMENT AND HAVE NOT BEEN REGISTERED WITH THE SECURITIES AND EXCHANGE COMMISSION UNDER THE SECURITIES ACT OF 1933, AS AMENDED, OR REGISTERED OR QUALIFIED UNDER ANY STATE SECURITIES LAWS AND, AS SUCH, THEY MAY NOT BE OFFERED FOR SALE, SOLD, DELIVERED AFTER SALE, TRANSFERRED, PLEDGED, OR HYPOTHECATED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3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700" w:top="279" w:right="299" w:bottom="1440" w:gutter="0" w:footer="0" w:header="0"/>
        </w:sectPr>
      </w:pPr>
    </w:p>
    <w:bookmarkStart w:id="423" w:name="page424"/>
    <w:bookmarkEnd w:id="423"/>
    <w:p>
      <w:pPr>
        <w:ind w:lef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SECURITIES REPRESENTED BY THIS CERTIFICATE ARE SUBJECT TO CERTAIN RESTRICTIONS ON TRANSFER AS SET FORTH IN THE EXERCISE NOTICE BETWEEN THE ISSUER AND THE ORIGINAL HOLDER OF THESE SECURITIES, A COPY OF WHICH MAY BE OBTAINED AT THE PRINCIPAL OFFICE OF THE ISSUER. SUCH TRANSFER RESTRICTIONS ARE BINDING ON TRANSFEREES OF THESE SECURITIES.”</w:t>
      </w:r>
    </w:p>
    <w:p>
      <w:pPr>
        <w:spacing w:after="0" w:line="143" w:lineRule="exact"/>
        <w:rPr>
          <w:sz w:val="20"/>
          <w:szCs w:val="20"/>
          <w:color w:val="auto"/>
        </w:rPr>
      </w:pPr>
    </w:p>
    <w:p>
      <w:pPr>
        <w:ind w:left="580" w:hanging="276"/>
        <w:spacing w:after="0"/>
        <w:tabs>
          <w:tab w:leader="none" w:pos="58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Grantee acknowledges and agrees that:</w:t>
      </w:r>
    </w:p>
    <w:p>
      <w:pPr>
        <w:spacing w:after="0" w:line="90" w:lineRule="exact"/>
        <w:rPr>
          <w:rFonts w:ascii="Arial" w:cs="Arial" w:eastAsia="Arial" w:hAnsi="Arial"/>
          <w:sz w:val="18"/>
          <w:szCs w:val="18"/>
          <w:color w:val="auto"/>
        </w:rPr>
      </w:pPr>
    </w:p>
    <w:p>
      <w:pPr>
        <w:ind w:left="-160" w:right="240" w:firstLine="921"/>
        <w:spacing w:after="0" w:line="268" w:lineRule="auto"/>
        <w:tabs>
          <w:tab w:leader="none" w:pos="963"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Securities have not been, and there is no assurance that the Securities will ever be, registered under the Securities Act, and in issuing the Securities to Grantee, the Company is relying upon the “safe harbor” provided by Regulation S under the Securities Act;</w:t>
      </w:r>
    </w:p>
    <w:p>
      <w:pPr>
        <w:spacing w:after="0" w:line="131" w:lineRule="exact"/>
        <w:rPr>
          <w:rFonts w:ascii="Arial" w:cs="Arial" w:eastAsia="Arial" w:hAnsi="Arial"/>
          <w:sz w:val="18"/>
          <w:szCs w:val="18"/>
          <w:color w:val="auto"/>
        </w:rPr>
      </w:pPr>
    </w:p>
    <w:p>
      <w:pPr>
        <w:ind w:left="-160" w:right="200" w:firstLine="921"/>
        <w:spacing w:after="0" w:line="332" w:lineRule="auto"/>
        <w:tabs>
          <w:tab w:leader="none" w:pos="1011" w:val="left"/>
        </w:tabs>
        <w:numPr>
          <w:ilvl w:val="1"/>
          <w:numId w:val="489"/>
        </w:numPr>
        <w:rPr>
          <w:rFonts w:ascii="Arial" w:cs="Arial" w:eastAsia="Arial" w:hAnsi="Arial"/>
          <w:sz w:val="16"/>
          <w:szCs w:val="16"/>
          <w:color w:val="auto"/>
        </w:rPr>
      </w:pPr>
      <w:r>
        <w:rPr>
          <w:rFonts w:ascii="Arial" w:cs="Arial" w:eastAsia="Arial" w:hAnsi="Arial"/>
          <w:sz w:val="16"/>
          <w:szCs w:val="16"/>
          <w:color w:val="auto"/>
        </w:rPr>
        <w:t>It is a condition to the availability of the Regulation S “safe harbor” that the Securities not be offered or sold in the United States or to a U.S. person until the expiration of a period of one year following the purchase of the Securities (the “</w:t>
      </w:r>
      <w:r>
        <w:rPr>
          <w:rFonts w:ascii="Arial" w:cs="Arial" w:eastAsia="Arial" w:hAnsi="Arial"/>
          <w:sz w:val="16"/>
          <w:szCs w:val="16"/>
          <w:u w:val="single" w:color="auto"/>
          <w:color w:val="auto"/>
        </w:rPr>
        <w:t>Distribution Compliance Period</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left="1060" w:hanging="299"/>
        <w:spacing w:after="0"/>
        <w:tabs>
          <w:tab w:leader="none" w:pos="106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Until the expiration of the Distribution Compliance Period:</w:t>
      </w:r>
    </w:p>
    <w:p>
      <w:pPr>
        <w:spacing w:after="0" w:line="90" w:lineRule="exact"/>
        <w:rPr>
          <w:rFonts w:ascii="Arial" w:cs="Arial" w:eastAsia="Arial" w:hAnsi="Arial"/>
          <w:sz w:val="18"/>
          <w:szCs w:val="18"/>
          <w:color w:val="auto"/>
        </w:rPr>
      </w:pPr>
    </w:p>
    <w:p>
      <w:pPr>
        <w:ind w:left="-160" w:right="60" w:firstLine="1492"/>
        <w:spacing w:after="0" w:line="268" w:lineRule="auto"/>
        <w:tabs>
          <w:tab w:leader="none" w:pos="1562" w:val="left"/>
        </w:tabs>
        <w:numPr>
          <w:ilvl w:val="2"/>
          <w:numId w:val="489"/>
        </w:numPr>
        <w:rPr>
          <w:rFonts w:ascii="Arial" w:cs="Arial" w:eastAsia="Arial" w:hAnsi="Arial"/>
          <w:sz w:val="18"/>
          <w:szCs w:val="18"/>
          <w:color w:val="auto"/>
        </w:rPr>
      </w:pPr>
      <w:r>
        <w:rPr>
          <w:rFonts w:ascii="Arial" w:cs="Arial" w:eastAsia="Arial" w:hAnsi="Arial"/>
          <w:sz w:val="18"/>
          <w:szCs w:val="18"/>
          <w:color w:val="auto"/>
        </w:rPr>
        <w:t>Grantee has not and will not solicit offers to buy, offer for sale or sell any of the Common Units or any beneficial interest therein in the United States or to or for the account of a U.S. person;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400" w:top="280" w:right="399" w:bottom="1440" w:gutter="0" w:footer="0" w:header="0"/>
        </w:sectPr>
      </w:pPr>
    </w:p>
    <w:bookmarkStart w:id="424" w:name="page425"/>
    <w:bookmarkEnd w:id="424"/>
    <w:p>
      <w:pPr>
        <w:ind w:left="-8" w:firstLine="1492"/>
        <w:spacing w:after="0" w:line="284" w:lineRule="auto"/>
        <w:tabs>
          <w:tab w:leader="none" w:pos="1724" w:val="left"/>
        </w:tabs>
        <w:numPr>
          <w:ilvl w:val="2"/>
          <w:numId w:val="4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prior to the expiration of the Distribution Compliance Period, the Common Units may be offered and sold by Grantee only if: (A) the offer or sale is within the United States or for the account of a U.S. person (as such terms are defined in Regulation S), the Common Units are offered and sold pursuant to an effective registration statement or pursuant to an exemption from the registration requirements of the Securities Act; or</w:t>
      </w:r>
    </w:p>
    <w:p>
      <w:pPr>
        <w:spacing w:after="0" w:line="1" w:lineRule="exact"/>
        <w:rPr>
          <w:rFonts w:ascii="Arial" w:cs="Arial" w:eastAsia="Arial" w:hAnsi="Arial"/>
          <w:sz w:val="16"/>
          <w:szCs w:val="16"/>
          <w:color w:val="auto"/>
        </w:rPr>
      </w:pPr>
    </w:p>
    <w:p>
      <w:pPr>
        <w:ind w:left="272" w:hanging="272"/>
        <w:spacing w:after="0"/>
        <w:tabs>
          <w:tab w:leader="none" w:pos="272"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offer and sale is outside the United States and to other than a U.S. person; and</w:t>
      </w:r>
    </w:p>
    <w:p>
      <w:pPr>
        <w:spacing w:after="0" w:line="164" w:lineRule="exact"/>
        <w:rPr>
          <w:rFonts w:ascii="Arial" w:cs="Arial" w:eastAsia="Arial" w:hAnsi="Arial"/>
          <w:sz w:val="18"/>
          <w:szCs w:val="18"/>
          <w:color w:val="auto"/>
        </w:rPr>
      </w:pPr>
    </w:p>
    <w:p>
      <w:pPr>
        <w:ind w:left="-8" w:right="60" w:firstLine="1492"/>
        <w:spacing w:after="0" w:line="259" w:lineRule="auto"/>
        <w:tabs>
          <w:tab w:leader="none" w:pos="1714" w:val="left"/>
        </w:tabs>
        <w:numPr>
          <w:ilvl w:val="2"/>
          <w:numId w:val="491"/>
        </w:numPr>
        <w:rPr>
          <w:rFonts w:ascii="Arial" w:cs="Arial" w:eastAsia="Arial" w:hAnsi="Arial"/>
          <w:sz w:val="18"/>
          <w:szCs w:val="18"/>
          <w:color w:val="auto"/>
        </w:rPr>
      </w:pPr>
      <w:r>
        <w:rPr>
          <w:rFonts w:ascii="Arial" w:cs="Arial" w:eastAsia="Arial" w:hAnsi="Arial"/>
          <w:sz w:val="18"/>
          <w:szCs w:val="18"/>
          <w:color w:val="auto"/>
        </w:rPr>
        <w:t>The foregoing restrictions are binding upon subsequent transferees of the Securities, except for transferees pursuant to an effective registration statement. Grantee agrees that after the Distribution Compliance Period, the Securities may be offered or sold within the United States or to or for the account of a U.S. person only pursuant to applicable securities laws.</w:t>
      </w:r>
    </w:p>
    <w:p>
      <w:pPr>
        <w:spacing w:after="0" w:line="140" w:lineRule="exact"/>
        <w:rPr>
          <w:rFonts w:ascii="Arial" w:cs="Arial" w:eastAsia="Arial" w:hAnsi="Arial"/>
          <w:sz w:val="18"/>
          <w:szCs w:val="18"/>
          <w:color w:val="auto"/>
        </w:rPr>
      </w:pPr>
    </w:p>
    <w:p>
      <w:pPr>
        <w:ind w:left="-8" w:right="300" w:firstLine="921"/>
        <w:spacing w:after="0" w:line="268" w:lineRule="auto"/>
        <w:tabs>
          <w:tab w:leader="none" w:pos="1202" w:val="left"/>
        </w:tabs>
        <w:numPr>
          <w:ilvl w:val="1"/>
          <w:numId w:val="491"/>
        </w:numPr>
        <w:rPr>
          <w:rFonts w:ascii="Arial" w:cs="Arial" w:eastAsia="Arial" w:hAnsi="Arial"/>
          <w:sz w:val="18"/>
          <w:szCs w:val="18"/>
          <w:color w:val="auto"/>
        </w:rPr>
      </w:pPr>
      <w:r>
        <w:rPr>
          <w:rFonts w:ascii="Arial" w:cs="Arial" w:eastAsia="Arial" w:hAnsi="Arial"/>
          <w:sz w:val="18"/>
          <w:szCs w:val="18"/>
          <w:color w:val="auto"/>
        </w:rPr>
        <w:t>Grantee has not engaged, nor is Grantee aware that any party has engaged, and Grantee will not engage or cause any third party to engage, in any directed selling efforts (as such term is defined in Regulation S) in the United States with respect to the Securities;</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1"/>
          <w:numId w:val="491"/>
        </w:numPr>
        <w:rPr>
          <w:rFonts w:ascii="Arial" w:cs="Arial" w:eastAsia="Arial" w:hAnsi="Arial"/>
          <w:sz w:val="18"/>
          <w:szCs w:val="18"/>
          <w:color w:val="auto"/>
        </w:rPr>
      </w:pPr>
      <w:r>
        <w:rPr>
          <w:rFonts w:ascii="Arial" w:cs="Arial" w:eastAsia="Arial" w:hAnsi="Arial"/>
          <w:sz w:val="18"/>
          <w:szCs w:val="18"/>
          <w:color w:val="auto"/>
        </w:rPr>
        <w:t>Grantee is not a “distributor” (as defined in Regulation S) or a “dealer” (as defined in the Securities Act); and</w:t>
      </w:r>
    </w:p>
    <w:p>
      <w:pPr>
        <w:spacing w:after="0" w:line="171" w:lineRule="exact"/>
        <w:rPr>
          <w:rFonts w:ascii="Arial" w:cs="Arial" w:eastAsia="Arial" w:hAnsi="Arial"/>
          <w:sz w:val="18"/>
          <w:szCs w:val="18"/>
          <w:color w:val="auto"/>
        </w:rPr>
      </w:pPr>
    </w:p>
    <w:p>
      <w:pPr>
        <w:ind w:left="1212" w:hanging="299"/>
        <w:spacing w:after="0"/>
        <w:tabs>
          <w:tab w:leader="none" w:pos="1212" w:val="left"/>
        </w:tabs>
        <w:numPr>
          <w:ilvl w:val="1"/>
          <w:numId w:val="491"/>
        </w:numPr>
        <w:rPr>
          <w:rFonts w:ascii="Arial" w:cs="Arial" w:eastAsia="Arial" w:hAnsi="Arial"/>
          <w:sz w:val="16"/>
          <w:szCs w:val="16"/>
          <w:color w:val="auto"/>
        </w:rPr>
      </w:pPr>
      <w:r>
        <w:rPr>
          <w:rFonts w:ascii="Arial" w:cs="Arial" w:eastAsia="Arial" w:hAnsi="Arial"/>
          <w:sz w:val="16"/>
          <w:szCs w:val="16"/>
          <w:color w:val="auto"/>
        </w:rPr>
        <w:t>Grantee acknowledges that the Company shall make a notation in its stock books regarding the restrictions on transfer set forth in this Section</w:t>
      </w:r>
    </w:p>
    <w:p>
      <w:pPr>
        <w:spacing w:after="0" w:line="38" w:lineRule="exact"/>
        <w:rPr>
          <w:rFonts w:ascii="Arial" w:cs="Arial" w:eastAsia="Arial" w:hAnsi="Arial"/>
          <w:sz w:val="16"/>
          <w:szCs w:val="16"/>
          <w:color w:val="auto"/>
        </w:rPr>
      </w:pPr>
    </w:p>
    <w:p>
      <w:pPr>
        <w:jc w:val="both"/>
        <w:ind w:left="-8" w:right="100" w:firstLine="8"/>
        <w:spacing w:after="0" w:line="255" w:lineRule="auto"/>
        <w:tabs>
          <w:tab w:leader="none" w:pos="2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and shall transfer such Securities on the books of the Company only to the extent consistent herewith. In particular, Grantee acknowledges that the Company shall refuse to register any transfer of the Securities not made in accordance with the provisions of Regulation S, pursuant to registration under the Securities Act or pursuant to an available exemption from registration.</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80" w:right="239" w:bottom="1440" w:gutter="0" w:footer="0" w:header="0"/>
        </w:sectPr>
      </w:pPr>
    </w:p>
    <w:bookmarkStart w:id="425" w:name="page426"/>
    <w:bookmarkEnd w:id="425"/>
    <w:p>
      <w:pPr>
        <w:ind w:left="600" w:hanging="256"/>
        <w:spacing w:after="0"/>
        <w:tabs>
          <w:tab w:leader="none" w:pos="6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 will notify any purchaser of the Securities from Grantee of the restrictions relating to the Securities noted herewith.</w:t>
      </w:r>
    </w:p>
    <w:p>
      <w:pPr>
        <w:spacing w:after="0" w:line="171" w:lineRule="exact"/>
        <w:rPr>
          <w:rFonts w:ascii="Arial" w:cs="Arial" w:eastAsia="Arial" w:hAnsi="Arial"/>
          <w:sz w:val="18"/>
          <w:szCs w:val="18"/>
          <w:color w:val="auto"/>
        </w:rPr>
      </w:pPr>
    </w:p>
    <w:p>
      <w:pPr>
        <w:ind w:left="640" w:hanging="296"/>
        <w:spacing w:after="0"/>
        <w:tabs>
          <w:tab w:leader="none" w:pos="640" w:val="left"/>
        </w:tabs>
        <w:numPr>
          <w:ilvl w:val="0"/>
          <w:numId w:val="493"/>
        </w:numPr>
        <w:rPr>
          <w:rFonts w:ascii="Arial" w:cs="Arial" w:eastAsia="Arial" w:hAnsi="Arial"/>
          <w:sz w:val="16"/>
          <w:szCs w:val="16"/>
          <w:color w:val="auto"/>
        </w:rPr>
      </w:pPr>
      <w:r>
        <w:rPr>
          <w:rFonts w:ascii="Arial" w:cs="Arial" w:eastAsia="Arial" w:hAnsi="Arial"/>
          <w:sz w:val="16"/>
          <w:szCs w:val="16"/>
          <w:color w:val="auto"/>
        </w:rPr>
        <w:t>Grantee has full power and authority to deliver this Investment Representation Statement in relation to the Grantee’s purchase of the Securities.</w:t>
      </w:r>
    </w:p>
    <w:p>
      <w:pPr>
        <w:spacing w:after="0" w:line="194" w:lineRule="exact"/>
        <w:rPr>
          <w:rFonts w:ascii="Arial" w:cs="Arial" w:eastAsia="Arial" w:hAnsi="Arial"/>
          <w:sz w:val="16"/>
          <w:szCs w:val="16"/>
          <w:color w:val="auto"/>
        </w:rPr>
      </w:pPr>
    </w:p>
    <w:p>
      <w:pPr>
        <w:ind w:left="-120" w:right="120" w:firstLine="464"/>
        <w:spacing w:after="0" w:line="268" w:lineRule="auto"/>
        <w:tabs>
          <w:tab w:leader="none" w:pos="62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Grantee acknowledges that the Company and is entitled to rely on the truth and accuracy of the foregoing representations and warranties and that the foregoing representations and warranties will survive Grantee’s admission as a member of the Company.</w:t>
      </w:r>
    </w:p>
    <w:p>
      <w:pPr>
        <w:spacing w:after="0" w:line="131" w:lineRule="exact"/>
        <w:rPr>
          <w:rFonts w:ascii="Arial" w:cs="Arial" w:eastAsia="Arial" w:hAnsi="Arial"/>
          <w:sz w:val="18"/>
          <w:szCs w:val="18"/>
          <w:color w:val="auto"/>
        </w:rPr>
      </w:pPr>
    </w:p>
    <w:p>
      <w:pPr>
        <w:ind w:left="-120" w:right="180" w:firstLine="464"/>
        <w:spacing w:after="0" w:line="298" w:lineRule="auto"/>
        <w:tabs>
          <w:tab w:leader="none" w:pos="556" w:val="left"/>
        </w:tabs>
        <w:numPr>
          <w:ilvl w:val="0"/>
          <w:numId w:val="493"/>
        </w:numPr>
        <w:rPr>
          <w:rFonts w:ascii="Arial" w:cs="Arial" w:eastAsia="Arial" w:hAnsi="Arial"/>
          <w:sz w:val="16"/>
          <w:szCs w:val="16"/>
          <w:color w:val="auto"/>
        </w:rPr>
      </w:pPr>
      <w:r>
        <w:rPr>
          <w:rFonts w:ascii="Arial" w:cs="Arial" w:eastAsia="Arial" w:hAnsi="Arial"/>
          <w:sz w:val="16"/>
          <w:szCs w:val="16"/>
          <w:color w:val="auto"/>
        </w:rPr>
        <w:t>Grantee acknowledges that these representations and warranties may be translated into one or more languages other than English. In case of any inconsistency between the English version of these representations and warranties and a version in any other language, the English version shall prevail. In the event Grantee executes and delivers a non-English version of these representations and warranties, such execution and delivery will also be deemed to be execution and delivery of the English version of these representations and warranties.</w:t>
      </w:r>
    </w:p>
    <w:p>
      <w:pPr>
        <w:spacing w:after="0" w:line="112" w:lineRule="exact"/>
        <w:rPr>
          <w:rFonts w:ascii="Arial" w:cs="Arial" w:eastAsia="Arial" w:hAnsi="Arial"/>
          <w:sz w:val="16"/>
          <w:szCs w:val="16"/>
          <w:color w:val="auto"/>
        </w:rPr>
      </w:pPr>
    </w:p>
    <w:p>
      <w:pPr>
        <w:ind w:left="-120" w:firstLine="464"/>
        <w:spacing w:after="0" w:line="255" w:lineRule="auto"/>
        <w:tabs>
          <w:tab w:leader="none" w:pos="566" w:val="left"/>
        </w:tabs>
        <w:numPr>
          <w:ilvl w:val="0"/>
          <w:numId w:val="493"/>
        </w:numPr>
        <w:rPr>
          <w:rFonts w:ascii="Arial" w:cs="Arial" w:eastAsia="Arial" w:hAnsi="Arial"/>
          <w:sz w:val="18"/>
          <w:szCs w:val="18"/>
          <w:color w:val="auto"/>
        </w:rPr>
      </w:pPr>
      <w:r>
        <w:rPr>
          <w:rFonts w:ascii="Arial" w:cs="Arial" w:eastAsia="Arial" w:hAnsi="Arial"/>
          <w:sz w:val="18"/>
          <w:szCs w:val="18"/>
          <w:color w:val="auto"/>
        </w:rPr>
        <w:t>Grantee represents and warrants that the above acknowledgements, representations and agreements are true and accurate as of the date hereof. Grantee also agrees to inform the Company should any of the information contained in these representations and warranties cease to be true and/or accurate. Grantee acknowledges that in the event it does not inform the Company of any change to the information contained in these representations and warranties, the Company and its respective professional advisers will be entitled to continue to rely on the truth and accuracy of the foregoing representations and warranties until and including the date the Grantee purchases the Securities.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60" w:top="279" w:right="33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289877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280" w:right="1440"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b w:val="1"/>
          <w:bCs w:val="1"/>
          <w:color w:val="auto"/>
        </w:rPr>
        <w:t>Exhibit 10.55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65"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color w:val="auto"/>
        </w:rPr>
        <w:t xml:space="preserve">THIS OPTION AGREEMENT, dated as of </w:t>
      </w:r>
      <w:r>
        <w:rPr>
          <w:rFonts w:ascii="Arial" w:cs="Arial" w:eastAsia="Arial" w:hAnsi="Arial"/>
          <w:sz w:val="18"/>
          <w:szCs w:val="18"/>
          <w:b w:val="1"/>
          <w:bCs w:val="1"/>
          <w:u w:val="single" w:color="auto"/>
          <w:color w:val="auto"/>
        </w:rPr>
        <w:t>May 27, 2006</w:t>
      </w:r>
      <w:r>
        <w:rPr>
          <w:rFonts w:ascii="Arial" w:cs="Arial" w:eastAsia="Arial" w:hAnsi="Arial"/>
          <w:sz w:val="18"/>
          <w:szCs w:val="18"/>
          <w:color w:val="auto"/>
        </w:rPr>
        <w:t xml:space="preserve">, is executed by and between MagnaChip Semiconductor LLC, a Delaware limited liability company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Sang Park</w:t>
      </w:r>
      <w:r>
        <w:rPr>
          <w:rFonts w:ascii="Arial" w:cs="Arial" w:eastAsia="Arial" w:hAnsi="Arial"/>
          <w:sz w:val="18"/>
          <w:szCs w:val="18"/>
          <w:color w:val="auto"/>
        </w:rPr>
        <w:t xml:space="preserv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Grantee</w:t>
      </w:r>
      <w:r>
        <w:rPr>
          <w:rFonts w:ascii="Arial" w:cs="Arial" w:eastAsia="Arial" w:hAnsi="Arial"/>
          <w:sz w:val="18"/>
          <w:szCs w:val="18"/>
          <w:b w:val="1"/>
          <w:bCs w:val="1"/>
          <w:color w:val="auto"/>
        </w:rPr>
        <w:t>”</w:t>
      </w:r>
      <w:r>
        <w:rPr>
          <w:rFonts w:ascii="Arial" w:cs="Arial" w:eastAsia="Arial" w:hAnsi="Arial"/>
          <w:sz w:val="18"/>
          <w:szCs w:val="18"/>
          <w:color w:val="auto"/>
        </w:rPr>
        <w:t>), pursuant to the MagnaChip Semiconductor LLC California Equity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Capitalized terms that are not defined herein shall have the meanings given to such terms in the Plan.</w:t>
      </w:r>
    </w:p>
    <w:p>
      <w:pPr>
        <w:spacing w:after="0" w:line="132"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of its wholly-owned subsidiary, (“</w:t>
      </w:r>
      <w:r>
        <w:rPr>
          <w:rFonts w:ascii="Arial" w:cs="Arial" w:eastAsia="Arial" w:hAnsi="Arial"/>
          <w:sz w:val="18"/>
          <w:szCs w:val="18"/>
          <w:b w:val="1"/>
          <w:bCs w:val="1"/>
          <w:u w:val="single" w:color="auto"/>
          <w:color w:val="auto"/>
        </w:rPr>
        <w:t>MagnaChip</w:t>
      </w:r>
      <w:r>
        <w:rPr>
          <w:rFonts w:ascii="Arial" w:cs="Arial" w:eastAsia="Arial" w:hAnsi="Arial"/>
          <w:sz w:val="18"/>
          <w:szCs w:val="18"/>
          <w:color w:val="auto"/>
        </w:rPr>
        <w:t>”);</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has adopted the Plan in order to effect such grants; and</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sz w:val="20"/>
          <w:szCs w:val="20"/>
          <w:color w:val="auto"/>
        </w:rPr>
      </w:pPr>
    </w:p>
    <w:p>
      <w:pPr>
        <w:jc w:val="both"/>
        <w:ind w:right="40" w:firstLine="921"/>
        <w:spacing w:after="0" w:line="339" w:lineRule="auto"/>
        <w:tabs>
          <w:tab w:leader="none" w:pos="1152" w:val="left"/>
        </w:tabs>
        <w:numPr>
          <w:ilvl w:val="0"/>
          <w:numId w:val="495"/>
        </w:numPr>
        <w:rPr>
          <w:rFonts w:ascii="Arial" w:cs="Arial" w:eastAsia="Arial" w:hAnsi="Arial"/>
          <w:sz w:val="16"/>
          <w:szCs w:val="16"/>
          <w:color w:val="auto"/>
        </w:rPr>
      </w:pPr>
      <w:r>
        <w:rPr>
          <w:rFonts w:ascii="Arial" w:cs="Arial" w:eastAsia="Arial" w:hAnsi="Arial"/>
          <w:sz w:val="16"/>
          <w:szCs w:val="16"/>
          <w:u w:val="single" w:color="auto"/>
          <w:color w:val="auto"/>
        </w:rPr>
        <w:t>Confirmation of Grant</w:t>
      </w:r>
      <w:r>
        <w:rPr>
          <w:rFonts w:ascii="Arial" w:cs="Arial" w:eastAsia="Arial" w:hAnsi="Arial"/>
          <w:sz w:val="16"/>
          <w:szCs w:val="16"/>
          <w:color w:val="auto"/>
        </w:rPr>
        <w:t xml:space="preserve">. The Company hereby evidences and confirms the grant to the Grantee, effective as of </w:t>
      </w:r>
      <w:r>
        <w:rPr>
          <w:rFonts w:ascii="Arial" w:cs="Arial" w:eastAsia="Arial" w:hAnsi="Arial"/>
          <w:sz w:val="16"/>
          <w:szCs w:val="16"/>
          <w:u w:val="single" w:color="auto"/>
          <w:color w:val="auto"/>
        </w:rPr>
        <w:t>May 27, 2006</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Grant Date</w:t>
      </w:r>
      <w:r>
        <w:rPr>
          <w:rFonts w:ascii="Arial" w:cs="Arial" w:eastAsia="Arial" w:hAnsi="Arial"/>
          <w:sz w:val="16"/>
          <w:szCs w:val="16"/>
          <w:color w:val="auto"/>
        </w:rPr>
        <w:t xml:space="preserve">”), of options to purchase from the Company the number of Common Units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Options</w:t>
      </w:r>
      <w:r>
        <w:rPr>
          <w:rFonts w:ascii="Arial" w:cs="Arial" w:eastAsia="Arial" w:hAnsi="Arial"/>
          <w:sz w:val="16"/>
          <w:szCs w:val="16"/>
          <w:b w:val="1"/>
          <w:bCs w:val="1"/>
          <w:color w:val="auto"/>
        </w:rPr>
        <w:t>”</w:t>
      </w:r>
      <w:r>
        <w:rPr>
          <w:rFonts w:ascii="Arial" w:cs="Arial" w:eastAsia="Arial" w:hAnsi="Arial"/>
          <w:sz w:val="16"/>
          <w:szCs w:val="16"/>
          <w:color w:val="auto"/>
        </w:rPr>
        <w:t>) at the exercise price per Common Unit (the “</w:t>
      </w:r>
      <w:r>
        <w:rPr>
          <w:rFonts w:ascii="Arial" w:cs="Arial" w:eastAsia="Arial" w:hAnsi="Arial"/>
          <w:sz w:val="16"/>
          <w:szCs w:val="16"/>
          <w:b w:val="1"/>
          <w:bCs w:val="1"/>
          <w:u w:val="single" w:color="auto"/>
          <w:color w:val="auto"/>
        </w:rPr>
        <w:t>Option Price</w:t>
      </w:r>
      <w:r>
        <w:rPr>
          <w:rFonts w:ascii="Arial" w:cs="Arial" w:eastAsia="Arial" w:hAnsi="Arial"/>
          <w:sz w:val="16"/>
          <w:szCs w:val="16"/>
          <w:color w:val="auto"/>
        </w:rPr>
        <w:t>”) as follows:</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Price</w:t>
            </w:r>
          </w:p>
        </w:tc>
        <w:tc>
          <w:tcPr>
            <w:tcW w:w="7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Number of Units</w:t>
            </w:r>
          </w:p>
        </w:tc>
      </w:tr>
      <w:tr>
        <w:trPr>
          <w:trHeight w:val="195"/>
        </w:trPr>
        <w:tc>
          <w:tcPr>
            <w:tcW w:w="7860" w:type="dxa"/>
            <w:vAlign w:val="bottom"/>
          </w:tcPr>
          <w:p>
            <w:pPr>
              <w:spacing w:after="0" w:line="195" w:lineRule="exact"/>
              <w:rPr>
                <w:sz w:val="20"/>
                <w:szCs w:val="20"/>
                <w:color w:val="auto"/>
              </w:rPr>
            </w:pPr>
            <w:r>
              <w:rPr>
                <w:rFonts w:ascii="Arial" w:cs="Arial" w:eastAsia="Arial" w:hAnsi="Arial"/>
                <w:sz w:val="18"/>
                <w:szCs w:val="18"/>
                <w:color w:val="auto"/>
              </w:rPr>
              <w:t>US$ 1.02</w:t>
            </w:r>
          </w:p>
        </w:tc>
        <w:tc>
          <w:tcPr>
            <w:tcW w:w="74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800,000</w:t>
            </w: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800,000</w:t>
            </w:r>
          </w:p>
        </w:tc>
      </w:tr>
    </w:tbl>
    <w:p>
      <w:pPr>
        <w:spacing w:after="0" w:line="156" w:lineRule="exact"/>
        <w:rPr>
          <w:sz w:val="20"/>
          <w:szCs w:val="20"/>
          <w:color w:val="auto"/>
        </w:rPr>
      </w:pPr>
    </w:p>
    <w:p>
      <w:pPr>
        <w:ind w:right="20" w:firstLine="921"/>
        <w:spacing w:after="0" w:line="256" w:lineRule="auto"/>
        <w:tabs>
          <w:tab w:leader="none" w:pos="1161"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 In the event of a conflict between the terms and conditions of the Plan and this Option Agreement, the terms and conditions of the Plan shall prevail.</w:t>
      </w:r>
    </w:p>
    <w:p>
      <w:pPr>
        <w:spacing w:after="0" w:line="143" w:lineRule="exact"/>
        <w:rPr>
          <w:rFonts w:ascii="Arial" w:cs="Arial" w:eastAsia="Arial" w:hAnsi="Arial"/>
          <w:sz w:val="18"/>
          <w:szCs w:val="18"/>
          <w:color w:val="auto"/>
        </w:rPr>
      </w:pPr>
    </w:p>
    <w:p>
      <w:pPr>
        <w:ind w:right="520" w:firstLine="921"/>
        <w:spacing w:after="0" w:line="268" w:lineRule="auto"/>
        <w:tabs>
          <w:tab w:leader="none" w:pos="1152"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213" w:lineRule="exact"/>
        <w:rPr>
          <w:sz w:val="20"/>
          <w:szCs w:val="20"/>
          <w:color w:val="auto"/>
        </w:rPr>
      </w:pPr>
    </w:p>
    <w:p>
      <w:pPr>
        <w:ind w:left="1100" w:hanging="179"/>
        <w:spacing w:after="0"/>
        <w:tabs>
          <w:tab w:leader="none" w:pos="1100"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323" w:lineRule="auto"/>
        <w:tabs>
          <w:tab w:leader="none" w:pos="1152" w:val="left"/>
        </w:tabs>
        <w:numPr>
          <w:ilvl w:val="0"/>
          <w:numId w:val="498"/>
        </w:numPr>
        <w:rPr>
          <w:rFonts w:ascii="Arial" w:cs="Arial" w:eastAsia="Arial" w:hAnsi="Arial"/>
          <w:sz w:val="15"/>
          <w:szCs w:val="15"/>
          <w:color w:val="auto"/>
        </w:rPr>
      </w:pPr>
      <w:r>
        <w:rPr>
          <w:rFonts w:ascii="Arial" w:cs="Arial" w:eastAsia="Arial" w:hAnsi="Arial"/>
          <w:sz w:val="15"/>
          <w:szCs w:val="15"/>
          <w:u w:val="single" w:color="auto"/>
          <w:color w:val="auto"/>
        </w:rPr>
        <w:t>Vesting Provisions</w:t>
      </w:r>
      <w:r>
        <w:rPr>
          <w:rFonts w:ascii="Arial" w:cs="Arial" w:eastAsia="Arial" w:hAnsi="Arial"/>
          <w:sz w:val="15"/>
          <w:szCs w:val="15"/>
          <w:color w:val="auto"/>
        </w:rPr>
        <w:t>. An installment of 25% of the Common Units subject to the Options shall become vested and exercisable on the first anniversary of the Grant Date and 6.25% of the Common Units subject to the Options shall become vested and exercisable at the end of each three month period thereafter on the same day of the month as the Grant Date (or, if earlier, the last day of such month), so that the Options shall become fully vested and exercisable on the fourth anniversary of the Grant Date; subject to the Grantee’s continuous employment with MagnaChip from the Grant Date to each such vesting date.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4" w:right="239" w:bottom="1440" w:gutter="0" w:footer="0" w:header="0"/>
        </w:sectPr>
      </w:pPr>
    </w:p>
    <w:bookmarkStart w:id="428" w:name="page429"/>
    <w:bookmarkEnd w:id="428"/>
    <w:p>
      <w:pPr>
        <w:ind w:right="100" w:firstLine="921"/>
        <w:spacing w:after="0" w:line="306" w:lineRule="auto"/>
        <w:tabs>
          <w:tab w:leader="none" w:pos="1161" w:val="left"/>
        </w:tabs>
        <w:numPr>
          <w:ilvl w:val="0"/>
          <w:numId w:val="4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Normal Expiration Date</w:t>
      </w:r>
      <w:r>
        <w:rPr>
          <w:rFonts w:ascii="Arial" w:cs="Arial" w:eastAsia="Arial" w:hAnsi="Arial"/>
          <w:sz w:val="16"/>
          <w:szCs w:val="16"/>
          <w:color w:val="auto"/>
        </w:rPr>
        <w:t xml:space="preserve">. Unless the Options earlier terminate in accordance with Section 4, the Options shall terminate on the tenth anniversary of the Grant Date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Normal Expiration Date</w:t>
      </w:r>
      <w:r>
        <w:rPr>
          <w:rFonts w:ascii="Arial" w:cs="Arial" w:eastAsia="Arial" w:hAnsi="Arial"/>
          <w:sz w:val="16"/>
          <w:szCs w:val="16"/>
          <w:b w:val="1"/>
          <w:bCs w:val="1"/>
          <w:color w:val="auto"/>
        </w:rPr>
        <w:t>”</w:t>
      </w:r>
      <w:r>
        <w:rPr>
          <w:rFonts w:ascii="Arial" w:cs="Arial" w:eastAsia="Arial" w:hAnsi="Arial"/>
          <w:sz w:val="16"/>
          <w:szCs w:val="16"/>
          <w:color w:val="auto"/>
        </w:rPr>
        <w:t>). Once Options have become vested and exerciseable pursuant to this Section 2, such Options may be exercised, subject to the provisions hereof, at any time and from time to time until the Normal Expiration Date.</w:t>
      </w:r>
    </w:p>
    <w:p>
      <w:pPr>
        <w:spacing w:after="0" w:line="188" w:lineRule="exact"/>
        <w:rPr>
          <w:sz w:val="20"/>
          <w:szCs w:val="20"/>
          <w:color w:val="auto"/>
        </w:rPr>
      </w:pPr>
    </w:p>
    <w:p>
      <w:pPr>
        <w:ind w:left="1100" w:hanging="179"/>
        <w:spacing w:after="0"/>
        <w:tabs>
          <w:tab w:leader="none" w:pos="1100"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All or part of the exercisable Options may be exercised by the Grantee upon (a) the Grantee’s written notice to the Company of exercise (on such Exercise Notice as provided by the Company, a form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(b) the Grantee’s payment of the Option Price in full at the time of exercise (i) in cash or cash equivalents or (ii) in accordance with such procedures or in such other form as the Committee shall from time to time determine and</w:t>
      </w:r>
    </w:p>
    <w:p>
      <w:pPr>
        <w:spacing w:after="0" w:line="1" w:lineRule="exact"/>
        <w:rPr>
          <w:sz w:val="20"/>
          <w:szCs w:val="20"/>
          <w:color w:val="auto"/>
        </w:rPr>
      </w:pPr>
    </w:p>
    <w:p>
      <w:pPr>
        <w:ind w:right="20" w:firstLine="8"/>
        <w:spacing w:after="0" w:line="261" w:lineRule="auto"/>
        <w:tabs>
          <w:tab w:leader="none" w:pos="239"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Grantee’s execution of a joinder to the LLC Agreement (if the Grantee is not then a party to such agreement) in order to become a party to such agreement with respect to the Common Units issuable upon the exercise of such Options.</w:t>
      </w:r>
    </w:p>
    <w:p>
      <w:pPr>
        <w:spacing w:after="0" w:line="219" w:lineRule="exact"/>
        <w:rPr>
          <w:sz w:val="20"/>
          <w:szCs w:val="20"/>
          <w:color w:val="auto"/>
        </w:rPr>
      </w:pPr>
    </w:p>
    <w:p>
      <w:pPr>
        <w:ind w:left="1100" w:hanging="179"/>
        <w:spacing w:after="0"/>
        <w:tabs>
          <w:tab w:leader="none" w:pos="1100"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right="80" w:firstLine="921"/>
        <w:spacing w:after="0" w:line="259" w:lineRule="auto"/>
        <w:tabs>
          <w:tab w:leader="none" w:pos="115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right="140" w:firstLine="921"/>
        <w:spacing w:after="0" w:line="294" w:lineRule="auto"/>
        <w:tabs>
          <w:tab w:leader="none" w:pos="1162" w:val="left"/>
        </w:tabs>
        <w:numPr>
          <w:ilvl w:val="0"/>
          <w:numId w:val="503"/>
        </w:numPr>
        <w:rPr>
          <w:rFonts w:ascii="Arial" w:cs="Arial" w:eastAsia="Arial" w:hAnsi="Arial"/>
          <w:sz w:val="16"/>
          <w:szCs w:val="16"/>
          <w:color w:val="auto"/>
        </w:rPr>
      </w:pPr>
      <w:r>
        <w:rPr>
          <w:rFonts w:ascii="Arial" w:cs="Arial" w:eastAsia="Arial" w:hAnsi="Arial"/>
          <w:sz w:val="16"/>
          <w:szCs w:val="16"/>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Company’s repurchase right under this provision shall terminate ninety days after the termination of the Grantee’s employment.</w:t>
      </w:r>
    </w:p>
    <w:p>
      <w:pPr>
        <w:spacing w:after="0" w:line="197" w:lineRule="exact"/>
        <w:rPr>
          <w:sz w:val="20"/>
          <w:szCs w:val="20"/>
          <w:color w:val="auto"/>
        </w:rPr>
      </w:pPr>
    </w:p>
    <w:p>
      <w:pPr>
        <w:ind w:left="1100" w:hanging="179"/>
        <w:spacing w:after="0"/>
        <w:tabs>
          <w:tab w:leader="none" w:pos="1100"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Whenever Common Units are to be issued pursuant to the exercise of an Option or any cash payment is to be made hereunder, the Company shall have the power to withhold, or require the Grantee to remit to the Company, an amount sufficient to satisfy federal, state, and local withholding tax requirements relating to such transaction, and the Company may defer payment of cash or issuance of Common Units until such requirements are satisfied.</w:t>
      </w:r>
    </w:p>
    <w:p>
      <w:pPr>
        <w:spacing w:after="0" w:line="188" w:lineRule="exact"/>
        <w:rPr>
          <w:sz w:val="20"/>
          <w:szCs w:val="20"/>
          <w:color w:val="auto"/>
        </w:rPr>
      </w:pPr>
    </w:p>
    <w:p>
      <w:pPr>
        <w:ind w:left="1100" w:hanging="179"/>
        <w:spacing w:after="0"/>
        <w:tabs>
          <w:tab w:leader="none" w:pos="1100"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 or Common Units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429" w:name="page430"/>
    <w:bookmarkEnd w:id="42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221" w:lineRule="exact"/>
        <w:rPr>
          <w:sz w:val="20"/>
          <w:szCs w:val="20"/>
          <w:color w:val="auto"/>
        </w:rPr>
      </w:pPr>
    </w:p>
    <w:p>
      <w:pPr>
        <w:ind w:left="1100" w:hanging="179"/>
        <w:spacing w:after="0"/>
        <w:tabs>
          <w:tab w:leader="none" w:pos="1100"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94" w:lineRule="exact"/>
        <w:rPr>
          <w:sz w:val="20"/>
          <w:szCs w:val="20"/>
          <w:color w:val="auto"/>
        </w:rPr>
      </w:pPr>
    </w:p>
    <w:p>
      <w:pPr>
        <w:ind w:left="1100" w:hanging="179"/>
        <w:spacing w:after="0"/>
        <w:tabs>
          <w:tab w:leader="none" w:pos="1100"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securities laws, and no Common Units shall be issued upon exercise of any Options granted hereunder, if such exercise would result in a violation of applicable law.</w:t>
      </w:r>
    </w:p>
    <w:p>
      <w:pPr>
        <w:spacing w:after="0" w:line="224" w:lineRule="exact"/>
        <w:rPr>
          <w:sz w:val="20"/>
          <w:szCs w:val="20"/>
          <w:color w:val="auto"/>
        </w:rPr>
      </w:pPr>
    </w:p>
    <w:p>
      <w:pPr>
        <w:ind w:left="1100" w:hanging="179"/>
        <w:spacing w:after="0"/>
        <w:tabs>
          <w:tab w:leader="none" w:pos="1100"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w:t>
      </w:r>
    </w:p>
    <w:p>
      <w:pPr>
        <w:spacing w:after="0" w:line="213" w:lineRule="exact"/>
        <w:rPr>
          <w:sz w:val="20"/>
          <w:szCs w:val="20"/>
          <w:color w:val="auto"/>
        </w:rPr>
      </w:pPr>
    </w:p>
    <w:p>
      <w:pPr>
        <w:ind w:left="1180" w:hanging="259"/>
        <w:spacing w:after="0"/>
        <w:tabs>
          <w:tab w:leader="none" w:pos="1180"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166" w:lineRule="exact"/>
        <w:rPr>
          <w:sz w:val="20"/>
          <w:szCs w:val="20"/>
          <w:color w:val="auto"/>
        </w:rPr>
      </w:pPr>
    </w:p>
    <w:p>
      <w:pPr>
        <w:ind w:left="1180" w:hanging="259"/>
        <w:spacing w:after="0"/>
        <w:tabs>
          <w:tab w:leader="none" w:pos="1180"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t>Grantee’s Representations</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the event the Common Units have not been registered under the Securities Act at the time this Options are exercised, the Grantee shall, if required by the Company, concurrently with the exercise of all or any portion of the Options, deliver to the Company the Grantee’s Investment Representation Statement in the form attached hereto as Exhibit B.</w:t>
      </w:r>
    </w:p>
    <w:p>
      <w:pPr>
        <w:spacing w:after="0" w:line="221" w:lineRule="exact"/>
        <w:rPr>
          <w:sz w:val="20"/>
          <w:szCs w:val="20"/>
          <w:color w:val="auto"/>
        </w:rPr>
      </w:pPr>
    </w:p>
    <w:p>
      <w:pPr>
        <w:ind w:left="1180" w:hanging="259"/>
        <w:spacing w:after="0"/>
        <w:tabs>
          <w:tab w:leader="none" w:pos="1180"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221" w:lineRule="exact"/>
        <w:rPr>
          <w:sz w:val="20"/>
          <w:szCs w:val="20"/>
          <w:color w:val="auto"/>
        </w:rPr>
      </w:pPr>
    </w:p>
    <w:p>
      <w:pPr>
        <w:ind w:left="1180" w:hanging="259"/>
        <w:spacing w:after="0"/>
        <w:tabs>
          <w:tab w:leader="none" w:pos="1180"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Committee shall have the right, in its sole discretion, to alter or amend this Agreement, from time to time, as provided in the Plan in any manner for the purpose of promoting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30" w:name="page431"/>
    <w:bookmarkEnd w:id="43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197" w:lineRule="exact"/>
        <w:rPr>
          <w:sz w:val="20"/>
          <w:szCs w:val="20"/>
          <w:color w:val="auto"/>
        </w:rPr>
      </w:pPr>
    </w:p>
    <w:p>
      <w:pPr>
        <w:ind w:left="1180" w:hanging="259"/>
        <w:spacing w:after="0"/>
        <w:tabs>
          <w:tab w:leader="none" w:pos="1180"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56" w:lineRule="auto"/>
        <w:tabs>
          <w:tab w:leader="none" w:pos="1152"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if to the Company:</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82-2-3459-3898</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if to the Grantee, to the Grantee at the address as reflected in the Company’s books and records.</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right="80" w:firstLine="921"/>
        <w:spacing w:after="0" w:line="256" w:lineRule="auto"/>
        <w:tabs>
          <w:tab w:leader="none" w:pos="1161"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Binding Effect; Benefits</w:t>
      </w:r>
      <w:r>
        <w:rPr>
          <w:rFonts w:ascii="Arial" w:cs="Arial" w:eastAsia="Arial" w:hAnsi="Arial"/>
          <w:sz w:val="18"/>
          <w:szCs w:val="18"/>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43" w:lineRule="exact"/>
        <w:rPr>
          <w:rFonts w:ascii="Arial" w:cs="Arial" w:eastAsia="Arial" w:hAnsi="Arial"/>
          <w:sz w:val="18"/>
          <w:szCs w:val="18"/>
          <w:color w:val="auto"/>
        </w:rPr>
      </w:pPr>
    </w:p>
    <w:p>
      <w:pPr>
        <w:ind w:firstLine="921"/>
        <w:spacing w:after="0" w:line="289" w:lineRule="auto"/>
        <w:tabs>
          <w:tab w:leader="none" w:pos="1152" w:val="left"/>
        </w:tabs>
        <w:numPr>
          <w:ilvl w:val="0"/>
          <w:numId w:val="515"/>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18" w:lineRule="exact"/>
        <w:rPr>
          <w:rFonts w:ascii="Arial" w:cs="Arial" w:eastAsia="Arial" w:hAnsi="Arial"/>
          <w:sz w:val="16"/>
          <w:szCs w:val="16"/>
          <w:color w:val="auto"/>
        </w:rPr>
      </w:pPr>
    </w:p>
    <w:p>
      <w:pPr>
        <w:jc w:val="both"/>
        <w:ind w:right="340" w:firstLine="921"/>
        <w:spacing w:after="0" w:line="306" w:lineRule="auto"/>
        <w:tabs>
          <w:tab w:leader="none" w:pos="1161" w:val="left"/>
        </w:tabs>
        <w:numPr>
          <w:ilvl w:val="0"/>
          <w:numId w:val="51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431" w:name="page432"/>
    <w:bookmarkEnd w:id="431"/>
    <w:p>
      <w:pPr>
        <w:ind w:right="260" w:firstLine="921"/>
        <w:spacing w:after="0" w:line="268" w:lineRule="auto"/>
        <w:tabs>
          <w:tab w:leader="none" w:pos="1152"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w:t>
      </w:r>
      <w:r>
        <w:rPr>
          <w:rFonts w:ascii="Arial" w:cs="Arial" w:eastAsia="Arial" w:hAnsi="Arial"/>
          <w:sz w:val="18"/>
          <w:szCs w:val="18"/>
          <w:color w:val="auto"/>
        </w:rPr>
        <w:t>. THIS AGREEMENT SHALL BE GOVERNED BY AND CONSTRUED IN ACCORDANCE WITH THE LAW OF THE STATE OF DELAWARE WITHOUT REGARDS TO CONFLICTS OF LAWS PROVISIONS.</w:t>
      </w:r>
    </w:p>
    <w:p>
      <w:pPr>
        <w:spacing w:after="0" w:line="131" w:lineRule="exact"/>
        <w:rPr>
          <w:rFonts w:ascii="Arial" w:cs="Arial" w:eastAsia="Arial" w:hAnsi="Arial"/>
          <w:sz w:val="18"/>
          <w:szCs w:val="18"/>
          <w:color w:val="auto"/>
        </w:rPr>
      </w:pPr>
    </w:p>
    <w:p>
      <w:pPr>
        <w:ind w:right="20" w:firstLine="921"/>
        <w:spacing w:after="0" w:line="268" w:lineRule="auto"/>
        <w:tabs>
          <w:tab w:leader="none" w:pos="1132"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firstLine="921"/>
        <w:spacing w:after="0" w:line="268" w:lineRule="auto"/>
        <w:tabs>
          <w:tab w:leader="none" w:pos="1161"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Company and the Grantee have duly executed this Agreement as of the date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Name: Robert Krakauer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Sang Park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9" w:right="359" w:bottom="1440" w:gutter="0" w:footer="0" w:header="0"/>
        </w:sectPr>
      </w:pPr>
    </w:p>
    <w:bookmarkStart w:id="432" w:name="page433"/>
    <w:bookmarkEnd w:id="43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Form of Exercise Notice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274" w:right="1440" w:bottom="1440" w:gutter="0" w:footer="0" w:header="0"/>
        </w:sectPr>
      </w:pPr>
    </w:p>
    <w:bookmarkStart w:id="433" w:name="page434"/>
    <w:bookmarkEnd w:id="433"/>
    <w:p>
      <w:pPr>
        <w:ind w:left="4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LLC</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CALIFORNIA EQUITY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gridSpan w:val="9"/>
          </w:tcPr>
          <w:p>
            <w:pPr>
              <w:spacing w:after="0"/>
              <w:rPr>
                <w:sz w:val="20"/>
                <w:szCs w:val="20"/>
                <w:color w:val="auto"/>
              </w:rPr>
            </w:pPr>
            <w:r>
              <w:rPr>
                <w:rFonts w:ascii="Arial" w:cs="Arial" w:eastAsia="Arial" w:hAnsi="Arial"/>
                <w:sz w:val="18"/>
                <w:szCs w:val="18"/>
                <w:color w:val="auto"/>
              </w:rPr>
              <w:t>Attention: General Counsel</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340"/>
        </w:trPr>
        <w:tc>
          <w:tcPr>
            <w:tcW w:w="4380" w:type="dxa"/>
            <w:vAlign w:val="bottom"/>
            <w:gridSpan w:val="9"/>
          </w:tcPr>
          <w:p>
            <w:pPr>
              <w:ind w:left="460"/>
              <w:spacing w:after="0"/>
              <w:rPr>
                <w:sz w:val="20"/>
                <w:szCs w:val="20"/>
                <w:color w:val="auto"/>
              </w:rPr>
            </w:pPr>
            <w:r>
              <w:rPr>
                <w:rFonts w:ascii="Arial" w:cs="Arial" w:eastAsia="Arial" w:hAnsi="Arial"/>
                <w:sz w:val="18"/>
                <w:szCs w:val="18"/>
                <w:color w:val="auto"/>
              </w:rPr>
              <w:t>1. Exercise of Option. Effective as of today,</w:t>
            </w:r>
          </w:p>
        </w:tc>
        <w:tc>
          <w:tcPr>
            <w:tcW w:w="6940" w:type="dxa"/>
            <w:vAlign w:val="bottom"/>
            <w:gridSpan w:val="13"/>
          </w:tcPr>
          <w:p>
            <w:pPr>
              <w:ind w:left="80"/>
              <w:spacing w:after="0"/>
              <w:rPr>
                <w:sz w:val="20"/>
                <w:szCs w:val="20"/>
                <w:color w:val="auto"/>
              </w:rPr>
            </w:pPr>
            <w:r>
              <w:rPr>
                <w:rFonts w:ascii="Arial" w:cs="Arial" w:eastAsia="Arial" w:hAnsi="Arial"/>
                <w:sz w:val="18"/>
                <w:szCs w:val="18"/>
                <w:color w:val="auto"/>
                <w:w w:val="94"/>
              </w:rPr>
              <w:t>, 200  , the undersigned (“Grantee”) hereby elects to exercise Grantee’s option to purchase</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780" w:type="dxa"/>
            <w:vAlign w:val="bottom"/>
            <w:gridSpan w:val="21"/>
          </w:tcPr>
          <w:p>
            <w:pPr>
              <w:ind w:left="40"/>
              <w:spacing w:after="0" w:line="196" w:lineRule="exact"/>
              <w:rPr>
                <w:sz w:val="20"/>
                <w:szCs w:val="20"/>
                <w:color w:val="auto"/>
              </w:rPr>
            </w:pPr>
            <w:r>
              <w:rPr>
                <w:rFonts w:ascii="Arial" w:cs="Arial" w:eastAsia="Arial" w:hAnsi="Arial"/>
                <w:sz w:val="18"/>
                <w:szCs w:val="18"/>
                <w:color w:val="auto"/>
                <w:w w:val="92"/>
              </w:rPr>
              <w:t>Common Units (the “Common Units”) of MagnaChip Semiconductor LLC (the “Company”) under and pursuant to the Company’s California Equity</w:t>
            </w:r>
          </w:p>
        </w:tc>
      </w:tr>
      <w:tr>
        <w:trPr>
          <w:trHeight w:val="20"/>
        </w:trPr>
        <w:tc>
          <w:tcPr>
            <w:tcW w:w="54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4380" w:type="dxa"/>
            <w:vAlign w:val="bottom"/>
            <w:gridSpan w:val="9"/>
          </w:tcPr>
          <w:p>
            <w:pPr>
              <w:spacing w:after="0" w:line="196" w:lineRule="exact"/>
              <w:rPr>
                <w:sz w:val="20"/>
                <w:szCs w:val="20"/>
                <w:color w:val="auto"/>
              </w:rPr>
            </w:pPr>
            <w:r>
              <w:rPr>
                <w:rFonts w:ascii="Arial" w:cs="Arial" w:eastAsia="Arial" w:hAnsi="Arial"/>
                <w:sz w:val="18"/>
                <w:szCs w:val="18"/>
                <w:color w:val="auto"/>
                <w:w w:val="90"/>
              </w:rPr>
              <w:t>Incentive Plan (the “Plan”) and the Option Agreement dated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gridSpan w:val="9"/>
          </w:tcPr>
          <w:p>
            <w:pPr>
              <w:spacing w:after="0" w:line="196" w:lineRule="exact"/>
              <w:rPr>
                <w:sz w:val="20"/>
                <w:szCs w:val="20"/>
                <w:color w:val="auto"/>
              </w:rPr>
            </w:pPr>
            <w:r>
              <w:rPr>
                <w:rFonts w:ascii="Arial" w:cs="Arial" w:eastAsia="Arial" w:hAnsi="Arial"/>
                <w:sz w:val="18"/>
                <w:szCs w:val="18"/>
                <w:color w:val="auto"/>
                <w:w w:val="90"/>
              </w:rPr>
              <w:t>, 200   (the “Option Agreement”). Capitalized terms not defined herein shall have the</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meanings given to such terms in the Plan and/or the Option Agreement.</w:t>
      </w:r>
    </w:p>
    <w:p>
      <w:pPr>
        <w:spacing w:after="0" w:line="171" w:lineRule="exact"/>
        <w:rPr>
          <w:sz w:val="20"/>
          <w:szCs w:val="20"/>
          <w:color w:val="auto"/>
        </w:rPr>
      </w:pPr>
    </w:p>
    <w:p>
      <w:pPr>
        <w:ind w:right="240" w:firstLine="464"/>
        <w:spacing w:after="0" w:line="332" w:lineRule="auto"/>
        <w:tabs>
          <w:tab w:leader="none" w:pos="632" w:val="left"/>
        </w:tabs>
        <w:numPr>
          <w:ilvl w:val="1"/>
          <w:numId w:val="517"/>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Grantee herewith delivers to the Company the full purchase price of the Common Units, as set forth in the Option Agreement in such form as permitted by the Option Agreement and the Plan, and any and all withholding taxes due in connection with the exercise of the Option.</w:t>
      </w:r>
    </w:p>
    <w:p>
      <w:pPr>
        <w:spacing w:after="0" w:line="85" w:lineRule="exact"/>
        <w:rPr>
          <w:rFonts w:ascii="Arial" w:cs="Arial" w:eastAsia="Arial" w:hAnsi="Arial"/>
          <w:sz w:val="16"/>
          <w:szCs w:val="16"/>
          <w:color w:val="auto"/>
        </w:rPr>
      </w:pPr>
    </w:p>
    <w:p>
      <w:pPr>
        <w:ind w:right="360" w:firstLine="464"/>
        <w:spacing w:after="0" w:line="268" w:lineRule="auto"/>
        <w:tabs>
          <w:tab w:leader="none" w:pos="632" w:val="left"/>
        </w:tabs>
        <w:numPr>
          <w:ilvl w:val="1"/>
          <w:numId w:val="517"/>
        </w:numPr>
        <w:rPr>
          <w:rFonts w:ascii="Arial" w:cs="Arial" w:eastAsia="Arial" w:hAnsi="Arial"/>
          <w:sz w:val="18"/>
          <w:szCs w:val="18"/>
          <w:color w:val="auto"/>
        </w:rPr>
      </w:pPr>
      <w:r>
        <w:rPr>
          <w:rFonts w:ascii="Arial" w:cs="Arial" w:eastAsia="Arial" w:hAnsi="Arial"/>
          <w:sz w:val="18"/>
          <w:szCs w:val="18"/>
          <w:u w:val="single" w:color="auto"/>
          <w:color w:val="auto"/>
        </w:rPr>
        <w:t>Representations of Grantee</w:t>
      </w:r>
      <w:r>
        <w:rPr>
          <w:rFonts w:ascii="Arial" w:cs="Arial" w:eastAsia="Arial" w:hAnsi="Arial"/>
          <w:sz w:val="18"/>
          <w:szCs w:val="18"/>
          <w:color w:val="auto"/>
        </w:rPr>
        <w:t>. Grantee acknowledges that Grantee has received, read and understood the Plan and the Option Agreement and agrees to abide by and be bound by their terms and conditions.</w:t>
      </w:r>
    </w:p>
    <w:p>
      <w:pPr>
        <w:spacing w:after="0" w:line="131" w:lineRule="exact"/>
        <w:rPr>
          <w:rFonts w:ascii="Arial" w:cs="Arial" w:eastAsia="Arial" w:hAnsi="Arial"/>
          <w:sz w:val="18"/>
          <w:szCs w:val="18"/>
          <w:color w:val="auto"/>
        </w:rPr>
      </w:pPr>
    </w:p>
    <w:p>
      <w:pPr>
        <w:jc w:val="center"/>
        <w:ind w:firstLine="464"/>
        <w:spacing w:after="0" w:line="323" w:lineRule="auto"/>
        <w:tabs>
          <w:tab w:leader="none" w:pos="632" w:val="left"/>
        </w:tabs>
        <w:numPr>
          <w:ilvl w:val="1"/>
          <w:numId w:val="517"/>
        </w:numPr>
        <w:rPr>
          <w:rFonts w:ascii="Arial" w:cs="Arial" w:eastAsia="Arial" w:hAnsi="Arial"/>
          <w:sz w:val="15"/>
          <w:szCs w:val="15"/>
          <w:color w:val="auto"/>
        </w:rPr>
      </w:pPr>
      <w:r>
        <w:rPr>
          <w:rFonts w:ascii="Arial" w:cs="Arial" w:eastAsia="Arial" w:hAnsi="Arial"/>
          <w:sz w:val="15"/>
          <w:szCs w:val="15"/>
          <w:u w:val="single" w:color="auto"/>
          <w:color w:val="auto"/>
        </w:rPr>
        <w:t>Rights as a Unitholder</w:t>
      </w:r>
      <w:r>
        <w:rPr>
          <w:rFonts w:ascii="Arial" w:cs="Arial" w:eastAsia="Arial" w:hAnsi="Arial"/>
          <w:sz w:val="15"/>
          <w:szCs w:val="15"/>
          <w:color w:val="auto"/>
        </w:rPr>
        <w:t>. Until the issuance of the Common Units (as evidenced by the appropriate entry on the books of the Company or of a duly authorized transfer agent of the Company), no right to vote or receive allocations of profits or losses or any other rights as a Member shall exist with respect to the Common Units, notwithstanding the exercise of the Option. The Common Units shall be issued to the Grantee as soon as practicable after the Option is exercised. No adjustment shall be made for a dividend or other right for which the record date is prior to the date of issuance except as provided in Section 12(a) of the Plan.</w:t>
      </w:r>
    </w:p>
    <w:p>
      <w:pPr>
        <w:spacing w:after="0" w:line="97" w:lineRule="exact"/>
        <w:rPr>
          <w:rFonts w:ascii="Arial" w:cs="Arial" w:eastAsia="Arial" w:hAnsi="Arial"/>
          <w:sz w:val="15"/>
          <w:szCs w:val="15"/>
          <w:color w:val="auto"/>
        </w:rPr>
      </w:pPr>
    </w:p>
    <w:p>
      <w:pPr>
        <w:ind w:right="440" w:firstLine="464"/>
        <w:spacing w:after="0" w:line="286" w:lineRule="auto"/>
        <w:tabs>
          <w:tab w:leader="none" w:pos="632" w:val="left"/>
        </w:tabs>
        <w:numPr>
          <w:ilvl w:val="1"/>
          <w:numId w:val="517"/>
        </w:numPr>
        <w:rPr>
          <w:rFonts w:ascii="Arial" w:cs="Arial" w:eastAsia="Arial" w:hAnsi="Arial"/>
          <w:sz w:val="16"/>
          <w:szCs w:val="16"/>
          <w:color w:val="auto"/>
        </w:rPr>
      </w:pPr>
      <w:r>
        <w:rPr>
          <w:rFonts w:ascii="Arial" w:cs="Arial" w:eastAsia="Arial" w:hAnsi="Arial"/>
          <w:sz w:val="16"/>
          <w:szCs w:val="16"/>
          <w:u w:val="single" w:color="auto"/>
          <w:color w:val="auto"/>
        </w:rPr>
        <w:t>Delivery of Other Documents</w:t>
      </w:r>
      <w:r>
        <w:rPr>
          <w:rFonts w:ascii="Arial" w:cs="Arial" w:eastAsia="Arial" w:hAnsi="Arial"/>
          <w:sz w:val="16"/>
          <w:szCs w:val="16"/>
          <w:color w:val="auto"/>
        </w:rPr>
        <w:t xml:space="preserve">. As a condition to the exercise of this Option, Grantee shall complete, sign and deliver with this Exercise Notice (i) a signature page for the Company’s Securityholders’ Agreement and the Company’s Operating Agreement in the form as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w:t>
      </w:r>
    </w:p>
    <w:p>
      <w:pPr>
        <w:ind w:right="260" w:firstLine="8"/>
        <w:spacing w:after="0" w:line="261" w:lineRule="auto"/>
        <w:tabs>
          <w:tab w:leader="none" w:pos="258" w:val="left"/>
        </w:tabs>
        <w:numPr>
          <w:ilvl w:val="0"/>
          <w:numId w:val="518"/>
        </w:numPr>
        <w:rPr>
          <w:rFonts w:ascii="Arial" w:cs="Arial" w:eastAsia="Arial" w:hAnsi="Arial"/>
          <w:sz w:val="18"/>
          <w:szCs w:val="18"/>
          <w:color w:val="auto"/>
        </w:rPr>
      </w:pPr>
      <w:r>
        <w:rPr>
          <w:rFonts w:ascii="Arial" w:cs="Arial" w:eastAsia="Arial" w:hAnsi="Arial"/>
          <w:sz w:val="18"/>
          <w:szCs w:val="18"/>
          <w:color w:val="auto"/>
        </w:rPr>
        <w:t xml:space="preserve">provided that the Common Units have not been registered under the Securities Act, the Investment Representation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 (iii) and any other documents required by the Company of its holders of Common Units.</w:t>
      </w:r>
    </w:p>
    <w:p>
      <w:pPr>
        <w:spacing w:after="0" w:line="137" w:lineRule="exact"/>
        <w:rPr>
          <w:rFonts w:ascii="Arial" w:cs="Arial" w:eastAsia="Arial" w:hAnsi="Arial"/>
          <w:sz w:val="18"/>
          <w:szCs w:val="18"/>
          <w:color w:val="auto"/>
        </w:rPr>
      </w:pPr>
    </w:p>
    <w:p>
      <w:pPr>
        <w:ind w:right="20" w:firstLine="464"/>
        <w:spacing w:after="0" w:line="288" w:lineRule="auto"/>
        <w:tabs>
          <w:tab w:leader="none" w:pos="632" w:val="left"/>
        </w:tabs>
        <w:numPr>
          <w:ilvl w:val="1"/>
          <w:numId w:val="518"/>
        </w:numPr>
        <w:rPr>
          <w:rFonts w:ascii="Arial" w:cs="Arial" w:eastAsia="Arial" w:hAnsi="Arial"/>
          <w:sz w:val="16"/>
          <w:szCs w:val="16"/>
          <w:color w:val="auto"/>
        </w:rPr>
      </w:pPr>
      <w:r>
        <w:rPr>
          <w:rFonts w:ascii="Arial" w:cs="Arial" w:eastAsia="Arial" w:hAnsi="Arial"/>
          <w:sz w:val="16"/>
          <w:szCs w:val="16"/>
          <w:u w:val="single" w:color="auto"/>
          <w:color w:val="auto"/>
        </w:rPr>
        <w:t>Non-Transferability of the Common Units</w:t>
      </w:r>
      <w:r>
        <w:rPr>
          <w:rFonts w:ascii="Arial" w:cs="Arial" w:eastAsia="Arial" w:hAnsi="Arial"/>
          <w:sz w:val="16"/>
          <w:szCs w:val="16"/>
          <w:color w:val="auto"/>
        </w:rPr>
        <w:t>. Pursuant to Section 6 of the Option Agreement, 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provided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further provided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Grantee’s designated beneficiary, Grantee’s estate or such transferee as permitted by the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34" w:name="page435"/>
    <w:bookmarkEnd w:id="434"/>
    <w:p>
      <w:pPr>
        <w:ind w:firstLine="464"/>
        <w:spacing w:after="0" w:line="290" w:lineRule="auto"/>
        <w:tabs>
          <w:tab w:leader="none" w:pos="632" w:val="left"/>
        </w:tabs>
        <w:numPr>
          <w:ilvl w:val="0"/>
          <w:numId w:val="5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Lock-Up Period</w:t>
      </w:r>
      <w:r>
        <w:rPr>
          <w:rFonts w:ascii="Arial" w:cs="Arial" w:eastAsia="Arial" w:hAnsi="Arial"/>
          <w:sz w:val="16"/>
          <w:szCs w:val="16"/>
          <w:color w:val="auto"/>
        </w:rPr>
        <w:t>. Grantee hereby agrees that Grantee shall not offer, pledge, sell, contract to sell, sell any option or contract to purchase, purchase any option or contract to sell, grant any option, right or warrant to purchase, lend, or otherwise transfer or dispose of, directly or indirectly, any Common Units (or the securities into which the Common Units are converted or other securities) of the Company or enter into any swap, hedging or other arrangement that transfers to another, in whole or in part, any of the economic consequences of ownership of any Common Units (or the securities into which the Common Units are converted or other securities) of the Company held by Grantee (other than those included in the registration) for a period specified by the representative of the underwriters of Common Units (or the securities into which the Common Units are converted or other securities) of the Company not to exceed one hundred eighty (180) days following the effective date of any registration statement of the Company filed under the Securities Act.</w:t>
      </w:r>
    </w:p>
    <w:p>
      <w:pPr>
        <w:spacing w:after="0" w:line="11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Grantee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Units (or the securities into which the Common Units are converted or other securities) of the Company, Grantee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Common Units (or the securities into which the Common Units are converted or other securities) subject to the foregoing restriction until the end of said one hundred eighty (180) day period. Grantee agrees that any transferee of the Options or units acquired pursuant to the Options shall be bound by this Section.</w:t>
      </w:r>
    </w:p>
    <w:p>
      <w:pPr>
        <w:spacing w:after="0" w:line="123" w:lineRule="exact"/>
        <w:rPr>
          <w:sz w:val="20"/>
          <w:szCs w:val="20"/>
          <w:color w:val="auto"/>
        </w:rPr>
      </w:pPr>
    </w:p>
    <w:p>
      <w:pPr>
        <w:ind w:right="20" w:firstLine="464"/>
        <w:spacing w:after="0" w:line="259" w:lineRule="auto"/>
        <w:tabs>
          <w:tab w:leader="none" w:pos="632"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Grantee understands that Grantee may suffer adverse tax consequences as a result of Grantee’s purchase or disposition of the Common Units. Grantee represents that Grantee has consulted with any tax consultants Grantee deems advisable in connection with the purchase or disposition of the Common Units and that Grantee is not relying on the Company for any tax advice.</w:t>
      </w:r>
    </w:p>
    <w:p>
      <w:pPr>
        <w:spacing w:after="0" w:line="221" w:lineRule="exact"/>
        <w:rPr>
          <w:rFonts w:ascii="Arial" w:cs="Arial" w:eastAsia="Arial" w:hAnsi="Arial"/>
          <w:sz w:val="18"/>
          <w:szCs w:val="18"/>
          <w:color w:val="auto"/>
        </w:rPr>
      </w:pPr>
    </w:p>
    <w:p>
      <w:pPr>
        <w:ind w:left="640" w:hanging="176"/>
        <w:spacing w:after="0"/>
        <w:tabs>
          <w:tab w:leader="none" w:pos="640"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20" w:firstLine="921"/>
        <w:spacing w:after="0" w:line="259" w:lineRule="auto"/>
        <w:tabs>
          <w:tab w:leader="none" w:pos="1152" w:val="left"/>
        </w:tabs>
        <w:numPr>
          <w:ilvl w:val="1"/>
          <w:numId w:val="520"/>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Grantee understands and agrees that the Company shall cause the legends set forth below or legends substantially equivalent thereto, to be placed upon any certificate(s) evidencing ownership of the Common Units together with any other legends that may be required by the Company or by state or federal securities laws:</w:t>
      </w:r>
    </w:p>
    <w:p>
      <w:pPr>
        <w:spacing w:after="0" w:line="59" w:lineRule="exact"/>
        <w:rPr>
          <w:sz w:val="20"/>
          <w:szCs w:val="20"/>
          <w:color w:val="auto"/>
        </w:rPr>
      </w:pPr>
    </w:p>
    <w:p>
      <w:pPr>
        <w:ind w:left="920" w:right="380"/>
        <w:spacing w:after="0" w:line="298" w:lineRule="auto"/>
        <w:rPr>
          <w:sz w:val="20"/>
          <w:szCs w:val="20"/>
          <w:color w:val="auto"/>
        </w:rPr>
      </w:pPr>
      <w:r>
        <w:rPr>
          <w:rFonts w:ascii="Arial" w:cs="Arial" w:eastAsia="Arial" w:hAnsi="Arial"/>
          <w:sz w:val="16"/>
          <w:szCs w:val="16"/>
          <w:color w:val="auto"/>
        </w:rPr>
        <w:t>THE SECURITIES REPRESENTED HEREBY HAVE NOT BEEN REGISTERED UNDER THE SECURITIES ACT OF 1933 (THE “ACT”) AND MAY NOT BE OFFERED, SOLD OR OTHERWISE TRANSFERRED, PLEDGED OR HYPOTHECATED UNLESS AND UNTIL REGISTERED UNDER THE ACT OR, IN THE OPINION OF COMPANY COUNSEL SATISFACTORY TO THE ISSUER OF THESE SECURITIES, SUCH OFFER, SALE OR TRANSFER, PLEDGE OR HYPOTHECATION IS IN COMPLIANCE THEREWITH.</w:t>
      </w:r>
    </w:p>
    <w:p>
      <w:pPr>
        <w:spacing w:after="0" w:line="32" w:lineRule="exact"/>
        <w:rPr>
          <w:sz w:val="20"/>
          <w:szCs w:val="20"/>
          <w:color w:val="auto"/>
        </w:rPr>
      </w:pPr>
    </w:p>
    <w:p>
      <w:pPr>
        <w:ind w:left="920" w:right="800"/>
        <w:spacing w:after="0" w:line="268" w:lineRule="auto"/>
        <w:rPr>
          <w:sz w:val="20"/>
          <w:szCs w:val="20"/>
          <w:color w:val="auto"/>
        </w:rPr>
      </w:pPr>
      <w:r>
        <w:rPr>
          <w:rFonts w:ascii="Arial" w:cs="Arial" w:eastAsia="Arial" w:hAnsi="Arial"/>
          <w:sz w:val="18"/>
          <w:szCs w:val="18"/>
          <w:color w:val="auto"/>
        </w:rPr>
        <w:t>THE COMMON UNITS REPRESENTED BY THIS CERTIFICATE ARE SUBJECT TO CERTAIN RESTRICTIONS ON TRANSFER, INCLUDING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35" w:name="page436"/>
    <w:bookmarkEnd w:id="435"/>
    <w:p>
      <w:pPr>
        <w:ind w:left="900"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REPURCHASE OPTION HELD BY THE ISSUER OR ITS ASSIGNEE(S) AS SET FORTH IN THE OPTION AGREEMENT BETWEEN THE ISSUER AND THE ORIGINAL HOLDER OF THESE COMMON UNITS, A COPY OF WHICH MAY BE OBTAINED AT THE PRINCIPAL OFFICE OF THE ISSUER. SUCH TRANSFER RESTRICTIONS ARE BINDING ON TRANSFEREES OF THESE COMMON UNITS.</w:t>
      </w:r>
    </w:p>
    <w:p>
      <w:pPr>
        <w:spacing w:after="0" w:line="107" w:lineRule="exact"/>
        <w:rPr>
          <w:sz w:val="20"/>
          <w:szCs w:val="20"/>
          <w:color w:val="auto"/>
        </w:rPr>
      </w:pPr>
    </w:p>
    <w:p>
      <w:pPr>
        <w:ind w:left="-20" w:right="140" w:firstLine="921"/>
        <w:spacing w:after="0" w:line="259" w:lineRule="auto"/>
        <w:tabs>
          <w:tab w:leader="none" w:pos="1141" w:val="left"/>
        </w:tabs>
        <w:numPr>
          <w:ilvl w:val="1"/>
          <w:numId w:val="521"/>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Grantee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40" w:lineRule="exact"/>
        <w:rPr>
          <w:rFonts w:ascii="Arial" w:cs="Arial" w:eastAsia="Arial" w:hAnsi="Arial"/>
          <w:sz w:val="18"/>
          <w:szCs w:val="18"/>
          <w:color w:val="auto"/>
        </w:rPr>
      </w:pPr>
    </w:p>
    <w:p>
      <w:pPr>
        <w:ind w:left="-20" w:right="580" w:firstLine="921"/>
        <w:spacing w:after="0" w:line="306" w:lineRule="auto"/>
        <w:tabs>
          <w:tab w:leader="none" w:pos="1132" w:val="left"/>
        </w:tabs>
        <w:numPr>
          <w:ilvl w:val="1"/>
          <w:numId w:val="521"/>
        </w:numPr>
        <w:rPr>
          <w:rFonts w:ascii="Arial" w:cs="Arial" w:eastAsia="Arial" w:hAnsi="Arial"/>
          <w:sz w:val="16"/>
          <w:szCs w:val="16"/>
          <w:color w:val="auto"/>
        </w:rPr>
      </w:pPr>
      <w:r>
        <w:rPr>
          <w:rFonts w:ascii="Arial" w:cs="Arial" w:eastAsia="Arial" w:hAnsi="Arial"/>
          <w:sz w:val="16"/>
          <w:szCs w:val="16"/>
          <w:u w:val="single" w:color="auto"/>
          <w:color w:val="auto"/>
        </w:rPr>
        <w:t>Refusal to Transfer</w:t>
      </w:r>
      <w:r>
        <w:rPr>
          <w:rFonts w:ascii="Arial" w:cs="Arial" w:eastAsia="Arial" w:hAnsi="Arial"/>
          <w:sz w:val="16"/>
          <w:szCs w:val="16"/>
          <w:color w:val="auto"/>
        </w:rPr>
        <w:t>. The Company shall not be required (i) to transfer on its books any Common Units that have been sold or otherwise transferred in violation of any of the provisions of this Exercise Notice or (ii) to treat as owner of such Common Units or to accord the right to vote or pay dividends to any purchaser or other transferee to whom such Common Units shall have been so transferred.</w:t>
      </w:r>
    </w:p>
    <w:p>
      <w:pPr>
        <w:spacing w:after="0" w:line="106" w:lineRule="exact"/>
        <w:rPr>
          <w:rFonts w:ascii="Arial" w:cs="Arial" w:eastAsia="Arial" w:hAnsi="Arial"/>
          <w:sz w:val="16"/>
          <w:szCs w:val="16"/>
          <w:color w:val="auto"/>
        </w:rPr>
      </w:pPr>
    </w:p>
    <w:p>
      <w:pPr>
        <w:ind w:left="-20" w:firstLine="464"/>
        <w:spacing w:after="0" w:line="259" w:lineRule="auto"/>
        <w:tabs>
          <w:tab w:leader="none" w:pos="700"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Grantee and Grantee’s heirs, executors, administrators, successors and assigns.</w:t>
      </w:r>
    </w:p>
    <w:p>
      <w:pPr>
        <w:spacing w:after="0" w:line="140" w:lineRule="exact"/>
        <w:rPr>
          <w:rFonts w:ascii="Arial" w:cs="Arial" w:eastAsia="Arial" w:hAnsi="Arial"/>
          <w:sz w:val="18"/>
          <w:szCs w:val="18"/>
          <w:color w:val="auto"/>
        </w:rPr>
      </w:pPr>
    </w:p>
    <w:p>
      <w:pPr>
        <w:ind w:left="-20" w:right="160" w:firstLine="464"/>
        <w:spacing w:after="0" w:line="306" w:lineRule="auto"/>
        <w:tabs>
          <w:tab w:leader="none" w:pos="693" w:val="left"/>
        </w:tabs>
        <w:numPr>
          <w:ilvl w:val="0"/>
          <w:numId w:val="522"/>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Any dispute regarding the interpretation of this Exercise Notice shall be submitted by Grantee or by the Company forthwith to the Administrator which shall review such dispute at its next regular meeting. The resolution of such a dispute by the Administrator shall be final and binding on all parties. For purposes of interpretation and resolving ambiguities, this Exercise Notice, as executed in English, shall prevail over any translation.</w:t>
      </w:r>
    </w:p>
    <w:p>
      <w:pPr>
        <w:spacing w:after="0" w:line="106" w:lineRule="exact"/>
        <w:rPr>
          <w:rFonts w:ascii="Arial" w:cs="Arial" w:eastAsia="Arial" w:hAnsi="Arial"/>
          <w:sz w:val="16"/>
          <w:szCs w:val="16"/>
          <w:color w:val="auto"/>
        </w:rPr>
      </w:pPr>
    </w:p>
    <w:p>
      <w:pPr>
        <w:ind w:left="-20" w:right="320" w:firstLine="464"/>
        <w:spacing w:after="0" w:line="259" w:lineRule="auto"/>
        <w:tabs>
          <w:tab w:leader="none" w:pos="700"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will continue in full force and effect.</w:t>
      </w:r>
    </w:p>
    <w:p>
      <w:pPr>
        <w:spacing w:after="0" w:line="140" w:lineRule="exact"/>
        <w:rPr>
          <w:rFonts w:ascii="Arial" w:cs="Arial" w:eastAsia="Arial" w:hAnsi="Arial"/>
          <w:sz w:val="18"/>
          <w:szCs w:val="18"/>
          <w:color w:val="auto"/>
        </w:rPr>
      </w:pPr>
    </w:p>
    <w:p>
      <w:pPr>
        <w:ind w:left="-20" w:right="100" w:firstLine="464"/>
        <w:spacing w:after="0" w:line="298" w:lineRule="auto"/>
        <w:tabs>
          <w:tab w:leader="none" w:pos="700" w:val="left"/>
        </w:tabs>
        <w:numPr>
          <w:ilvl w:val="0"/>
          <w:numId w:val="52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(including all exhibits hereto), the Plan, the Option Agreement, the Company’s Securityholders’ Agreement and the Company’s Operating Agreement constitute the entire agreement of the parties with respect to the subject matter hereof and supersede in their entirety all prior undertakings and agreements of the Company and Grantee with respect to the subject matter hereof, and may not be modified adversely to the Grantee’s interest except by means of a writing signed by the Company and Grantee.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9" w:right="23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83019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7045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7045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37045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37045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636905</wp:posOffset>
            </wp:positionV>
            <wp:extent cx="37045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275272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275272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275272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6360" w:space="720"/>
            <w:col w:w="3139"/>
          </w:cols>
          <w:pgMar w:left="240" w:top="279" w:right="1440" w:bottom="1440" w:gutter="0" w:footer="0" w:header="0"/>
        </w:sectPr>
      </w:pPr>
    </w:p>
    <w:bookmarkStart w:id="437" w:name="page438"/>
    <w:bookmarkEnd w:id="43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 TO EXERCISE NOTICE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JOINDER TO SECURITYHOLDERS’ AGREEMENT AND OPERATING AGREEMENT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Joinder Agreement (this “Joinder Agreement”) is made as of the date written below by the undersigned (the “Joining Party”) in accordance with (i) the Second Amended and Restated Securityholders’ Agreement dated as of October 6, 2004, by and among, MagnaChip Semiconductor LLC (the “Company”), CVC Capital Partners Asia Pacific LP, Asia Investors LLC, CVC Capital Partners Asia II Limited, Citigroup Venture Capital Equity Partners, L.P., CVC Executive Fund LLC, CVC/SSB Employee Fund, L.P., CVC Co-Investors (as defined therein), Francisco Partners, L.P., Francisco Partners Fund A, L.P., Peninsula Investment Pte. Ltd., Hynix Semiconductor Inc., and Management Investors (as defined therein) (the “Securityholders’ Agreement”), as the same may be amended from time to time and (ii) the Operating Agreement (as defined in the Securityholders’ Agreement). Capitalized terms used, but not defined, herein shall have the meaning ascribed to such terms in the Securityholders’ Agreement.</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Joining Party hereby acknowledges, agrees and confirms that, by its execution of this Joinder Agreement, the Joining Party shall be deemed to be a party to the Securityholders’ Agreement and the Operating Agreement as of the date hereof and shall have all of the rights and obligations of (i) a “Securityholder” under the Securityholders’ Agreement as if it had executed the Securityholders’ Agreement and (ii) a “Member” under the Operating Agreement as if it had executed the Operating Agreement. The Joining Party hereby ratifies, as of the date hereof, and agrees to be bound by, all of the terms, provisions and conditions contained in the Securityholders’ Agreement and the Operating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438" w:name="page439"/>
    <w:bookmarkEnd w:id="438"/>
    <w:tbl>
      <w:tblPr>
        <w:tblLayout w:type="fixed"/>
        <w:tblInd w:w="46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Arial" w:cs="Arial" w:eastAsia="Arial" w:hAnsi="Arial"/>
                <w:sz w:val="18"/>
                <w:szCs w:val="18"/>
                <w:color w:val="auto"/>
                <w:w w:val="88"/>
              </w:rPr>
              <w:t>IN WITNESS WHEREOF, the undersigned has executed this Joinder Agreement as of</w:t>
            </w:r>
          </w:p>
        </w:tc>
        <w:tc>
          <w:tcPr>
            <w:tcW w:w="88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6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Membership Interests Transferred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10795</wp:posOffset>
            </wp:positionV>
            <wp:extent cx="186118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289877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289877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257" w:right="1440" w:bottom="1440" w:gutter="0" w:footer="0" w:header="0"/>
        </w:sectPr>
      </w:pPr>
    </w:p>
    <w:bookmarkStart w:id="439" w:name="page440"/>
    <w:bookmarkEnd w:id="43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B TO EXERCISE NOTICE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REPRESENTATION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MagnaChip Semiconductor LLC</w:t>
      </w:r>
    </w:p>
    <w:p>
      <w:pPr>
        <w:spacing w:after="0" w:line="11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Common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Effective as of the date set forth above, in connection with the purchase of the above-listed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undersigned Grantee hereby represents and warrants to MagnaChip Semiconductor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following:</w:t>
      </w:r>
    </w:p>
    <w:p>
      <w:pPr>
        <w:spacing w:after="0" w:line="51" w:lineRule="exact"/>
        <w:rPr>
          <w:sz w:val="20"/>
          <w:szCs w:val="20"/>
          <w:color w:val="auto"/>
        </w:rPr>
      </w:pPr>
    </w:p>
    <w:p>
      <w:pPr>
        <w:ind w:right="160" w:firstLine="921"/>
        <w:spacing w:after="0" w:line="335" w:lineRule="auto"/>
        <w:tabs>
          <w:tab w:leader="none" w:pos="1152" w:val="left"/>
        </w:tabs>
        <w:numPr>
          <w:ilvl w:val="0"/>
          <w:numId w:val="523"/>
        </w:numPr>
        <w:rPr>
          <w:rFonts w:ascii="Arial" w:cs="Arial" w:eastAsia="Arial" w:hAnsi="Arial"/>
          <w:sz w:val="15"/>
          <w:szCs w:val="15"/>
          <w:color w:val="auto"/>
        </w:rPr>
      </w:pPr>
      <w:r>
        <w:rPr>
          <w:rFonts w:ascii="Arial" w:cs="Arial" w:eastAsia="Arial" w:hAnsi="Arial"/>
          <w:sz w:val="15"/>
          <w:szCs w:val="15"/>
          <w:color w:val="auto"/>
        </w:rPr>
        <w:t>Grantee is aware of the Company’s business affairs and financial condition and has acquired sufficient information about the Company to reach an informed and knowledgeable decision to acquire the Securities. Grantee is acquiring these Securities for investment for Grantee’s own account only and not with a view to, or for resale in connection with, any “distribution” thereof within the meaning of the Securities Act of 1933, as amended (the “Securities Act”).</w:t>
      </w:r>
    </w:p>
    <w:p>
      <w:pPr>
        <w:spacing w:after="0" w:line="88" w:lineRule="exact"/>
        <w:rPr>
          <w:rFonts w:ascii="Arial" w:cs="Arial" w:eastAsia="Arial" w:hAnsi="Arial"/>
          <w:sz w:val="15"/>
          <w:szCs w:val="15"/>
          <w:color w:val="auto"/>
        </w:rPr>
      </w:pPr>
    </w:p>
    <w:p>
      <w:pPr>
        <w:ind w:firstLine="921"/>
        <w:spacing w:after="0" w:line="288" w:lineRule="auto"/>
        <w:tabs>
          <w:tab w:leader="none" w:pos="1162" w:val="left"/>
        </w:tabs>
        <w:numPr>
          <w:ilvl w:val="0"/>
          <w:numId w:val="523"/>
        </w:numPr>
        <w:rPr>
          <w:rFonts w:ascii="Arial" w:cs="Arial" w:eastAsia="Arial" w:hAnsi="Arial"/>
          <w:sz w:val="16"/>
          <w:szCs w:val="16"/>
          <w:color w:val="auto"/>
        </w:rPr>
      </w:pPr>
      <w:r>
        <w:rPr>
          <w:rFonts w:ascii="Arial" w:cs="Arial" w:eastAsia="Arial" w:hAnsi="Arial"/>
          <w:sz w:val="16"/>
          <w:szCs w:val="16"/>
          <w:color w:val="auto"/>
        </w:rPr>
        <w:t>Grantee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Grantee’s investment intent as expressed herein. In this connection, Grantee understands that, in the view of the Securities and Exchange Commission, the statutory basis for such exemption may be unavailable if Grantee’s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Grantee further understands that the Securities must be held indefinitely unless they are subsequently registered under the Securities Act or an exemption from such registration is available. Grantee further acknowledges and understands that the Company is under no obligation to register the Securities. Grantee understands that the certificate evidencing the Securities will be imprinted with any legend required under applicable state securities laws.</w:t>
      </w:r>
    </w:p>
    <w:p>
      <w:pPr>
        <w:spacing w:after="0" w:line="119" w:lineRule="exact"/>
        <w:rPr>
          <w:rFonts w:ascii="Arial" w:cs="Arial" w:eastAsia="Arial" w:hAnsi="Arial"/>
          <w:sz w:val="16"/>
          <w:szCs w:val="16"/>
          <w:color w:val="auto"/>
        </w:rPr>
      </w:pPr>
    </w:p>
    <w:p>
      <w:pPr>
        <w:ind w:right="40" w:firstLine="921"/>
        <w:spacing w:after="0" w:line="282" w:lineRule="auto"/>
        <w:tabs>
          <w:tab w:leader="none" w:pos="1152" w:val="left"/>
        </w:tabs>
        <w:numPr>
          <w:ilvl w:val="0"/>
          <w:numId w:val="523"/>
        </w:numPr>
        <w:rPr>
          <w:rFonts w:ascii="Arial" w:cs="Arial" w:eastAsia="Arial" w:hAnsi="Arial"/>
          <w:sz w:val="16"/>
          <w:szCs w:val="16"/>
          <w:color w:val="auto"/>
        </w:rPr>
      </w:pPr>
      <w:r>
        <w:rPr>
          <w:rFonts w:ascii="Arial" w:cs="Arial" w:eastAsia="Arial" w:hAnsi="Arial"/>
          <w:sz w:val="16"/>
          <w:szCs w:val="16"/>
          <w:color w:val="auto"/>
        </w:rPr>
        <w:t>Grantee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the Grantee, the exercise will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certain of the conditions specified by Rule 144, including: (i) the resale being made through a broker in an unsolicited “broker’s transaction” or in transactions directly with a market maker (as said term is defined under the Securities Exchange Act of 1934); and, in the case of an affiliate, (ii) the availability of certain public information about the Company, (iii) the amount of Securities being sold during any three month period not exceeding the limitations specified in</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144(e), and (iv) the timely filing of a Form 144, if applicable.</w:t>
      </w:r>
    </w:p>
    <w:p>
      <w:pPr>
        <w:spacing w:after="0" w:line="165"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In the event that the Company does not qualify under Rule 701 at the time of grant of the Option, then the Securities may be resold in certain limited circumstances subject to the provisions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440" w:name="page441"/>
    <w:bookmarkEnd w:id="44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of Rule 144, which requires the resale to occur not less than one year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two years, the satisfaction of the conditions set forth in sections (i), (ii), (iii) and (iv) of the paragraph immediately above.</w:t>
      </w:r>
    </w:p>
    <w:p>
      <w:pPr>
        <w:spacing w:after="0" w:line="143" w:lineRule="exact"/>
        <w:rPr>
          <w:sz w:val="20"/>
          <w:szCs w:val="20"/>
          <w:color w:val="auto"/>
        </w:rPr>
      </w:pPr>
    </w:p>
    <w:p>
      <w:pPr>
        <w:ind w:right="60" w:firstLine="921"/>
        <w:spacing w:after="0" w:line="291" w:lineRule="auto"/>
        <w:tabs>
          <w:tab w:leader="none" w:pos="1162" w:val="left"/>
        </w:tabs>
        <w:numPr>
          <w:ilvl w:val="0"/>
          <w:numId w:val="524"/>
        </w:numPr>
        <w:rPr>
          <w:rFonts w:ascii="Arial" w:cs="Arial" w:eastAsia="Arial" w:hAnsi="Arial"/>
          <w:sz w:val="16"/>
          <w:szCs w:val="16"/>
          <w:color w:val="auto"/>
        </w:rPr>
      </w:pPr>
      <w:r>
        <w:rPr>
          <w:rFonts w:ascii="Arial" w:cs="Arial" w:eastAsia="Arial" w:hAnsi="Arial"/>
          <w:sz w:val="16"/>
          <w:szCs w:val="16"/>
          <w:color w:val="auto"/>
        </w:rPr>
        <w:t>Grantee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Grantee understands that no assurances can be given that any such other registration exemption will be available in such event.</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440055</wp:posOffset>
            </wp:positionV>
            <wp:extent cx="289877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9" w:right="25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10.56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71" w:lineRule="exact"/>
        <w:rPr>
          <w:sz w:val="20"/>
          <w:szCs w:val="20"/>
          <w:color w:val="auto"/>
        </w:rPr>
      </w:pPr>
    </w:p>
    <w:p>
      <w:pPr>
        <w:ind w:right="800" w:firstLine="913"/>
        <w:spacing w:after="0" w:line="306" w:lineRule="auto"/>
        <w:rPr>
          <w:sz w:val="20"/>
          <w:szCs w:val="20"/>
          <w:color w:val="auto"/>
        </w:rPr>
      </w:pPr>
      <w:r>
        <w:rPr>
          <w:rFonts w:ascii="Arial" w:cs="Arial" w:eastAsia="Arial" w:hAnsi="Arial"/>
          <w:sz w:val="16"/>
          <w:szCs w:val="16"/>
          <w:color w:val="auto"/>
        </w:rPr>
        <w:t xml:space="preserve">THIS OPTION AGREEMENT is executed by and between MagnaChip Semiconductor LLC, a Delaware limited liability company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R. Douglas Norby</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Grantee</w:t>
      </w:r>
      <w:r>
        <w:rPr>
          <w:rFonts w:ascii="Arial" w:cs="Arial" w:eastAsia="Arial" w:hAnsi="Arial"/>
          <w:sz w:val="16"/>
          <w:szCs w:val="16"/>
          <w:b w:val="1"/>
          <w:bCs w:val="1"/>
          <w:color w:val="auto"/>
        </w:rPr>
        <w:t>”</w:t>
      </w:r>
      <w:r>
        <w:rPr>
          <w:rFonts w:ascii="Arial" w:cs="Arial" w:eastAsia="Arial" w:hAnsi="Arial"/>
          <w:sz w:val="16"/>
          <w:szCs w:val="16"/>
          <w:color w:val="auto"/>
        </w:rPr>
        <w:t>), pursuant to the MagnaChip Semiconductor LLC California Equity Incentive Plan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that are not defined herein shall have the meanings given to such terms in the Plan.</w:t>
      </w:r>
    </w:p>
    <w:p>
      <w:pPr>
        <w:spacing w:after="0" w:line="101"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of its wholly-owned subsidiary, MagnaChip Semiconductor, Inc. (“</w:t>
      </w:r>
      <w:r>
        <w:rPr>
          <w:rFonts w:ascii="Arial" w:cs="Arial" w:eastAsia="Arial" w:hAnsi="Arial"/>
          <w:sz w:val="18"/>
          <w:szCs w:val="18"/>
          <w:b w:val="1"/>
          <w:bCs w:val="1"/>
          <w:u w:val="single" w:color="auto"/>
          <w:color w:val="auto"/>
        </w:rPr>
        <w:t>MagnaChip</w:t>
      </w:r>
      <w:r>
        <w:rPr>
          <w:rFonts w:ascii="Arial" w:cs="Arial" w:eastAsia="Arial" w:hAnsi="Arial"/>
          <w:sz w:val="18"/>
          <w:szCs w:val="18"/>
          <w:color w:val="auto"/>
        </w:rPr>
        <w:t>”);</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has adopted the Plan in order to effect such grants; and</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90" w:lineRule="exact"/>
        <w:rPr>
          <w:sz w:val="20"/>
          <w:szCs w:val="20"/>
          <w:color w:val="auto"/>
        </w:rPr>
      </w:pPr>
    </w:p>
    <w:p>
      <w:pPr>
        <w:ind w:right="440" w:firstLine="921"/>
        <w:spacing w:after="0" w:line="268" w:lineRule="auto"/>
        <w:tabs>
          <w:tab w:leader="none" w:pos="1152"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 xml:space="preserve">. The Company hereby evidences and confirms the grant to the Grantee of options to purchase from the Company the number of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r>
        <w:rPr>
          <w:rFonts w:ascii="Arial" w:cs="Arial" w:eastAsia="Arial" w:hAnsi="Arial"/>
          <w:sz w:val="18"/>
          <w:szCs w:val="18"/>
          <w:color w:val="auto"/>
        </w:rPr>
        <w:t xml:space="preserve">) at the exercise price per Common Unit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 Price</w:t>
      </w:r>
      <w:r>
        <w:rPr>
          <w:rFonts w:ascii="Arial" w:cs="Arial" w:eastAsia="Arial" w:hAnsi="Arial"/>
          <w:sz w:val="18"/>
          <w:szCs w:val="18"/>
          <w:b w:val="1"/>
          <w:bCs w:val="1"/>
          <w:color w:val="auto"/>
        </w:rPr>
        <w:t>”</w:t>
      </w:r>
      <w:r>
        <w:rPr>
          <w:rFonts w:ascii="Arial" w:cs="Arial" w:eastAsia="Arial" w:hAnsi="Arial"/>
          <w:sz w:val="18"/>
          <w:szCs w:val="18"/>
          <w:color w:val="auto"/>
        </w:rPr>
        <w:t>)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Price</w:t>
            </w:r>
          </w:p>
        </w:tc>
        <w:tc>
          <w:tcPr>
            <w:tcW w:w="9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Number of Units</w:t>
            </w:r>
          </w:p>
        </w:tc>
      </w:tr>
      <w:tr>
        <w:trPr>
          <w:trHeight w:val="195"/>
        </w:trPr>
        <w:tc>
          <w:tcPr>
            <w:tcW w:w="7700" w:type="dxa"/>
            <w:vAlign w:val="bottom"/>
          </w:tcPr>
          <w:p>
            <w:pPr>
              <w:spacing w:after="0" w:line="195" w:lineRule="exact"/>
              <w:rPr>
                <w:sz w:val="20"/>
                <w:szCs w:val="20"/>
                <w:color w:val="auto"/>
              </w:rPr>
            </w:pPr>
            <w:r>
              <w:rPr>
                <w:rFonts w:ascii="Arial" w:cs="Arial" w:eastAsia="Arial" w:hAnsi="Arial"/>
                <w:sz w:val="18"/>
                <w:szCs w:val="18"/>
                <w:color w:val="auto"/>
              </w:rPr>
              <w:t>US$ 1.02</w:t>
            </w:r>
          </w:p>
        </w:tc>
        <w:tc>
          <w:tcPr>
            <w:tcW w:w="90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40,000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US$ —</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40,000</w:t>
            </w:r>
          </w:p>
        </w:tc>
      </w:tr>
    </w:tbl>
    <w:p>
      <w:pPr>
        <w:spacing w:after="0" w:line="150" w:lineRule="exact"/>
        <w:rPr>
          <w:sz w:val="20"/>
          <w:szCs w:val="20"/>
          <w:color w:val="auto"/>
        </w:rPr>
      </w:pPr>
    </w:p>
    <w:p>
      <w:pPr>
        <w:ind w:right="300" w:firstLine="913"/>
        <w:spacing w:after="0" w:line="262" w:lineRule="auto"/>
        <w:rPr>
          <w:sz w:val="20"/>
          <w:szCs w:val="20"/>
          <w:color w:val="auto"/>
        </w:rPr>
      </w:pPr>
      <w:r>
        <w:rPr>
          <w:rFonts w:ascii="Arial" w:cs="Arial" w:eastAsia="Arial" w:hAnsi="Arial"/>
          <w:sz w:val="18"/>
          <w:szCs w:val="18"/>
          <w:color w:val="auto"/>
        </w:rPr>
        <w:t xml:space="preserve">The grant of Options to the Grantee is effective as of </w:t>
      </w:r>
      <w:r>
        <w:rPr>
          <w:rFonts w:ascii="Arial" w:cs="Arial" w:eastAsia="Arial" w:hAnsi="Arial"/>
          <w:sz w:val="18"/>
          <w:szCs w:val="18"/>
          <w:u w:val="single" w:color="auto"/>
          <w:color w:val="auto"/>
        </w:rPr>
        <w:t>January 25, 2007</w:t>
      </w:r>
      <w:r>
        <w:rPr>
          <w:rFonts w:ascii="Arial" w:cs="Arial" w:eastAsia="Arial" w:hAnsi="Arial"/>
          <w:sz w:val="18"/>
          <w:szCs w:val="18"/>
          <w:color w:val="auto"/>
        </w:rPr>
        <w:t xml:space="preserve"> (the </w:t>
      </w:r>
      <w:r>
        <w:rPr>
          <w:rFonts w:ascii="Arial" w:cs="Arial" w:eastAsia="Arial" w:hAnsi="Arial"/>
          <w:sz w:val="18"/>
          <w:szCs w:val="18"/>
          <w:b w:val="1"/>
          <w:bCs w:val="1"/>
          <w:color w:val="auto"/>
        </w:rPr>
        <w:t>“Grant Date”</w:t>
      </w:r>
      <w:r>
        <w:rPr>
          <w:rFonts w:ascii="Arial" w:cs="Arial" w:eastAsia="Arial" w:hAnsi="Arial"/>
          <w:sz w:val="18"/>
          <w:szCs w:val="18"/>
          <w:color w:val="auto"/>
        </w:rPr>
        <w:t>), which is the later of (i) the start date of the Grantee’s employment at the Company or a subsidiary thereof, or (ii) the date on which the Options are awarded to the Grantee as set forth in the Plan. The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Commencement Date” </w:t>
      </w:r>
      <w:r>
        <w:rPr>
          <w:rFonts w:ascii="Arial" w:cs="Arial" w:eastAsia="Arial" w:hAnsi="Arial"/>
          <w:sz w:val="18"/>
          <w:szCs w:val="18"/>
          <w:color w:val="auto"/>
        </w:rPr>
        <w:t>of the Options for purposes of Section 2(a) below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May 27, 2006</w:t>
      </w:r>
      <w:r>
        <w:rPr>
          <w:rFonts w:ascii="Arial" w:cs="Arial" w:eastAsia="Arial" w:hAnsi="Arial"/>
          <w:sz w:val="18"/>
          <w:szCs w:val="18"/>
          <w:color w:val="auto"/>
        </w:rPr>
        <w:t>.</w:t>
      </w:r>
    </w:p>
    <w:p>
      <w:pPr>
        <w:spacing w:after="0" w:line="138" w:lineRule="exact"/>
        <w:rPr>
          <w:sz w:val="20"/>
          <w:szCs w:val="20"/>
          <w:color w:val="auto"/>
        </w:rPr>
      </w:pPr>
    </w:p>
    <w:p>
      <w:pPr>
        <w:ind w:right="20" w:firstLine="921"/>
        <w:spacing w:after="0" w:line="256" w:lineRule="auto"/>
        <w:tabs>
          <w:tab w:leader="none" w:pos="1161"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 In the event of a conflict between the terms and conditions of the Plan and this Option Agreement, the terms and conditions of the Plan shall prevail.</w:t>
      </w:r>
    </w:p>
    <w:p>
      <w:pPr>
        <w:spacing w:after="0" w:line="143" w:lineRule="exact"/>
        <w:rPr>
          <w:rFonts w:ascii="Arial" w:cs="Arial" w:eastAsia="Arial" w:hAnsi="Arial"/>
          <w:sz w:val="18"/>
          <w:szCs w:val="18"/>
          <w:color w:val="auto"/>
        </w:rPr>
      </w:pPr>
    </w:p>
    <w:p>
      <w:pPr>
        <w:ind w:right="520" w:firstLine="921"/>
        <w:spacing w:after="0" w:line="268" w:lineRule="auto"/>
        <w:tabs>
          <w:tab w:leader="none" w:pos="1152"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42" w:name="page443"/>
    <w:bookmarkEnd w:id="442"/>
    <w:p>
      <w:pPr>
        <w:ind w:left="1100" w:hanging="179"/>
        <w:spacing w:after="0"/>
        <w:tabs>
          <w:tab w:leader="none" w:pos="1100"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Exercisability</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55" w:lineRule="auto"/>
        <w:tabs>
          <w:tab w:leader="none" w:pos="1152"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Vesting Provisions</w:t>
      </w:r>
      <w:r>
        <w:rPr>
          <w:rFonts w:ascii="Arial" w:cs="Arial" w:eastAsia="Arial" w:hAnsi="Arial"/>
          <w:sz w:val="18"/>
          <w:szCs w:val="18"/>
          <w:color w:val="auto"/>
        </w:rPr>
        <w:t>. An installment of 25% of the Common Units subject to the Options shall become vested and exercisable on the first anniversary of the Vesting Commencement Date and 6.25% of the Common Units subject to the Options shall become vested and exercisable at the end of each three month period thereafter on the same day of the month as the Vesting Commencement Date (or, if earlier, the last day of such month), so that the Options shall become fully vested and exercisable on the fourth anniversary of the Vesting Commencement Date; subject to the Grantee’s continuous employment with MagnaChip from the Grant Date to each such vesting date.</w:t>
      </w:r>
    </w:p>
    <w:p>
      <w:pPr>
        <w:spacing w:after="0" w:line="142" w:lineRule="exact"/>
        <w:rPr>
          <w:rFonts w:ascii="Arial" w:cs="Arial" w:eastAsia="Arial" w:hAnsi="Arial"/>
          <w:sz w:val="18"/>
          <w:szCs w:val="18"/>
          <w:color w:val="auto"/>
        </w:rPr>
      </w:pPr>
    </w:p>
    <w:p>
      <w:pPr>
        <w:ind w:right="100" w:firstLine="921"/>
        <w:spacing w:after="0" w:line="306" w:lineRule="auto"/>
        <w:tabs>
          <w:tab w:leader="none" w:pos="1161"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Normal Expiration Date</w:t>
      </w:r>
      <w:r>
        <w:rPr>
          <w:rFonts w:ascii="Arial" w:cs="Arial" w:eastAsia="Arial" w:hAnsi="Arial"/>
          <w:sz w:val="16"/>
          <w:szCs w:val="16"/>
          <w:color w:val="auto"/>
        </w:rPr>
        <w:t xml:space="preserve">. Unless the Options earlier terminate in accordance with Section 4, the Options shall terminate on the tenth anniversary of the Grant Date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Normal Expiration Date</w:t>
      </w:r>
      <w:r>
        <w:rPr>
          <w:rFonts w:ascii="Arial" w:cs="Arial" w:eastAsia="Arial" w:hAnsi="Arial"/>
          <w:sz w:val="16"/>
          <w:szCs w:val="16"/>
          <w:b w:val="1"/>
          <w:bCs w:val="1"/>
          <w:color w:val="auto"/>
        </w:rPr>
        <w:t>”</w:t>
      </w:r>
      <w:r>
        <w:rPr>
          <w:rFonts w:ascii="Arial" w:cs="Arial" w:eastAsia="Arial" w:hAnsi="Arial"/>
          <w:sz w:val="16"/>
          <w:szCs w:val="16"/>
          <w:color w:val="auto"/>
        </w:rPr>
        <w:t>). Once Options have become vested and exerciseable pursuant to this Section 2, such Options may be exercised, subject to the provisions hereof, at any time and from time to time until the Normal Expiration Date.</w:t>
      </w:r>
    </w:p>
    <w:p>
      <w:pPr>
        <w:spacing w:after="0" w:line="188" w:lineRule="exact"/>
        <w:rPr>
          <w:sz w:val="20"/>
          <w:szCs w:val="20"/>
          <w:color w:val="auto"/>
        </w:rPr>
      </w:pPr>
    </w:p>
    <w:p>
      <w:pPr>
        <w:ind w:left="1100" w:hanging="179"/>
        <w:spacing w:after="0"/>
        <w:tabs>
          <w:tab w:leader="none" w:pos="1100"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All or part of the exercisable Options may be exercised by the Grantee upon (a) the Grantee’s written notice to the Company of exercise (on such Exercise Notice as provided by the Company, a form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(b) the Grantee’s payment of the Option Price in full at the time of exercise (i) in cash or cash equivalents or (ii) in accordance with such procedures or in such other form as the Committee shall from time to time determine and</w:t>
      </w:r>
    </w:p>
    <w:p>
      <w:pPr>
        <w:spacing w:after="0" w:line="1" w:lineRule="exact"/>
        <w:rPr>
          <w:sz w:val="20"/>
          <w:szCs w:val="20"/>
          <w:color w:val="auto"/>
        </w:rPr>
      </w:pPr>
    </w:p>
    <w:p>
      <w:pPr>
        <w:ind w:right="20" w:firstLine="8"/>
        <w:spacing w:after="0" w:line="261" w:lineRule="auto"/>
        <w:tabs>
          <w:tab w:leader="none" w:pos="239"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Grantee’s execution of a joinder to the LLC Agreement (if the Grantee is not then a party to such agreement) in order to become a party to such agreement with respect to the Common Units issuable upon the exercise of such Options.</w:t>
      </w:r>
    </w:p>
    <w:p>
      <w:pPr>
        <w:spacing w:after="0" w:line="219" w:lineRule="exact"/>
        <w:rPr>
          <w:sz w:val="20"/>
          <w:szCs w:val="20"/>
          <w:color w:val="auto"/>
        </w:rPr>
      </w:pPr>
    </w:p>
    <w:p>
      <w:pPr>
        <w:ind w:left="1100" w:hanging="179"/>
        <w:spacing w:after="0"/>
        <w:tabs>
          <w:tab w:leader="none" w:pos="1100"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right="80" w:firstLine="921"/>
        <w:spacing w:after="0" w:line="259" w:lineRule="auto"/>
        <w:tabs>
          <w:tab w:leader="none" w:pos="1152" w:val="left"/>
        </w:tabs>
        <w:numPr>
          <w:ilvl w:val="0"/>
          <w:numId w:val="533"/>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right="140" w:firstLine="921"/>
        <w:spacing w:after="0" w:line="294" w:lineRule="auto"/>
        <w:tabs>
          <w:tab w:leader="none" w:pos="1162" w:val="left"/>
        </w:tabs>
        <w:numPr>
          <w:ilvl w:val="0"/>
          <w:numId w:val="533"/>
        </w:numPr>
        <w:rPr>
          <w:rFonts w:ascii="Arial" w:cs="Arial" w:eastAsia="Arial" w:hAnsi="Arial"/>
          <w:sz w:val="16"/>
          <w:szCs w:val="16"/>
          <w:color w:val="auto"/>
        </w:rPr>
      </w:pPr>
      <w:r>
        <w:rPr>
          <w:rFonts w:ascii="Arial" w:cs="Arial" w:eastAsia="Arial" w:hAnsi="Arial"/>
          <w:sz w:val="16"/>
          <w:szCs w:val="16"/>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Company’s repurchase right under this provision shall terminate ninety days after the termination of the Grantee’s employment.</w:t>
      </w:r>
    </w:p>
    <w:p>
      <w:pPr>
        <w:spacing w:after="0" w:line="197" w:lineRule="exact"/>
        <w:rPr>
          <w:sz w:val="20"/>
          <w:szCs w:val="20"/>
          <w:color w:val="auto"/>
        </w:rPr>
      </w:pPr>
    </w:p>
    <w:p>
      <w:pPr>
        <w:ind w:left="1100" w:hanging="179"/>
        <w:spacing w:after="0"/>
        <w:tabs>
          <w:tab w:leader="none" w:pos="1100"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Whenever Common Units are to be issued pursuant to the exercise of an Option or any cash payment is to be made hereunder, the Company shall have the power to withhold, or require the Grantee to remit to the Company, an amount sufficient to satisfy federal, state, and local withholding tax requirements relating to such transaction, and the Company may defer payment of cash or issuance of Common Units until such requirements are satisfied.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443" w:name="page444"/>
    <w:bookmarkEnd w:id="443"/>
    <w:p>
      <w:pPr>
        <w:ind w:left="1100" w:hanging="179"/>
        <w:spacing w:after="0"/>
        <w:tabs>
          <w:tab w:leader="none" w:pos="1100"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Awards or Common Units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99" w:lineRule="exact"/>
        <w:rPr>
          <w:sz w:val="20"/>
          <w:szCs w:val="20"/>
          <w:color w:val="auto"/>
        </w:rPr>
      </w:pPr>
    </w:p>
    <w:p>
      <w:pPr>
        <w:ind w:left="1100" w:hanging="179"/>
        <w:spacing w:after="0"/>
        <w:tabs>
          <w:tab w:leader="none" w:pos="1100"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94" w:lineRule="exact"/>
        <w:rPr>
          <w:sz w:val="20"/>
          <w:szCs w:val="20"/>
          <w:color w:val="auto"/>
        </w:rPr>
      </w:pPr>
    </w:p>
    <w:p>
      <w:pPr>
        <w:ind w:left="1100" w:hanging="179"/>
        <w:spacing w:after="0"/>
        <w:tabs>
          <w:tab w:leader="none" w:pos="1100"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securities laws, and no Common Units shall be issued upon exercise of any Options granted hereunder, if such exercise would result in a violation of applicable law.</w:t>
      </w:r>
    </w:p>
    <w:p>
      <w:pPr>
        <w:spacing w:after="0" w:line="224" w:lineRule="exact"/>
        <w:rPr>
          <w:sz w:val="20"/>
          <w:szCs w:val="20"/>
          <w:color w:val="auto"/>
        </w:rPr>
      </w:pPr>
    </w:p>
    <w:p>
      <w:pPr>
        <w:ind w:left="1100" w:hanging="179"/>
        <w:spacing w:after="0"/>
        <w:tabs>
          <w:tab w:leader="none" w:pos="1100"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w:t>
      </w:r>
    </w:p>
    <w:p>
      <w:pPr>
        <w:spacing w:after="0" w:line="213" w:lineRule="exact"/>
        <w:rPr>
          <w:sz w:val="20"/>
          <w:szCs w:val="20"/>
          <w:color w:val="auto"/>
        </w:rPr>
      </w:pPr>
    </w:p>
    <w:p>
      <w:pPr>
        <w:ind w:left="1180" w:hanging="259"/>
        <w:spacing w:after="0"/>
        <w:tabs>
          <w:tab w:leader="none" w:pos="1180"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166" w:lineRule="exact"/>
        <w:rPr>
          <w:sz w:val="20"/>
          <w:szCs w:val="20"/>
          <w:color w:val="auto"/>
        </w:rPr>
      </w:pPr>
    </w:p>
    <w:p>
      <w:pPr>
        <w:ind w:left="1180" w:hanging="259"/>
        <w:spacing w:after="0"/>
        <w:tabs>
          <w:tab w:leader="none" w:pos="1180"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Grantee’s Representations</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the event the Common Units have not been registered under the Securities Act at the time this Options are exercised, the Grantee shall, if required by the Company, concurrently with the exercise of all or any portion of the Options, deliver to the Company the Grantee’s Investment Representation Statement in the form attached hereto as Exhibit B.</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44" w:name="page445"/>
    <w:bookmarkEnd w:id="444"/>
    <w:p>
      <w:pPr>
        <w:ind w:left="1180" w:hanging="259"/>
        <w:spacing w:after="0"/>
        <w:tabs>
          <w:tab w:leader="none" w:pos="1180"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221" w:lineRule="exact"/>
        <w:rPr>
          <w:sz w:val="20"/>
          <w:szCs w:val="20"/>
          <w:color w:val="auto"/>
        </w:rPr>
      </w:pPr>
    </w:p>
    <w:p>
      <w:pPr>
        <w:ind w:left="1180" w:hanging="259"/>
        <w:spacing w:after="0"/>
        <w:tabs>
          <w:tab w:leader="none" w:pos="118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201" w:lineRule="exact"/>
        <w:rPr>
          <w:sz w:val="20"/>
          <w:szCs w:val="20"/>
          <w:color w:val="auto"/>
        </w:rPr>
      </w:pPr>
    </w:p>
    <w:p>
      <w:pPr>
        <w:ind w:left="1180" w:hanging="259"/>
        <w:spacing w:after="0"/>
        <w:tabs>
          <w:tab w:leader="none" w:pos="1180"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56" w:lineRule="auto"/>
        <w:tabs>
          <w:tab w:leader="none" w:pos="1152" w:val="left"/>
        </w:tabs>
        <w:numPr>
          <w:ilvl w:val="0"/>
          <w:numId w:val="5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if to the Company:</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82-2-3459-3898</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if to the Grantee, to the Grantee at the address as reflected in the Company’s books and records.</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right="40" w:firstLine="921"/>
        <w:spacing w:after="0" w:line="256" w:lineRule="auto"/>
        <w:tabs>
          <w:tab w:leader="none" w:pos="1161"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Binding Effect; Benefits</w:t>
      </w:r>
      <w:r>
        <w:rPr>
          <w:rFonts w:ascii="Arial" w:cs="Arial" w:eastAsia="Arial" w:hAnsi="Arial"/>
          <w:sz w:val="18"/>
          <w:szCs w:val="18"/>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43" w:lineRule="exact"/>
        <w:rPr>
          <w:rFonts w:ascii="Arial" w:cs="Arial" w:eastAsia="Arial" w:hAnsi="Arial"/>
          <w:sz w:val="18"/>
          <w:szCs w:val="18"/>
          <w:color w:val="auto"/>
        </w:rPr>
      </w:pPr>
    </w:p>
    <w:p>
      <w:pPr>
        <w:jc w:val="both"/>
        <w:ind w:right="40" w:firstLine="921"/>
        <w:spacing w:after="0" w:line="298" w:lineRule="auto"/>
        <w:tabs>
          <w:tab w:leader="none" w:pos="1152" w:val="left"/>
        </w:tabs>
        <w:numPr>
          <w:ilvl w:val="0"/>
          <w:numId w:val="545"/>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45" w:name="page446"/>
    <w:bookmarkEnd w:id="44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13" w:lineRule="exact"/>
        <w:rPr>
          <w:sz w:val="20"/>
          <w:szCs w:val="20"/>
          <w:color w:val="auto"/>
        </w:rPr>
      </w:pPr>
    </w:p>
    <w:p>
      <w:pPr>
        <w:jc w:val="both"/>
        <w:ind w:right="240" w:firstLine="921"/>
        <w:spacing w:after="0" w:line="306" w:lineRule="auto"/>
        <w:tabs>
          <w:tab w:leader="none" w:pos="1161" w:val="left"/>
        </w:tabs>
        <w:numPr>
          <w:ilvl w:val="0"/>
          <w:numId w:val="54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06" w:lineRule="exact"/>
        <w:rPr>
          <w:rFonts w:ascii="Arial" w:cs="Arial" w:eastAsia="Arial" w:hAnsi="Arial"/>
          <w:sz w:val="16"/>
          <w:szCs w:val="16"/>
          <w:color w:val="auto"/>
        </w:rPr>
      </w:pPr>
    </w:p>
    <w:p>
      <w:pPr>
        <w:ind w:right="280" w:firstLine="921"/>
        <w:spacing w:after="0" w:line="268" w:lineRule="auto"/>
        <w:tabs>
          <w:tab w:leader="none" w:pos="1152"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WITHOUT REGARDS TO CONFLICTS OF LAWS PROVISIONS.</w:t>
      </w:r>
    </w:p>
    <w:p>
      <w:pPr>
        <w:spacing w:after="0" w:line="131" w:lineRule="exact"/>
        <w:rPr>
          <w:rFonts w:ascii="Arial" w:cs="Arial" w:eastAsia="Arial" w:hAnsi="Arial"/>
          <w:sz w:val="18"/>
          <w:szCs w:val="18"/>
          <w:color w:val="auto"/>
        </w:rPr>
      </w:pPr>
    </w:p>
    <w:p>
      <w:pPr>
        <w:ind w:right="40" w:firstLine="921"/>
        <w:spacing w:after="0" w:line="268" w:lineRule="auto"/>
        <w:tabs>
          <w:tab w:leader="none" w:pos="1132"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right="20" w:firstLine="921"/>
        <w:spacing w:after="0" w:line="268" w:lineRule="auto"/>
        <w:tabs>
          <w:tab w:leader="none" w:pos="1161"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Company and the Grantee have duly executed this Agreement as of the date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Sang Park</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Chief Executive Officer and Chairman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 Douglas Norby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Douglas Norby</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9" w:right="339" w:bottom="1440" w:gutter="0" w:footer="0" w:header="0"/>
        </w:sectPr>
      </w:pPr>
    </w:p>
    <w:bookmarkStart w:id="446" w:name="page447"/>
    <w:bookmarkEnd w:id="446"/>
    <w:p>
      <w:pPr>
        <w:ind w:left="4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LLC</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[CALIFORNIA] EQUITY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9"/>
          </w:tcPr>
          <w:p>
            <w:pPr>
              <w:ind w:left="460"/>
              <w:spacing w:after="0"/>
              <w:rPr>
                <w:sz w:val="20"/>
                <w:szCs w:val="20"/>
                <w:color w:val="auto"/>
              </w:rPr>
            </w:pPr>
            <w:r>
              <w:rPr>
                <w:rFonts w:ascii="Arial" w:cs="Arial" w:eastAsia="Arial" w:hAnsi="Arial"/>
                <w:sz w:val="18"/>
                <w:szCs w:val="18"/>
                <w:color w:val="auto"/>
              </w:rPr>
              <w:t>1. Exercise of Option. Effective as of today,</w:t>
            </w:r>
          </w:p>
        </w:tc>
        <w:tc>
          <w:tcPr>
            <w:tcW w:w="6960" w:type="dxa"/>
            <w:vAlign w:val="bottom"/>
            <w:gridSpan w:val="13"/>
          </w:tcPr>
          <w:p>
            <w:pPr>
              <w:ind w:left="140"/>
              <w:spacing w:after="0"/>
              <w:rPr>
                <w:sz w:val="20"/>
                <w:szCs w:val="20"/>
                <w:color w:val="auto"/>
              </w:rPr>
            </w:pPr>
            <w:r>
              <w:rPr>
                <w:rFonts w:ascii="Arial" w:cs="Arial" w:eastAsia="Arial" w:hAnsi="Arial"/>
                <w:sz w:val="18"/>
                <w:szCs w:val="18"/>
                <w:color w:val="auto"/>
                <w:w w:val="94"/>
              </w:rPr>
              <w:t>, 200  , the undersigned (“Grantee”) hereby elects to exercise Grantee’s option to purchase</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740" w:type="dxa"/>
            <w:vAlign w:val="bottom"/>
            <w:gridSpan w:val="21"/>
          </w:tcPr>
          <w:p>
            <w:pPr>
              <w:ind w:left="40"/>
              <w:spacing w:after="0" w:line="196" w:lineRule="exact"/>
              <w:rPr>
                <w:sz w:val="20"/>
                <w:szCs w:val="20"/>
                <w:color w:val="auto"/>
              </w:rPr>
            </w:pPr>
            <w:r>
              <w:rPr>
                <w:rFonts w:ascii="Arial" w:cs="Arial" w:eastAsia="Arial" w:hAnsi="Arial"/>
                <w:sz w:val="18"/>
                <w:szCs w:val="18"/>
                <w:color w:val="auto"/>
                <w:w w:val="91"/>
              </w:rPr>
              <w:t>Common Units (the “Common Units”) of MagnaChip Semiconductor LLC (the “Company”) under and pursuant to the Company’s [California] Equity</w:t>
            </w:r>
          </w:p>
        </w:tc>
      </w:tr>
      <w:tr>
        <w:trPr>
          <w:trHeight w:val="20"/>
        </w:trPr>
        <w:tc>
          <w:tcPr>
            <w:tcW w:w="54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4320" w:type="dxa"/>
            <w:vAlign w:val="bottom"/>
            <w:gridSpan w:val="9"/>
          </w:tcPr>
          <w:p>
            <w:pPr>
              <w:spacing w:after="0" w:line="196" w:lineRule="exact"/>
              <w:rPr>
                <w:sz w:val="20"/>
                <w:szCs w:val="20"/>
                <w:color w:val="auto"/>
              </w:rPr>
            </w:pPr>
            <w:r>
              <w:rPr>
                <w:rFonts w:ascii="Arial" w:cs="Arial" w:eastAsia="Arial" w:hAnsi="Arial"/>
                <w:sz w:val="18"/>
                <w:szCs w:val="18"/>
                <w:color w:val="auto"/>
                <w:w w:val="89"/>
              </w:rPr>
              <w:t>Incentive Plan (the “Plan”) and the Option Agreement dated,</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00" w:type="dxa"/>
            <w:vAlign w:val="bottom"/>
            <w:gridSpan w:val="10"/>
          </w:tcPr>
          <w:p>
            <w:pPr>
              <w:ind w:left="220"/>
              <w:spacing w:after="0" w:line="196" w:lineRule="exact"/>
              <w:rPr>
                <w:sz w:val="20"/>
                <w:szCs w:val="20"/>
                <w:color w:val="auto"/>
              </w:rPr>
            </w:pPr>
            <w:r>
              <w:rPr>
                <w:rFonts w:ascii="Arial" w:cs="Arial" w:eastAsia="Arial" w:hAnsi="Arial"/>
                <w:sz w:val="18"/>
                <w:szCs w:val="18"/>
                <w:color w:val="auto"/>
                <w:w w:val="90"/>
              </w:rPr>
              <w:t>, 200   (the “Option Agreement”). Capitalized terms not defined herein shall have the</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meanings given to such terms in the Plan and/or the Option Agreement.</w:t>
      </w:r>
    </w:p>
    <w:p>
      <w:pPr>
        <w:spacing w:after="0" w:line="171" w:lineRule="exact"/>
        <w:rPr>
          <w:sz w:val="20"/>
          <w:szCs w:val="20"/>
          <w:color w:val="auto"/>
        </w:rPr>
      </w:pPr>
    </w:p>
    <w:p>
      <w:pPr>
        <w:ind w:right="240" w:firstLine="464"/>
        <w:spacing w:after="0" w:line="332" w:lineRule="auto"/>
        <w:tabs>
          <w:tab w:leader="none" w:pos="632" w:val="left"/>
        </w:tabs>
        <w:numPr>
          <w:ilvl w:val="1"/>
          <w:numId w:val="547"/>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Grantee herewith delivers to the Company the full purchase price of the Common Units, as set forth in the Option Agreement in such form as permitted by the Option Agreement and the Plan, and any and all withholding taxes due in connection with the exercise of the Option.</w:t>
      </w:r>
    </w:p>
    <w:p>
      <w:pPr>
        <w:spacing w:after="0" w:line="85" w:lineRule="exact"/>
        <w:rPr>
          <w:rFonts w:ascii="Arial" w:cs="Arial" w:eastAsia="Arial" w:hAnsi="Arial"/>
          <w:sz w:val="16"/>
          <w:szCs w:val="16"/>
          <w:color w:val="auto"/>
        </w:rPr>
      </w:pPr>
    </w:p>
    <w:p>
      <w:pPr>
        <w:ind w:right="360" w:firstLine="464"/>
        <w:spacing w:after="0" w:line="268" w:lineRule="auto"/>
        <w:tabs>
          <w:tab w:leader="none" w:pos="632" w:val="left"/>
        </w:tabs>
        <w:numPr>
          <w:ilvl w:val="1"/>
          <w:numId w:val="547"/>
        </w:numPr>
        <w:rPr>
          <w:rFonts w:ascii="Arial" w:cs="Arial" w:eastAsia="Arial" w:hAnsi="Arial"/>
          <w:sz w:val="18"/>
          <w:szCs w:val="18"/>
          <w:color w:val="auto"/>
        </w:rPr>
      </w:pPr>
      <w:r>
        <w:rPr>
          <w:rFonts w:ascii="Arial" w:cs="Arial" w:eastAsia="Arial" w:hAnsi="Arial"/>
          <w:sz w:val="18"/>
          <w:szCs w:val="18"/>
          <w:u w:val="single" w:color="auto"/>
          <w:color w:val="auto"/>
        </w:rPr>
        <w:t>Representations of Grantee</w:t>
      </w:r>
      <w:r>
        <w:rPr>
          <w:rFonts w:ascii="Arial" w:cs="Arial" w:eastAsia="Arial" w:hAnsi="Arial"/>
          <w:sz w:val="18"/>
          <w:szCs w:val="18"/>
          <w:color w:val="auto"/>
        </w:rPr>
        <w:t>. Grantee acknowledges that Grantee has received, read and understood the Plan and the Option Agreement and agrees to abide by and be bound by their terms and conditions.</w:t>
      </w:r>
    </w:p>
    <w:p>
      <w:pPr>
        <w:spacing w:after="0" w:line="131" w:lineRule="exact"/>
        <w:rPr>
          <w:rFonts w:ascii="Arial" w:cs="Arial" w:eastAsia="Arial" w:hAnsi="Arial"/>
          <w:sz w:val="18"/>
          <w:szCs w:val="18"/>
          <w:color w:val="auto"/>
        </w:rPr>
      </w:pPr>
    </w:p>
    <w:p>
      <w:pPr>
        <w:jc w:val="center"/>
        <w:ind w:firstLine="464"/>
        <w:spacing w:after="0" w:line="323" w:lineRule="auto"/>
        <w:tabs>
          <w:tab w:leader="none" w:pos="632" w:val="left"/>
        </w:tabs>
        <w:numPr>
          <w:ilvl w:val="1"/>
          <w:numId w:val="547"/>
        </w:numPr>
        <w:rPr>
          <w:rFonts w:ascii="Arial" w:cs="Arial" w:eastAsia="Arial" w:hAnsi="Arial"/>
          <w:sz w:val="15"/>
          <w:szCs w:val="15"/>
          <w:color w:val="auto"/>
        </w:rPr>
      </w:pPr>
      <w:r>
        <w:rPr>
          <w:rFonts w:ascii="Arial" w:cs="Arial" w:eastAsia="Arial" w:hAnsi="Arial"/>
          <w:sz w:val="15"/>
          <w:szCs w:val="15"/>
          <w:u w:val="single" w:color="auto"/>
          <w:color w:val="auto"/>
        </w:rPr>
        <w:t>Rights as a Unitholder</w:t>
      </w:r>
      <w:r>
        <w:rPr>
          <w:rFonts w:ascii="Arial" w:cs="Arial" w:eastAsia="Arial" w:hAnsi="Arial"/>
          <w:sz w:val="15"/>
          <w:szCs w:val="15"/>
          <w:color w:val="auto"/>
        </w:rPr>
        <w:t>. Until the issuance of the Common Units (as evidenced by the appropriate entry on the books of the Company or of a duly authorized transfer agent of the Company), no right to vote or receive allocations of profits or losses or any other rights as a Member shall exist with respect to the Common Units, notwithstanding the exercise of the Option. The Common Units shall be issued to the Grantee as soon as practicable after the Option is exercised. No adjustment shall be made for a dividend or other right for which the record date is prior to the date of issuance except as provided in Section 12(a) of the Plan.</w:t>
      </w:r>
    </w:p>
    <w:p>
      <w:pPr>
        <w:spacing w:after="0" w:line="97" w:lineRule="exact"/>
        <w:rPr>
          <w:rFonts w:ascii="Arial" w:cs="Arial" w:eastAsia="Arial" w:hAnsi="Arial"/>
          <w:sz w:val="15"/>
          <w:szCs w:val="15"/>
          <w:color w:val="auto"/>
        </w:rPr>
      </w:pPr>
    </w:p>
    <w:p>
      <w:pPr>
        <w:ind w:right="440" w:firstLine="464"/>
        <w:spacing w:after="0" w:line="286" w:lineRule="auto"/>
        <w:tabs>
          <w:tab w:leader="none" w:pos="632" w:val="left"/>
        </w:tabs>
        <w:numPr>
          <w:ilvl w:val="1"/>
          <w:numId w:val="547"/>
        </w:numPr>
        <w:rPr>
          <w:rFonts w:ascii="Arial" w:cs="Arial" w:eastAsia="Arial" w:hAnsi="Arial"/>
          <w:sz w:val="16"/>
          <w:szCs w:val="16"/>
          <w:color w:val="auto"/>
        </w:rPr>
      </w:pPr>
      <w:r>
        <w:rPr>
          <w:rFonts w:ascii="Arial" w:cs="Arial" w:eastAsia="Arial" w:hAnsi="Arial"/>
          <w:sz w:val="16"/>
          <w:szCs w:val="16"/>
          <w:u w:val="single" w:color="auto"/>
          <w:color w:val="auto"/>
        </w:rPr>
        <w:t>Delivery of Other Documents</w:t>
      </w:r>
      <w:r>
        <w:rPr>
          <w:rFonts w:ascii="Arial" w:cs="Arial" w:eastAsia="Arial" w:hAnsi="Arial"/>
          <w:sz w:val="16"/>
          <w:szCs w:val="16"/>
          <w:color w:val="auto"/>
        </w:rPr>
        <w:t xml:space="preserve">. As a condition to the exercise of this Option, Grantee shall complete, sign and deliver with this Exercise Notice (i) a signature page for the Company’s Securityholders’ Agreement and the Company’s Operating Agreement in the form as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w:t>
      </w:r>
    </w:p>
    <w:p>
      <w:pPr>
        <w:ind w:right="260" w:firstLine="8"/>
        <w:spacing w:after="0" w:line="261" w:lineRule="auto"/>
        <w:tabs>
          <w:tab w:leader="none" w:pos="258" w:val="left"/>
        </w:tabs>
        <w:numPr>
          <w:ilvl w:val="0"/>
          <w:numId w:val="548"/>
        </w:numPr>
        <w:rPr>
          <w:rFonts w:ascii="Arial" w:cs="Arial" w:eastAsia="Arial" w:hAnsi="Arial"/>
          <w:sz w:val="18"/>
          <w:szCs w:val="18"/>
          <w:color w:val="auto"/>
        </w:rPr>
      </w:pPr>
      <w:r>
        <w:rPr>
          <w:rFonts w:ascii="Arial" w:cs="Arial" w:eastAsia="Arial" w:hAnsi="Arial"/>
          <w:sz w:val="18"/>
          <w:szCs w:val="18"/>
          <w:color w:val="auto"/>
        </w:rPr>
        <w:t xml:space="preserve">provided that the Common Units have not been registered under the Securities Act, the Investment Representation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 (iii) and any other documents required by the Company of its holders of Common Units.</w:t>
      </w:r>
    </w:p>
    <w:p>
      <w:pPr>
        <w:spacing w:after="0" w:line="137" w:lineRule="exact"/>
        <w:rPr>
          <w:rFonts w:ascii="Arial" w:cs="Arial" w:eastAsia="Arial" w:hAnsi="Arial"/>
          <w:sz w:val="18"/>
          <w:szCs w:val="18"/>
          <w:color w:val="auto"/>
        </w:rPr>
      </w:pPr>
    </w:p>
    <w:p>
      <w:pPr>
        <w:ind w:right="20" w:firstLine="464"/>
        <w:spacing w:after="0" w:line="288" w:lineRule="auto"/>
        <w:tabs>
          <w:tab w:leader="none" w:pos="632" w:val="left"/>
        </w:tabs>
        <w:numPr>
          <w:ilvl w:val="1"/>
          <w:numId w:val="548"/>
        </w:numPr>
        <w:rPr>
          <w:rFonts w:ascii="Arial" w:cs="Arial" w:eastAsia="Arial" w:hAnsi="Arial"/>
          <w:sz w:val="16"/>
          <w:szCs w:val="16"/>
          <w:color w:val="auto"/>
        </w:rPr>
      </w:pPr>
      <w:r>
        <w:rPr>
          <w:rFonts w:ascii="Arial" w:cs="Arial" w:eastAsia="Arial" w:hAnsi="Arial"/>
          <w:sz w:val="16"/>
          <w:szCs w:val="16"/>
          <w:u w:val="single" w:color="auto"/>
          <w:color w:val="auto"/>
        </w:rPr>
        <w:t>Non-Transferability of the Common Units</w:t>
      </w:r>
      <w:r>
        <w:rPr>
          <w:rFonts w:ascii="Arial" w:cs="Arial" w:eastAsia="Arial" w:hAnsi="Arial"/>
          <w:sz w:val="16"/>
          <w:szCs w:val="16"/>
          <w:color w:val="auto"/>
        </w:rPr>
        <w:t>. Pursuant to Section 6 of the Option Agreement, 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provided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further provided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Grantee’s designated beneficiary, Grantee’s estate or such transferee as permitted by the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47" w:name="page448"/>
    <w:bookmarkEnd w:id="447"/>
    <w:p>
      <w:pPr>
        <w:ind w:firstLine="464"/>
        <w:spacing w:after="0" w:line="290" w:lineRule="auto"/>
        <w:tabs>
          <w:tab w:leader="none" w:pos="632" w:val="left"/>
        </w:tabs>
        <w:numPr>
          <w:ilvl w:val="0"/>
          <w:numId w:val="5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Lock-Up Period</w:t>
      </w:r>
      <w:r>
        <w:rPr>
          <w:rFonts w:ascii="Arial" w:cs="Arial" w:eastAsia="Arial" w:hAnsi="Arial"/>
          <w:sz w:val="16"/>
          <w:szCs w:val="16"/>
          <w:color w:val="auto"/>
        </w:rPr>
        <w:t>. Grantee hereby agrees that Grantee shall not offer, pledge, sell, contract to sell, sell any option or contract to purchase, purchase any option or contract to sell, grant any option, right or warrant to purchase, lend, or otherwise transfer or dispose of, directly or indirectly, any Common Units (or the securities into which the Common Units are converted or other securities) of the Company or enter into any swap, hedging or other arrangement that transfers to another, in whole or in part, any of the economic consequences of ownership of any Common Units (or the securities into which the Common Units are converted or other securities) of the Company held by Grantee (other than those included in the registration) for a period specified by the representative of the underwriters of Common Units (or the securities into which the Common Units are converted or other securities) of the Company not to exceed one hundred eighty (180) days following the effective date of any registration statement of the Company filed under the Securities Act.</w:t>
      </w:r>
    </w:p>
    <w:p>
      <w:pPr>
        <w:spacing w:after="0" w:line="11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Grantee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Units (or the securities into which the Common Units are converted or other securities) of the Company, Grantee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Common Units (or the securities into which the Common Units are converted or other securities) subject to the foregoing restriction until the end of said one hundred eighty (180) day period. Grantee agrees that any transferee of the Options or units acquired pursuant to the Options shall be bound by this Section.</w:t>
      </w:r>
    </w:p>
    <w:p>
      <w:pPr>
        <w:spacing w:after="0" w:line="123" w:lineRule="exact"/>
        <w:rPr>
          <w:sz w:val="20"/>
          <w:szCs w:val="20"/>
          <w:color w:val="auto"/>
        </w:rPr>
      </w:pPr>
    </w:p>
    <w:p>
      <w:pPr>
        <w:ind w:right="20" w:firstLine="464"/>
        <w:spacing w:after="0" w:line="259" w:lineRule="auto"/>
        <w:tabs>
          <w:tab w:leader="none" w:pos="632"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Grantee understands that Grantee may suffer adverse tax consequences as a result of Grantee’s purchase or disposition of the Common Units. Grantee represents that Grantee has consulted with any tax consultants Grantee deems advisable in connection with the purchase or disposition of the Common Units and that Grantee is not relying on the Company for any tax advice.</w:t>
      </w:r>
    </w:p>
    <w:p>
      <w:pPr>
        <w:spacing w:after="0" w:line="221" w:lineRule="exact"/>
        <w:rPr>
          <w:rFonts w:ascii="Arial" w:cs="Arial" w:eastAsia="Arial" w:hAnsi="Arial"/>
          <w:sz w:val="18"/>
          <w:szCs w:val="18"/>
          <w:color w:val="auto"/>
        </w:rPr>
      </w:pPr>
    </w:p>
    <w:p>
      <w:pPr>
        <w:ind w:left="640" w:hanging="176"/>
        <w:spacing w:after="0"/>
        <w:tabs>
          <w:tab w:leader="none" w:pos="640"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20" w:firstLine="921"/>
        <w:spacing w:after="0" w:line="259" w:lineRule="auto"/>
        <w:tabs>
          <w:tab w:leader="none" w:pos="1152" w:val="left"/>
        </w:tabs>
        <w:numPr>
          <w:ilvl w:val="1"/>
          <w:numId w:val="550"/>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Grantee understands and agrees that the Company shall cause the legends set forth below or legends substantially equivalent thereto, to be placed upon any certificate(s) evidencing ownership of the Common Units together with any other legends that may be required by the Company or by state or federal securities laws:</w:t>
      </w:r>
    </w:p>
    <w:p>
      <w:pPr>
        <w:spacing w:after="0" w:line="59" w:lineRule="exact"/>
        <w:rPr>
          <w:sz w:val="20"/>
          <w:szCs w:val="20"/>
          <w:color w:val="auto"/>
        </w:rPr>
      </w:pPr>
    </w:p>
    <w:p>
      <w:pPr>
        <w:ind w:left="920" w:right="380"/>
        <w:spacing w:after="0" w:line="298" w:lineRule="auto"/>
        <w:rPr>
          <w:sz w:val="20"/>
          <w:szCs w:val="20"/>
          <w:color w:val="auto"/>
        </w:rPr>
      </w:pPr>
      <w:r>
        <w:rPr>
          <w:rFonts w:ascii="Arial" w:cs="Arial" w:eastAsia="Arial" w:hAnsi="Arial"/>
          <w:sz w:val="16"/>
          <w:szCs w:val="16"/>
          <w:color w:val="auto"/>
        </w:rPr>
        <w:t>THE SECURITIES REPRESENTED HEREBY HAVE NOT BEEN REGISTERED UNDER THE SECURITIES ACT OF 1933 (THE “ACT”) AND MAY NOT BE OFFERED, SOLD OR OTHERWISE TRANSFERRED, PLEDGED OR HYPOTHECATED UNLESS AND UNTIL REGISTERED UNDER THE ACT OR, IN THE OPINION OF COMPANY COUNSEL SATISFACTORY TO THE ISSUER OF THESE SECURITIES, SUCH OFFER, SALE OR TRANSFER, PLEDGE OR HYPOTHECATION IS IN COMPLIANCE THEREWITH.</w:t>
      </w:r>
    </w:p>
    <w:p>
      <w:pPr>
        <w:spacing w:after="0" w:line="32" w:lineRule="exact"/>
        <w:rPr>
          <w:sz w:val="20"/>
          <w:szCs w:val="20"/>
          <w:color w:val="auto"/>
        </w:rPr>
      </w:pPr>
    </w:p>
    <w:p>
      <w:pPr>
        <w:ind w:left="920" w:right="800"/>
        <w:spacing w:after="0" w:line="268" w:lineRule="auto"/>
        <w:rPr>
          <w:sz w:val="20"/>
          <w:szCs w:val="20"/>
          <w:color w:val="auto"/>
        </w:rPr>
      </w:pPr>
      <w:r>
        <w:rPr>
          <w:rFonts w:ascii="Arial" w:cs="Arial" w:eastAsia="Arial" w:hAnsi="Arial"/>
          <w:sz w:val="18"/>
          <w:szCs w:val="18"/>
          <w:color w:val="auto"/>
        </w:rPr>
        <w:t>THE COMMON UNITS REPRESENTED BY THIS CERTIFICATE ARE SUBJECT TO CERTAIN RESTRICTIONS ON TRANSFER, INCLUDING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9" w:right="259" w:bottom="1440" w:gutter="0" w:footer="0" w:header="0"/>
        </w:sectPr>
      </w:pPr>
    </w:p>
    <w:bookmarkStart w:id="448" w:name="page449"/>
    <w:bookmarkEnd w:id="448"/>
    <w:p>
      <w:pPr>
        <w:ind w:left="900"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 OPTION HELD BY THE ISSUER OR ITS ASSIGNEE(S) AS SET FORTH IN THE OPTION AGREEMENT BETWEEN THE ISSUER AND THE ORIGINAL HOLDER OF THESE COMMON UNITS, A COPY OF WHICH MAY BE OBTAINED AT THE PRINCIPAL OFFICE OF THE ISSUER. SUCH TRANSFER RESTRICTIONS ARE BINDING ON TRANSFEREES OF THESE COMMON UNITS.</w:t>
      </w:r>
    </w:p>
    <w:p>
      <w:pPr>
        <w:spacing w:after="0" w:line="107" w:lineRule="exact"/>
        <w:rPr>
          <w:sz w:val="20"/>
          <w:szCs w:val="20"/>
          <w:color w:val="auto"/>
        </w:rPr>
      </w:pPr>
    </w:p>
    <w:p>
      <w:pPr>
        <w:ind w:left="-20" w:right="140" w:firstLine="921"/>
        <w:spacing w:after="0" w:line="259" w:lineRule="auto"/>
        <w:tabs>
          <w:tab w:leader="none" w:pos="1141" w:val="left"/>
        </w:tabs>
        <w:numPr>
          <w:ilvl w:val="1"/>
          <w:numId w:val="551"/>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Grantee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40" w:lineRule="exact"/>
        <w:rPr>
          <w:rFonts w:ascii="Arial" w:cs="Arial" w:eastAsia="Arial" w:hAnsi="Arial"/>
          <w:sz w:val="18"/>
          <w:szCs w:val="18"/>
          <w:color w:val="auto"/>
        </w:rPr>
      </w:pPr>
    </w:p>
    <w:p>
      <w:pPr>
        <w:ind w:left="-20" w:right="580" w:firstLine="921"/>
        <w:spacing w:after="0" w:line="306" w:lineRule="auto"/>
        <w:tabs>
          <w:tab w:leader="none" w:pos="1132" w:val="left"/>
        </w:tabs>
        <w:numPr>
          <w:ilvl w:val="1"/>
          <w:numId w:val="551"/>
        </w:numPr>
        <w:rPr>
          <w:rFonts w:ascii="Arial" w:cs="Arial" w:eastAsia="Arial" w:hAnsi="Arial"/>
          <w:sz w:val="16"/>
          <w:szCs w:val="16"/>
          <w:color w:val="auto"/>
        </w:rPr>
      </w:pPr>
      <w:r>
        <w:rPr>
          <w:rFonts w:ascii="Arial" w:cs="Arial" w:eastAsia="Arial" w:hAnsi="Arial"/>
          <w:sz w:val="16"/>
          <w:szCs w:val="16"/>
          <w:u w:val="single" w:color="auto"/>
          <w:color w:val="auto"/>
        </w:rPr>
        <w:t>Refusal to Transfer</w:t>
      </w:r>
      <w:r>
        <w:rPr>
          <w:rFonts w:ascii="Arial" w:cs="Arial" w:eastAsia="Arial" w:hAnsi="Arial"/>
          <w:sz w:val="16"/>
          <w:szCs w:val="16"/>
          <w:color w:val="auto"/>
        </w:rPr>
        <w:t>. The Company shall not be required (i) to transfer on its books any Common Units that have been sold or otherwise transferred in violation of any of the provisions of this Exercise Notice or (ii) to treat as owner of such Common Units or to accord the right to vote or pay dividends to any purchaser or other transferee to whom such Common Units shall have been so transferred.</w:t>
      </w:r>
    </w:p>
    <w:p>
      <w:pPr>
        <w:spacing w:after="0" w:line="106" w:lineRule="exact"/>
        <w:rPr>
          <w:rFonts w:ascii="Arial" w:cs="Arial" w:eastAsia="Arial" w:hAnsi="Arial"/>
          <w:sz w:val="16"/>
          <w:szCs w:val="16"/>
          <w:color w:val="auto"/>
        </w:rPr>
      </w:pPr>
    </w:p>
    <w:p>
      <w:pPr>
        <w:ind w:left="-20" w:firstLine="464"/>
        <w:spacing w:after="0" w:line="259" w:lineRule="auto"/>
        <w:tabs>
          <w:tab w:leader="none" w:pos="700"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Grantee and Grantee’s heirs, executors, administrators, successors and assigns.</w:t>
      </w:r>
    </w:p>
    <w:p>
      <w:pPr>
        <w:spacing w:after="0" w:line="140" w:lineRule="exact"/>
        <w:rPr>
          <w:rFonts w:ascii="Arial" w:cs="Arial" w:eastAsia="Arial" w:hAnsi="Arial"/>
          <w:sz w:val="18"/>
          <w:szCs w:val="18"/>
          <w:color w:val="auto"/>
        </w:rPr>
      </w:pPr>
    </w:p>
    <w:p>
      <w:pPr>
        <w:ind w:left="-20" w:right="160" w:firstLine="464"/>
        <w:spacing w:after="0" w:line="306" w:lineRule="auto"/>
        <w:tabs>
          <w:tab w:leader="none" w:pos="693" w:val="left"/>
        </w:tabs>
        <w:numPr>
          <w:ilvl w:val="0"/>
          <w:numId w:val="552"/>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Any dispute regarding the interpretation of this Exercise Notice shall be submitted by Grantee or by the Company forthwith to the Administrator which shall review such dispute at its next regular meeting. The resolution of such a dispute by the Administrator shall be final and binding on all parties. For purposes of interpretation and resolving ambiguities, this Exercise Notice, as executed in English, shall prevail over any translation.</w:t>
      </w:r>
    </w:p>
    <w:p>
      <w:pPr>
        <w:spacing w:after="0" w:line="106" w:lineRule="exact"/>
        <w:rPr>
          <w:rFonts w:ascii="Arial" w:cs="Arial" w:eastAsia="Arial" w:hAnsi="Arial"/>
          <w:sz w:val="16"/>
          <w:szCs w:val="16"/>
          <w:color w:val="auto"/>
        </w:rPr>
      </w:pPr>
    </w:p>
    <w:p>
      <w:pPr>
        <w:ind w:left="-20" w:right="320" w:firstLine="464"/>
        <w:spacing w:after="0" w:line="259" w:lineRule="auto"/>
        <w:tabs>
          <w:tab w:leader="none" w:pos="700"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will continue in full force and effect.</w:t>
      </w:r>
    </w:p>
    <w:p>
      <w:pPr>
        <w:spacing w:after="0" w:line="140" w:lineRule="exact"/>
        <w:rPr>
          <w:rFonts w:ascii="Arial" w:cs="Arial" w:eastAsia="Arial" w:hAnsi="Arial"/>
          <w:sz w:val="18"/>
          <w:szCs w:val="18"/>
          <w:color w:val="auto"/>
        </w:rPr>
      </w:pPr>
    </w:p>
    <w:p>
      <w:pPr>
        <w:ind w:left="-20" w:right="100" w:firstLine="464"/>
        <w:spacing w:after="0" w:line="298" w:lineRule="auto"/>
        <w:tabs>
          <w:tab w:leader="none" w:pos="700" w:val="left"/>
        </w:tabs>
        <w:numPr>
          <w:ilvl w:val="0"/>
          <w:numId w:val="55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(including all exhibits hereto), the Plan, the Option Agreement, the Company’s Securityholders’ Agreement and the Company’s Operating Agreement constitute the entire agreement of the parties with respect to the subject matter hereof and supersede in their entirety all prior undertakings and agreements of the Company and Grantee with respect to the subject matter hereof, and may not be modified adversely to the Grantee’s interest except by means of a writing signed by the Company and Grantee.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449" w:name="page450"/>
    <w:bookmarkEnd w:id="449"/>
    <w:p>
      <w:pPr>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03263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290703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90703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290703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290703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290703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-511175</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210121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10121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0121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81" w:lineRule="exact"/>
        <w:rPr>
          <w:sz w:val="20"/>
          <w:szCs w:val="20"/>
          <w:color w:val="auto"/>
        </w:rPr>
      </w:pPr>
    </w:p>
    <w:p>
      <w:pPr>
        <w:sectPr>
          <w:pgSz w:w="11900" w:h="16838" w:orient="portrait"/>
          <w:cols w:equalWidth="0" w:num="2">
            <w:col w:w="7400" w:space="720"/>
            <w:col w:w="2980"/>
          </w:cols>
          <w:pgMar w:left="240" w:top="28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00"/>
          </w:cols>
          <w:pgMar w:left="240" w:top="280" w:right="559" w:bottom="1440" w:gutter="0" w:footer="0" w:header="0"/>
          <w:type w:val="continuous"/>
        </w:sectPr>
      </w:pPr>
    </w:p>
    <w:bookmarkStart w:id="450" w:name="page451"/>
    <w:bookmarkEnd w:id="450"/>
    <w:p>
      <w:pPr>
        <w:ind w:left="4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A-1 TO EXERCISE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JOINDER TO SECURITYHOLDERS’ AGREEMENT AND OPERATING AGREEMENT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Joinder Agreement (this “Joinder Agreement”) is made as of the date written below by the undersigned (the “Joining Party”) in accordance with</w:t>
      </w:r>
    </w:p>
    <w:p>
      <w:pPr>
        <w:spacing w:after="0" w:line="38" w:lineRule="exact"/>
        <w:rPr>
          <w:sz w:val="20"/>
          <w:szCs w:val="20"/>
          <w:color w:val="auto"/>
        </w:rPr>
      </w:pPr>
    </w:p>
    <w:p>
      <w:pPr>
        <w:ind w:right="100" w:firstLine="8"/>
        <w:spacing w:after="0" w:line="290" w:lineRule="auto"/>
        <w:tabs>
          <w:tab w:leader="none" w:pos="210" w:val="left"/>
        </w:tabs>
        <w:numPr>
          <w:ilvl w:val="0"/>
          <w:numId w:val="553"/>
        </w:numPr>
        <w:rPr>
          <w:rFonts w:ascii="Arial" w:cs="Arial" w:eastAsia="Arial" w:hAnsi="Arial"/>
          <w:sz w:val="16"/>
          <w:szCs w:val="16"/>
          <w:color w:val="auto"/>
        </w:rPr>
      </w:pPr>
      <w:r>
        <w:rPr>
          <w:rFonts w:ascii="Arial" w:cs="Arial" w:eastAsia="Arial" w:hAnsi="Arial"/>
          <w:sz w:val="16"/>
          <w:szCs w:val="16"/>
          <w:color w:val="auto"/>
        </w:rPr>
        <w:t>the Second Amended and Restated Securityholders’ Agreement dated as of October 6, 2004, by and among, MagnaChip Semiconductor LLC (the “Company”), CVC Capital Partners Asia Pacific LP, Asia Investors LLC, CVC Capital Partners Asia II Limited, Citigroup Venture Capital Equity Partners, L.P., CVC Executive Fund LLC, CVC/SSB Employee Fund, L.P., CVC Co-Investors (as defined therein), Francisco Partners, L.P., Francisco Partners Fund A, L.P., Peninsula Investment Pte. Ltd., Hynix Semiconductor Inc., and Management Investors (as defined therein) (the “Securityholders’ Agreement”), as the same may be amended from time to time and (ii) the Operating Agreement (as defined in the Securityholders’ Agreement). Capitalized terms used, but not defined, herein shall have the meaning ascribed to such terms in the Securityholders’ Agreement.</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Joining Party hereby acknowledges, agrees and confirms that, by its execution of this Joinder Agreement, the Joining Party shall be deemed to be a party to the Securityholders’ Agreement and the Operating Agreement as of the date hereof and shall have all of the rights and obligations of (i) a “Securityholder” under the Securityholders’ Agreement as if it had executed the Securityholders’ Agreement and (ii) a “Member” under the Operating Agreement as if it had executed the Operating Agreement. The Joining Party hereby ratifies, as of the date hereof, and agrees to be bound by, all of the terms, provisions and conditions contained in the Securityholders’ Agreement and the Operating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451" w:name="page452"/>
    <w:bookmarkEnd w:id="451"/>
    <w:tbl>
      <w:tblPr>
        <w:tblLayout w:type="fixed"/>
        <w:tblInd w:w="92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Arial" w:cs="Arial" w:eastAsia="Arial" w:hAnsi="Arial"/>
                <w:sz w:val="18"/>
                <w:szCs w:val="18"/>
                <w:color w:val="auto"/>
                <w:w w:val="88"/>
              </w:rPr>
              <w:t>IN WITNESS WHEREOF, the undersigned has executed this Joinder Agreement as of</w:t>
            </w:r>
          </w:p>
        </w:tc>
        <w:tc>
          <w:tcPr>
            <w:tcW w:w="88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6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Membership Interests Transferred: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10795</wp:posOffset>
            </wp:positionV>
            <wp:extent cx="199834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28987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289877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57" w:right="1440" w:bottom="1440" w:gutter="0" w:footer="0" w:header="0"/>
        </w:sectPr>
      </w:pPr>
    </w:p>
    <w:bookmarkStart w:id="452" w:name="page453"/>
    <w:bookmarkEnd w:id="45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B TO EXERCISE NOTICE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REPRESENTATION STATEMENT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MagnaChip Semiconductor LLC</w:t>
      </w:r>
    </w:p>
    <w:p>
      <w:pPr>
        <w:spacing w:after="0" w:line="11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Common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214376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Effective as of the date set forth above, in connection with the purchase of the above-listed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undersigned Grantee hereby represents and warrants to MagnaChip Semiconductor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following:</w:t>
      </w:r>
    </w:p>
    <w:p>
      <w:pPr>
        <w:spacing w:after="0" w:line="51" w:lineRule="exact"/>
        <w:rPr>
          <w:sz w:val="20"/>
          <w:szCs w:val="20"/>
          <w:color w:val="auto"/>
        </w:rPr>
      </w:pPr>
    </w:p>
    <w:p>
      <w:pPr>
        <w:ind w:right="160" w:firstLine="921"/>
        <w:spacing w:after="0" w:line="335" w:lineRule="auto"/>
        <w:tabs>
          <w:tab w:leader="none" w:pos="1152" w:val="left"/>
        </w:tabs>
        <w:numPr>
          <w:ilvl w:val="0"/>
          <w:numId w:val="554"/>
        </w:numPr>
        <w:rPr>
          <w:rFonts w:ascii="Arial" w:cs="Arial" w:eastAsia="Arial" w:hAnsi="Arial"/>
          <w:sz w:val="15"/>
          <w:szCs w:val="15"/>
          <w:color w:val="auto"/>
        </w:rPr>
      </w:pPr>
      <w:r>
        <w:rPr>
          <w:rFonts w:ascii="Arial" w:cs="Arial" w:eastAsia="Arial" w:hAnsi="Arial"/>
          <w:sz w:val="15"/>
          <w:szCs w:val="15"/>
          <w:color w:val="auto"/>
        </w:rPr>
        <w:t>Grantee is aware of the Company’s business affairs and financial condition and has acquired sufficient information about the Company to reach an informed and knowledgeable decision to acquire the Securities. Grantee is acquiring these Securities for investment for Grantee’s own account only and not with a view to, or for resale in connection with, any “distribution” thereof within the meaning of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w:t>
      </w:r>
    </w:p>
    <w:p>
      <w:pPr>
        <w:spacing w:after="0" w:line="88" w:lineRule="exact"/>
        <w:rPr>
          <w:rFonts w:ascii="Arial" w:cs="Arial" w:eastAsia="Arial" w:hAnsi="Arial"/>
          <w:sz w:val="15"/>
          <w:szCs w:val="15"/>
          <w:color w:val="auto"/>
        </w:rPr>
      </w:pPr>
    </w:p>
    <w:p>
      <w:pPr>
        <w:ind w:firstLine="921"/>
        <w:spacing w:after="0" w:line="288" w:lineRule="auto"/>
        <w:tabs>
          <w:tab w:leader="none" w:pos="1162" w:val="left"/>
        </w:tabs>
        <w:numPr>
          <w:ilvl w:val="0"/>
          <w:numId w:val="554"/>
        </w:numPr>
        <w:rPr>
          <w:rFonts w:ascii="Arial" w:cs="Arial" w:eastAsia="Arial" w:hAnsi="Arial"/>
          <w:sz w:val="16"/>
          <w:szCs w:val="16"/>
          <w:color w:val="auto"/>
        </w:rPr>
      </w:pPr>
      <w:r>
        <w:rPr>
          <w:rFonts w:ascii="Arial" w:cs="Arial" w:eastAsia="Arial" w:hAnsi="Arial"/>
          <w:sz w:val="16"/>
          <w:szCs w:val="16"/>
          <w:color w:val="auto"/>
        </w:rPr>
        <w:t>Grantee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Grantee’s investment intent as expressed herein. In this connection, Grantee understands that, in the view of the Securities and Exchange Commission, the statutory basis for such exemption may be unavailable if Grantee’s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Grantee further understands that the Securities must be held indefinitely unless they are subsequently registered under the Securities Act or an exemption from such registration is available. Grantee further acknowledges and understands that the Company is under no obligation to register the Securities. Grantee understands that the certificate evidencing the Securities will be imprinted with any legend required under applicable state securities laws.</w:t>
      </w:r>
    </w:p>
    <w:p>
      <w:pPr>
        <w:spacing w:after="0" w:line="119" w:lineRule="exact"/>
        <w:rPr>
          <w:rFonts w:ascii="Arial" w:cs="Arial" w:eastAsia="Arial" w:hAnsi="Arial"/>
          <w:sz w:val="16"/>
          <w:szCs w:val="16"/>
          <w:color w:val="auto"/>
        </w:rPr>
      </w:pPr>
    </w:p>
    <w:p>
      <w:pPr>
        <w:ind w:right="40" w:firstLine="921"/>
        <w:spacing w:after="0" w:line="288" w:lineRule="auto"/>
        <w:tabs>
          <w:tab w:leader="none" w:pos="1152" w:val="left"/>
        </w:tabs>
        <w:numPr>
          <w:ilvl w:val="0"/>
          <w:numId w:val="554"/>
        </w:numPr>
        <w:rPr>
          <w:rFonts w:ascii="Arial" w:cs="Arial" w:eastAsia="Arial" w:hAnsi="Arial"/>
          <w:sz w:val="16"/>
          <w:szCs w:val="16"/>
          <w:color w:val="auto"/>
        </w:rPr>
      </w:pPr>
      <w:r>
        <w:rPr>
          <w:rFonts w:ascii="Arial" w:cs="Arial" w:eastAsia="Arial" w:hAnsi="Arial"/>
          <w:sz w:val="16"/>
          <w:szCs w:val="16"/>
          <w:color w:val="auto"/>
        </w:rPr>
        <w:t>Grantee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the Grantee, the exercise will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certain of the conditions specified by Rule 144, including: (i) the resale being made through a broker in an unsolicited “broker’s transaction” or in transactions directly with a market maker (as said term is defined under the Securities Exchange Act of 1934); and, in the case of an affiliate, (ii) the availability of certain public information about the Company, (iii) the amount of Securities being sold during any three month period not exceeding the limitations specified in Rule 144(e), and (iv) the timely filing of a Form 144, if applicable.</w:t>
      </w:r>
    </w:p>
    <w:p>
      <w:pPr>
        <w:spacing w:after="0" w:line="12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In the event that the Company does not qualify under Rule 701 at the time of grant of the Option, then the Securities may be resold in certain limited circumstances subject to the provisions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453" w:name="page454"/>
    <w:bookmarkEnd w:id="45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Rule 144, which requires the resale to occur not less than one year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two years, the satisfaction of the conditions set forth in sections (i), (ii), (iii) and (iv) of the paragraph immediately above.</w:t>
      </w:r>
    </w:p>
    <w:p>
      <w:pPr>
        <w:spacing w:after="0" w:line="143" w:lineRule="exact"/>
        <w:rPr>
          <w:sz w:val="20"/>
          <w:szCs w:val="20"/>
          <w:color w:val="auto"/>
        </w:rPr>
      </w:pPr>
    </w:p>
    <w:p>
      <w:pPr>
        <w:ind w:right="60" w:firstLine="921"/>
        <w:spacing w:after="0" w:line="291" w:lineRule="auto"/>
        <w:tabs>
          <w:tab w:leader="none" w:pos="1162" w:val="left"/>
        </w:tabs>
        <w:numPr>
          <w:ilvl w:val="0"/>
          <w:numId w:val="555"/>
        </w:numPr>
        <w:rPr>
          <w:rFonts w:ascii="Arial" w:cs="Arial" w:eastAsia="Arial" w:hAnsi="Arial"/>
          <w:sz w:val="16"/>
          <w:szCs w:val="16"/>
          <w:color w:val="auto"/>
        </w:rPr>
      </w:pPr>
      <w:r>
        <w:rPr>
          <w:rFonts w:ascii="Arial" w:cs="Arial" w:eastAsia="Arial" w:hAnsi="Arial"/>
          <w:sz w:val="16"/>
          <w:szCs w:val="16"/>
          <w:color w:val="auto"/>
        </w:rPr>
        <w:t>Grantee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Grantee understands that no assurances can be given that any such other registration exemption will be available in such event.</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440055</wp:posOffset>
            </wp:positionV>
            <wp:extent cx="289877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10.57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[Translation]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MagnaChip Semiconductor, Ltd. (“MagnaChip”) and Chan Hee Lee (“CH Lee”) hereby signs the Service Agreement under the following terms and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Article 1 (Delegation to “MagnaChip”)</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“MagnaChip” shall appoint “CH Lee” to the position specified in the Article 4 and entrust “CH Lee” with doing necessary businesses to meet the goals that “MagnaChip” have for its business currently in progress or businesses planned for the future by drawing on Mr. Lee’s academic and technical knowledge and competence, and “CH Lee” shall hereby accept that position.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Article 2 (Contract Term)</w:t>
      </w:r>
    </w:p>
    <w:p>
      <w:pPr>
        <w:spacing w:after="0" w:line="90" w:lineRule="exact"/>
        <w:rPr>
          <w:sz w:val="20"/>
          <w:szCs w:val="20"/>
          <w:color w:val="auto"/>
        </w:rPr>
      </w:pPr>
    </w:p>
    <w:p>
      <w:pPr>
        <w:ind w:left="260" w:hanging="252"/>
        <w:spacing w:after="0"/>
        <w:tabs>
          <w:tab w:leader="none" w:pos="26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The contract term shall be one (1) year from October 1, 2004 to September 30, 2005.</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“MagnaChip” and “CH Lee” shall extend or renew this Agreement by mutual discussion prior to the termination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Article 3 (Obligation of “CH Lee”)</w:t>
      </w:r>
    </w:p>
    <w:p>
      <w:pPr>
        <w:spacing w:after="0" w:line="90" w:lineRule="exact"/>
        <w:rPr>
          <w:sz w:val="20"/>
          <w:szCs w:val="20"/>
          <w:color w:val="auto"/>
        </w:rPr>
      </w:pPr>
    </w:p>
    <w:p>
      <w:pPr>
        <w:ind w:left="260" w:hanging="252"/>
        <w:spacing w:after="0"/>
        <w:tabs>
          <w:tab w:leader="none" w:pos="26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“CH Lee” shall make utmost efforts to provide his technical and academic support for the interest of “MagnaChip”.</w:t>
      </w:r>
    </w:p>
    <w:p>
      <w:pPr>
        <w:spacing w:after="0" w:line="171" w:lineRule="exact"/>
        <w:rPr>
          <w:rFonts w:ascii="Arial" w:cs="Arial" w:eastAsia="Arial" w:hAnsi="Arial"/>
          <w:sz w:val="18"/>
          <w:szCs w:val="18"/>
          <w:color w:val="auto"/>
        </w:rPr>
      </w:pPr>
    </w:p>
    <w:p>
      <w:pPr>
        <w:ind w:right="300" w:firstLine="8"/>
        <w:spacing w:after="0" w:line="268" w:lineRule="auto"/>
        <w:tabs>
          <w:tab w:leader="none" w:pos="249" w:val="left"/>
        </w:tabs>
        <w:numPr>
          <w:ilvl w:val="0"/>
          <w:numId w:val="557"/>
        </w:numPr>
        <w:rPr>
          <w:rFonts w:ascii="Arial" w:cs="Arial" w:eastAsia="Arial" w:hAnsi="Arial"/>
          <w:sz w:val="18"/>
          <w:szCs w:val="18"/>
          <w:color w:val="auto"/>
        </w:rPr>
      </w:pPr>
      <w:r>
        <w:rPr>
          <w:rFonts w:ascii="Arial" w:cs="Arial" w:eastAsia="Arial" w:hAnsi="Arial"/>
          <w:sz w:val="18"/>
          <w:szCs w:val="18"/>
          <w:color w:val="auto"/>
        </w:rPr>
        <w:t>“CH Lee” shall fulfill his obligations in earnest pursuant to the relevant laws and regulations, the articles of associations, regulations and resolutions of the board of directors of “MagnaChip” during the contract term.</w:t>
      </w:r>
    </w:p>
    <w:p>
      <w:pPr>
        <w:spacing w:after="0" w:line="131" w:lineRule="exact"/>
        <w:rPr>
          <w:rFonts w:ascii="Arial" w:cs="Arial" w:eastAsia="Arial" w:hAnsi="Arial"/>
          <w:sz w:val="18"/>
          <w:szCs w:val="18"/>
          <w:color w:val="auto"/>
        </w:rPr>
      </w:pPr>
    </w:p>
    <w:p>
      <w:pPr>
        <w:ind w:right="100" w:firstLine="8"/>
        <w:spacing w:after="0" w:line="259" w:lineRule="auto"/>
        <w:tabs>
          <w:tab w:leader="none" w:pos="249" w:val="left"/>
        </w:tabs>
        <w:numPr>
          <w:ilvl w:val="0"/>
          <w:numId w:val="557"/>
        </w:numPr>
        <w:rPr>
          <w:rFonts w:ascii="Arial" w:cs="Arial" w:eastAsia="Arial" w:hAnsi="Arial"/>
          <w:sz w:val="18"/>
          <w:szCs w:val="18"/>
          <w:color w:val="auto"/>
        </w:rPr>
      </w:pPr>
      <w:r>
        <w:rPr>
          <w:rFonts w:ascii="Arial" w:cs="Arial" w:eastAsia="Arial" w:hAnsi="Arial"/>
          <w:sz w:val="18"/>
          <w:szCs w:val="18"/>
          <w:color w:val="auto"/>
        </w:rPr>
        <w:t>“CH Lee” shall be committed to working only for “MagnaChip” during the contract term, and shall not be engaged in any transactions of area that “MagnaChip” operates, or shall not be employed by other company with the same purpose of operation as employee or director based solely on “MagnaChip” or third party’s opinion without consent from “MagnaChip” beforehand.</w:t>
      </w:r>
    </w:p>
    <w:p>
      <w:pPr>
        <w:spacing w:after="0" w:line="140" w:lineRule="exact"/>
        <w:rPr>
          <w:rFonts w:ascii="Arial" w:cs="Arial" w:eastAsia="Arial" w:hAnsi="Arial"/>
          <w:sz w:val="18"/>
          <w:szCs w:val="18"/>
          <w:color w:val="auto"/>
        </w:rPr>
      </w:pPr>
    </w:p>
    <w:p>
      <w:pPr>
        <w:ind w:left="260" w:hanging="252"/>
        <w:spacing w:after="0"/>
        <w:tabs>
          <w:tab w:leader="none" w:pos="260" w:val="left"/>
        </w:tabs>
        <w:numPr>
          <w:ilvl w:val="0"/>
          <w:numId w:val="557"/>
        </w:numPr>
        <w:rPr>
          <w:rFonts w:ascii="Arial" w:cs="Arial" w:eastAsia="Arial" w:hAnsi="Arial"/>
          <w:sz w:val="16"/>
          <w:szCs w:val="16"/>
          <w:color w:val="auto"/>
        </w:rPr>
      </w:pPr>
      <w:r>
        <w:rPr>
          <w:rFonts w:ascii="Arial" w:cs="Arial" w:eastAsia="Arial" w:hAnsi="Arial"/>
          <w:sz w:val="16"/>
          <w:szCs w:val="16"/>
          <w:color w:val="auto"/>
        </w:rPr>
        <w:t>“CH Lee” shall not be engaged in illegal securities investment activities such as internal trading which goes against Law on Securities Transaction.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Article 4. (Basic Compensation)</w:t>
      </w:r>
    </w:p>
    <w:p>
      <w:pPr>
        <w:spacing w:after="0" w:line="90" w:lineRule="exact"/>
        <w:rPr>
          <w:sz w:val="20"/>
          <w:szCs w:val="20"/>
          <w:color w:val="auto"/>
        </w:rPr>
      </w:pPr>
    </w:p>
    <w:p>
      <w:pPr>
        <w:ind w:right="740" w:firstLine="8"/>
        <w:spacing w:after="0" w:line="268" w:lineRule="auto"/>
        <w:tabs>
          <w:tab w:leader="none" w:pos="249" w:val="left"/>
        </w:tabs>
        <w:numPr>
          <w:ilvl w:val="0"/>
          <w:numId w:val="558"/>
        </w:numPr>
        <w:rPr>
          <w:rFonts w:ascii="Arial" w:cs="Arial" w:eastAsia="Arial" w:hAnsi="Arial"/>
          <w:sz w:val="18"/>
          <w:szCs w:val="18"/>
          <w:color w:val="auto"/>
        </w:rPr>
      </w:pPr>
      <w:r>
        <w:rPr>
          <w:rFonts w:ascii="Arial" w:cs="Arial" w:eastAsia="Arial" w:hAnsi="Arial"/>
          <w:sz w:val="18"/>
          <w:szCs w:val="18"/>
          <w:color w:val="auto"/>
        </w:rPr>
        <w:t>Position: “CH Lee” shall become Executive Vice President of “MagnaChip” provided that it may be duly changed in the event of any organizational restructuring of “MagnaChip”.</w:t>
      </w:r>
    </w:p>
    <w:p>
      <w:pPr>
        <w:sectPr>
          <w:pgSz w:w="11900" w:h="16838" w:orient="portrait"/>
          <w:cols w:equalWidth="0" w:num="1">
            <w:col w:w="11420"/>
          </w:cols>
          <w:pgMar w:left="240" w:top="125" w:right="23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[Translation]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 Annual Salary</w:t>
      </w:r>
    </w:p>
    <w:p>
      <w:pPr>
        <w:spacing w:after="0" w:line="171" w:lineRule="exact"/>
        <w:rPr>
          <w:sz w:val="20"/>
          <w:szCs w:val="20"/>
          <w:color w:val="auto"/>
        </w:rPr>
      </w:pPr>
    </w:p>
    <w:p>
      <w:pPr>
        <w:ind w:right="60" w:firstLine="152"/>
        <w:spacing w:after="0" w:line="268" w:lineRule="auto"/>
        <w:rPr>
          <w:sz w:val="20"/>
          <w:szCs w:val="20"/>
          <w:color w:val="auto"/>
        </w:rPr>
      </w:pPr>
      <w:r>
        <w:rPr>
          <w:rFonts w:ascii="Arial" w:cs="Arial" w:eastAsia="Arial" w:hAnsi="Arial"/>
          <w:sz w:val="18"/>
          <w:szCs w:val="18"/>
          <w:color w:val="auto"/>
        </w:rPr>
        <w:t>In return for the service provided by “CH Lee”, “MagnaChip” shall pay KRW200,000,000 to “CH Lee” according to “MagnaChip” executive payroll system provided that it may be updated in the event of “MagnaChip” executive payroll system change.</w:t>
      </w:r>
    </w:p>
    <w:p>
      <w:pPr>
        <w:spacing w:after="0" w:line="132" w:lineRule="exact"/>
        <w:rPr>
          <w:sz w:val="20"/>
          <w:szCs w:val="20"/>
          <w:color w:val="auto"/>
        </w:rPr>
      </w:pPr>
    </w:p>
    <w:p>
      <w:pPr>
        <w:ind w:right="180" w:firstLine="8"/>
        <w:spacing w:after="0" w:line="543" w:lineRule="auto"/>
        <w:tabs>
          <w:tab w:leader="none" w:pos="102" w:val="left"/>
        </w:tabs>
        <w:numPr>
          <w:ilvl w:val="0"/>
          <w:numId w:val="559"/>
        </w:numPr>
        <w:rPr>
          <w:rFonts w:ascii="Arial" w:cs="Arial" w:eastAsia="Arial" w:hAnsi="Arial"/>
          <w:sz w:val="16"/>
          <w:szCs w:val="16"/>
          <w:color w:val="auto"/>
        </w:rPr>
      </w:pPr>
      <w:r>
        <w:rPr>
          <w:rFonts w:ascii="Arial" w:cs="Arial" w:eastAsia="Arial" w:hAnsi="Arial"/>
          <w:sz w:val="16"/>
          <w:szCs w:val="16"/>
          <w:color w:val="auto"/>
        </w:rPr>
        <w:t>“MagnaChip” may pay “CH Lee” bonus and/or incentives considering “CH Lee”‘s managerial performances and achievement of projects led by “CH Lee”. 3) Severance: Severance shall be paid to “CH Lee” upon the completion of service period in accordance with “MagnaChip”‘s relevant procedures.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 Benefits)</w:t>
      </w:r>
    </w:p>
    <w:p>
      <w:pPr>
        <w:spacing w:after="0" w:line="90" w:lineRule="exact"/>
        <w:rPr>
          <w:sz w:val="20"/>
          <w:szCs w:val="20"/>
          <w:color w:val="auto"/>
        </w:rPr>
      </w:pPr>
    </w:p>
    <w:p>
      <w:pPr>
        <w:ind w:right="720" w:firstLine="8"/>
        <w:spacing w:after="0" w:line="268" w:lineRule="auto"/>
        <w:tabs>
          <w:tab w:leader="none" w:pos="249" w:val="left"/>
        </w:tabs>
        <w:numPr>
          <w:ilvl w:val="0"/>
          <w:numId w:val="560"/>
        </w:numPr>
        <w:rPr>
          <w:rFonts w:ascii="Arial" w:cs="Arial" w:eastAsia="Arial" w:hAnsi="Arial"/>
          <w:sz w:val="18"/>
          <w:szCs w:val="18"/>
          <w:color w:val="auto"/>
        </w:rPr>
      </w:pPr>
      <w:r>
        <w:rPr>
          <w:rFonts w:ascii="Arial" w:cs="Arial" w:eastAsia="Arial" w:hAnsi="Arial"/>
          <w:sz w:val="18"/>
          <w:szCs w:val="18"/>
          <w:color w:val="auto"/>
        </w:rPr>
        <w:t>“CH Lee” shall be covered by public insurance programs stipulated by the relevant laws and regulations such as health care, national pension, and employment insurance.</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Vacation: “MagnaChip” shall allow annual vacation for “CH Lee” as provided by the executive annual vacation program of “MagnaChip”.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Article 6. (Termination of Service Agreement)</w:t>
      </w:r>
    </w:p>
    <w:p>
      <w:pPr>
        <w:spacing w:after="0" w:line="90" w:lineRule="exact"/>
        <w:rPr>
          <w:sz w:val="20"/>
          <w:szCs w:val="20"/>
          <w:color w:val="auto"/>
        </w:rPr>
      </w:pPr>
    </w:p>
    <w:p>
      <w:pPr>
        <w:ind w:right="320" w:firstLine="8"/>
        <w:spacing w:after="0" w:line="268" w:lineRule="auto"/>
        <w:tabs>
          <w:tab w:leader="none" w:pos="249" w:val="left"/>
        </w:tabs>
        <w:numPr>
          <w:ilvl w:val="0"/>
          <w:numId w:val="561"/>
        </w:numPr>
        <w:rPr>
          <w:rFonts w:ascii="Arial" w:cs="Arial" w:eastAsia="Arial" w:hAnsi="Arial"/>
          <w:sz w:val="18"/>
          <w:szCs w:val="18"/>
          <w:color w:val="auto"/>
        </w:rPr>
      </w:pPr>
      <w:r>
        <w:rPr>
          <w:rFonts w:ascii="Arial" w:cs="Arial" w:eastAsia="Arial" w:hAnsi="Arial"/>
          <w:sz w:val="18"/>
          <w:szCs w:val="18"/>
          <w:color w:val="auto"/>
        </w:rPr>
        <w:t>“MagnaChip” may terminate this Service Agreement prior to its expiry by providing a written notice in advance when “CH Lee” is subjected to or goes through one of the followings: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Sentenced to probation or heavier penalty by committing a crime;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Declared incompetent, quasi-incompetent, and/or bankrupt;</w:t>
      </w:r>
    </w:p>
    <w:p>
      <w:pPr>
        <w:spacing w:after="0" w:line="171" w:lineRule="exact"/>
        <w:rPr>
          <w:sz w:val="20"/>
          <w:szCs w:val="20"/>
          <w:color w:val="auto"/>
        </w:rPr>
      </w:pPr>
    </w:p>
    <w:p>
      <w:pPr>
        <w:ind w:right="1940" w:firstLine="8"/>
        <w:spacing w:after="0" w:line="493" w:lineRule="auto"/>
        <w:tabs>
          <w:tab w:leader="none" w:pos="132" w:val="left"/>
        </w:tabs>
        <w:numPr>
          <w:ilvl w:val="0"/>
          <w:numId w:val="562"/>
        </w:numPr>
        <w:rPr>
          <w:rFonts w:ascii="Arial" w:cs="Arial" w:eastAsia="Arial" w:hAnsi="Arial"/>
          <w:sz w:val="16"/>
          <w:szCs w:val="16"/>
          <w:color w:val="auto"/>
        </w:rPr>
      </w:pPr>
      <w:r>
        <w:rPr>
          <w:rFonts w:ascii="Arial" w:cs="Arial" w:eastAsia="Arial" w:hAnsi="Arial"/>
          <w:sz w:val="16"/>
          <w:szCs w:val="16"/>
          <w:color w:val="auto"/>
        </w:rPr>
        <w:t>Found to have entered into this Agreement using illegitimate means such as providing false identify, qualification, and experience; „ Rendered incapable of delivering service for one (1) month or longer due to reasons attributable to “CH Lee”;</w:t>
      </w:r>
    </w:p>
    <w:p>
      <w:pPr>
        <w:spacing w:after="0"/>
        <w:rPr>
          <w:rFonts w:ascii="Arial" w:cs="Arial" w:eastAsia="Arial" w:hAnsi="Arial"/>
          <w:sz w:val="16"/>
          <w:szCs w:val="16"/>
          <w:color w:val="auto"/>
        </w:rPr>
      </w:pPr>
      <w:r>
        <w:rPr>
          <w:rFonts w:ascii="Arial" w:cs="Arial" w:eastAsia="Arial" w:hAnsi="Arial"/>
          <w:sz w:val="18"/>
          <w:szCs w:val="18"/>
          <w:color w:val="auto"/>
        </w:rPr>
        <w:t>… Recognized being unable to perform duties due to physical/mental disorders and/or grave lack of operation capability;</w:t>
      </w:r>
    </w:p>
    <w:p>
      <w:pPr>
        <w:spacing w:after="0" w:line="17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Service commissioned to “CH Lee” is no longer necessary due to canceled/shrunk business; and</w:t>
      </w:r>
    </w:p>
    <w:p>
      <w:pPr>
        <w:spacing w:after="0" w:line="17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Found to be in material violation of obligations under this Agreement.</w:t>
      </w:r>
    </w:p>
    <w:p>
      <w:pPr>
        <w:spacing w:after="0" w:line="171" w:lineRule="exact"/>
        <w:rPr>
          <w:sz w:val="20"/>
          <w:szCs w:val="20"/>
          <w:color w:val="auto"/>
        </w:rPr>
      </w:pPr>
    </w:p>
    <w:p>
      <w:pPr>
        <w:ind w:firstLine="8"/>
        <w:spacing w:after="0" w:line="286" w:lineRule="auto"/>
        <w:tabs>
          <w:tab w:leader="none" w:pos="249" w:val="left"/>
        </w:tabs>
        <w:numPr>
          <w:ilvl w:val="0"/>
          <w:numId w:val="563"/>
        </w:numPr>
        <w:rPr>
          <w:rFonts w:ascii="Arial" w:cs="Arial" w:eastAsia="Arial" w:hAnsi="Arial"/>
          <w:sz w:val="16"/>
          <w:szCs w:val="16"/>
          <w:color w:val="auto"/>
        </w:rPr>
      </w:pPr>
      <w:r>
        <w:rPr>
          <w:rFonts w:ascii="Arial" w:cs="Arial" w:eastAsia="Arial" w:hAnsi="Arial"/>
          <w:sz w:val="16"/>
          <w:szCs w:val="16"/>
          <w:color w:val="auto"/>
        </w:rPr>
        <w:t>If “MagnaChip” wishes to terminate this Agreement upon occurrence of one of the above events, “MagnaChip” shall notify “MagnaChip” of its intention of termination in writing thirty (30) days prior to the intended termination; provided that this Agreement shall be deemed to be terminated immediately upon the</w:t>
      </w:r>
    </w:p>
    <w:p>
      <w:pPr>
        <w:spacing w:after="0"/>
        <w:tabs>
          <w:tab w:leader="none" w:pos="1760" w:val="left"/>
        </w:tabs>
        <w:rPr>
          <w:sz w:val="20"/>
          <w:szCs w:val="20"/>
          <w:color w:val="auto"/>
        </w:rPr>
      </w:pPr>
      <w:r>
        <w:rPr>
          <w:rFonts w:ascii="Arial" w:cs="Arial" w:eastAsia="Arial" w:hAnsi="Arial"/>
          <w:sz w:val="18"/>
          <w:szCs w:val="18"/>
          <w:color w:val="auto"/>
        </w:rPr>
        <w:t>occurrence of the item</w:t>
      </w:r>
      <w:r>
        <w:rPr>
          <w:sz w:val="20"/>
          <w:szCs w:val="20"/>
          <w:color w:val="auto"/>
        </w:rPr>
        <w:tab/>
      </w:r>
      <w:r>
        <w:rPr>
          <w:rFonts w:ascii="Arial" w:cs="Arial" w:eastAsia="Arial" w:hAnsi="Arial"/>
          <w:sz w:val="16"/>
          <w:szCs w:val="16"/>
          <w:color w:val="auto"/>
        </w:rPr>
        <w:t>and „.</w:t>
      </w:r>
    </w:p>
    <w:p>
      <w:pPr>
        <w:sectPr>
          <w:pgSz w:w="11900" w:h="16838" w:orient="portrait"/>
          <w:cols w:equalWidth="0" w:num="1">
            <w:col w:w="11240"/>
          </w:cols>
          <w:pgMar w:left="240" w:top="279" w:right="41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Article 7. (Inventions)</w:t>
      </w:r>
    </w:p>
    <w:p>
      <w:pPr>
        <w:spacing w:after="0" w:line="90" w:lineRule="exact"/>
        <w:rPr>
          <w:sz w:val="20"/>
          <w:szCs w:val="20"/>
          <w:color w:val="auto"/>
        </w:rPr>
      </w:pPr>
    </w:p>
    <w:p>
      <w:pPr>
        <w:ind w:right="60" w:firstLine="8"/>
        <w:spacing w:after="0" w:line="290" w:lineRule="auto"/>
        <w:tabs>
          <w:tab w:leader="none" w:pos="249" w:val="left"/>
        </w:tabs>
        <w:numPr>
          <w:ilvl w:val="0"/>
          <w:numId w:val="564"/>
        </w:numPr>
        <w:rPr>
          <w:rFonts w:ascii="Arial" w:cs="Arial" w:eastAsia="Arial" w:hAnsi="Arial"/>
          <w:sz w:val="16"/>
          <w:szCs w:val="16"/>
          <w:color w:val="auto"/>
        </w:rPr>
      </w:pPr>
      <w:r>
        <w:rPr>
          <w:rFonts w:ascii="Arial" w:cs="Arial" w:eastAsia="Arial" w:hAnsi="Arial"/>
          <w:sz w:val="16"/>
          <w:szCs w:val="16"/>
          <w:color w:val="auto"/>
        </w:rPr>
        <w:t>“CH Lee” agrees that he shall immediately notify “MagnaChip” of any inventions, findings, and/or original ideas that he has made in the course of service provision and/or by using resource and/or time of “MagnaChip”, and transfer any patents, utility model, software, copyright, and any other intellectual properties of such items to “MagnaChip”, and the ownership of such intellectual property rights lie with “MagnaChip”. “CH Lee” also agrees to prepare and provide document necessary for the registration of intellectual property rights including patent application locally and/or in other countries through an appointed agent, whenever requested so by “MagnaChip”. In such events, cost and expenses of registering intellectual property rights shall be bourn by “MagnaChip”, and “CH Lee” with regard to such inventions shall not be entitled to any additional compensation beyond what is allowed under the “MagnaChip”‘s compensation policy for inventions made in the course of service provision.</w:t>
      </w:r>
    </w:p>
    <w:p>
      <w:pPr>
        <w:spacing w:after="0" w:line="118" w:lineRule="exact"/>
        <w:rPr>
          <w:rFonts w:ascii="Arial" w:cs="Arial" w:eastAsia="Arial" w:hAnsi="Arial"/>
          <w:sz w:val="16"/>
          <w:szCs w:val="16"/>
          <w:color w:val="auto"/>
        </w:rPr>
      </w:pPr>
    </w:p>
    <w:p>
      <w:pPr>
        <w:ind w:firstLine="8"/>
        <w:spacing w:after="0" w:line="291" w:lineRule="auto"/>
        <w:tabs>
          <w:tab w:leader="none" w:pos="249" w:val="left"/>
        </w:tabs>
        <w:numPr>
          <w:ilvl w:val="0"/>
          <w:numId w:val="564"/>
        </w:numPr>
        <w:rPr>
          <w:rFonts w:ascii="Arial" w:cs="Arial" w:eastAsia="Arial" w:hAnsi="Arial"/>
          <w:sz w:val="16"/>
          <w:szCs w:val="16"/>
          <w:color w:val="auto"/>
        </w:rPr>
      </w:pPr>
      <w:r>
        <w:rPr>
          <w:rFonts w:ascii="Arial" w:cs="Arial" w:eastAsia="Arial" w:hAnsi="Arial"/>
          <w:sz w:val="16"/>
          <w:szCs w:val="16"/>
          <w:color w:val="auto"/>
        </w:rPr>
        <w:t>Pursuant to the clause (1) above, “CH Lee” shall immediately notify “MagnaChip” of any inventions, findings, and/or original ideas that he has made during the period covered by this Agreement (“inventions outside the work scope”), and “MagnaChip” shall have a priority in negotiating with “CH Lee” (preferred negotiation rights) on the transfer/licensing of such inventions outside the work scope. “CH Lee” agrees that he shall not transfer and/or license inventions outside the work scope to a third party(ies) on more favorable conditions than what “MagnaChip” has offered unless “MagnaChip” waivers its preferred negotiation rights in writing. If “MagnaChip” does not request “CH Lee” for preferred negotiation rights in writing within three (3) months from the notification of “CH Lee”, “MagnaChip”‘s preferred negotiation rights are considered void.</w:t>
      </w:r>
    </w:p>
    <w:p>
      <w:pPr>
        <w:spacing w:after="0" w:line="120" w:lineRule="exact"/>
        <w:rPr>
          <w:rFonts w:ascii="Arial" w:cs="Arial" w:eastAsia="Arial" w:hAnsi="Arial"/>
          <w:sz w:val="16"/>
          <w:szCs w:val="16"/>
          <w:color w:val="auto"/>
        </w:rPr>
      </w:pPr>
    </w:p>
    <w:p>
      <w:pPr>
        <w:ind w:right="60" w:firstLine="8"/>
        <w:spacing w:after="0" w:line="302" w:lineRule="auto"/>
        <w:tabs>
          <w:tab w:leader="none" w:pos="249" w:val="left"/>
        </w:tabs>
        <w:numPr>
          <w:ilvl w:val="0"/>
          <w:numId w:val="564"/>
        </w:numPr>
        <w:rPr>
          <w:rFonts w:ascii="Arial" w:cs="Arial" w:eastAsia="Arial" w:hAnsi="Arial"/>
          <w:sz w:val="15"/>
          <w:szCs w:val="15"/>
          <w:color w:val="auto"/>
        </w:rPr>
      </w:pPr>
      <w:r>
        <w:rPr>
          <w:rFonts w:ascii="Arial" w:cs="Arial" w:eastAsia="Arial" w:hAnsi="Arial"/>
          <w:sz w:val="15"/>
          <w:szCs w:val="15"/>
          <w:color w:val="auto"/>
        </w:rPr>
        <w:t>Inventions, findings, and original ideas that “CH Lee” intends to exempt from the effect of clauses (1) and (2) because the application of the same clauses on such items may violate his previous engagement with a third party(ies); inventions, findings, and original ideas that “CH Lee” has made but not acquired patents before joining “MagnaChip” and that he intends to exempt from the application of the clauses (1) and (2) above; are listed in the schedule attached to this Agreement, and “CH Lee” shall certify the contents of the same list are true to fact. If such schedule is not prepared, it is considered that “CH Lee” agrees that there are no such items that may potentially violate his prior engagement with a third party(ies) and/or that he wishes to exempt from the effect of clauses (1) and</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Article 8. (Non-Discloser and Non-Competition)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 “CH Lee” shall ensure the confidentiality of any business management data, technical data,</w:t>
      </w:r>
    </w:p>
    <w:p>
      <w:pPr>
        <w:sectPr>
          <w:pgSz w:w="11900" w:h="16838" w:orient="portrait"/>
          <w:cols w:equalWidth="0" w:num="1">
            <w:col w:w="11400"/>
          </w:cols>
          <w:pgMar w:left="240" w:top="280" w:right="259" w:bottom="1440" w:gutter="0" w:footer="0" w:header="0"/>
        </w:sectPr>
      </w:pPr>
    </w:p>
    <w:bookmarkStart w:id="457" w:name="page458"/>
    <w:bookmarkEnd w:id="4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[Translation]</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drawings, paper, and others of “MagnaChip”, its subsidiaries, and customers that “CH Lee” has learned and/or acquired in the course of service provision during the period covered by this Agreement and afterwards, and he shall not disclose and/or use the same data for his personal gains and/or to the interest of third parties. For one (1) year after the expiry of this Agreement, “CH Lee” shall not own/run any business under his own name or a third party’s that in direct competition with “MagnaChip”, and/or provide services to such businesses with an exception that such act is agreed by “MagnaChip” through prior consultation.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Article 9. (Supplementary Conditions)</w:t>
      </w:r>
    </w:p>
    <w:p>
      <w:pPr>
        <w:spacing w:after="0" w:line="90" w:lineRule="exact"/>
        <w:rPr>
          <w:sz w:val="20"/>
          <w:szCs w:val="20"/>
          <w:color w:val="auto"/>
        </w:rPr>
      </w:pPr>
    </w:p>
    <w:p>
      <w:pPr>
        <w:ind w:right="500" w:firstLine="8"/>
        <w:spacing w:after="0" w:line="268" w:lineRule="auto"/>
        <w:tabs>
          <w:tab w:leader="none" w:pos="249" w:val="left"/>
        </w:tabs>
        <w:numPr>
          <w:ilvl w:val="0"/>
          <w:numId w:val="566"/>
        </w:numPr>
        <w:rPr>
          <w:rFonts w:ascii="Arial" w:cs="Arial" w:eastAsia="Arial" w:hAnsi="Arial"/>
          <w:sz w:val="18"/>
          <w:szCs w:val="18"/>
          <w:color w:val="auto"/>
        </w:rPr>
      </w:pPr>
      <w:r>
        <w:rPr>
          <w:rFonts w:ascii="Arial" w:cs="Arial" w:eastAsia="Arial" w:hAnsi="Arial"/>
          <w:sz w:val="18"/>
          <w:szCs w:val="18"/>
          <w:color w:val="auto"/>
        </w:rPr>
        <w:t>Any matters that are not stipulated in this Agreement shall be governed by general policies of “MagnaChip” and any related laws and regulations of the Republic of Korea.</w:t>
      </w:r>
    </w:p>
    <w:p>
      <w:pPr>
        <w:spacing w:after="0" w:line="131" w:lineRule="exact"/>
        <w:rPr>
          <w:rFonts w:ascii="Arial" w:cs="Arial" w:eastAsia="Arial" w:hAnsi="Arial"/>
          <w:sz w:val="18"/>
          <w:szCs w:val="18"/>
          <w:color w:val="auto"/>
        </w:rPr>
      </w:pPr>
    </w:p>
    <w:p>
      <w:pPr>
        <w:ind w:right="360" w:firstLine="8"/>
        <w:spacing w:after="0" w:line="259" w:lineRule="auto"/>
        <w:tabs>
          <w:tab w:leader="none" w:pos="249" w:val="left"/>
        </w:tabs>
        <w:numPr>
          <w:ilvl w:val="0"/>
          <w:numId w:val="566"/>
        </w:numPr>
        <w:rPr>
          <w:rFonts w:ascii="Arial" w:cs="Arial" w:eastAsia="Arial" w:hAnsi="Arial"/>
          <w:sz w:val="18"/>
          <w:szCs w:val="18"/>
          <w:color w:val="auto"/>
        </w:rPr>
      </w:pPr>
      <w:r>
        <w:rPr>
          <w:rFonts w:ascii="Arial" w:cs="Arial" w:eastAsia="Arial" w:hAnsi="Arial"/>
          <w:sz w:val="18"/>
          <w:szCs w:val="18"/>
          <w:color w:val="auto"/>
        </w:rPr>
        <w:t>“CH Lee” understands and agrees that this Agreement is not an employment agreement governed by the Labor Standard Act and therefore he shall not be entitled to any rights and benefits that are not specified in this Agreement but allowed under the Labor Acts of Korea and/or “MagnaChip”‘s employment procedures and collective bargain with its employees.</w:t>
      </w:r>
    </w:p>
    <w:p>
      <w:pPr>
        <w:spacing w:after="0" w:line="140" w:lineRule="exact"/>
        <w:rPr>
          <w:rFonts w:ascii="Arial" w:cs="Arial" w:eastAsia="Arial" w:hAnsi="Arial"/>
          <w:sz w:val="18"/>
          <w:szCs w:val="18"/>
          <w:color w:val="auto"/>
        </w:rPr>
      </w:pPr>
    </w:p>
    <w:p>
      <w:pPr>
        <w:ind w:firstLine="8"/>
        <w:spacing w:after="0" w:line="268" w:lineRule="auto"/>
        <w:tabs>
          <w:tab w:leader="none" w:pos="249"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If there are any legal disputes from or in relation to this Agreement, they shall be resolved at a court under the jurisdiction where “MagnaChip”‘s headquarters is located.</w:t>
      </w:r>
    </w:p>
    <w:p>
      <w:pPr>
        <w:spacing w:after="0" w:line="335" w:lineRule="exact"/>
        <w:rPr>
          <w:sz w:val="20"/>
          <w:szCs w:val="20"/>
          <w:color w:val="auto"/>
        </w:rPr>
      </w:pPr>
    </w:p>
    <w:p>
      <w:pPr>
        <w:ind w:right="280"/>
        <w:spacing w:after="0" w:line="456" w:lineRule="auto"/>
        <w:rPr>
          <w:sz w:val="20"/>
          <w:szCs w:val="20"/>
          <w:color w:val="auto"/>
        </w:rPr>
      </w:pPr>
      <w:r>
        <w:rPr>
          <w:rFonts w:ascii="Arial" w:cs="Arial" w:eastAsia="Arial" w:hAnsi="Arial"/>
          <w:sz w:val="18"/>
          <w:szCs w:val="18"/>
          <w:color w:val="auto"/>
        </w:rPr>
        <w:t>IN WITNESSETH WHEREOF, “MagnaChip” and “CH Lee” shall make two copies of this Agreement each of which is signed and kept by a respective party. October 1, 2004</w:t>
      </w:r>
    </w:p>
    <w:p>
      <w:pPr>
        <w:sectPr>
          <w:pgSz w:w="11900" w:h="16838" w:orient="portrait"/>
          <w:cols w:equalWidth="0" w:num="1">
            <w:col w:w="11400"/>
          </w:cols>
          <w:pgMar w:left="240" w:top="279" w:right="25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“MagnaChip”</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CEO, Youm Huh</w:t>
      </w:r>
    </w:p>
    <w:p>
      <w:pPr>
        <w:spacing w:after="0" w:line="200" w:lineRule="exact"/>
        <w:rPr>
          <w:sz w:val="20"/>
          <w:szCs w:val="20"/>
          <w:color w:val="auto"/>
        </w:rPr>
      </w:pPr>
    </w:p>
    <w:p>
      <w:pPr>
        <w:sectPr>
          <w:pgSz w:w="11900" w:h="16838" w:orient="portrait"/>
          <w:cols w:equalWidth="0" w:num="2">
            <w:col w:w="1000" w:space="380"/>
            <w:col w:w="10020"/>
          </w:cols>
          <w:pgMar w:left="240" w:top="279" w:right="2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 Lee”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Address: 1229-6 Ilsan 4-dong, Goyang-si, Gyunggi, Korea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Residence ID: 531215-1673716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Chan Hee Lee</w:t>
      </w:r>
    </w:p>
    <w:p>
      <w:pPr>
        <w:sectPr>
          <w:pgSz w:w="11900" w:h="16838" w:orient="portrait"/>
          <w:cols w:equalWidth="0" w:num="2">
            <w:col w:w="720" w:space="660"/>
            <w:col w:w="10020"/>
          </w:cols>
          <w:pgMar w:left="240" w:top="279" w:right="259" w:bottom="1440" w:gutter="0" w:footer="0" w:header="0"/>
          <w:type w:val="continuous"/>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jc w:val="both"/>
        <w:ind w:right="100" w:firstLine="571"/>
        <w:spacing w:after="0" w:line="238" w:lineRule="auto"/>
        <w:rPr>
          <w:sz w:val="20"/>
          <w:szCs w:val="20"/>
          <w:color w:val="auto"/>
        </w:rPr>
      </w:pPr>
      <w:r>
        <w:rPr>
          <w:rFonts w:ascii="Arial" w:cs="Arial" w:eastAsia="Arial" w:hAnsi="Arial"/>
          <w:sz w:val="18"/>
          <w:szCs w:val="18"/>
          <w:color w:val="auto"/>
        </w:rPr>
        <w:t>We hereby consent to the use in this Registration Statement on Form S-1 of our reports dated March 26, 2007 and June 15, 2005 relating to the financial statements of MagnaChip Semiconductor LLC, which appear in such Registration Statement. We also consent to the references to us under the headings “Experts” in such Registration Statement.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Samil PricewaterhouseCoopers</w:t>
      </w:r>
    </w:p>
    <w:p>
      <w:pPr>
        <w:ind w:left="20"/>
        <w:spacing w:after="0" w:line="234" w:lineRule="auto"/>
        <w:rPr>
          <w:sz w:val="20"/>
          <w:szCs w:val="20"/>
          <w:color w:val="auto"/>
        </w:rPr>
      </w:pPr>
      <w:r>
        <w:rPr>
          <w:rFonts w:ascii="Arial" w:cs="Arial" w:eastAsia="Arial" w:hAnsi="Arial"/>
          <w:sz w:val="18"/>
          <w:szCs w:val="18"/>
          <w:color w:val="auto"/>
        </w:rPr>
        <w:t>Seoul, Korea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14, 2007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9554FE"/>
    <w:multiLevelType w:val="hybridMultilevel"/>
    <w:lvl w:ilvl="0">
      <w:lvlJc w:val="left"/>
      <w:lvlText w:val="Ÿ"/>
      <w:numFmt w:val="bullet"/>
      <w:start w:val="1"/>
    </w:lvl>
  </w:abstractNum>
  <w:abstractNum w:abstractNumId="1">
    <w:nsid w:val="392EDBE4"/>
    <w:multiLevelType w:val="hybridMultilevel"/>
    <w:lvl w:ilvl="0">
      <w:lvlJc w:val="left"/>
      <w:lvlText w:val="Ÿ"/>
      <w:numFmt w:val="bullet"/>
      <w:start w:val="1"/>
    </w:lvl>
  </w:abstractNum>
  <w:abstractNum w:abstractNumId="2">
    <w:nsid w:val="3D1A2DD9"/>
    <w:multiLevelType w:val="hybridMultilevel"/>
    <w:lvl w:ilvl="0">
      <w:lvlJc w:val="left"/>
      <w:lvlText w:val="(%1)"/>
      <w:numFmt w:val="decimal"/>
      <w:start w:val="1"/>
    </w:lvl>
  </w:abstractNum>
  <w:abstractNum w:abstractNumId="3">
    <w:nsid w:val="7F618FCD"/>
    <w:multiLevelType w:val="hybridMultilevel"/>
    <w:lvl w:ilvl="0">
      <w:lvlJc w:val="left"/>
      <w:lvlText w:val="Ÿ"/>
      <w:numFmt w:val="bullet"/>
      <w:start w:val="1"/>
    </w:lvl>
  </w:abstractNum>
  <w:abstractNum w:abstractNumId="4">
    <w:nsid w:val="7843E45"/>
    <w:multiLevelType w:val="hybridMultilevel"/>
    <w:lvl w:ilvl="0">
      <w:lvlJc w:val="left"/>
      <w:lvlText w:val="Ÿ"/>
      <w:numFmt w:val="bullet"/>
      <w:start w:val="1"/>
    </w:lvl>
  </w:abstractNum>
  <w:abstractNum w:abstractNumId="5">
    <w:nsid w:val="9815DA3"/>
    <w:multiLevelType w:val="hybridMultilevel"/>
    <w:lvl w:ilvl="0">
      <w:lvlJc w:val="left"/>
      <w:lvlText w:val="Ÿ"/>
      <w:numFmt w:val="bullet"/>
      <w:start w:val="1"/>
    </w:lvl>
  </w:abstractNum>
  <w:abstractNum w:abstractNumId="6">
    <w:nsid w:val="5204A191"/>
    <w:multiLevelType w:val="hybridMultilevel"/>
    <w:lvl w:ilvl="0">
      <w:lvlJc w:val="left"/>
      <w:lvlText w:val="(%1)"/>
      <w:numFmt w:val="decimal"/>
      <w:start w:val="1"/>
    </w:lvl>
  </w:abstractNum>
  <w:abstractNum w:abstractNumId="7">
    <w:nsid w:val="4C73A9C6"/>
    <w:multiLevelType w:val="hybridMultilevel"/>
    <w:lvl w:ilvl="0">
      <w:lvlJc w:val="left"/>
      <w:lvlText w:val="(%1)"/>
      <w:numFmt w:val="decimal"/>
      <w:start w:val="4"/>
    </w:lvl>
  </w:abstractNum>
  <w:abstractNum w:abstractNumId="8">
    <w:nsid w:val="1C7E3C01"/>
    <w:multiLevelType w:val="hybridMultilevel"/>
    <w:lvl w:ilvl="0">
      <w:lvlJc w:val="left"/>
      <w:lvlText w:val="Ÿ"/>
      <w:numFmt w:val="bullet"/>
      <w:start w:val="1"/>
    </w:lvl>
  </w:abstractNum>
  <w:abstractNum w:abstractNumId="9">
    <w:nsid w:val="1C2201FF"/>
    <w:multiLevelType w:val="hybridMultilevel"/>
    <w:lvl w:ilvl="0">
      <w:lvlJc w:val="left"/>
      <w:lvlText w:val="Ÿ"/>
      <w:numFmt w:val="bullet"/>
      <w:start w:val="1"/>
    </w:lvl>
  </w:abstractNum>
  <w:abstractNum w:abstractNumId="10">
    <w:nsid w:val="50ABCEC9"/>
    <w:multiLevelType w:val="hybridMultilevel"/>
    <w:lvl w:ilvl="0">
      <w:lvlJc w:val="left"/>
      <w:lvlText w:val="Ÿ"/>
      <w:numFmt w:val="bullet"/>
      <w:start w:val="1"/>
    </w:lvl>
  </w:abstractNum>
  <w:abstractNum w:abstractNumId="11">
    <w:nsid w:val="7635AA2A"/>
    <w:multiLevelType w:val="hybridMultilevel"/>
    <w:lvl w:ilvl="0">
      <w:lvlJc w:val="left"/>
      <w:lvlText w:val="Ÿ"/>
      <w:numFmt w:val="bullet"/>
      <w:start w:val="1"/>
    </w:lvl>
  </w:abstractNum>
  <w:abstractNum w:abstractNumId="12">
    <w:nsid w:val="5E74C4D9"/>
    <w:multiLevelType w:val="hybridMultilevel"/>
    <w:lvl w:ilvl="0">
      <w:lvlJc w:val="left"/>
      <w:lvlText w:val="Ÿ"/>
      <w:numFmt w:val="bullet"/>
      <w:start w:val="1"/>
    </w:lvl>
  </w:abstractNum>
  <w:abstractNum w:abstractNumId="13">
    <w:nsid w:val="3B3EBE15"/>
    <w:multiLevelType w:val="hybridMultilevel"/>
    <w:lvl w:ilvl="0">
      <w:lvlJc w:val="left"/>
      <w:lvlText w:val="Ÿ"/>
      <w:numFmt w:val="bullet"/>
      <w:start w:val="1"/>
    </w:lvl>
  </w:abstractNum>
  <w:abstractNum w:abstractNumId="14">
    <w:nsid w:val="3822CB01"/>
    <w:multiLevelType w:val="hybridMultilevel"/>
    <w:lvl w:ilvl="0">
      <w:lvlJc w:val="left"/>
      <w:lvlText w:val="Ÿ"/>
      <w:numFmt w:val="bullet"/>
      <w:start w:val="1"/>
    </w:lvl>
  </w:abstractNum>
  <w:abstractNum w:abstractNumId="15">
    <w:nsid w:val="6CE00443"/>
    <w:multiLevelType w:val="hybridMultilevel"/>
    <w:lvl w:ilvl="0">
      <w:lvlJc w:val="left"/>
      <w:lvlText w:val="Ÿ"/>
      <w:numFmt w:val="bullet"/>
      <w:start w:val="1"/>
    </w:lvl>
  </w:abstractNum>
  <w:abstractNum w:abstractNumId="16">
    <w:nsid w:val="79F0D62F"/>
    <w:multiLevelType w:val="hybridMultilevel"/>
    <w:lvl w:ilvl="0">
      <w:lvlJc w:val="left"/>
      <w:lvlText w:val="$"/>
      <w:numFmt w:val="bullet"/>
      <w:start w:val="1"/>
    </w:lvl>
  </w:abstractNum>
  <w:abstractNum w:abstractNumId="17">
    <w:nsid w:val="7975E8EE"/>
    <w:multiLevelType w:val="hybridMultilevel"/>
    <w:lvl w:ilvl="0">
      <w:lvlJc w:val="left"/>
      <w:lvlText w:val="Ÿ"/>
      <w:numFmt w:val="bullet"/>
      <w:start w:val="1"/>
    </w:lvl>
  </w:abstractNum>
  <w:abstractNum w:abstractNumId="18">
    <w:nsid w:val="73154115"/>
    <w:multiLevelType w:val="hybridMultilevel"/>
    <w:lvl w:ilvl="0">
      <w:lvlJc w:val="left"/>
      <w:lvlText w:val="Ÿ"/>
      <w:numFmt w:val="bullet"/>
      <w:start w:val="1"/>
    </w:lvl>
  </w:abstractNum>
  <w:abstractNum w:abstractNumId="19">
    <w:nsid w:val="622D8102"/>
    <w:multiLevelType w:val="hybridMultilevel"/>
    <w:lvl w:ilvl="0">
      <w:lvlJc w:val="left"/>
      <w:lvlText w:val="Ÿ"/>
      <w:numFmt w:val="bullet"/>
      <w:start w:val="1"/>
    </w:lvl>
  </w:abstractNum>
  <w:abstractNum w:abstractNumId="20">
    <w:nsid w:val="2AB26587"/>
    <w:multiLevelType w:val="hybridMultilevel"/>
    <w:lvl w:ilvl="0">
      <w:lvlJc w:val="left"/>
      <w:lvlText w:val="(%1)"/>
      <w:numFmt w:val="decimal"/>
      <w:start w:val="2"/>
    </w:lvl>
  </w:abstractNum>
  <w:abstractNum w:abstractNumId="21">
    <w:nsid w:val="44B3FA61"/>
    <w:multiLevelType w:val="hybridMultilevel"/>
    <w:lvl w:ilvl="0">
      <w:lvlJc w:val="left"/>
      <w:lvlText w:val="(%1)"/>
      <w:numFmt w:val="decimal"/>
      <w:start w:val="1"/>
    </w:lvl>
  </w:abstractNum>
  <w:abstractNum w:abstractNumId="22">
    <w:nsid w:val="1C0CA67C"/>
    <w:multiLevelType w:val="hybridMultilevel"/>
    <w:lvl w:ilvl="0">
      <w:lvlJc w:val="left"/>
      <w:lvlText w:val="(%1)"/>
      <w:numFmt w:val="decimal"/>
      <w:start w:val="1"/>
    </w:lvl>
  </w:abstractNum>
  <w:abstractNum w:abstractNumId="23">
    <w:nsid w:val="3D206613"/>
    <w:multiLevelType w:val="hybridMultilevel"/>
    <w:lvl w:ilvl="0">
      <w:lvlJc w:val="left"/>
      <w:lvlText w:val="(%1)"/>
      <w:numFmt w:val="decimal"/>
      <w:start w:val="4"/>
    </w:lvl>
  </w:abstractNum>
  <w:abstractNum w:abstractNumId="24">
    <w:nsid w:val="7993B662"/>
    <w:multiLevelType w:val="hybridMultilevel"/>
    <w:lvl w:ilvl="0">
      <w:lvlJc w:val="left"/>
      <w:lvlText w:val="(%1)"/>
      <w:numFmt w:val="decimal"/>
      <w:start w:val="1"/>
    </w:lvl>
  </w:abstractNum>
  <w:abstractNum w:abstractNumId="25">
    <w:nsid w:val="3BAB699E"/>
    <w:multiLevelType w:val="hybridMultilevel"/>
    <w:lvl w:ilvl="0">
      <w:lvlJc w:val="left"/>
      <w:lvlText w:val="(%1)"/>
      <w:numFmt w:val="decimal"/>
      <w:start w:val="2"/>
    </w:lvl>
  </w:abstractNum>
  <w:abstractNum w:abstractNumId="26">
    <w:nsid w:val="71315369"/>
    <w:multiLevelType w:val="hybridMultilevel"/>
    <w:lvl w:ilvl="0">
      <w:lvlJc w:val="left"/>
      <w:lvlText w:val="(%1)"/>
      <w:numFmt w:val="decimal"/>
      <w:start w:val="5"/>
    </w:lvl>
  </w:abstractNum>
  <w:abstractNum w:abstractNumId="27">
    <w:nsid w:val="7BCFBAFC"/>
    <w:multiLevelType w:val="hybridMultilevel"/>
    <w:lvl w:ilvl="0">
      <w:lvlJc w:val="left"/>
      <w:lvlText w:val="(%1)"/>
      <w:numFmt w:val="decimal"/>
      <w:start w:val="2"/>
    </w:lvl>
  </w:abstractNum>
  <w:abstractNum w:abstractNumId="28">
    <w:nsid w:val="17859F72"/>
    <w:multiLevelType w:val="hybridMultilevel"/>
    <w:lvl w:ilvl="0">
      <w:lvlJc w:val="left"/>
      <w:lvlText w:val="(%1)"/>
      <w:numFmt w:val="decimal"/>
      <w:start w:val="4"/>
    </w:lvl>
  </w:abstractNum>
  <w:abstractNum w:abstractNumId="29">
    <w:nsid w:val="3AA10581"/>
    <w:multiLevelType w:val="hybridMultilevel"/>
    <w:lvl w:ilvl="0">
      <w:lvlJc w:val="left"/>
      <w:lvlText w:val="Ÿ"/>
      <w:numFmt w:val="bullet"/>
      <w:start w:val="1"/>
    </w:lvl>
  </w:abstractNum>
  <w:abstractNum w:abstractNumId="30">
    <w:nsid w:val="63DE60CD"/>
    <w:multiLevelType w:val="hybridMultilevel"/>
    <w:lvl w:ilvl="0">
      <w:lvlJc w:val="left"/>
      <w:lvlText w:val="Ÿ"/>
      <w:numFmt w:val="bullet"/>
      <w:start w:val="1"/>
    </w:lvl>
  </w:abstractNum>
  <w:abstractNum w:abstractNumId="31">
    <w:nsid w:val="621AF471"/>
    <w:multiLevelType w:val="hybridMultilevel"/>
    <w:lvl w:ilvl="0">
      <w:lvlJc w:val="left"/>
      <w:lvlText w:val="(%1)"/>
      <w:numFmt w:val="decimal"/>
      <w:start w:val="1"/>
    </w:lvl>
  </w:abstractNum>
  <w:abstractNum w:abstractNumId="32">
    <w:nsid w:val="73CFE165"/>
    <w:multiLevelType w:val="hybridMultilevel"/>
    <w:lvl w:ilvl="0">
      <w:lvlJc w:val="left"/>
      <w:lvlText w:val="(%1)"/>
      <w:numFmt w:val="decimal"/>
      <w:start w:val="2"/>
    </w:lvl>
  </w:abstractNum>
  <w:abstractNum w:abstractNumId="33">
    <w:nsid w:val="20F88EA6"/>
    <w:multiLevelType w:val="hybridMultilevel"/>
    <w:lvl w:ilvl="0">
      <w:lvlJc w:val="left"/>
      <w:lvlText w:val="(%1)"/>
      <w:numFmt w:val="decimal"/>
      <w:start w:val="4"/>
    </w:lvl>
  </w:abstractNum>
  <w:abstractNum w:abstractNumId="34">
    <w:nsid w:val="617C843E"/>
    <w:multiLevelType w:val="hybridMultilevel"/>
    <w:lvl w:ilvl="0">
      <w:lvlJc w:val="left"/>
      <w:lvlText w:val="Ÿ"/>
      <w:numFmt w:val="bullet"/>
      <w:start w:val="1"/>
    </w:lvl>
  </w:abstractNum>
  <w:abstractNum w:abstractNumId="35">
    <w:nsid w:val="7B541FAB"/>
    <w:multiLevelType w:val="hybridMultilevel"/>
    <w:lvl w:ilvl="0">
      <w:lvlJc w:val="left"/>
      <w:lvlText w:val="Ÿ"/>
      <w:numFmt w:val="bullet"/>
      <w:start w:val="1"/>
    </w:lvl>
  </w:abstractNum>
  <w:abstractNum w:abstractNumId="36">
    <w:nsid w:val="2A79EC49"/>
    <w:multiLevelType w:val="hybridMultilevel"/>
    <w:lvl w:ilvl="0">
      <w:lvlJc w:val="left"/>
      <w:lvlText w:val="Ÿ"/>
      <w:numFmt w:val="bullet"/>
      <w:start w:val="1"/>
    </w:lvl>
  </w:abstractNum>
  <w:abstractNum w:abstractNumId="37">
    <w:nsid w:val="338125CF"/>
    <w:multiLevelType w:val="hybridMultilevel"/>
    <w:lvl w:ilvl="0">
      <w:lvlJc w:val="left"/>
      <w:lvlText w:val="Ÿ"/>
      <w:numFmt w:val="bullet"/>
      <w:start w:val="1"/>
    </w:lvl>
  </w:abstractNum>
  <w:abstractNum w:abstractNumId="38">
    <w:nsid w:val="47C7C971"/>
    <w:multiLevelType w:val="hybridMultilevel"/>
    <w:lvl w:ilvl="0">
      <w:lvlJc w:val="left"/>
      <w:lvlText w:val="Ÿ"/>
      <w:numFmt w:val="bullet"/>
      <w:start w:val="1"/>
    </w:lvl>
  </w:abstractNum>
  <w:abstractNum w:abstractNumId="39">
    <w:nsid w:val="46F8284B"/>
    <w:multiLevelType w:val="hybridMultilevel"/>
    <w:lvl w:ilvl="0">
      <w:lvlJc w:val="left"/>
      <w:lvlText w:val="Ÿ"/>
      <w:numFmt w:val="bullet"/>
      <w:start w:val="1"/>
    </w:lvl>
  </w:abstractNum>
  <w:abstractNum w:abstractNumId="40">
    <w:nsid w:val="4FA327CE"/>
    <w:multiLevelType w:val="hybridMultilevel"/>
    <w:lvl w:ilvl="0">
      <w:lvlJc w:val="left"/>
      <w:lvlText w:val="•"/>
      <w:numFmt w:val="bullet"/>
      <w:start w:val="1"/>
    </w:lvl>
  </w:abstractNum>
  <w:abstractNum w:abstractNumId="41">
    <w:nsid w:val="1873983A"/>
    <w:multiLevelType w:val="hybridMultilevel"/>
    <w:lvl w:ilvl="0">
      <w:lvlJc w:val="left"/>
      <w:lvlText w:val="Ÿ"/>
      <w:numFmt w:val="bullet"/>
      <w:start w:val="1"/>
    </w:lvl>
  </w:abstractNum>
  <w:abstractNum w:abstractNumId="42">
    <w:nsid w:val="3D2DD275"/>
    <w:multiLevelType w:val="hybridMultilevel"/>
    <w:lvl w:ilvl="0">
      <w:lvlJc w:val="left"/>
      <w:lvlText w:val="(%1)"/>
      <w:numFmt w:val="decimal"/>
      <w:start w:val="1"/>
    </w:lvl>
  </w:abstractNum>
  <w:abstractNum w:abstractNumId="43">
    <w:nsid w:val="2E17ECA7"/>
    <w:multiLevelType w:val="hybridMultilevel"/>
    <w:lvl w:ilvl="0">
      <w:lvlJc w:val="left"/>
      <w:lvlText w:val="%1"/>
      <w:numFmt w:val="decimal"/>
      <w:start w:val="1"/>
    </w:lvl>
    <w:lvl w:ilvl="1">
      <w:lvlJc w:val="left"/>
      <w:lvlText w:val="(%2)"/>
      <w:numFmt w:val="lowerLetter"/>
      <w:start w:val="5"/>
    </w:lvl>
  </w:abstractNum>
  <w:abstractNum w:abstractNumId="44">
    <w:nsid w:val="53B2564F"/>
    <w:multiLevelType w:val="hybridMultilevel"/>
    <w:lvl w:ilvl="0">
      <w:lvlJc w:val="left"/>
      <w:lvlText w:val="%1"/>
      <w:numFmt w:val="decimal"/>
      <w:start w:val="1"/>
    </w:lvl>
    <w:lvl w:ilvl="1">
      <w:lvlJc w:val="left"/>
      <w:lvlText w:val="(%2)"/>
      <w:numFmt w:val="lowerLetter"/>
      <w:start w:val="7"/>
    </w:lvl>
  </w:abstractNum>
  <w:abstractNum w:abstractNumId="45">
    <w:nsid w:val="75509D76"/>
    <w:multiLevelType w:val="hybridMultilevel"/>
    <w:lvl w:ilvl="0">
      <w:lvlJc w:val="left"/>
      <w:lvlText w:val="(%1)"/>
      <w:numFmt w:val="decimal"/>
      <w:start w:val="4"/>
    </w:lvl>
    <w:lvl w:ilvl="1">
      <w:lvlJc w:val="left"/>
      <w:lvlText w:val="%2"/>
      <w:numFmt w:val="lowerLetter"/>
      <w:start w:val="1"/>
    </w:lvl>
  </w:abstractNum>
  <w:abstractNum w:abstractNumId="46">
    <w:nsid w:val="1AF7F0EA"/>
    <w:multiLevelType w:val="hybridMultilevel"/>
    <w:lvl w:ilvl="0">
      <w:lvlJc w:val="left"/>
      <w:lvlText w:val="(%1)"/>
      <w:numFmt w:val="decimal"/>
      <w:start w:val="1"/>
    </w:lvl>
  </w:abstractNum>
  <w:abstractNum w:abstractNumId="47">
    <w:nsid w:val="4DA32C7E"/>
    <w:multiLevelType w:val="hybridMultilevel"/>
    <w:lvl w:ilvl="0">
      <w:lvlJc w:val="left"/>
      <w:lvlText w:val="(%1)"/>
      <w:numFmt w:val="decimal"/>
      <w:start w:val="1"/>
    </w:lvl>
  </w:abstractNum>
  <w:abstractNum w:abstractNumId="48">
    <w:nsid w:val="6EC68664"/>
    <w:multiLevelType w:val="hybridMultilevel"/>
    <w:lvl w:ilvl="0">
      <w:lvlJc w:val="left"/>
      <w:lvlText w:val="(%1)"/>
      <w:numFmt w:val="decimal"/>
      <w:start w:val="1"/>
    </w:lvl>
  </w:abstractNum>
  <w:abstractNum w:abstractNumId="49">
    <w:nsid w:val="E0D31FF"/>
    <w:multiLevelType w:val="hybridMultilevel"/>
    <w:lvl w:ilvl="0">
      <w:lvlJc w:val="left"/>
      <w:lvlText w:val="(%1)"/>
      <w:numFmt w:val="decimal"/>
      <w:start w:val="1"/>
    </w:lvl>
  </w:abstractNum>
  <w:abstractNum w:abstractNumId="50">
    <w:nsid w:val="2FD0AD81"/>
    <w:multiLevelType w:val="hybridMultilevel"/>
    <w:lvl w:ilvl="0">
      <w:lvlJc w:val="left"/>
      <w:lvlText w:val="(%1)"/>
      <w:numFmt w:val="decimal"/>
      <w:start w:val="1"/>
    </w:lvl>
  </w:abstractNum>
  <w:abstractNum w:abstractNumId="51">
    <w:nsid w:val="1978EBEB"/>
    <w:multiLevelType w:val="hybridMultilevel"/>
    <w:lvl w:ilvl="0">
      <w:lvlJc w:val="left"/>
      <w:lvlText w:val="Ÿ"/>
      <w:numFmt w:val="bullet"/>
      <w:start w:val="1"/>
    </w:lvl>
  </w:abstractNum>
  <w:abstractNum w:abstractNumId="52">
    <w:nsid w:val="52C12C61"/>
    <w:multiLevelType w:val="hybridMultilevel"/>
    <w:lvl w:ilvl="0">
      <w:lvlJc w:val="left"/>
      <w:lvlText w:val="*"/>
      <w:numFmt w:val="bullet"/>
      <w:start w:val="1"/>
    </w:lvl>
  </w:abstractNum>
  <w:abstractNum w:abstractNumId="53">
    <w:nsid w:val="4BDD53FD"/>
    <w:multiLevelType w:val="hybridMultilevel"/>
    <w:lvl w:ilvl="0">
      <w:lvlJc w:val="left"/>
      <w:lvlText w:val="(%1)"/>
      <w:numFmt w:val="decimal"/>
      <w:start w:val="8"/>
    </w:lvl>
  </w:abstractNum>
  <w:abstractNum w:abstractNumId="54">
    <w:nsid w:val="569951FE"/>
    <w:multiLevelType w:val="hybridMultilevel"/>
    <w:lvl w:ilvl="0">
      <w:lvlJc w:val="left"/>
      <w:lvlText w:val="(%1)"/>
      <w:numFmt w:val="decimal"/>
      <w:start w:val="12"/>
    </w:lvl>
  </w:abstractNum>
  <w:abstractNum w:abstractNumId="55">
    <w:nsid w:val="4C54E2C3"/>
    <w:multiLevelType w:val="hybridMultilevel"/>
    <w:lvl w:ilvl="0">
      <w:lvlJc w:val="left"/>
      <w:lvlText w:val="(%1)"/>
      <w:numFmt w:val="decimal"/>
      <w:start w:val="18"/>
    </w:lvl>
  </w:abstractNum>
  <w:abstractNum w:abstractNumId="56">
    <w:nsid w:val="788BD9B"/>
    <w:multiLevelType w:val="hybridMultilevel"/>
    <w:lvl w:ilvl="0">
      <w:lvlJc w:val="left"/>
      <w:lvlText w:val="(%1)"/>
      <w:numFmt w:val="decimal"/>
      <w:start w:val="21"/>
    </w:lvl>
  </w:abstractNum>
  <w:abstractNum w:abstractNumId="57">
    <w:nsid w:val="47CAA567"/>
    <w:multiLevelType w:val="hybridMultilevel"/>
    <w:lvl w:ilvl="0">
      <w:lvlJc w:val="left"/>
      <w:lvlText w:val="*"/>
      <w:numFmt w:val="bullet"/>
      <w:start w:val="1"/>
    </w:lvl>
  </w:abstractNum>
  <w:abstractNum w:abstractNumId="58">
    <w:nsid w:val="48249DBF"/>
    <w:multiLevelType w:val="hybridMultilevel"/>
    <w:lvl w:ilvl="0">
      <w:lvlJc w:val="left"/>
      <w:lvlText w:val="(%1)"/>
      <w:numFmt w:val="decimal"/>
      <w:start w:val="1"/>
    </w:lvl>
  </w:abstractNum>
  <w:abstractNum w:abstractNumId="59">
    <w:nsid w:val="1F0E5D0D"/>
    <w:multiLevelType w:val="hybridMultilevel"/>
    <w:lvl w:ilvl="0">
      <w:lvlJc w:val="left"/>
      <w:lvlText w:val="(%1)"/>
      <w:numFmt w:val="decimal"/>
      <w:start w:val="5"/>
    </w:lvl>
  </w:abstractNum>
  <w:abstractNum w:abstractNumId="60">
    <w:nsid w:val="26BAAE9"/>
    <w:multiLevelType w:val="hybridMultilevel"/>
    <w:lvl w:ilvl="0">
      <w:lvlJc w:val="left"/>
      <w:lvlText w:val="(%1)"/>
      <w:numFmt w:val="decimal"/>
      <w:start w:val="15"/>
    </w:lvl>
  </w:abstractNum>
  <w:abstractNum w:abstractNumId="61">
    <w:nsid w:val="2C02FE8C"/>
    <w:multiLevelType w:val="hybridMultilevel"/>
    <w:lvl w:ilvl="0">
      <w:lvlJc w:val="left"/>
      <w:lvlText w:val="Ÿ"/>
      <w:numFmt w:val="bullet"/>
      <w:start w:val="1"/>
    </w:lvl>
  </w:abstractNum>
  <w:abstractNum w:abstractNumId="62">
    <w:nsid w:val="129517E"/>
    <w:multiLevelType w:val="hybridMultilevel"/>
    <w:lvl w:ilvl="0">
      <w:lvlJc w:val="left"/>
      <w:lvlText w:val="Ÿ"/>
      <w:numFmt w:val="bullet"/>
      <w:start w:val="1"/>
    </w:lvl>
  </w:abstractNum>
  <w:abstractNum w:abstractNumId="63">
    <w:nsid w:val="763B8C4E"/>
    <w:multiLevelType w:val="hybridMultilevel"/>
    <w:lvl w:ilvl="0">
      <w:lvlJc w:val="left"/>
      <w:lvlText w:val="Ÿ"/>
      <w:numFmt w:val="bullet"/>
      <w:start w:val="1"/>
    </w:lvl>
  </w:abstractNum>
  <w:abstractNum w:abstractNumId="64">
    <w:nsid w:val="4CFB8D32"/>
    <w:multiLevelType w:val="hybridMultilevel"/>
    <w:lvl w:ilvl="0">
      <w:lvlJc w:val="left"/>
      <w:lvlText w:val="Ÿ"/>
      <w:numFmt w:val="bullet"/>
      <w:start w:val="1"/>
    </w:lvl>
  </w:abstractNum>
  <w:abstractNum w:abstractNumId="65">
    <w:nsid w:val="62A5D5BD"/>
    <w:multiLevelType w:val="hybridMultilevel"/>
    <w:lvl w:ilvl="0">
      <w:lvlJc w:val="left"/>
      <w:lvlText w:val="Ÿ"/>
      <w:numFmt w:val="bullet"/>
      <w:start w:val="1"/>
    </w:lvl>
  </w:abstractNum>
  <w:abstractNum w:abstractNumId="66">
    <w:nsid w:val="718FABF9"/>
    <w:multiLevelType w:val="hybridMultilevel"/>
    <w:lvl w:ilvl="0">
      <w:lvlJc w:val="left"/>
      <w:lvlText w:val="Ÿ"/>
      <w:numFmt w:val="bullet"/>
      <w:start w:val="1"/>
    </w:lvl>
  </w:abstractNum>
  <w:abstractNum w:abstractNumId="67">
    <w:nsid w:val="7775797C"/>
    <w:multiLevelType w:val="hybridMultilevel"/>
    <w:lvl w:ilvl="0">
      <w:lvlJc w:val="left"/>
      <w:lvlText w:val="Ÿ"/>
      <w:numFmt w:val="bullet"/>
      <w:start w:val="1"/>
    </w:lvl>
  </w:abstractNum>
  <w:abstractNum w:abstractNumId="68">
    <w:nsid w:val="1626FB8C"/>
    <w:multiLevelType w:val="hybridMultilevel"/>
    <w:lvl w:ilvl="0">
      <w:lvlJc w:val="left"/>
      <w:lvlText w:val="(%1)"/>
      <w:numFmt w:val="decimal"/>
      <w:start w:val="1"/>
    </w:lvl>
  </w:abstractNum>
  <w:abstractNum w:abstractNumId="69">
    <w:nsid w:val="3957756A"/>
    <w:multiLevelType w:val="hybridMultilevel"/>
    <w:lvl w:ilvl="0">
      <w:lvlJc w:val="left"/>
      <w:lvlText w:val="Ÿ"/>
      <w:numFmt w:val="bullet"/>
      <w:start w:val="1"/>
    </w:lvl>
  </w:abstractNum>
  <w:abstractNum w:abstractNumId="70">
    <w:nsid w:val="3E6DA1C7"/>
    <w:multiLevelType w:val="hybridMultilevel"/>
    <w:lvl w:ilvl="0">
      <w:lvlJc w:val="left"/>
      <w:lvlText w:val="Ÿ"/>
      <w:numFmt w:val="bullet"/>
      <w:start w:val="1"/>
    </w:lvl>
  </w:abstractNum>
  <w:abstractNum w:abstractNumId="71">
    <w:nsid w:val="65CA235B"/>
    <w:multiLevelType w:val="hybridMultilevel"/>
    <w:lvl w:ilvl="0">
      <w:lvlJc w:val="left"/>
      <w:lvlText w:val="Ÿ"/>
      <w:numFmt w:val="bullet"/>
      <w:start w:val="1"/>
    </w:lvl>
  </w:abstractNum>
  <w:abstractNum w:abstractNumId="72">
    <w:nsid w:val="51CB0DA4"/>
    <w:multiLevelType w:val="hybridMultilevel"/>
    <w:lvl w:ilvl="0">
      <w:lvlJc w:val="left"/>
      <w:lvlText w:val="Ÿ"/>
      <w:numFmt w:val="bullet"/>
      <w:start w:val="1"/>
    </w:lvl>
  </w:abstractNum>
  <w:abstractNum w:abstractNumId="73">
    <w:nsid w:val="7B9B743C"/>
    <w:multiLevelType w:val="hybridMultilevel"/>
    <w:lvl w:ilvl="0">
      <w:lvlJc w:val="left"/>
      <w:lvlText w:val="Ÿ"/>
      <w:numFmt w:val="bullet"/>
      <w:start w:val="1"/>
    </w:lvl>
  </w:abstractNum>
  <w:abstractNum w:abstractNumId="74">
    <w:nsid w:val="13E21002"/>
    <w:multiLevelType w:val="hybridMultilevel"/>
    <w:lvl w:ilvl="0">
      <w:lvlJc w:val="left"/>
      <w:lvlText w:val="(%1)"/>
      <w:numFmt w:val="lowerLetter"/>
      <w:start w:val="1"/>
    </w:lvl>
  </w:abstractNum>
  <w:abstractNum w:abstractNumId="75">
    <w:nsid w:val="257D63F4"/>
    <w:multiLevelType w:val="hybridMultilevel"/>
    <w:lvl w:ilvl="0">
      <w:lvlJc w:val="left"/>
      <w:lvlText w:val="(%1)"/>
      <w:numFmt w:val="lowerLetter"/>
      <w:start w:val="1"/>
    </w:lvl>
  </w:abstractNum>
  <w:abstractNum w:abstractNumId="76">
    <w:nsid w:val="70EC11B2"/>
    <w:multiLevelType w:val="hybridMultilevel"/>
    <w:lvl w:ilvl="0">
      <w:lvlJc w:val="left"/>
      <w:lvlText w:val="%1."/>
      <w:numFmt w:val="decimal"/>
      <w:start w:val="1"/>
    </w:lvl>
  </w:abstractNum>
  <w:abstractNum w:abstractNumId="77">
    <w:nsid w:val="2EDA00ED"/>
    <w:multiLevelType w:val="hybridMultilevel"/>
    <w:lvl w:ilvl="0">
      <w:lvlJc w:val="left"/>
      <w:lvlText w:val="%1."/>
      <w:numFmt w:val="decimal"/>
      <w:start w:val="2"/>
    </w:lvl>
  </w:abstractNum>
  <w:abstractNum w:abstractNumId="78">
    <w:nsid w:val="73209072"/>
    <w:multiLevelType w:val="hybridMultilevel"/>
    <w:lvl w:ilvl="0">
      <w:lvlJc w:val="left"/>
      <w:lvlText w:val="%1."/>
      <w:numFmt w:val="decimal"/>
      <w:start w:val="14"/>
    </w:lvl>
  </w:abstractNum>
  <w:abstractNum w:abstractNumId="79">
    <w:nsid w:val="5FB29816"/>
    <w:multiLevelType w:val="hybridMultilevel"/>
    <w:lvl w:ilvl="0">
      <w:lvlJc w:val="left"/>
      <w:lvlText w:val="%1."/>
      <w:numFmt w:val="decimal"/>
      <w:start w:val="17"/>
    </w:lvl>
  </w:abstractNum>
  <w:abstractNum w:abstractNumId="80">
    <w:nsid w:val="3CE732EC"/>
    <w:multiLevelType w:val="hybridMultilevel"/>
    <w:lvl w:ilvl="0">
      <w:lvlJc w:val="left"/>
      <w:lvlText w:val="%1."/>
      <w:numFmt w:val="decimal"/>
      <w:start w:val="1"/>
    </w:lvl>
  </w:abstractNum>
  <w:abstractNum w:abstractNumId="81">
    <w:nsid w:val="22F13DF3"/>
    <w:multiLevelType w:val="hybridMultilevel"/>
    <w:lvl w:ilvl="0">
      <w:lvlJc w:val="left"/>
      <w:lvlText w:val="%1."/>
      <w:numFmt w:val="decimal"/>
      <w:start w:val="11"/>
    </w:lvl>
  </w:abstractNum>
  <w:abstractNum w:abstractNumId="82">
    <w:nsid w:val="792B8401"/>
    <w:multiLevelType w:val="hybridMultilevel"/>
    <w:lvl w:ilvl="0">
      <w:lvlJc w:val="left"/>
      <w:lvlText w:val="%1."/>
      <w:numFmt w:val="decimal"/>
      <w:start w:val="14"/>
    </w:lvl>
  </w:abstractNum>
  <w:abstractNum w:abstractNumId="83">
    <w:nsid w:val="FA85F4D"/>
    <w:multiLevelType w:val="hybridMultilevel"/>
    <w:lvl w:ilvl="0">
      <w:lvlJc w:val="left"/>
      <w:lvlText w:val="*"/>
      <w:numFmt w:val="bullet"/>
      <w:start w:val="1"/>
    </w:lvl>
  </w:abstractNum>
  <w:abstractNum w:abstractNumId="84">
    <w:nsid w:val="6ECE91F0"/>
    <w:multiLevelType w:val="hybridMultilevel"/>
    <w:lvl w:ilvl="0">
      <w:lvlJc w:val="left"/>
      <w:lvlText w:val="(%1)"/>
      <w:numFmt w:val="decimal"/>
      <w:start w:val="1"/>
    </w:lvl>
  </w:abstractNum>
  <w:abstractNum w:abstractNumId="85">
    <w:nsid w:val="4FC4D600"/>
    <w:multiLevelType w:val="hybridMultilevel"/>
    <w:lvl w:ilvl="0">
      <w:lvlJc w:val="left"/>
      <w:lvlText w:val="(%1)"/>
      <w:numFmt w:val="decimal"/>
      <w:start w:val="10"/>
    </w:lvl>
  </w:abstractNum>
  <w:abstractNum w:abstractNumId="86">
    <w:nsid w:val="5BFD4210"/>
    <w:multiLevelType w:val="hybridMultilevel"/>
    <w:lvl w:ilvl="0">
      <w:lvlJc w:val="left"/>
      <w:lvlText w:val="(%1)"/>
      <w:numFmt w:val="decimal"/>
      <w:start w:val="1"/>
    </w:lvl>
  </w:abstractNum>
  <w:abstractNum w:abstractNumId="87">
    <w:nsid w:val="76574F8B"/>
    <w:multiLevelType w:val="hybridMultilevel"/>
    <w:lvl w:ilvl="0">
      <w:lvlJc w:val="left"/>
      <w:lvlText w:val="%1"/>
      <w:numFmt w:val="decimal"/>
      <w:start w:val="24"/>
    </w:lvl>
  </w:abstractNum>
  <w:abstractNum w:abstractNumId="88">
    <w:nsid w:val="178F7B67"/>
    <w:multiLevelType w:val="hybridMultilevel"/>
    <w:lvl w:ilvl="0">
      <w:lvlJc w:val="left"/>
      <w:lvlText w:val="(%1)"/>
      <w:numFmt w:val="decimal"/>
      <w:start w:val="1"/>
    </w:lvl>
  </w:abstractNum>
  <w:abstractNum w:abstractNumId="89">
    <w:nsid w:val="2421DFCF"/>
    <w:multiLevelType w:val="hybridMultilevel"/>
    <w:lvl w:ilvl="0">
      <w:lvlJc w:val="left"/>
      <w:lvlText w:val="(%1)"/>
      <w:numFmt w:val="lowerLetter"/>
      <w:start w:val="1"/>
    </w:lvl>
  </w:abstractNum>
  <w:abstractNum w:abstractNumId="90">
    <w:nsid w:val="1565AC99"/>
    <w:multiLevelType w:val="hybridMultilevel"/>
    <w:lvl w:ilvl="0">
      <w:lvlJc w:val="left"/>
      <w:lvlText w:val="(%1)"/>
      <w:numFmt w:val="lowerLetter"/>
      <w:start w:val="3"/>
    </w:lvl>
  </w:abstractNum>
  <w:abstractNum w:abstractNumId="91">
    <w:nsid w:val="19FB2650"/>
    <w:multiLevelType w:val="hybridMultilevel"/>
    <w:lvl w:ilvl="0">
      <w:lvlJc w:val="left"/>
      <w:lvlText w:val="(%1)"/>
      <w:numFmt w:val="lowerRoman"/>
      <w:start w:val="2"/>
    </w:lvl>
  </w:abstractNum>
  <w:abstractNum w:abstractNumId="92">
    <w:nsid w:val="5024DE5B"/>
    <w:multiLevelType w:val="hybridMultilevel"/>
    <w:lvl w:ilvl="0">
      <w:lvlJc w:val="left"/>
      <w:lvlText w:val="(%1)"/>
      <w:numFmt w:val="lowerLetter"/>
      <w:start w:val="1"/>
    </w:lvl>
    <w:lvl w:ilvl="1">
      <w:lvlJc w:val="left"/>
      <w:lvlText w:val="(%2)"/>
      <w:numFmt w:val="lowerLetter"/>
      <w:start w:val="1"/>
    </w:lvl>
  </w:abstractNum>
  <w:abstractNum w:abstractNumId="93">
    <w:nsid w:val="168EFE17"/>
    <w:multiLevelType w:val="hybridMultilevel"/>
    <w:lvl w:ilvl="0">
      <w:lvlJc w:val="left"/>
      <w:lvlText w:val="(%1)"/>
      <w:numFmt w:val="lowerLetter"/>
      <w:start w:val="7"/>
    </w:lvl>
  </w:abstractNum>
  <w:abstractNum w:abstractNumId="94">
    <w:nsid w:val="1036B29F"/>
    <w:multiLevelType w:val="hybridMultilevel"/>
    <w:lvl w:ilvl="0">
      <w:lvlJc w:val="left"/>
      <w:lvlText w:val="(%1)"/>
      <w:numFmt w:val="lowerLetter"/>
      <w:start w:val="2"/>
    </w:lvl>
  </w:abstractNum>
  <w:abstractNum w:abstractNumId="95">
    <w:nsid w:val="1D206B8E"/>
    <w:multiLevelType w:val="hybridMultilevel"/>
    <w:lvl w:ilvl="0">
      <w:lvlJc w:val="left"/>
      <w:lvlText w:val="(%1)"/>
      <w:numFmt w:val="lowerLetter"/>
      <w:start w:val="10"/>
    </w:lvl>
  </w:abstractNum>
  <w:abstractNum w:abstractNumId="96">
    <w:nsid w:val="7934D3D4"/>
    <w:multiLevelType w:val="hybridMultilevel"/>
    <w:lvl w:ilvl="0">
      <w:lvlJc w:val="left"/>
      <w:lvlText w:val="(%1)"/>
      <w:numFmt w:val="lowerLetter"/>
      <w:start w:val="15"/>
    </w:lvl>
  </w:abstractNum>
  <w:abstractNum w:abstractNumId="97">
    <w:nsid w:val="1C65E98"/>
    <w:multiLevelType w:val="hybridMultilevel"/>
    <w:lvl w:ilvl="0">
      <w:lvlJc w:val="left"/>
      <w:lvlText w:val="%1"/>
      <w:numFmt w:val="lowerLetter"/>
      <w:start w:val="1"/>
    </w:lvl>
    <w:lvl w:ilvl="1">
      <w:lvlJc w:val="left"/>
      <w:lvlText w:val="(%2)"/>
      <w:numFmt w:val="lowerLetter"/>
      <w:start w:val="1"/>
    </w:lvl>
  </w:abstractNum>
  <w:abstractNum w:abstractNumId="98">
    <w:nsid w:val="1495E50A"/>
    <w:multiLevelType w:val="hybridMultilevel"/>
    <w:lvl w:ilvl="0">
      <w:lvlJc w:val="left"/>
      <w:lvlText w:val="(%1)"/>
      <w:numFmt w:val="lowerLetter"/>
      <w:start w:val="61"/>
    </w:lvl>
    <w:lvl w:ilvl="1">
      <w:lvlJc w:val="left"/>
      <w:lvlText w:val="(%2)"/>
      <w:numFmt w:val="lowerLetter"/>
      <w:start w:val="2"/>
    </w:lvl>
  </w:abstractNum>
  <w:abstractNum w:abstractNumId="99">
    <w:nsid w:val="F5BCF61"/>
    <w:multiLevelType w:val="hybridMultilevel"/>
    <w:lvl w:ilvl="0">
      <w:lvlJc w:val="left"/>
      <w:lvlText w:val="(%1)"/>
      <w:numFmt w:val="lowerLetter"/>
      <w:start w:val="1"/>
    </w:lvl>
  </w:abstractNum>
  <w:abstractNum w:abstractNumId="100">
    <w:nsid w:val="3B1DD403"/>
    <w:multiLevelType w:val="hybridMultilevel"/>
    <w:lvl w:ilvl="0">
      <w:lvlJc w:val="left"/>
      <w:lvlText w:val="(%1)"/>
      <w:numFmt w:val="lowerLetter"/>
      <w:start w:val="4"/>
    </w:lvl>
  </w:abstractNum>
  <w:abstractNum w:abstractNumId="101">
    <w:nsid w:val="530386D1"/>
    <w:multiLevelType w:val="hybridMultilevel"/>
    <w:lvl w:ilvl="0">
      <w:lvlJc w:val="left"/>
      <w:lvlText w:val="%1"/>
      <w:numFmt w:val="lowerLetter"/>
      <w:start w:val="1"/>
    </w:lvl>
    <w:lvl w:ilvl="1">
      <w:lvlJc w:val="left"/>
      <w:lvlText w:val="(%2)"/>
      <w:numFmt w:val="lowerLetter"/>
      <w:start w:val="1"/>
    </w:lvl>
  </w:abstractNum>
  <w:abstractNum w:abstractNumId="102">
    <w:nsid w:val="7525F2BC"/>
    <w:multiLevelType w:val="hybridMultilevel"/>
    <w:lvl w:ilvl="0">
      <w:lvlJc w:val="left"/>
      <w:lvlText w:val="(%1)"/>
      <w:numFmt w:val="lowerLetter"/>
      <w:start w:val="9"/>
    </w:lvl>
    <w:lvl w:ilvl="1">
      <w:lvlJc w:val="left"/>
      <w:lvlText w:val="(%2)"/>
      <w:numFmt w:val="lowerLetter"/>
      <w:start w:val="3"/>
    </w:lvl>
  </w:abstractNum>
  <w:abstractNum w:abstractNumId="103">
    <w:nsid w:val="CE8E1A7"/>
    <w:multiLevelType w:val="hybridMultilevel"/>
    <w:lvl w:ilvl="0">
      <w:lvlJc w:val="left"/>
      <w:lvlText w:val="(%1)"/>
      <w:numFmt w:val="lowerLetter"/>
      <w:start w:val="1"/>
    </w:lvl>
  </w:abstractNum>
  <w:abstractNum w:abstractNumId="104">
    <w:nsid w:val="4E9EFB0D"/>
    <w:multiLevelType w:val="hybridMultilevel"/>
    <w:lvl w:ilvl="0">
      <w:lvlJc w:val="left"/>
      <w:lvlText w:val="%1."/>
      <w:numFmt w:val="decimal"/>
      <w:start w:val="1"/>
    </w:lvl>
    <w:lvl w:ilvl="1">
      <w:lvlJc w:val="left"/>
      <w:lvlText w:val="(%2)"/>
      <w:numFmt w:val="lowerLetter"/>
      <w:start w:val="1"/>
    </w:lvl>
  </w:abstractNum>
  <w:abstractNum w:abstractNumId="105">
    <w:nsid w:val="90802BE"/>
    <w:multiLevelType w:val="hybridMultilevel"/>
    <w:lvl w:ilvl="0">
      <w:lvlJc w:val="left"/>
      <w:lvlText w:val="%1."/>
      <w:numFmt w:val="decimal"/>
      <w:start w:val="1"/>
    </w:lvl>
  </w:abstractNum>
  <w:abstractNum w:abstractNumId="106">
    <w:nsid w:val="3266459B"/>
    <w:multiLevelType w:val="hybridMultilevel"/>
    <w:lvl w:ilvl="0">
      <w:lvlJc w:val="left"/>
      <w:lvlText w:val="(%1)"/>
      <w:numFmt w:val="lowerLetter"/>
      <w:start w:val="1"/>
    </w:lvl>
  </w:abstractNum>
  <w:abstractNum w:abstractNumId="107">
    <w:nsid w:val="3F8B0CBF"/>
    <w:multiLevelType w:val="hybridMultilevel"/>
    <w:lvl w:ilvl="0">
      <w:lvlJc w:val="left"/>
      <w:lvlText w:val="%1."/>
      <w:numFmt w:val="decimal"/>
      <w:start w:val="2"/>
    </w:lvl>
  </w:abstractNum>
  <w:abstractNum w:abstractNumId="108">
    <w:nsid w:val="37E203AB"/>
    <w:multiLevelType w:val="hybridMultilevel"/>
    <w:lvl w:ilvl="0">
      <w:lvlJc w:val="left"/>
      <w:lvlText w:val="(%1)"/>
      <w:numFmt w:val="lowerLetter"/>
      <w:start w:val="1"/>
    </w:lvl>
  </w:abstractNum>
  <w:abstractNum w:abstractNumId="109">
    <w:nsid w:val="2586D60E"/>
    <w:multiLevelType w:val="hybridMultilevel"/>
    <w:lvl w:ilvl="0">
      <w:lvlJc w:val="left"/>
      <w:lvlText w:val="(%1)"/>
      <w:numFmt w:val="lowerLetter"/>
      <w:start w:val="2"/>
    </w:lvl>
  </w:abstractNum>
  <w:abstractNum w:abstractNumId="110">
    <w:nsid w:val="1F3DA4D5"/>
    <w:multiLevelType w:val="hybridMultilevel"/>
    <w:lvl w:ilvl="0">
      <w:lvlJc w:val="left"/>
      <w:lvlText w:val="%1."/>
      <w:numFmt w:val="decimal"/>
      <w:start w:val="3"/>
    </w:lvl>
  </w:abstractNum>
  <w:abstractNum w:abstractNumId="111">
    <w:nsid w:val="74C93698"/>
    <w:multiLevelType w:val="hybridMultilevel"/>
    <w:lvl w:ilvl="0">
      <w:lvlJc w:val="left"/>
      <w:lvlText w:val="%1."/>
      <w:numFmt w:val="decimal"/>
      <w:start w:val="4"/>
    </w:lvl>
  </w:abstractNum>
  <w:abstractNum w:abstractNumId="112">
    <w:nsid w:val="48781401"/>
    <w:multiLevelType w:val="hybridMultilevel"/>
    <w:lvl w:ilvl="0">
      <w:lvlJc w:val="left"/>
      <w:lvlText w:val="(%1)"/>
      <w:numFmt w:val="lowerLetter"/>
      <w:start w:val="1"/>
    </w:lvl>
  </w:abstractNum>
  <w:abstractNum w:abstractNumId="113">
    <w:nsid w:val="186928D6"/>
    <w:multiLevelType w:val="hybridMultilevel"/>
    <w:lvl w:ilvl="0">
      <w:lvlJc w:val="left"/>
      <w:lvlText w:val="%1."/>
      <w:numFmt w:val="decimal"/>
      <w:start w:val="5"/>
    </w:lvl>
  </w:abstractNum>
  <w:abstractNum w:abstractNumId="114">
    <w:nsid w:val="47195E5"/>
    <w:multiLevelType w:val="hybridMultilevel"/>
    <w:lvl w:ilvl="0">
      <w:lvlJc w:val="left"/>
      <w:lvlText w:val="%1."/>
      <w:numFmt w:val="decimal"/>
      <w:start w:val="6"/>
    </w:lvl>
  </w:abstractNum>
  <w:abstractNum w:abstractNumId="115">
    <w:nsid w:val="3746A5F2"/>
    <w:multiLevelType w:val="hybridMultilevel"/>
    <w:lvl w:ilvl="0">
      <w:lvlJc w:val="left"/>
      <w:lvlText w:val="%1."/>
      <w:numFmt w:val="decimal"/>
      <w:start w:val="7"/>
    </w:lvl>
  </w:abstractNum>
  <w:abstractNum w:abstractNumId="116">
    <w:nsid w:val="682DFED6"/>
    <w:multiLevelType w:val="hybridMultilevel"/>
    <w:lvl w:ilvl="0">
      <w:lvlJc w:val="left"/>
      <w:lvlText w:val="%1."/>
      <w:numFmt w:val="decimal"/>
      <w:start w:val="8"/>
    </w:lvl>
  </w:abstractNum>
  <w:abstractNum w:abstractNumId="117">
    <w:nsid w:val="606ED7F6"/>
    <w:multiLevelType w:val="hybridMultilevel"/>
    <w:lvl w:ilvl="0">
      <w:lvlJc w:val="left"/>
      <w:lvlText w:val="%1."/>
      <w:numFmt w:val="decimal"/>
      <w:start w:val="9"/>
    </w:lvl>
  </w:abstractNum>
  <w:abstractNum w:abstractNumId="118">
    <w:nsid w:val="2D9DF57D"/>
    <w:multiLevelType w:val="hybridMultilevel"/>
    <w:lvl w:ilvl="0">
      <w:lvlJc w:val="left"/>
      <w:lvlText w:val="%1."/>
      <w:numFmt w:val="decimal"/>
      <w:start w:val="10"/>
    </w:lvl>
  </w:abstractNum>
  <w:abstractNum w:abstractNumId="119">
    <w:nsid w:val="7FBD7A3E"/>
    <w:multiLevelType w:val="hybridMultilevel"/>
    <w:lvl w:ilvl="0">
      <w:lvlJc w:val="left"/>
      <w:lvlText w:val="%1."/>
      <w:numFmt w:val="decimal"/>
      <w:start w:val="11"/>
    </w:lvl>
  </w:abstractNum>
  <w:abstractNum w:abstractNumId="120">
    <w:nsid w:val="490B7C5"/>
    <w:multiLevelType w:val="hybridMultilevel"/>
    <w:lvl w:ilvl="0">
      <w:lvlJc w:val="left"/>
      <w:lvlText w:val="%1."/>
      <w:numFmt w:val="decimal"/>
      <w:start w:val="12"/>
    </w:lvl>
  </w:abstractNum>
  <w:abstractNum w:abstractNumId="121">
    <w:nsid w:val="4303A216"/>
    <w:multiLevelType w:val="hybridMultilevel"/>
    <w:lvl w:ilvl="0">
      <w:lvlJc w:val="left"/>
      <w:lvlText w:val="%1."/>
      <w:numFmt w:val="decimal"/>
      <w:start w:val="13"/>
    </w:lvl>
  </w:abstractNum>
  <w:abstractNum w:abstractNumId="122">
    <w:nsid w:val="19B8A08E"/>
    <w:multiLevelType w:val="hybridMultilevel"/>
    <w:lvl w:ilvl="0">
      <w:lvlJc w:val="left"/>
      <w:lvlText w:val="%1"/>
      <w:numFmt w:val="lowerLetter"/>
      <w:start w:val="1"/>
    </w:lvl>
    <w:lvl w:ilvl="1">
      <w:lvlJc w:val="left"/>
      <w:lvlText w:val="(%2)"/>
      <w:numFmt w:val="lowerLetter"/>
      <w:start w:val="3"/>
    </w:lvl>
  </w:abstractNum>
  <w:abstractNum w:abstractNumId="123">
    <w:nsid w:val="54B59621"/>
    <w:multiLevelType w:val="hybridMultilevel"/>
    <w:lvl w:ilvl="0">
      <w:lvlJc w:val="left"/>
      <w:lvlText w:val="(%1)"/>
      <w:numFmt w:val="lowerLetter"/>
      <w:start w:val="9"/>
    </w:lvl>
    <w:lvl w:ilvl="1">
      <w:lvlJc w:val="left"/>
      <w:lvlText w:val="%2"/>
      <w:numFmt w:val="lowerLetter"/>
      <w:start w:val="1"/>
    </w:lvl>
  </w:abstractNum>
  <w:abstractNum w:abstractNumId="124">
    <w:nsid w:val="5992A02E"/>
    <w:multiLevelType w:val="hybridMultilevel"/>
    <w:lvl w:ilvl="0">
      <w:lvlJc w:val="left"/>
      <w:lvlText w:val="(%1)"/>
      <w:numFmt w:val="lowerRoman"/>
      <w:start w:val="2"/>
    </w:lvl>
  </w:abstractNum>
  <w:abstractNum w:abstractNumId="125">
    <w:nsid w:val="29EF532D"/>
    <w:multiLevelType w:val="hybridMultilevel"/>
    <w:lvl w:ilvl="0">
      <w:lvlJc w:val="left"/>
      <w:lvlText w:val="(%1)"/>
      <w:numFmt w:val="lowerLetter"/>
      <w:start w:val="4"/>
    </w:lvl>
  </w:abstractNum>
  <w:abstractNum w:abstractNumId="126">
    <w:nsid w:val="71D601AF"/>
    <w:multiLevelType w:val="hybridMultilevel"/>
    <w:lvl w:ilvl="0">
      <w:lvlJc w:val="left"/>
      <w:lvlText w:val="%1."/>
      <w:numFmt w:val="decimal"/>
      <w:start w:val="1"/>
    </w:lvl>
  </w:abstractNum>
  <w:abstractNum w:abstractNumId="127">
    <w:nsid w:val="52C77402"/>
    <w:multiLevelType w:val="hybridMultilevel"/>
    <w:lvl w:ilvl="0">
      <w:lvlJc w:val="left"/>
      <w:lvlText w:val="(%1)"/>
      <w:numFmt w:val="lowerLetter"/>
      <w:start w:val="1"/>
    </w:lvl>
  </w:abstractNum>
  <w:abstractNum w:abstractNumId="128">
    <w:nsid w:val="2BB5B1C6"/>
    <w:multiLevelType w:val="hybridMultilevel"/>
    <w:lvl w:ilvl="0">
      <w:lvlJc w:val="left"/>
      <w:lvlText w:val="%1."/>
      <w:numFmt w:val="decimal"/>
      <w:start w:val="2"/>
    </w:lvl>
  </w:abstractNum>
  <w:abstractNum w:abstractNumId="129">
    <w:nsid w:val="66BE6B9"/>
    <w:multiLevelType w:val="hybridMultilevel"/>
    <w:lvl w:ilvl="0">
      <w:lvlJc w:val="left"/>
      <w:lvlText w:val="(%1)"/>
      <w:numFmt w:val="lowerLetter"/>
      <w:start w:val="1"/>
    </w:lvl>
  </w:abstractNum>
  <w:abstractNum w:abstractNumId="130">
    <w:nsid w:val="62234363"/>
    <w:multiLevelType w:val="hybridMultilevel"/>
    <w:lvl w:ilvl="0">
      <w:lvlJc w:val="left"/>
      <w:lvlText w:val="(%1)"/>
      <w:numFmt w:val="lowerLetter"/>
      <w:start w:val="2"/>
    </w:lvl>
  </w:abstractNum>
  <w:abstractNum w:abstractNumId="131">
    <w:nsid w:val="66D385C9"/>
    <w:multiLevelType w:val="hybridMultilevel"/>
    <w:lvl w:ilvl="0">
      <w:lvlJc w:val="left"/>
      <w:lvlText w:val="%1."/>
      <w:numFmt w:val="decimal"/>
      <w:start w:val="3"/>
    </w:lvl>
  </w:abstractNum>
  <w:abstractNum w:abstractNumId="132">
    <w:nsid w:val="596F6D8A"/>
    <w:multiLevelType w:val="hybridMultilevel"/>
    <w:lvl w:ilvl="0">
      <w:lvlJc w:val="left"/>
      <w:lvlText w:val="%1."/>
      <w:numFmt w:val="decimal"/>
      <w:start w:val="4"/>
    </w:lvl>
  </w:abstractNum>
  <w:abstractNum w:abstractNumId="133">
    <w:nsid w:val="5749361F"/>
    <w:multiLevelType w:val="hybridMultilevel"/>
    <w:lvl w:ilvl="0">
      <w:lvlJc w:val="left"/>
      <w:lvlText w:val="(%1)"/>
      <w:numFmt w:val="lowerLetter"/>
      <w:start w:val="1"/>
    </w:lvl>
  </w:abstractNum>
  <w:abstractNum w:abstractNumId="134">
    <w:nsid w:val="73BC6770"/>
    <w:multiLevelType w:val="hybridMultilevel"/>
    <w:lvl w:ilvl="0">
      <w:lvlJc w:val="left"/>
      <w:lvlText w:val="%1."/>
      <w:numFmt w:val="decimal"/>
      <w:start w:val="5"/>
    </w:lvl>
  </w:abstractNum>
  <w:abstractNum w:abstractNumId="135">
    <w:nsid w:val="280E6897"/>
    <w:multiLevelType w:val="hybridMultilevel"/>
    <w:lvl w:ilvl="0">
      <w:lvlJc w:val="left"/>
      <w:lvlText w:val="%1."/>
      <w:numFmt w:val="decimal"/>
      <w:start w:val="6"/>
    </w:lvl>
  </w:abstractNum>
  <w:abstractNum w:abstractNumId="136">
    <w:nsid w:val="605138DE"/>
    <w:multiLevelType w:val="hybridMultilevel"/>
    <w:lvl w:ilvl="0">
      <w:lvlJc w:val="left"/>
      <w:lvlText w:val="%1."/>
      <w:numFmt w:val="decimal"/>
      <w:start w:val="7"/>
    </w:lvl>
  </w:abstractNum>
  <w:abstractNum w:abstractNumId="137">
    <w:nsid w:val="2622AD0C"/>
    <w:multiLevelType w:val="hybridMultilevel"/>
    <w:lvl w:ilvl="0">
      <w:lvlJc w:val="left"/>
      <w:lvlText w:val="%1."/>
      <w:numFmt w:val="decimal"/>
      <w:start w:val="8"/>
    </w:lvl>
  </w:abstractNum>
  <w:abstractNum w:abstractNumId="138">
    <w:nsid w:val="67997556"/>
    <w:multiLevelType w:val="hybridMultilevel"/>
    <w:lvl w:ilvl="0">
      <w:lvlJc w:val="left"/>
      <w:lvlText w:val="%1."/>
      <w:numFmt w:val="decimal"/>
      <w:start w:val="9"/>
    </w:lvl>
  </w:abstractNum>
  <w:abstractNum w:abstractNumId="139">
    <w:nsid w:val="18333C89"/>
    <w:multiLevelType w:val="hybridMultilevel"/>
    <w:lvl w:ilvl="0">
      <w:lvlJc w:val="left"/>
      <w:lvlText w:val="%1."/>
      <w:numFmt w:val="decimal"/>
      <w:start w:val="10"/>
    </w:lvl>
  </w:abstractNum>
  <w:abstractNum w:abstractNumId="140">
    <w:nsid w:val="4BA9831A"/>
    <w:multiLevelType w:val="hybridMultilevel"/>
    <w:lvl w:ilvl="0">
      <w:lvlJc w:val="left"/>
      <w:lvlText w:val="%1."/>
      <w:numFmt w:val="decimal"/>
      <w:start w:val="11"/>
    </w:lvl>
  </w:abstractNum>
  <w:abstractNum w:abstractNumId="141">
    <w:nsid w:val="6D71A2B"/>
    <w:multiLevelType w:val="hybridMultilevel"/>
    <w:lvl w:ilvl="0">
      <w:lvlJc w:val="left"/>
      <w:lvlText w:val="%1."/>
      <w:numFmt w:val="decimal"/>
      <w:start w:val="12"/>
    </w:lvl>
  </w:abstractNum>
  <w:abstractNum w:abstractNumId="142">
    <w:nsid w:val="CFC7321"/>
    <w:multiLevelType w:val="hybridMultilevel"/>
    <w:lvl w:ilvl="0">
      <w:lvlJc w:val="left"/>
      <w:lvlText w:val="%1."/>
      <w:numFmt w:val="decimal"/>
      <w:start w:val="13"/>
    </w:lvl>
  </w:abstractNum>
  <w:abstractNum w:abstractNumId="143">
    <w:nsid w:val="1421971B"/>
    <w:multiLevelType w:val="hybridMultilevel"/>
    <w:lvl w:ilvl="0">
      <w:lvlJc w:val="left"/>
      <w:lvlText w:val="%1"/>
      <w:numFmt w:val="lowerRoman"/>
      <w:start w:val="1"/>
    </w:lvl>
    <w:lvl w:ilvl="1">
      <w:lvlJc w:val="left"/>
      <w:lvlText w:val="(%2)"/>
      <w:numFmt w:val="lowerLetter"/>
      <w:start w:val="3"/>
    </w:lvl>
  </w:abstractNum>
  <w:abstractNum w:abstractNumId="144">
    <w:nsid w:val="1F404301"/>
    <w:multiLevelType w:val="hybridMultilevel"/>
    <w:lvl w:ilvl="0">
      <w:lvlJc w:val="left"/>
      <w:lvlText w:val="(%1)"/>
      <w:numFmt w:val="lowerRoman"/>
      <w:start w:val="1"/>
    </w:lvl>
    <w:lvl w:ilvl="1">
      <w:lvlJc w:val="left"/>
      <w:lvlText w:val="%2"/>
      <w:numFmt w:val="lowerLetter"/>
      <w:start w:val="1"/>
    </w:lvl>
  </w:abstractNum>
  <w:abstractNum w:abstractNumId="145">
    <w:nsid w:val="116E0907"/>
    <w:multiLevelType w:val="hybridMultilevel"/>
    <w:lvl w:ilvl="0">
      <w:lvlJc w:val="left"/>
      <w:lvlText w:val="(%1)"/>
      <w:numFmt w:val="lowerLetter"/>
      <w:start w:val="4"/>
    </w:lvl>
  </w:abstractNum>
  <w:abstractNum w:abstractNumId="146">
    <w:nsid w:val="4B683D0D"/>
    <w:multiLevelType w:val="hybridMultilevel"/>
    <w:lvl w:ilvl="0">
      <w:lvlJc w:val="left"/>
      <w:lvlText w:val="%1."/>
      <w:numFmt w:val="decimal"/>
      <w:start w:val="1"/>
    </w:lvl>
  </w:abstractNum>
  <w:abstractNum w:abstractNumId="147">
    <w:nsid w:val="76E41D8"/>
    <w:multiLevelType w:val="hybridMultilevel"/>
    <w:lvl w:ilvl="0">
      <w:lvlJc w:val="left"/>
      <w:lvlText w:val="(%1)"/>
      <w:numFmt w:val="lowerLetter"/>
      <w:start w:val="1"/>
    </w:lvl>
  </w:abstractNum>
  <w:abstractNum w:abstractNumId="148">
    <w:nsid w:val="71DCE0FD"/>
    <w:multiLevelType w:val="hybridMultilevel"/>
    <w:lvl w:ilvl="0">
      <w:lvlJc w:val="left"/>
      <w:lvlText w:val="%1."/>
      <w:numFmt w:val="decimal"/>
      <w:start w:val="2"/>
    </w:lvl>
  </w:abstractNum>
  <w:abstractNum w:abstractNumId="149">
    <w:nsid w:val="7906328B"/>
    <w:multiLevelType w:val="hybridMultilevel"/>
    <w:lvl w:ilvl="0">
      <w:lvlJc w:val="left"/>
      <w:lvlText w:val="(%1)"/>
      <w:numFmt w:val="lowerLetter"/>
      <w:start w:val="2"/>
    </w:lvl>
  </w:abstractNum>
  <w:abstractNum w:abstractNumId="150">
    <w:nsid w:val="72BBC16"/>
    <w:multiLevelType w:val="hybridMultilevel"/>
    <w:lvl w:ilvl="0">
      <w:lvlJc w:val="left"/>
      <w:lvlText w:val="%1."/>
      <w:numFmt w:val="decimal"/>
      <w:start w:val="3"/>
    </w:lvl>
  </w:abstractNum>
  <w:abstractNum w:abstractNumId="151">
    <w:nsid w:val="766D98C2"/>
    <w:multiLevelType w:val="hybridMultilevel"/>
    <w:lvl w:ilvl="0">
      <w:lvlJc w:val="left"/>
      <w:lvlText w:val="%1."/>
      <w:numFmt w:val="decimal"/>
      <w:start w:val="4"/>
    </w:lvl>
  </w:abstractNum>
  <w:abstractNum w:abstractNumId="152">
    <w:nsid w:val="3C09D4A1"/>
    <w:multiLevelType w:val="hybridMultilevel"/>
    <w:lvl w:ilvl="0">
      <w:lvlJc w:val="left"/>
      <w:lvlText w:val="%1."/>
      <w:numFmt w:val="decimal"/>
      <w:start w:val="5"/>
    </w:lvl>
  </w:abstractNum>
  <w:abstractNum w:abstractNumId="153">
    <w:nsid w:val="20E45CA4"/>
    <w:multiLevelType w:val="hybridMultilevel"/>
    <w:lvl w:ilvl="0">
      <w:lvlJc w:val="left"/>
      <w:lvlText w:val="%1."/>
      <w:numFmt w:val="decimal"/>
      <w:start w:val="6"/>
    </w:lvl>
  </w:abstractNum>
  <w:abstractNum w:abstractNumId="154">
    <w:nsid w:val="4B232EE3"/>
    <w:multiLevelType w:val="hybridMultilevel"/>
    <w:lvl w:ilvl="0">
      <w:lvlJc w:val="left"/>
      <w:lvlText w:val="%1."/>
      <w:numFmt w:val="decimal"/>
      <w:start w:val="7"/>
    </w:lvl>
  </w:abstractNum>
  <w:abstractNum w:abstractNumId="155">
    <w:nsid w:val="159C74CF"/>
    <w:multiLevelType w:val="hybridMultilevel"/>
    <w:lvl w:ilvl="0">
      <w:lvlJc w:val="left"/>
      <w:lvlText w:val="%1."/>
      <w:numFmt w:val="decimal"/>
      <w:start w:val="8"/>
    </w:lvl>
  </w:abstractNum>
  <w:abstractNum w:abstractNumId="156">
    <w:nsid w:val="4AD3AFD2"/>
    <w:multiLevelType w:val="hybridMultilevel"/>
    <w:lvl w:ilvl="0">
      <w:lvlJc w:val="left"/>
      <w:lvlText w:val="%1."/>
      <w:numFmt w:val="decimal"/>
      <w:start w:val="9"/>
    </w:lvl>
  </w:abstractNum>
  <w:abstractNum w:abstractNumId="157">
    <w:nsid w:val="3CF93092"/>
    <w:multiLevelType w:val="hybridMultilevel"/>
    <w:lvl w:ilvl="0">
      <w:lvlJc w:val="left"/>
      <w:lvlText w:val="%1."/>
      <w:numFmt w:val="decimal"/>
      <w:start w:val="10"/>
    </w:lvl>
  </w:abstractNum>
  <w:abstractNum w:abstractNumId="158">
    <w:nsid w:val="6863E8D2"/>
    <w:multiLevelType w:val="hybridMultilevel"/>
    <w:lvl w:ilvl="0">
      <w:lvlJc w:val="left"/>
      <w:lvlText w:val="%1."/>
      <w:numFmt w:val="decimal"/>
      <w:start w:val="11"/>
    </w:lvl>
  </w:abstractNum>
  <w:abstractNum w:abstractNumId="159">
    <w:nsid w:val="76896198"/>
    <w:multiLevelType w:val="hybridMultilevel"/>
    <w:lvl w:ilvl="0">
      <w:lvlJc w:val="left"/>
      <w:lvlText w:val="%1."/>
      <w:numFmt w:val="decimal"/>
      <w:start w:val="12"/>
    </w:lvl>
  </w:abstractNum>
  <w:abstractNum w:abstractNumId="160">
    <w:nsid w:val="4365174B"/>
    <w:multiLevelType w:val="hybridMultilevel"/>
    <w:lvl w:ilvl="0">
      <w:lvlJc w:val="left"/>
      <w:lvlText w:val="%1."/>
      <w:numFmt w:val="decimal"/>
      <w:start w:val="13"/>
    </w:lvl>
  </w:abstractNum>
  <w:abstractNum w:abstractNumId="161">
    <w:nsid w:val="4A872C35"/>
    <w:multiLevelType w:val="hybridMultilevel"/>
    <w:lvl w:ilvl="0">
      <w:lvlJc w:val="left"/>
      <w:lvlText w:val="%1"/>
      <w:numFmt w:val="lowerLetter"/>
      <w:start w:val="1"/>
    </w:lvl>
    <w:lvl w:ilvl="1">
      <w:lvlJc w:val="left"/>
      <w:lvlText w:val="(%2)"/>
      <w:numFmt w:val="lowerLetter"/>
      <w:start w:val="1"/>
    </w:lvl>
  </w:abstractNum>
  <w:abstractNum w:abstractNumId="162">
    <w:nsid w:val="5D5CE761"/>
    <w:multiLevelType w:val="hybridMultilevel"/>
    <w:lvl w:ilvl="0">
      <w:lvlJc w:val="left"/>
      <w:lvlText w:val="(%1)"/>
      <w:numFmt w:val="lowerLetter"/>
      <w:start w:val="9"/>
    </w:lvl>
    <w:lvl w:ilvl="1">
      <w:lvlJc w:val="left"/>
      <w:lvlText w:val="%2"/>
      <w:numFmt w:val="lowerLetter"/>
      <w:start w:val="1"/>
    </w:lvl>
  </w:abstractNum>
  <w:abstractNum w:abstractNumId="163">
    <w:nsid w:val="1CD484D5"/>
    <w:multiLevelType w:val="hybridMultilevel"/>
    <w:lvl w:ilvl="0">
      <w:lvlJc w:val="left"/>
      <w:lvlText w:val="(%1)"/>
      <w:numFmt w:val="lowerRoman"/>
      <w:start w:val="2"/>
    </w:lvl>
  </w:abstractNum>
  <w:abstractNum w:abstractNumId="164">
    <w:nsid w:val="21D06255"/>
    <w:multiLevelType w:val="hybridMultilevel"/>
    <w:lvl w:ilvl="0">
      <w:lvlJc w:val="left"/>
      <w:lvlText w:val="(%1)"/>
      <w:numFmt w:val="lowerLetter"/>
      <w:start w:val="2"/>
    </w:lvl>
  </w:abstractNum>
  <w:abstractNum w:abstractNumId="165">
    <w:nsid w:val="51194ED1"/>
    <w:multiLevelType w:val="hybridMultilevel"/>
    <w:lvl w:ilvl="0">
      <w:lvlJc w:val="left"/>
      <w:lvlText w:val="(%1)"/>
      <w:numFmt w:val="lowerLetter"/>
      <w:start w:val="4"/>
    </w:lvl>
  </w:abstractNum>
  <w:abstractNum w:abstractNumId="166">
    <w:nsid w:val="44E2ED6C"/>
    <w:multiLevelType w:val="hybridMultilevel"/>
    <w:lvl w:ilvl="0">
      <w:lvlJc w:val="left"/>
      <w:lvlText w:val="%1."/>
      <w:numFmt w:val="decimal"/>
      <w:start w:val="1"/>
    </w:lvl>
  </w:abstractNum>
  <w:abstractNum w:abstractNumId="167">
    <w:nsid w:val="2219B33"/>
    <w:multiLevelType w:val="hybridMultilevel"/>
    <w:lvl w:ilvl="0">
      <w:lvlJc w:val="left"/>
      <w:lvlText w:val="(%1)"/>
      <w:numFmt w:val="lowerLetter"/>
      <w:start w:val="1"/>
    </w:lvl>
  </w:abstractNum>
  <w:abstractNum w:abstractNumId="168">
    <w:nsid w:val="773BFBDD"/>
    <w:multiLevelType w:val="hybridMultilevel"/>
    <w:lvl w:ilvl="0">
      <w:lvlJc w:val="left"/>
      <w:lvlText w:val="%1."/>
      <w:numFmt w:val="decimal"/>
      <w:start w:val="2"/>
    </w:lvl>
  </w:abstractNum>
  <w:abstractNum w:abstractNumId="169">
    <w:nsid w:val="2C7C62C2"/>
    <w:multiLevelType w:val="hybridMultilevel"/>
    <w:lvl w:ilvl="0">
      <w:lvlJc w:val="left"/>
      <w:lvlText w:val="(%1)"/>
      <w:numFmt w:val="lowerLetter"/>
      <w:start w:val="1"/>
    </w:lvl>
  </w:abstractNum>
  <w:abstractNum w:abstractNumId="170">
    <w:nsid w:val="1A54D7BC"/>
    <w:multiLevelType w:val="hybridMultilevel"/>
    <w:lvl w:ilvl="0">
      <w:lvlJc w:val="left"/>
      <w:lvlText w:val="%1."/>
      <w:numFmt w:val="decimal"/>
      <w:start w:val="3"/>
    </w:lvl>
  </w:abstractNum>
  <w:abstractNum w:abstractNumId="171">
    <w:nsid w:val="42E57EF7"/>
    <w:multiLevelType w:val="hybridMultilevel"/>
    <w:lvl w:ilvl="0">
      <w:lvlJc w:val="left"/>
      <w:lvlText w:val="(%1)"/>
      <w:numFmt w:val="lowerLetter"/>
      <w:start w:val="1"/>
    </w:lvl>
  </w:abstractNum>
  <w:abstractNum w:abstractNumId="172">
    <w:nsid w:val="33537CED"/>
    <w:multiLevelType w:val="hybridMultilevel"/>
    <w:lvl w:ilvl="0">
      <w:lvlJc w:val="left"/>
      <w:lvlText w:val="(%1)"/>
      <w:numFmt w:val="lowerLetter"/>
      <w:start w:val="3"/>
    </w:lvl>
  </w:abstractNum>
  <w:abstractNum w:abstractNumId="173">
    <w:nsid w:val="27514ADE"/>
    <w:multiLevelType w:val="hybridMultilevel"/>
    <w:lvl w:ilvl="0">
      <w:lvlJc w:val="left"/>
      <w:lvlText w:val="%1."/>
      <w:numFmt w:val="decimal"/>
      <w:start w:val="4"/>
    </w:lvl>
  </w:abstractNum>
  <w:abstractNum w:abstractNumId="174">
    <w:nsid w:val="57071613"/>
    <w:multiLevelType w:val="hybridMultilevel"/>
    <w:lvl w:ilvl="0">
      <w:lvlJc w:val="left"/>
      <w:lvlText w:val="(%1)"/>
      <w:numFmt w:val="lowerLetter"/>
      <w:start w:val="1"/>
    </w:lvl>
  </w:abstractNum>
  <w:abstractNum w:abstractNumId="175">
    <w:nsid w:val="5293BFEF"/>
    <w:multiLevelType w:val="hybridMultilevel"/>
    <w:lvl w:ilvl="0">
      <w:lvlJc w:val="left"/>
      <w:lvlText w:val="%1."/>
      <w:numFmt w:val="decimal"/>
      <w:start w:val="5"/>
    </w:lvl>
  </w:abstractNum>
  <w:abstractNum w:abstractNumId="176">
    <w:nsid w:val="38BF53E5"/>
    <w:multiLevelType w:val="hybridMultilevel"/>
    <w:lvl w:ilvl="0">
      <w:lvlJc w:val="left"/>
      <w:lvlText w:val="(%1)"/>
      <w:numFmt w:val="lowerLetter"/>
      <w:start w:val="1"/>
    </w:lvl>
  </w:abstractNum>
  <w:abstractNum w:abstractNumId="177">
    <w:nsid w:val="226F5320"/>
    <w:multiLevelType w:val="hybridMultilevel"/>
    <w:lvl w:ilvl="0">
      <w:lvlJc w:val="left"/>
      <w:lvlText w:val="(%1)"/>
      <w:numFmt w:val="lowerLetter"/>
      <w:start w:val="2"/>
    </w:lvl>
  </w:abstractNum>
  <w:abstractNum w:abstractNumId="178">
    <w:nsid w:val="5A0201C7"/>
    <w:multiLevelType w:val="hybridMultilevel"/>
    <w:lvl w:ilvl="0">
      <w:lvlJc w:val="left"/>
      <w:lvlText w:val="(%1)"/>
      <w:numFmt w:val="lowerLetter"/>
      <w:start w:val="7"/>
    </w:lvl>
  </w:abstractNum>
  <w:abstractNum w:abstractNumId="179">
    <w:nsid w:val="2A9C34E2"/>
    <w:multiLevelType w:val="hybridMultilevel"/>
    <w:lvl w:ilvl="0">
      <w:lvlJc w:val="left"/>
      <w:lvlText w:val="%1"/>
      <w:numFmt w:val="decimal"/>
      <w:start w:val="1"/>
    </w:lvl>
    <w:lvl w:ilvl="1">
      <w:lvlJc w:val="left"/>
      <w:lvlText w:val="(%2)"/>
      <w:numFmt w:val="lowerLetter"/>
      <w:start w:val="8"/>
    </w:lvl>
  </w:abstractNum>
  <w:abstractNum w:abstractNumId="180">
    <w:nsid w:val="1B7585AB"/>
    <w:multiLevelType w:val="hybridMultilevel"/>
    <w:lvl w:ilvl="0">
      <w:lvlJc w:val="left"/>
      <w:lvlText w:val="(%1)"/>
      <w:numFmt w:val="decimal"/>
      <w:start w:val="3"/>
    </w:lvl>
    <w:lvl w:ilvl="1">
      <w:lvlJc w:val="left"/>
      <w:lvlText w:val="%2"/>
      <w:numFmt w:val="lowerLetter"/>
      <w:start w:val="1"/>
    </w:lvl>
  </w:abstractNum>
  <w:abstractNum w:abstractNumId="181">
    <w:nsid w:val="612DBDDD"/>
    <w:multiLevelType w:val="hybridMultilevel"/>
    <w:lvl w:ilvl="0">
      <w:lvlJc w:val="left"/>
      <w:lvlText w:val="%1."/>
      <w:numFmt w:val="decimal"/>
      <w:start w:val="6"/>
    </w:lvl>
  </w:abstractNum>
  <w:abstractNum w:abstractNumId="182">
    <w:nsid w:val="2109CDA4"/>
    <w:multiLevelType w:val="hybridMultilevel"/>
    <w:lvl w:ilvl="0">
      <w:lvlJc w:val="left"/>
      <w:lvlText w:val="%1."/>
      <w:numFmt w:val="decimal"/>
      <w:start w:val="9"/>
    </w:lvl>
  </w:abstractNum>
  <w:abstractNum w:abstractNumId="183">
    <w:nsid w:val="577F5A4D"/>
    <w:multiLevelType w:val="hybridMultilevel"/>
    <w:lvl w:ilvl="0">
      <w:lvlJc w:val="left"/>
      <w:lvlText w:val="%1"/>
      <w:numFmt w:val="lowerRoman"/>
      <w:start w:val="1"/>
    </w:lvl>
    <w:lvl w:ilvl="1">
      <w:lvlJc w:val="left"/>
      <w:lvlText w:val="(%2)"/>
      <w:numFmt w:val="lowerLetter"/>
      <w:start w:val="1"/>
    </w:lvl>
  </w:abstractNum>
  <w:abstractNum w:abstractNumId="184">
    <w:nsid w:val="2121A81"/>
    <w:multiLevelType w:val="hybridMultilevel"/>
    <w:lvl w:ilvl="0">
      <w:lvlJc w:val="left"/>
      <w:lvlText w:val="(%1)"/>
      <w:numFmt w:val="lowerRoman"/>
      <w:start w:val="1"/>
    </w:lvl>
    <w:lvl w:ilvl="1">
      <w:lvlJc w:val="left"/>
      <w:lvlText w:val="%2"/>
      <w:numFmt w:val="lowerLetter"/>
      <w:start w:val="1"/>
    </w:lvl>
  </w:abstractNum>
  <w:abstractNum w:abstractNumId="185">
    <w:nsid w:val="6C2CFC88"/>
    <w:multiLevelType w:val="hybridMultilevel"/>
    <w:lvl w:ilvl="0">
      <w:lvlJc w:val="left"/>
      <w:lvlText w:val="(%1)"/>
      <w:numFmt w:val="lowerLetter"/>
      <w:start w:val="2"/>
    </w:lvl>
  </w:abstractNum>
  <w:abstractNum w:abstractNumId="186">
    <w:nsid w:val="6D1BCF1C"/>
    <w:multiLevelType w:val="hybridMultilevel"/>
    <w:lvl w:ilvl="0">
      <w:lvlJc w:val="left"/>
      <w:lvlText w:val="(%1)"/>
      <w:numFmt w:val="lowerLetter"/>
      <w:start w:val="4"/>
    </w:lvl>
  </w:abstractNum>
  <w:abstractNum w:abstractNumId="187">
    <w:nsid w:val="4CE5CA53"/>
    <w:multiLevelType w:val="hybridMultilevel"/>
    <w:lvl w:ilvl="0">
      <w:lvlJc w:val="left"/>
      <w:lvlText w:val="%1."/>
      <w:numFmt w:val="decimal"/>
      <w:start w:val="1"/>
    </w:lvl>
  </w:abstractNum>
  <w:abstractNum w:abstractNumId="188">
    <w:nsid w:val="29262D1A"/>
    <w:multiLevelType w:val="hybridMultilevel"/>
    <w:lvl w:ilvl="0">
      <w:lvlJc w:val="left"/>
      <w:lvlText w:val="(%1)"/>
      <w:numFmt w:val="lowerLetter"/>
      <w:start w:val="1"/>
    </w:lvl>
  </w:abstractNum>
  <w:abstractNum w:abstractNumId="189">
    <w:nsid w:val="557FB7EE"/>
    <w:multiLevelType w:val="hybridMultilevel"/>
    <w:lvl w:ilvl="0">
      <w:lvlJc w:val="left"/>
      <w:lvlText w:val="%1."/>
      <w:numFmt w:val="decimal"/>
      <w:start w:val="2"/>
    </w:lvl>
  </w:abstractNum>
  <w:abstractNum w:abstractNumId="190">
    <w:nsid w:val="436F2BEB"/>
    <w:multiLevelType w:val="hybridMultilevel"/>
    <w:lvl w:ilvl="0">
      <w:lvlJc w:val="left"/>
      <w:lvlText w:val="(%1)"/>
      <w:numFmt w:val="lowerLetter"/>
      <w:start w:val="2"/>
    </w:lvl>
  </w:abstractNum>
  <w:abstractNum w:abstractNumId="191">
    <w:nsid w:val="6C8B4466"/>
    <w:multiLevelType w:val="hybridMultilevel"/>
    <w:lvl w:ilvl="0">
      <w:lvlJc w:val="left"/>
      <w:lvlText w:val="%1."/>
      <w:numFmt w:val="decimal"/>
      <w:start w:val="3"/>
    </w:lvl>
  </w:abstractNum>
  <w:abstractNum w:abstractNumId="192">
    <w:nsid w:val="2006E424"/>
    <w:multiLevelType w:val="hybridMultilevel"/>
    <w:lvl w:ilvl="0">
      <w:lvlJc w:val="left"/>
      <w:lvlText w:val="%1."/>
      <w:numFmt w:val="decimal"/>
      <w:start w:val="4"/>
    </w:lvl>
  </w:abstractNum>
  <w:abstractNum w:abstractNumId="193">
    <w:nsid w:val="20CC134C"/>
    <w:multiLevelType w:val="hybridMultilevel"/>
    <w:lvl w:ilvl="0">
      <w:lvlJc w:val="left"/>
      <w:lvlText w:val="%1."/>
      <w:numFmt w:val="decimal"/>
      <w:start w:val="5"/>
    </w:lvl>
  </w:abstractNum>
  <w:abstractNum w:abstractNumId="194">
    <w:nsid w:val="95FC93B"/>
    <w:multiLevelType w:val="hybridMultilevel"/>
    <w:lvl w:ilvl="0">
      <w:lvlJc w:val="left"/>
      <w:lvlText w:val="%1."/>
      <w:numFmt w:val="decimal"/>
      <w:start w:val="6"/>
    </w:lvl>
  </w:abstractNum>
  <w:abstractNum w:abstractNumId="195">
    <w:nsid w:val="41D74679"/>
    <w:multiLevelType w:val="hybridMultilevel"/>
    <w:lvl w:ilvl="0">
      <w:lvlJc w:val="left"/>
      <w:lvlText w:val="%1."/>
      <w:numFmt w:val="decimal"/>
      <w:start w:val="7"/>
    </w:lvl>
  </w:abstractNum>
  <w:abstractNum w:abstractNumId="196">
    <w:nsid w:val="71E5621E"/>
    <w:multiLevelType w:val="hybridMultilevel"/>
    <w:lvl w:ilvl="0">
      <w:lvlJc w:val="left"/>
      <w:lvlText w:val="%1."/>
      <w:numFmt w:val="decimal"/>
      <w:start w:val="8"/>
    </w:lvl>
  </w:abstractNum>
  <w:abstractNum w:abstractNumId="197">
    <w:nsid w:val="4E42B6A8"/>
    <w:multiLevelType w:val="hybridMultilevel"/>
    <w:lvl w:ilvl="0">
      <w:lvlJc w:val="left"/>
      <w:lvlText w:val="%1."/>
      <w:numFmt w:val="decimal"/>
      <w:start w:val="9"/>
    </w:lvl>
  </w:abstractNum>
  <w:abstractNum w:abstractNumId="198">
    <w:nsid w:val="43F8E1AC"/>
    <w:multiLevelType w:val="hybridMultilevel"/>
    <w:lvl w:ilvl="0">
      <w:lvlJc w:val="left"/>
      <w:lvlText w:val="%1."/>
      <w:numFmt w:val="decimal"/>
      <w:start w:val="10"/>
    </w:lvl>
  </w:abstractNum>
  <w:abstractNum w:abstractNumId="199">
    <w:nsid w:val="69215DFB"/>
    <w:multiLevelType w:val="hybridMultilevel"/>
    <w:lvl w:ilvl="0">
      <w:lvlJc w:val="left"/>
      <w:lvlText w:val="%1."/>
      <w:numFmt w:val="decimal"/>
      <w:start w:val="11"/>
    </w:lvl>
  </w:abstractNum>
  <w:abstractNum w:abstractNumId="200">
    <w:nsid w:val="7ABF196A"/>
    <w:multiLevelType w:val="hybridMultilevel"/>
    <w:lvl w:ilvl="0">
      <w:lvlJc w:val="left"/>
      <w:lvlText w:val="%1."/>
      <w:numFmt w:val="decimal"/>
      <w:start w:val="12"/>
    </w:lvl>
  </w:abstractNum>
  <w:abstractNum w:abstractNumId="201">
    <w:nsid w:val="5E4DB968"/>
    <w:multiLevelType w:val="hybridMultilevel"/>
    <w:lvl w:ilvl="0">
      <w:lvlJc w:val="left"/>
      <w:lvlText w:val="%1."/>
      <w:numFmt w:val="decimal"/>
      <w:start w:val="13"/>
    </w:lvl>
  </w:abstractNum>
  <w:abstractNum w:abstractNumId="202">
    <w:nsid w:val="2C06DCF3"/>
    <w:multiLevelType w:val="hybridMultilevel"/>
    <w:lvl w:ilvl="0">
      <w:lvlJc w:val="left"/>
      <w:lvlText w:val="%1"/>
      <w:numFmt w:val="lowerLetter"/>
      <w:start w:val="1"/>
    </w:lvl>
    <w:lvl w:ilvl="1">
      <w:lvlJc w:val="left"/>
      <w:lvlText w:val="(%2)"/>
      <w:numFmt w:val="lowerLetter"/>
      <w:start w:val="1"/>
    </w:lvl>
  </w:abstractNum>
  <w:abstractNum w:abstractNumId="203">
    <w:nsid w:val="2E129658"/>
    <w:multiLevelType w:val="hybridMultilevel"/>
    <w:lvl w:ilvl="0">
      <w:lvlJc w:val="left"/>
      <w:lvlText w:val="(%1)"/>
      <w:numFmt w:val="lowerLetter"/>
      <w:start w:val="9"/>
    </w:lvl>
    <w:lvl w:ilvl="1">
      <w:lvlJc w:val="left"/>
      <w:lvlText w:val="%2"/>
      <w:numFmt w:val="lowerLetter"/>
      <w:start w:val="1"/>
    </w:lvl>
  </w:abstractNum>
  <w:abstractNum w:abstractNumId="204">
    <w:nsid w:val="59F0446"/>
    <w:multiLevelType w:val="hybridMultilevel"/>
    <w:lvl w:ilvl="0">
      <w:lvlJc w:val="left"/>
      <w:lvlText w:val="(%1)"/>
      <w:numFmt w:val="lowerRoman"/>
      <w:start w:val="2"/>
    </w:lvl>
  </w:abstractNum>
  <w:abstractNum w:abstractNumId="205">
    <w:nsid w:val="30DF306"/>
    <w:multiLevelType w:val="hybridMultilevel"/>
    <w:lvl w:ilvl="0">
      <w:lvlJc w:val="left"/>
      <w:lvlText w:val="(%1)"/>
      <w:numFmt w:val="lowerLetter"/>
      <w:start w:val="2"/>
    </w:lvl>
  </w:abstractNum>
  <w:abstractNum w:abstractNumId="206">
    <w:nsid w:val="A65647"/>
    <w:multiLevelType w:val="hybridMultilevel"/>
    <w:lvl w:ilvl="0">
      <w:lvlJc w:val="left"/>
      <w:lvlText w:val="(%1)"/>
      <w:numFmt w:val="lowerLetter"/>
      <w:start w:val="4"/>
    </w:lvl>
  </w:abstractNum>
  <w:abstractNum w:abstractNumId="207">
    <w:nsid w:val="3E5E582B"/>
    <w:multiLevelType w:val="hybridMultilevel"/>
    <w:lvl w:ilvl="0">
      <w:lvlJc w:val="left"/>
      <w:lvlText w:val="%1."/>
      <w:numFmt w:val="decimal"/>
      <w:start w:val="1"/>
    </w:lvl>
  </w:abstractNum>
  <w:abstractNum w:abstractNumId="208">
    <w:nsid w:val="257D4626"/>
    <w:multiLevelType w:val="hybridMultilevel"/>
    <w:lvl w:ilvl="0">
      <w:lvlJc w:val="left"/>
      <w:lvlText w:val="(%1)"/>
      <w:numFmt w:val="lowerLetter"/>
      <w:start w:val="1"/>
    </w:lvl>
  </w:abstractNum>
  <w:abstractNum w:abstractNumId="209">
    <w:nsid w:val="5AA8580E"/>
    <w:multiLevelType w:val="hybridMultilevel"/>
    <w:lvl w:ilvl="0">
      <w:lvlJc w:val="left"/>
      <w:lvlText w:val="%1."/>
      <w:numFmt w:val="decimal"/>
      <w:start w:val="2"/>
    </w:lvl>
  </w:abstractNum>
  <w:abstractNum w:abstractNumId="210">
    <w:nsid w:val="68FA8D0D"/>
    <w:multiLevelType w:val="hybridMultilevel"/>
    <w:lvl w:ilvl="0">
      <w:lvlJc w:val="left"/>
      <w:lvlText w:val="(%1)"/>
      <w:numFmt w:val="lowerLetter"/>
      <w:start w:val="1"/>
    </w:lvl>
  </w:abstractNum>
  <w:abstractNum w:abstractNumId="211">
    <w:nsid w:val="40F2CBD2"/>
    <w:multiLevelType w:val="hybridMultilevel"/>
    <w:lvl w:ilvl="0">
      <w:lvlJc w:val="left"/>
      <w:lvlText w:val="%1."/>
      <w:numFmt w:val="decimal"/>
      <w:start w:val="3"/>
    </w:lvl>
  </w:abstractNum>
  <w:abstractNum w:abstractNumId="212">
    <w:nsid w:val="3BD615EB"/>
    <w:multiLevelType w:val="hybridMultilevel"/>
    <w:lvl w:ilvl="0">
      <w:lvlJc w:val="left"/>
      <w:lvlText w:val="(%1)"/>
      <w:numFmt w:val="lowerLetter"/>
      <w:start w:val="1"/>
    </w:lvl>
  </w:abstractNum>
  <w:abstractNum w:abstractNumId="213">
    <w:nsid w:val="A045AB2"/>
    <w:multiLevelType w:val="hybridMultilevel"/>
    <w:lvl w:ilvl="0">
      <w:lvlJc w:val="left"/>
      <w:lvlText w:val="%1."/>
      <w:numFmt w:val="decimal"/>
      <w:start w:val="4"/>
    </w:lvl>
  </w:abstractNum>
  <w:abstractNum w:abstractNumId="214">
    <w:nsid w:val="1872261F"/>
    <w:multiLevelType w:val="hybridMultilevel"/>
    <w:lvl w:ilvl="0">
      <w:lvlJc w:val="left"/>
      <w:lvlText w:val="(%1)"/>
      <w:numFmt w:val="lowerLetter"/>
      <w:start w:val="1"/>
    </w:lvl>
  </w:abstractNum>
  <w:abstractNum w:abstractNumId="215">
    <w:nsid w:val="3DE8306C"/>
    <w:multiLevelType w:val="hybridMultilevel"/>
    <w:lvl w:ilvl="0">
      <w:lvlJc w:val="left"/>
      <w:lvlText w:val="%1."/>
      <w:numFmt w:val="decimal"/>
      <w:start w:val="5"/>
    </w:lvl>
  </w:abstractNum>
  <w:abstractNum w:abstractNumId="216">
    <w:nsid w:val="7631573A"/>
    <w:multiLevelType w:val="hybridMultilevel"/>
    <w:lvl w:ilvl="0">
      <w:lvlJc w:val="left"/>
      <w:lvlText w:val="(%1)"/>
      <w:numFmt w:val="lowerLetter"/>
      <w:start w:val="1"/>
    </w:lvl>
  </w:abstractNum>
  <w:abstractNum w:abstractNumId="217">
    <w:nsid w:val="58DF53B"/>
    <w:multiLevelType w:val="hybridMultilevel"/>
    <w:lvl w:ilvl="0">
      <w:lvlJc w:val="left"/>
      <w:lvlText w:val="(%1)"/>
      <w:numFmt w:val="lowerLetter"/>
      <w:start w:val="2"/>
    </w:lvl>
  </w:abstractNum>
  <w:abstractNum w:abstractNumId="218">
    <w:nsid w:val="ACDFAC0"/>
    <w:multiLevelType w:val="hybridMultilevel"/>
    <w:lvl w:ilvl="0">
      <w:lvlJc w:val="left"/>
      <w:lvlText w:val="(%1)"/>
      <w:numFmt w:val="lowerLetter"/>
      <w:start w:val="7"/>
    </w:lvl>
  </w:abstractNum>
  <w:abstractNum w:abstractNumId="219">
    <w:nsid w:val="1F578454"/>
    <w:multiLevelType w:val="hybridMultilevel"/>
    <w:lvl w:ilvl="0">
      <w:lvlJc w:val="left"/>
      <w:lvlText w:val="%1."/>
      <w:numFmt w:val="decimal"/>
      <w:start w:val="6"/>
    </w:lvl>
  </w:abstractNum>
  <w:abstractNum w:abstractNumId="220">
    <w:nsid w:val="5B0DAD2A"/>
    <w:multiLevelType w:val="hybridMultilevel"/>
    <w:lvl w:ilvl="0">
      <w:lvlJc w:val="left"/>
      <w:lvlText w:val="%1."/>
      <w:numFmt w:val="decimal"/>
      <w:start w:val="9"/>
    </w:lvl>
  </w:abstractNum>
  <w:abstractNum w:abstractNumId="221">
    <w:nsid w:val="4E3D26AB"/>
    <w:multiLevelType w:val="hybridMultilevel"/>
    <w:lvl w:ilvl="0">
      <w:lvlJc w:val="left"/>
      <w:lvlText w:val="%1"/>
      <w:numFmt w:val="lowerLetter"/>
      <w:start w:val="1"/>
    </w:lvl>
    <w:lvl w:ilvl="1">
      <w:lvlJc w:val="left"/>
      <w:lvlText w:val="(%2)"/>
      <w:numFmt w:val="lowerLetter"/>
      <w:start w:val="1"/>
    </w:lvl>
  </w:abstractNum>
  <w:abstractNum w:abstractNumId="222">
    <w:nsid w:val="BE2C8BA"/>
    <w:multiLevelType w:val="hybridMultilevel"/>
    <w:lvl w:ilvl="0">
      <w:lvlJc w:val="left"/>
      <w:lvlText w:val="(%1)"/>
      <w:numFmt w:val="lowerLetter"/>
      <w:start w:val="9"/>
    </w:lvl>
    <w:lvl w:ilvl="1">
      <w:lvlJc w:val="left"/>
      <w:lvlText w:val="%2"/>
      <w:numFmt w:val="lowerLetter"/>
      <w:start w:val="1"/>
    </w:lvl>
  </w:abstractNum>
  <w:abstractNum w:abstractNumId="223">
    <w:nsid w:val="7B14914E"/>
    <w:multiLevelType w:val="hybridMultilevel"/>
    <w:lvl w:ilvl="0">
      <w:lvlJc w:val="left"/>
      <w:lvlText w:val="(%1)"/>
      <w:numFmt w:val="lowerRoman"/>
      <w:start w:val="2"/>
    </w:lvl>
  </w:abstractNum>
  <w:abstractNum w:abstractNumId="224">
    <w:nsid w:val="6F0939F8"/>
    <w:multiLevelType w:val="hybridMultilevel"/>
    <w:lvl w:ilvl="0">
      <w:lvlJc w:val="left"/>
      <w:lvlText w:val="(%1)"/>
      <w:numFmt w:val="lowerLetter"/>
      <w:start w:val="2"/>
    </w:lvl>
  </w:abstractNum>
  <w:abstractNum w:abstractNumId="225">
    <w:nsid w:val="154291F6"/>
    <w:multiLevelType w:val="hybridMultilevel"/>
    <w:lvl w:ilvl="0">
      <w:lvlJc w:val="left"/>
      <w:lvlText w:val="(%1)"/>
      <w:numFmt w:val="lowerLetter"/>
      <w:start w:val="4"/>
    </w:lvl>
  </w:abstractNum>
  <w:abstractNum w:abstractNumId="226">
    <w:nsid w:val="3CEBD7C7"/>
    <w:multiLevelType w:val="hybridMultilevel"/>
    <w:lvl w:ilvl="0">
      <w:lvlJc w:val="left"/>
      <w:lvlText w:val="%1."/>
      <w:numFmt w:val="decimal"/>
      <w:start w:val="1"/>
    </w:lvl>
  </w:abstractNum>
  <w:abstractNum w:abstractNumId="227">
    <w:nsid w:val="60EE9C16"/>
    <w:multiLevelType w:val="hybridMultilevel"/>
    <w:lvl w:ilvl="0">
      <w:lvlJc w:val="left"/>
      <w:lvlText w:val="(%1)"/>
      <w:numFmt w:val="lowerLetter"/>
      <w:start w:val="1"/>
    </w:lvl>
  </w:abstractNum>
  <w:abstractNum w:abstractNumId="228">
    <w:nsid w:val="6385489E"/>
    <w:multiLevelType w:val="hybridMultilevel"/>
    <w:lvl w:ilvl="0">
      <w:lvlJc w:val="left"/>
      <w:lvlText w:val="%1."/>
      <w:numFmt w:val="decimal"/>
      <w:start w:val="2"/>
    </w:lvl>
  </w:abstractNum>
  <w:abstractNum w:abstractNumId="229">
    <w:nsid w:val="E4B973"/>
    <w:multiLevelType w:val="hybridMultilevel"/>
    <w:lvl w:ilvl="0">
      <w:lvlJc w:val="left"/>
      <w:lvlText w:val="(%1)"/>
      <w:numFmt w:val="lowerLetter"/>
      <w:start w:val="2"/>
    </w:lvl>
  </w:abstractNum>
  <w:abstractNum w:abstractNumId="230">
    <w:nsid w:val="4A0FFA11"/>
    <w:multiLevelType w:val="hybridMultilevel"/>
    <w:lvl w:ilvl="0">
      <w:lvlJc w:val="left"/>
      <w:lvlText w:val="%1."/>
      <w:numFmt w:val="decimal"/>
      <w:start w:val="3"/>
    </w:lvl>
  </w:abstractNum>
  <w:abstractNum w:abstractNumId="231">
    <w:nsid w:val="5E446208"/>
    <w:multiLevelType w:val="hybridMultilevel"/>
    <w:lvl w:ilvl="0">
      <w:lvlJc w:val="left"/>
      <w:lvlText w:val="%1."/>
      <w:numFmt w:val="decimal"/>
      <w:start w:val="4"/>
    </w:lvl>
  </w:abstractNum>
  <w:abstractNum w:abstractNumId="232">
    <w:nsid w:val="5F3272DB"/>
    <w:multiLevelType w:val="hybridMultilevel"/>
    <w:lvl w:ilvl="0">
      <w:lvlJc w:val="left"/>
      <w:lvlText w:val="%1."/>
      <w:numFmt w:val="decimal"/>
      <w:start w:val="5"/>
    </w:lvl>
  </w:abstractNum>
  <w:abstractNum w:abstractNumId="233">
    <w:nsid w:val="7616D704"/>
    <w:multiLevelType w:val="hybridMultilevel"/>
    <w:lvl w:ilvl="0">
      <w:lvlJc w:val="left"/>
      <w:lvlText w:val="%1."/>
      <w:numFmt w:val="decimal"/>
      <w:start w:val="6"/>
    </w:lvl>
  </w:abstractNum>
  <w:abstractNum w:abstractNumId="234">
    <w:nsid w:val="C56F860"/>
    <w:multiLevelType w:val="hybridMultilevel"/>
    <w:lvl w:ilvl="0">
      <w:lvlJc w:val="left"/>
      <w:lvlText w:val="%1."/>
      <w:numFmt w:val="decimal"/>
      <w:start w:val="7"/>
    </w:lvl>
  </w:abstractNum>
  <w:abstractNum w:abstractNumId="235">
    <w:nsid w:val="64D17722"/>
    <w:multiLevelType w:val="hybridMultilevel"/>
    <w:lvl w:ilvl="0">
      <w:lvlJc w:val="left"/>
      <w:lvlText w:val="%1."/>
      <w:numFmt w:val="decimal"/>
      <w:start w:val="8"/>
    </w:lvl>
  </w:abstractNum>
  <w:abstractNum w:abstractNumId="236">
    <w:nsid w:val="7924CA0A"/>
    <w:multiLevelType w:val="hybridMultilevel"/>
    <w:lvl w:ilvl="0">
      <w:lvlJc w:val="left"/>
      <w:lvlText w:val="%1."/>
      <w:numFmt w:val="decimal"/>
      <w:start w:val="9"/>
    </w:lvl>
  </w:abstractNum>
  <w:abstractNum w:abstractNumId="237">
    <w:nsid w:val="CFD4EA7"/>
    <w:multiLevelType w:val="hybridMultilevel"/>
    <w:lvl w:ilvl="0">
      <w:lvlJc w:val="left"/>
      <w:lvlText w:val="%1."/>
      <w:numFmt w:val="decimal"/>
      <w:start w:val="10"/>
    </w:lvl>
  </w:abstractNum>
  <w:abstractNum w:abstractNumId="238">
    <w:nsid w:val="232FCF4D"/>
    <w:multiLevelType w:val="hybridMultilevel"/>
    <w:lvl w:ilvl="0">
      <w:lvlJc w:val="left"/>
      <w:lvlText w:val="%1."/>
      <w:numFmt w:val="decimal"/>
      <w:start w:val="11"/>
    </w:lvl>
  </w:abstractNum>
  <w:abstractNum w:abstractNumId="239">
    <w:nsid w:val="1EA21031"/>
    <w:multiLevelType w:val="hybridMultilevel"/>
    <w:lvl w:ilvl="0">
      <w:lvlJc w:val="left"/>
      <w:lvlText w:val="%1."/>
      <w:numFmt w:val="decimal"/>
      <w:start w:val="12"/>
    </w:lvl>
  </w:abstractNum>
  <w:abstractNum w:abstractNumId="240">
    <w:nsid w:val="67A5A6B5"/>
    <w:multiLevelType w:val="hybridMultilevel"/>
    <w:lvl w:ilvl="0">
      <w:lvlJc w:val="left"/>
      <w:lvlText w:val="%1."/>
      <w:numFmt w:val="decimal"/>
      <w:start w:val="13"/>
    </w:lvl>
  </w:abstractNum>
  <w:abstractNum w:abstractNumId="241">
    <w:nsid w:val="C2A5C5B"/>
    <w:multiLevelType w:val="hybridMultilevel"/>
    <w:lvl w:ilvl="0">
      <w:lvlJc w:val="left"/>
      <w:lvlText w:val="%1"/>
      <w:numFmt w:val="lowerLetter"/>
      <w:start w:val="1"/>
    </w:lvl>
    <w:lvl w:ilvl="1">
      <w:lvlJc w:val="left"/>
      <w:lvlText w:val="(%2)"/>
      <w:numFmt w:val="lowerLetter"/>
      <w:start w:val="1"/>
    </w:lvl>
  </w:abstractNum>
  <w:abstractNum w:abstractNumId="242">
    <w:nsid w:val="5F94DC03"/>
    <w:multiLevelType w:val="hybridMultilevel"/>
    <w:lvl w:ilvl="0">
      <w:lvlJc w:val="left"/>
      <w:lvlText w:val="(%1)"/>
      <w:numFmt w:val="lowerLetter"/>
      <w:start w:val="9"/>
    </w:lvl>
    <w:lvl w:ilvl="1">
      <w:lvlJc w:val="left"/>
      <w:lvlText w:val="%2"/>
      <w:numFmt w:val="lowerLetter"/>
      <w:start w:val="1"/>
    </w:lvl>
  </w:abstractNum>
  <w:abstractNum w:abstractNumId="243">
    <w:nsid w:val="237BBCA0"/>
    <w:multiLevelType w:val="hybridMultilevel"/>
    <w:lvl w:ilvl="0">
      <w:lvlJc w:val="left"/>
      <w:lvlText w:val="(%1)"/>
      <w:numFmt w:val="lowerRoman"/>
      <w:start w:val="2"/>
    </w:lvl>
  </w:abstractNum>
  <w:abstractNum w:abstractNumId="244">
    <w:nsid w:val="162EB70D"/>
    <w:multiLevelType w:val="hybridMultilevel"/>
    <w:lvl w:ilvl="0">
      <w:lvlJc w:val="left"/>
      <w:lvlText w:val="(%1)"/>
      <w:numFmt w:val="lowerLetter"/>
      <w:start w:val="2"/>
    </w:lvl>
  </w:abstractNum>
  <w:abstractNum w:abstractNumId="245">
    <w:nsid w:val="78070222"/>
    <w:multiLevelType w:val="hybridMultilevel"/>
    <w:lvl w:ilvl="0">
      <w:lvlJc w:val="left"/>
      <w:lvlText w:val="(%1)"/>
      <w:numFmt w:val="lowerLetter"/>
      <w:start w:val="4"/>
    </w:lvl>
  </w:abstractNum>
  <w:abstractNum w:abstractNumId="246">
    <w:nsid w:val="6163ED0D"/>
    <w:multiLevelType w:val="hybridMultilevel"/>
    <w:lvl w:ilvl="0">
      <w:lvlJc w:val="left"/>
      <w:lvlText w:val="%1."/>
      <w:numFmt w:val="decimal"/>
      <w:start w:val="1"/>
    </w:lvl>
  </w:abstractNum>
  <w:abstractNum w:abstractNumId="247">
    <w:nsid w:val="C600E47"/>
    <w:multiLevelType w:val="hybridMultilevel"/>
    <w:lvl w:ilvl="0">
      <w:lvlJc w:val="left"/>
      <w:lvlText w:val="(%1)"/>
      <w:numFmt w:val="lowerLetter"/>
      <w:start w:val="1"/>
    </w:lvl>
  </w:abstractNum>
  <w:abstractNum w:abstractNumId="248">
    <w:nsid w:val="7D94F75D"/>
    <w:multiLevelType w:val="hybridMultilevel"/>
    <w:lvl w:ilvl="0">
      <w:lvlJc w:val="left"/>
      <w:lvlText w:val="%1."/>
      <w:numFmt w:val="decimal"/>
      <w:start w:val="2"/>
    </w:lvl>
  </w:abstractNum>
  <w:abstractNum w:abstractNumId="249">
    <w:nsid w:val="6C31E7CD"/>
    <w:multiLevelType w:val="hybridMultilevel"/>
    <w:lvl w:ilvl="0">
      <w:lvlJc w:val="left"/>
      <w:lvlText w:val="(%1)"/>
      <w:numFmt w:val="lowerLetter"/>
      <w:start w:val="1"/>
    </w:lvl>
  </w:abstractNum>
  <w:abstractNum w:abstractNumId="250">
    <w:nsid w:val="2BB7929B"/>
    <w:multiLevelType w:val="hybridMultilevel"/>
    <w:lvl w:ilvl="0">
      <w:lvlJc w:val="left"/>
      <w:lvlText w:val="%1."/>
      <w:numFmt w:val="decimal"/>
      <w:start w:val="3"/>
    </w:lvl>
  </w:abstractNum>
  <w:abstractNum w:abstractNumId="251">
    <w:nsid w:val="58A2A487"/>
    <w:multiLevelType w:val="hybridMultilevel"/>
    <w:lvl w:ilvl="0">
      <w:lvlJc w:val="left"/>
      <w:lvlText w:val="(%1)"/>
      <w:numFmt w:val="lowerLetter"/>
      <w:start w:val="1"/>
    </w:lvl>
  </w:abstractNum>
  <w:abstractNum w:abstractNumId="252">
    <w:nsid w:val="3A6F0E78"/>
    <w:multiLevelType w:val="hybridMultilevel"/>
    <w:lvl w:ilvl="0">
      <w:lvlJc w:val="left"/>
      <w:lvlText w:val="%1."/>
      <w:numFmt w:val="decimal"/>
      <w:start w:val="4"/>
    </w:lvl>
  </w:abstractNum>
  <w:abstractNum w:abstractNumId="253">
    <w:nsid w:val="379A5B56"/>
    <w:multiLevelType w:val="hybridMultilevel"/>
    <w:lvl w:ilvl="0">
      <w:lvlJc w:val="left"/>
      <w:lvlText w:val="(%1)"/>
      <w:numFmt w:val="lowerLetter"/>
      <w:start w:val="1"/>
    </w:lvl>
  </w:abstractNum>
  <w:abstractNum w:abstractNumId="254">
    <w:nsid w:val="53B735D5"/>
    <w:multiLevelType w:val="hybridMultilevel"/>
    <w:lvl w:ilvl="0">
      <w:lvlJc w:val="left"/>
      <w:lvlText w:val="%1."/>
      <w:numFmt w:val="decimal"/>
      <w:start w:val="5"/>
    </w:lvl>
  </w:abstractNum>
  <w:abstractNum w:abstractNumId="255">
    <w:nsid w:val="29784870"/>
    <w:multiLevelType w:val="hybridMultilevel"/>
    <w:lvl w:ilvl="0">
      <w:lvlJc w:val="left"/>
      <w:lvlText w:val="(%1)"/>
      <w:numFmt w:val="lowerLetter"/>
      <w:start w:val="1"/>
    </w:lvl>
  </w:abstractNum>
  <w:abstractNum w:abstractNumId="256">
    <w:nsid w:val="4CDCED4C"/>
    <w:multiLevelType w:val="hybridMultilevel"/>
    <w:lvl w:ilvl="0">
      <w:lvlJc w:val="left"/>
      <w:lvlText w:val="(%1)"/>
      <w:numFmt w:val="lowerLetter"/>
      <w:start w:val="2"/>
    </w:lvl>
  </w:abstractNum>
  <w:abstractNum w:abstractNumId="257">
    <w:nsid w:val="10A30D9C"/>
    <w:multiLevelType w:val="hybridMultilevel"/>
    <w:lvl w:ilvl="0">
      <w:lvlJc w:val="left"/>
      <w:lvlText w:val="(%1)"/>
      <w:numFmt w:val="lowerLetter"/>
      <w:start w:val="7"/>
    </w:lvl>
  </w:abstractNum>
  <w:abstractNum w:abstractNumId="258">
    <w:nsid w:val="A66E486"/>
    <w:multiLevelType w:val="hybridMultilevel"/>
    <w:lvl w:ilvl="0">
      <w:lvlJc w:val="left"/>
      <w:lvlText w:val="%1."/>
      <w:numFmt w:val="decimal"/>
      <w:start w:val="6"/>
    </w:lvl>
  </w:abstractNum>
  <w:abstractNum w:abstractNumId="259">
    <w:nsid w:val="306235EA"/>
    <w:multiLevelType w:val="hybridMultilevel"/>
    <w:lvl w:ilvl="0">
      <w:lvlJc w:val="left"/>
      <w:lvlText w:val="%1."/>
      <w:numFmt w:val="decimal"/>
      <w:start w:val="1"/>
    </w:lvl>
  </w:abstractNum>
  <w:abstractNum w:abstractNumId="260">
    <w:nsid w:val="1187C70F"/>
    <w:multiLevelType w:val="hybridMultilevel"/>
    <w:lvl w:ilvl="0">
      <w:lvlJc w:val="left"/>
      <w:lvlText w:val="%1"/>
      <w:numFmt w:val="lowerLetter"/>
      <w:start w:val="1"/>
    </w:lvl>
    <w:lvl w:ilvl="1">
      <w:lvlJc w:val="left"/>
      <w:lvlText w:val="(%2)"/>
      <w:numFmt w:val="lowerLetter"/>
      <w:start w:val="1"/>
    </w:lvl>
  </w:abstractNum>
  <w:abstractNum w:abstractNumId="261">
    <w:nsid w:val="5476DE98"/>
    <w:multiLevelType w:val="hybridMultilevel"/>
    <w:lvl w:ilvl="0">
      <w:lvlJc w:val="left"/>
      <w:lvlText w:val="(%1)"/>
      <w:numFmt w:val="lowerLetter"/>
      <w:start w:val="9"/>
    </w:lvl>
    <w:lvl w:ilvl="1">
      <w:lvlJc w:val="left"/>
      <w:lvlText w:val="%2"/>
      <w:numFmt w:val="lowerLetter"/>
      <w:start w:val="1"/>
    </w:lvl>
  </w:abstractNum>
  <w:abstractNum w:abstractNumId="262">
    <w:nsid w:val="EA697F2"/>
    <w:multiLevelType w:val="hybridMultilevel"/>
    <w:lvl w:ilvl="0">
      <w:lvlJc w:val="left"/>
      <w:lvlText w:val="(%1)"/>
      <w:numFmt w:val="lowerRoman"/>
      <w:start w:val="2"/>
    </w:lvl>
  </w:abstractNum>
  <w:abstractNum w:abstractNumId="263">
    <w:nsid w:val="70BA39EB"/>
    <w:multiLevelType w:val="hybridMultilevel"/>
    <w:lvl w:ilvl="0">
      <w:lvlJc w:val="left"/>
      <w:lvlText w:val="(%1)"/>
      <w:numFmt w:val="lowerLetter"/>
      <w:start w:val="2"/>
    </w:lvl>
  </w:abstractNum>
  <w:abstractNum w:abstractNumId="264">
    <w:nsid w:val="4A8DB59C"/>
    <w:multiLevelType w:val="hybridMultilevel"/>
    <w:lvl w:ilvl="0">
      <w:lvlJc w:val="left"/>
      <w:lvlText w:val="(%1)"/>
      <w:numFmt w:val="lowerLetter"/>
      <w:start w:val="4"/>
    </w:lvl>
  </w:abstractNum>
  <w:abstractNum w:abstractNumId="265">
    <w:nsid w:val="1AFD9053"/>
    <w:multiLevelType w:val="hybridMultilevel"/>
    <w:lvl w:ilvl="0">
      <w:lvlJc w:val="left"/>
      <w:lvlText w:val="%1."/>
      <w:numFmt w:val="decimal"/>
      <w:start w:val="1"/>
    </w:lvl>
  </w:abstractNum>
  <w:abstractNum w:abstractNumId="266">
    <w:nsid w:val="558BB10D"/>
    <w:multiLevelType w:val="hybridMultilevel"/>
    <w:lvl w:ilvl="0">
      <w:lvlJc w:val="left"/>
      <w:lvlText w:val="(%1)"/>
      <w:numFmt w:val="lowerLetter"/>
      <w:start w:val="1"/>
    </w:lvl>
  </w:abstractNum>
  <w:abstractNum w:abstractNumId="267">
    <w:nsid w:val="43B27FA7"/>
    <w:multiLevelType w:val="hybridMultilevel"/>
    <w:lvl w:ilvl="0">
      <w:lvlJc w:val="left"/>
      <w:lvlText w:val="%1."/>
      <w:numFmt w:val="decimal"/>
      <w:start w:val="2"/>
    </w:lvl>
  </w:abstractNum>
  <w:abstractNum w:abstractNumId="268">
    <w:nsid w:val="27FADEFA"/>
    <w:multiLevelType w:val="hybridMultilevel"/>
    <w:lvl w:ilvl="0">
      <w:lvlJc w:val="left"/>
      <w:lvlText w:val="(%1)"/>
      <w:numFmt w:val="lowerLetter"/>
      <w:start w:val="2"/>
    </w:lvl>
  </w:abstractNum>
  <w:abstractNum w:abstractNumId="269">
    <w:nsid w:val="78BB805A"/>
    <w:multiLevelType w:val="hybridMultilevel"/>
    <w:lvl w:ilvl="0">
      <w:lvlJc w:val="left"/>
      <w:lvlText w:val="%1."/>
      <w:numFmt w:val="decimal"/>
      <w:start w:val="3"/>
    </w:lvl>
  </w:abstractNum>
  <w:abstractNum w:abstractNumId="270">
    <w:nsid w:val="62548FD8"/>
    <w:multiLevelType w:val="hybridMultilevel"/>
    <w:lvl w:ilvl="0">
      <w:lvlJc w:val="left"/>
      <w:lvlText w:val="%1."/>
      <w:numFmt w:val="decimal"/>
      <w:start w:val="4"/>
    </w:lvl>
  </w:abstractNum>
  <w:abstractNum w:abstractNumId="271">
    <w:nsid w:val="FA085B0"/>
    <w:multiLevelType w:val="hybridMultilevel"/>
    <w:lvl w:ilvl="0">
      <w:lvlJc w:val="left"/>
      <w:lvlText w:val="%1."/>
      <w:numFmt w:val="decimal"/>
      <w:start w:val="5"/>
    </w:lvl>
  </w:abstractNum>
  <w:abstractNum w:abstractNumId="272">
    <w:nsid w:val="4E5DCB5"/>
    <w:multiLevelType w:val="hybridMultilevel"/>
    <w:lvl w:ilvl="0">
      <w:lvlJc w:val="left"/>
      <w:lvlText w:val="%1."/>
      <w:numFmt w:val="decimal"/>
      <w:start w:val="6"/>
    </w:lvl>
  </w:abstractNum>
  <w:abstractNum w:abstractNumId="273">
    <w:nsid w:val="41E96BDB"/>
    <w:multiLevelType w:val="hybridMultilevel"/>
    <w:lvl w:ilvl="0">
      <w:lvlJc w:val="left"/>
      <w:lvlText w:val="%1."/>
      <w:numFmt w:val="decimal"/>
      <w:start w:val="7"/>
    </w:lvl>
  </w:abstractNum>
  <w:abstractNum w:abstractNumId="274">
    <w:nsid w:val="331C4250"/>
    <w:multiLevelType w:val="hybridMultilevel"/>
    <w:lvl w:ilvl="0">
      <w:lvlJc w:val="left"/>
      <w:lvlText w:val="%1."/>
      <w:numFmt w:val="decimal"/>
      <w:start w:val="8"/>
    </w:lvl>
  </w:abstractNum>
  <w:abstractNum w:abstractNumId="275">
    <w:nsid w:val="1B1493C2"/>
    <w:multiLevelType w:val="hybridMultilevel"/>
    <w:lvl w:ilvl="0">
      <w:lvlJc w:val="left"/>
      <w:lvlText w:val="%1."/>
      <w:numFmt w:val="decimal"/>
      <w:start w:val="9"/>
    </w:lvl>
  </w:abstractNum>
  <w:abstractNum w:abstractNumId="276">
    <w:nsid w:val="39F06DFD"/>
    <w:multiLevelType w:val="hybridMultilevel"/>
    <w:lvl w:ilvl="0">
      <w:lvlJc w:val="left"/>
      <w:lvlText w:val="%1."/>
      <w:numFmt w:val="decimal"/>
      <w:start w:val="10"/>
    </w:lvl>
  </w:abstractNum>
  <w:abstractNum w:abstractNumId="277">
    <w:nsid w:val="14802F5D"/>
    <w:multiLevelType w:val="hybridMultilevel"/>
    <w:lvl w:ilvl="0">
      <w:lvlJc w:val="left"/>
      <w:lvlText w:val="%1."/>
      <w:numFmt w:val="decimal"/>
      <w:start w:val="11"/>
    </w:lvl>
  </w:abstractNum>
  <w:abstractNum w:abstractNumId="278">
    <w:nsid w:val="2774A209"/>
    <w:multiLevelType w:val="hybridMultilevel"/>
    <w:lvl w:ilvl="0">
      <w:lvlJc w:val="left"/>
      <w:lvlText w:val="%1."/>
      <w:numFmt w:val="decimal"/>
      <w:start w:val="12"/>
    </w:lvl>
  </w:abstractNum>
  <w:abstractNum w:abstractNumId="279">
    <w:nsid w:val="3785655A"/>
    <w:multiLevelType w:val="hybridMultilevel"/>
    <w:lvl w:ilvl="0">
      <w:lvlJc w:val="left"/>
      <w:lvlText w:val="%1."/>
      <w:numFmt w:val="decimal"/>
      <w:start w:val="13"/>
    </w:lvl>
  </w:abstractNum>
  <w:abstractNum w:abstractNumId="280">
    <w:nsid w:val="B2172A"/>
    <w:multiLevelType w:val="hybridMultilevel"/>
    <w:lvl w:ilvl="0">
      <w:lvlJc w:val="left"/>
      <w:lvlText w:val="%1"/>
      <w:numFmt w:val="lowerLetter"/>
      <w:start w:val="1"/>
    </w:lvl>
    <w:lvl w:ilvl="1">
      <w:lvlJc w:val="left"/>
      <w:lvlText w:val="(%2)"/>
      <w:numFmt w:val="lowerLetter"/>
      <w:start w:val="1"/>
    </w:lvl>
  </w:abstractNum>
  <w:abstractNum w:abstractNumId="281">
    <w:nsid w:val="532C34A5"/>
    <w:multiLevelType w:val="hybridMultilevel"/>
    <w:lvl w:ilvl="0">
      <w:lvlJc w:val="left"/>
      <w:lvlText w:val="(%1)"/>
      <w:numFmt w:val="lowerLetter"/>
      <w:start w:val="9"/>
    </w:lvl>
    <w:lvl w:ilvl="1">
      <w:lvlJc w:val="left"/>
      <w:lvlText w:val="%2"/>
      <w:numFmt w:val="lowerLetter"/>
      <w:start w:val="1"/>
    </w:lvl>
  </w:abstractNum>
  <w:abstractNum w:abstractNumId="282">
    <w:nsid w:val="102809E2"/>
    <w:multiLevelType w:val="hybridMultilevel"/>
    <w:lvl w:ilvl="0">
      <w:lvlJc w:val="left"/>
      <w:lvlText w:val="(%1)"/>
      <w:numFmt w:val="lowerRoman"/>
      <w:start w:val="2"/>
    </w:lvl>
  </w:abstractNum>
  <w:abstractNum w:abstractNumId="283">
    <w:nsid w:val="3B2125A3"/>
    <w:multiLevelType w:val="hybridMultilevel"/>
    <w:lvl w:ilvl="0">
      <w:lvlJc w:val="left"/>
      <w:lvlText w:val="(%1)"/>
      <w:numFmt w:val="lowerLetter"/>
      <w:start w:val="2"/>
    </w:lvl>
  </w:abstractNum>
  <w:abstractNum w:abstractNumId="284">
    <w:nsid w:val="AC68FFB"/>
    <w:multiLevelType w:val="hybridMultilevel"/>
    <w:lvl w:ilvl="0">
      <w:lvlJc w:val="left"/>
      <w:lvlText w:val="(%1)"/>
      <w:numFmt w:val="lowerLetter"/>
      <w:start w:val="4"/>
    </w:lvl>
  </w:abstractNum>
  <w:abstractNum w:abstractNumId="285">
    <w:nsid w:val="63DF3FB7"/>
    <w:multiLevelType w:val="hybridMultilevel"/>
    <w:lvl w:ilvl="0">
      <w:lvlJc w:val="left"/>
      <w:lvlText w:val="%1."/>
      <w:numFmt w:val="decimal"/>
      <w:start w:val="1"/>
    </w:lvl>
  </w:abstractNum>
  <w:abstractNum w:abstractNumId="286">
    <w:nsid w:val="64996E13"/>
    <w:multiLevelType w:val="hybridMultilevel"/>
    <w:lvl w:ilvl="0">
      <w:lvlJc w:val="left"/>
      <w:lvlText w:val="(%1)"/>
      <w:numFmt w:val="lowerLetter"/>
      <w:start w:val="1"/>
    </w:lvl>
  </w:abstractNum>
  <w:abstractNum w:abstractNumId="287">
    <w:nsid w:val="57A37D47"/>
    <w:multiLevelType w:val="hybridMultilevel"/>
    <w:lvl w:ilvl="0">
      <w:lvlJc w:val="left"/>
      <w:lvlText w:val="%1."/>
      <w:numFmt w:val="decimal"/>
      <w:start w:val="2"/>
    </w:lvl>
  </w:abstractNum>
  <w:abstractNum w:abstractNumId="288">
    <w:nsid w:val="74824D54"/>
    <w:multiLevelType w:val="hybridMultilevel"/>
    <w:lvl w:ilvl="0">
      <w:lvlJc w:val="left"/>
      <w:lvlText w:val="(%1)"/>
      <w:numFmt w:val="lowerLetter"/>
      <w:start w:val="1"/>
    </w:lvl>
  </w:abstractNum>
  <w:abstractNum w:abstractNumId="289">
    <w:nsid w:val="6F00529A"/>
    <w:multiLevelType w:val="hybridMultilevel"/>
    <w:lvl w:ilvl="0">
      <w:lvlJc w:val="left"/>
      <w:lvlText w:val="(%1)"/>
      <w:numFmt w:val="lowerLetter"/>
      <w:start w:val="2"/>
    </w:lvl>
  </w:abstractNum>
  <w:abstractNum w:abstractNumId="290">
    <w:nsid w:val="805B331"/>
    <w:multiLevelType w:val="hybridMultilevel"/>
    <w:lvl w:ilvl="0">
      <w:lvlJc w:val="left"/>
      <w:lvlText w:val="%1."/>
      <w:numFmt w:val="decimal"/>
      <w:start w:val="3"/>
    </w:lvl>
  </w:abstractNum>
  <w:abstractNum w:abstractNumId="291">
    <w:nsid w:val="60A1463"/>
    <w:multiLevelType w:val="hybridMultilevel"/>
    <w:lvl w:ilvl="0">
      <w:lvlJc w:val="left"/>
      <w:lvlText w:val="(%1)"/>
      <w:numFmt w:val="lowerLetter"/>
      <w:start w:val="1"/>
    </w:lvl>
  </w:abstractNum>
  <w:abstractNum w:abstractNumId="292">
    <w:nsid w:val="43773132"/>
    <w:multiLevelType w:val="hybridMultilevel"/>
    <w:lvl w:ilvl="0">
      <w:lvlJc w:val="left"/>
      <w:lvlText w:val="%1."/>
      <w:numFmt w:val="decimal"/>
      <w:start w:val="4"/>
    </w:lvl>
  </w:abstractNum>
  <w:abstractNum w:abstractNumId="293">
    <w:nsid w:val="16AC4B23"/>
    <w:multiLevelType w:val="hybridMultilevel"/>
    <w:lvl w:ilvl="0">
      <w:lvlJc w:val="left"/>
      <w:lvlText w:val="(%1)"/>
      <w:numFmt w:val="lowerLetter"/>
      <w:start w:val="1"/>
    </w:lvl>
  </w:abstractNum>
  <w:abstractNum w:abstractNumId="294">
    <w:nsid w:val="76C44E4E"/>
    <w:multiLevelType w:val="hybridMultilevel"/>
    <w:lvl w:ilvl="0">
      <w:lvlJc w:val="left"/>
      <w:lvlText w:val="(%1)"/>
      <w:numFmt w:val="lowerLetter"/>
      <w:start w:val="3"/>
    </w:lvl>
  </w:abstractNum>
  <w:abstractNum w:abstractNumId="295">
    <w:nsid w:val="E04E6CE"/>
    <w:multiLevelType w:val="hybridMultilevel"/>
    <w:lvl w:ilvl="0">
      <w:lvlJc w:val="left"/>
      <w:lvlText w:val="%1."/>
      <w:numFmt w:val="decimal"/>
      <w:start w:val="5"/>
    </w:lvl>
  </w:abstractNum>
  <w:abstractNum w:abstractNumId="296">
    <w:nsid w:val="31A9DB76"/>
    <w:multiLevelType w:val="hybridMultilevel"/>
    <w:lvl w:ilvl="0">
      <w:lvlJc w:val="left"/>
      <w:lvlText w:val="(%1)"/>
      <w:numFmt w:val="lowerLetter"/>
      <w:start w:val="1"/>
    </w:lvl>
  </w:abstractNum>
  <w:abstractNum w:abstractNumId="297">
    <w:nsid w:val="4C4FFF5B"/>
    <w:multiLevelType w:val="hybridMultilevel"/>
    <w:lvl w:ilvl="0">
      <w:lvlJc w:val="left"/>
      <w:lvlText w:val="(%1)"/>
      <w:numFmt w:val="lowerLetter"/>
      <w:start w:val="4"/>
    </w:lvl>
  </w:abstractNum>
  <w:abstractNum w:abstractNumId="298">
    <w:nsid w:val="51B76675"/>
    <w:multiLevelType w:val="hybridMultilevel"/>
    <w:lvl w:ilvl="0">
      <w:lvlJc w:val="left"/>
      <w:lvlText w:val="(%1)"/>
      <w:numFmt w:val="lowerLetter"/>
      <w:start w:val="7"/>
    </w:lvl>
  </w:abstractNum>
  <w:abstractNum w:abstractNumId="299">
    <w:nsid w:val="59A4BA71"/>
    <w:multiLevelType w:val="hybridMultilevel"/>
    <w:lvl w:ilvl="0">
      <w:lvlJc w:val="left"/>
      <w:lvlText w:val="%1."/>
      <w:numFmt w:val="decimal"/>
      <w:start w:val="6"/>
    </w:lvl>
  </w:abstractNum>
  <w:abstractNum w:abstractNumId="300">
    <w:nsid w:val="450B7FB6"/>
    <w:multiLevelType w:val="hybridMultilevel"/>
    <w:lvl w:ilvl="0">
      <w:lvlJc w:val="left"/>
      <w:lvlText w:val="(%1)"/>
      <w:numFmt w:val="lowerLetter"/>
      <w:start w:val="1"/>
    </w:lvl>
  </w:abstractNum>
  <w:abstractNum w:abstractNumId="301">
    <w:nsid w:val="340BF64D"/>
    <w:multiLevelType w:val="hybridMultilevel"/>
    <w:lvl w:ilvl="0">
      <w:lvlJc w:val="left"/>
      <w:lvlText w:val="(%1)"/>
      <w:numFmt w:val="lowerRoman"/>
      <w:start w:val="1"/>
    </w:lvl>
  </w:abstractNum>
  <w:abstractNum w:abstractNumId="302">
    <w:nsid w:val="69454021"/>
    <w:multiLevelType w:val="hybridMultilevel"/>
    <w:lvl w:ilvl="0">
      <w:lvlJc w:val="left"/>
      <w:lvlText w:val="(%1)"/>
      <w:numFmt w:val="lowerRoman"/>
      <w:start w:val="2"/>
    </w:lvl>
  </w:abstractNum>
  <w:abstractNum w:abstractNumId="303">
    <w:nsid w:val="49F15C6B"/>
    <w:multiLevelType w:val="hybridMultilevel"/>
    <w:lvl w:ilvl="0">
      <w:lvlJc w:val="left"/>
      <w:lvlText w:val="(%1)"/>
      <w:numFmt w:val="lowerLetter"/>
      <w:start w:val="2"/>
    </w:lvl>
  </w:abstractNum>
  <w:abstractNum w:abstractNumId="304">
    <w:nsid w:val="75F56228"/>
    <w:multiLevelType w:val="hybridMultilevel"/>
    <w:lvl w:ilvl="0">
      <w:lvlJc w:val="left"/>
      <w:lvlText w:val="(%1)"/>
      <w:numFmt w:val="lowerLetter"/>
      <w:start w:val="6"/>
    </w:lvl>
  </w:abstractNum>
  <w:abstractNum w:abstractNumId="305">
    <w:nsid w:val="1C618271"/>
    <w:multiLevelType w:val="hybridMultilevel"/>
    <w:lvl w:ilvl="0">
      <w:lvlJc w:val="left"/>
      <w:lvlText w:val="%1."/>
      <w:numFmt w:val="decimal"/>
      <w:start w:val="1"/>
    </w:lvl>
  </w:abstractNum>
  <w:abstractNum w:abstractNumId="306">
    <w:nsid w:val="6505F02E"/>
    <w:multiLevelType w:val="hybridMultilevel"/>
    <w:lvl w:ilvl="0">
      <w:lvlJc w:val="left"/>
      <w:lvlText w:val="(%1)"/>
      <w:numFmt w:val="lowerLetter"/>
      <w:start w:val="1"/>
    </w:lvl>
  </w:abstractNum>
  <w:abstractNum w:abstractNumId="307">
    <w:nsid w:val="2FE5D025"/>
    <w:multiLevelType w:val="hybridMultilevel"/>
    <w:lvl w:ilvl="0">
      <w:lvlJc w:val="left"/>
      <w:lvlText w:val="(%1)"/>
      <w:numFmt w:val="lowerLetter"/>
      <w:start w:val="2"/>
    </w:lvl>
  </w:abstractNum>
  <w:abstractNum w:abstractNumId="308">
    <w:nsid w:val="30E1B1CF"/>
    <w:multiLevelType w:val="hybridMultilevel"/>
    <w:lvl w:ilvl="0">
      <w:lvlJc w:val="left"/>
      <w:lvlText w:val="(%1)"/>
      <w:numFmt w:val="lowerLetter"/>
      <w:start w:val="3"/>
    </w:lvl>
  </w:abstractNum>
  <w:abstractNum w:abstractNumId="309">
    <w:nsid w:val="C7A9237"/>
    <w:multiLevelType w:val="hybridMultilevel"/>
    <w:lvl w:ilvl="0">
      <w:lvlJc w:val="left"/>
      <w:lvlText w:val="%1."/>
      <w:numFmt w:val="decimal"/>
      <w:start w:val="2"/>
    </w:lvl>
  </w:abstractNum>
  <w:abstractNum w:abstractNumId="310">
    <w:nsid w:val="676B3580"/>
    <w:multiLevelType w:val="hybridMultilevel"/>
    <w:lvl w:ilvl="0">
      <w:lvlJc w:val="left"/>
      <w:lvlText w:val="(%1)"/>
      <w:numFmt w:val="lowerLetter"/>
      <w:start w:val="1"/>
    </w:lvl>
  </w:abstractNum>
  <w:abstractNum w:abstractNumId="311">
    <w:nsid w:val="3193C8F9"/>
    <w:multiLevelType w:val="hybridMultilevel"/>
    <w:lvl w:ilvl="0">
      <w:lvlJc w:val="left"/>
      <w:lvlText w:val="%1."/>
      <w:numFmt w:val="decimal"/>
      <w:start w:val="3"/>
    </w:lvl>
  </w:abstractNum>
  <w:abstractNum w:abstractNumId="312">
    <w:nsid w:val="5FA6C6DC"/>
    <w:multiLevelType w:val="hybridMultilevel"/>
    <w:lvl w:ilvl="0">
      <w:lvlJc w:val="left"/>
      <w:lvlText w:val="%1."/>
      <w:numFmt w:val="decimal"/>
      <w:start w:val="4"/>
    </w:lvl>
  </w:abstractNum>
  <w:abstractNum w:abstractNumId="313">
    <w:nsid w:val="77933F62"/>
    <w:multiLevelType w:val="hybridMultilevel"/>
    <w:lvl w:ilvl="0">
      <w:lvlJc w:val="left"/>
      <w:lvlText w:val="(%1)"/>
      <w:numFmt w:val="lowerLetter"/>
      <w:start w:val="1"/>
    </w:lvl>
  </w:abstractNum>
  <w:abstractNum w:abstractNumId="314">
    <w:nsid w:val="6CB4EE9C"/>
    <w:multiLevelType w:val="hybridMultilevel"/>
    <w:lvl w:ilvl="0">
      <w:lvlJc w:val="left"/>
      <w:lvlText w:val="%1."/>
      <w:numFmt w:val="decimal"/>
      <w:start w:val="5"/>
    </w:lvl>
  </w:abstractNum>
  <w:abstractNum w:abstractNumId="315">
    <w:nsid w:val="6A6D56D7"/>
    <w:multiLevelType w:val="hybridMultilevel"/>
    <w:lvl w:ilvl="0">
      <w:lvlJc w:val="left"/>
      <w:lvlText w:val="%1."/>
      <w:numFmt w:val="decimal"/>
      <w:start w:val="6"/>
    </w:lvl>
  </w:abstractNum>
  <w:abstractNum w:abstractNumId="316">
    <w:nsid w:val="5B727F19"/>
    <w:multiLevelType w:val="hybridMultilevel"/>
    <w:lvl w:ilvl="0">
      <w:lvlJc w:val="left"/>
      <w:lvlText w:val="%1."/>
      <w:numFmt w:val="decimal"/>
      <w:start w:val="7"/>
    </w:lvl>
  </w:abstractNum>
  <w:abstractNum w:abstractNumId="317">
    <w:nsid w:val="514E5CB0"/>
    <w:multiLevelType w:val="hybridMultilevel"/>
    <w:lvl w:ilvl="0">
      <w:lvlJc w:val="left"/>
      <w:lvlText w:val="%1."/>
      <w:numFmt w:val="decimal"/>
      <w:start w:val="8"/>
    </w:lvl>
  </w:abstractNum>
  <w:abstractNum w:abstractNumId="318">
    <w:nsid w:val="4210D41E"/>
    <w:multiLevelType w:val="hybridMultilevel"/>
    <w:lvl w:ilvl="0">
      <w:lvlJc w:val="left"/>
      <w:lvlText w:val="%1."/>
      <w:numFmt w:val="decimal"/>
      <w:start w:val="9"/>
    </w:lvl>
  </w:abstractNum>
  <w:abstractNum w:abstractNumId="319">
    <w:nsid w:val="4FF4CC6D"/>
    <w:multiLevelType w:val="hybridMultilevel"/>
    <w:lvl w:ilvl="0">
      <w:lvlJc w:val="left"/>
      <w:lvlText w:val="%1."/>
      <w:numFmt w:val="decimal"/>
      <w:start w:val="10"/>
    </w:lvl>
  </w:abstractNum>
  <w:abstractNum w:abstractNumId="320">
    <w:nsid w:val="404EAF4A"/>
    <w:multiLevelType w:val="hybridMultilevel"/>
    <w:lvl w:ilvl="0">
      <w:lvlJc w:val="left"/>
      <w:lvlText w:val="%1."/>
      <w:numFmt w:val="decimal"/>
      <w:start w:val="11"/>
    </w:lvl>
  </w:abstractNum>
  <w:abstractNum w:abstractNumId="321">
    <w:nsid w:val="4A16874F"/>
    <w:multiLevelType w:val="hybridMultilevel"/>
    <w:lvl w:ilvl="0">
      <w:lvlJc w:val="left"/>
      <w:lvlText w:val="%1."/>
      <w:numFmt w:val="decimal"/>
      <w:start w:val="12"/>
    </w:lvl>
  </w:abstractNum>
  <w:abstractNum w:abstractNumId="322">
    <w:nsid w:val="55FEE0D1"/>
    <w:multiLevelType w:val="hybridMultilevel"/>
    <w:lvl w:ilvl="0">
      <w:lvlJc w:val="left"/>
      <w:lvlText w:val="%1."/>
      <w:numFmt w:val="decimal"/>
      <w:start w:val="13"/>
    </w:lvl>
  </w:abstractNum>
  <w:abstractNum w:abstractNumId="323">
    <w:nsid w:val="3C5E07C"/>
    <w:multiLevelType w:val="hybridMultilevel"/>
    <w:lvl w:ilvl="0">
      <w:lvlJc w:val="left"/>
      <w:lvlText w:val="(%1)"/>
      <w:numFmt w:val="lowerLetter"/>
      <w:start w:val="3"/>
    </w:lvl>
  </w:abstractNum>
  <w:abstractNum w:abstractNumId="324">
    <w:nsid w:val="60C2D273"/>
    <w:multiLevelType w:val="hybridMultilevel"/>
    <w:lvl w:ilvl="0">
      <w:lvlJc w:val="left"/>
      <w:lvlText w:val="(%1)"/>
      <w:numFmt w:val="lowerLetter"/>
      <w:start w:val="4"/>
    </w:lvl>
  </w:abstractNum>
  <w:abstractNum w:abstractNumId="325">
    <w:nsid w:val="4CC32F1F"/>
    <w:multiLevelType w:val="hybridMultilevel"/>
    <w:lvl w:ilvl="0">
      <w:lvlJc w:val="left"/>
      <w:lvlText w:val="(%1)"/>
      <w:numFmt w:val="lowerLetter"/>
      <w:start w:val="7"/>
    </w:lvl>
  </w:abstractNum>
  <w:abstractNum w:abstractNumId="326">
    <w:nsid w:val="11CAC74A"/>
    <w:multiLevelType w:val="hybridMultilevel"/>
    <w:lvl w:ilvl="0">
      <w:lvlJc w:val="left"/>
      <w:lvlText w:val="%1."/>
      <w:numFmt w:val="decimal"/>
      <w:start w:val="1"/>
    </w:lvl>
  </w:abstractNum>
  <w:abstractNum w:abstractNumId="327">
    <w:nsid w:val="126CADE9"/>
    <w:multiLevelType w:val="hybridMultilevel"/>
    <w:lvl w:ilvl="0">
      <w:lvlJc w:val="left"/>
      <w:lvlText w:val="(%1)"/>
      <w:numFmt w:val="lowerLetter"/>
      <w:start w:val="1"/>
    </w:lvl>
  </w:abstractNum>
  <w:abstractNum w:abstractNumId="328">
    <w:nsid w:val="19132E7B"/>
    <w:multiLevelType w:val="hybridMultilevel"/>
    <w:lvl w:ilvl="0">
      <w:lvlJc w:val="left"/>
      <w:lvlText w:val="(%1)"/>
      <w:numFmt w:val="lowerLetter"/>
      <w:start w:val="2"/>
    </w:lvl>
  </w:abstractNum>
  <w:abstractNum w:abstractNumId="329">
    <w:nsid w:val="63822DC0"/>
    <w:multiLevelType w:val="hybridMultilevel"/>
    <w:lvl w:ilvl="0">
      <w:lvlJc w:val="left"/>
      <w:lvlText w:val="(%1)"/>
      <w:numFmt w:val="lowerLetter"/>
      <w:start w:val="3"/>
    </w:lvl>
  </w:abstractNum>
  <w:abstractNum w:abstractNumId="330">
    <w:nsid w:val="6C11685A"/>
    <w:multiLevelType w:val="hybridMultilevel"/>
    <w:lvl w:ilvl="0">
      <w:lvlJc w:val="left"/>
      <w:lvlText w:val="%1."/>
      <w:numFmt w:val="decimal"/>
      <w:start w:val="2"/>
    </w:lvl>
  </w:abstractNum>
  <w:abstractNum w:abstractNumId="331">
    <w:nsid w:val="5E1EAE31"/>
    <w:multiLevelType w:val="hybridMultilevel"/>
    <w:lvl w:ilvl="0">
      <w:lvlJc w:val="left"/>
      <w:lvlText w:val="(%1)"/>
      <w:numFmt w:val="lowerLetter"/>
      <w:start w:val="1"/>
    </w:lvl>
  </w:abstractNum>
  <w:abstractNum w:abstractNumId="332">
    <w:nsid w:val="178E240D"/>
    <w:multiLevelType w:val="hybridMultilevel"/>
    <w:lvl w:ilvl="0">
      <w:lvlJc w:val="left"/>
      <w:lvlText w:val="%1."/>
      <w:numFmt w:val="decimal"/>
      <w:start w:val="3"/>
    </w:lvl>
  </w:abstractNum>
  <w:abstractNum w:abstractNumId="333">
    <w:nsid w:val="5556A87B"/>
    <w:multiLevelType w:val="hybridMultilevel"/>
    <w:lvl w:ilvl="0">
      <w:lvlJc w:val="left"/>
      <w:lvlText w:val="%1."/>
      <w:numFmt w:val="decimal"/>
      <w:start w:val="4"/>
    </w:lvl>
  </w:abstractNum>
  <w:abstractNum w:abstractNumId="334">
    <w:nsid w:val="28100A9C"/>
    <w:multiLevelType w:val="hybridMultilevel"/>
    <w:lvl w:ilvl="0">
      <w:lvlJc w:val="left"/>
      <w:lvlText w:val="(%1)"/>
      <w:numFmt w:val="lowerLetter"/>
      <w:start w:val="1"/>
    </w:lvl>
  </w:abstractNum>
  <w:abstractNum w:abstractNumId="335">
    <w:nsid w:val="D838636"/>
    <w:multiLevelType w:val="hybridMultilevel"/>
    <w:lvl w:ilvl="0">
      <w:lvlJc w:val="left"/>
      <w:lvlText w:val="%1."/>
      <w:numFmt w:val="decimal"/>
      <w:start w:val="5"/>
    </w:lvl>
  </w:abstractNum>
  <w:abstractNum w:abstractNumId="336">
    <w:nsid w:val="71B82AED"/>
    <w:multiLevelType w:val="hybridMultilevel"/>
    <w:lvl w:ilvl="0">
      <w:lvlJc w:val="left"/>
      <w:lvlText w:val="%1."/>
      <w:numFmt w:val="decimal"/>
      <w:start w:val="6"/>
    </w:lvl>
  </w:abstractNum>
  <w:abstractNum w:abstractNumId="337">
    <w:nsid w:val="D15FACA"/>
    <w:multiLevelType w:val="hybridMultilevel"/>
    <w:lvl w:ilvl="0">
      <w:lvlJc w:val="left"/>
      <w:lvlText w:val="%1."/>
      <w:numFmt w:val="decimal"/>
      <w:start w:val="7"/>
    </w:lvl>
  </w:abstractNum>
  <w:abstractNum w:abstractNumId="338">
    <w:nsid w:val="3D69565B"/>
    <w:multiLevelType w:val="hybridMultilevel"/>
    <w:lvl w:ilvl="0">
      <w:lvlJc w:val="left"/>
      <w:lvlText w:val="%1."/>
      <w:numFmt w:val="decimal"/>
      <w:start w:val="8"/>
    </w:lvl>
  </w:abstractNum>
  <w:abstractNum w:abstractNumId="339">
    <w:nsid w:val="2299DCBC"/>
    <w:multiLevelType w:val="hybridMultilevel"/>
    <w:lvl w:ilvl="0">
      <w:lvlJc w:val="left"/>
      <w:lvlText w:val="%1."/>
      <w:numFmt w:val="decimal"/>
      <w:start w:val="9"/>
    </w:lvl>
  </w:abstractNum>
  <w:abstractNum w:abstractNumId="340">
    <w:nsid w:val="19908D02"/>
    <w:multiLevelType w:val="hybridMultilevel"/>
    <w:lvl w:ilvl="0">
      <w:lvlJc w:val="left"/>
      <w:lvlText w:val="%1."/>
      <w:numFmt w:val="decimal"/>
      <w:start w:val="10"/>
    </w:lvl>
  </w:abstractNum>
  <w:abstractNum w:abstractNumId="341">
    <w:nsid w:val="24D48BDB"/>
    <w:multiLevelType w:val="hybridMultilevel"/>
    <w:lvl w:ilvl="0">
      <w:lvlJc w:val="left"/>
      <w:lvlText w:val="%1."/>
      <w:numFmt w:val="decimal"/>
      <w:start w:val="11"/>
    </w:lvl>
    <w:lvl w:ilvl="1">
      <w:lvlJc w:val="left"/>
      <w:lvlText w:val="(%2)"/>
      <w:numFmt w:val="lowerRoman"/>
      <w:start w:val="1"/>
    </w:lvl>
  </w:abstractNum>
  <w:abstractNum w:abstractNumId="342">
    <w:nsid w:val="542DA5B5"/>
    <w:multiLevelType w:val="hybridMultilevel"/>
    <w:lvl w:ilvl="0">
      <w:lvlJc w:val="left"/>
      <w:lvlText w:val="%1"/>
      <w:numFmt w:val="lowerLetter"/>
      <w:start w:val="1"/>
    </w:lvl>
    <w:lvl w:ilvl="1">
      <w:lvlJc w:val="left"/>
      <w:lvlText w:val="(%2)"/>
      <w:numFmt w:val="lowerLetter"/>
      <w:start w:val="22"/>
    </w:lvl>
  </w:abstractNum>
  <w:abstractNum w:abstractNumId="343">
    <w:nsid w:val="793753DE"/>
    <w:multiLevelType w:val="hybridMultilevel"/>
    <w:lvl w:ilvl="0">
      <w:lvlJc w:val="left"/>
      <w:lvlText w:val="(%1)"/>
      <w:numFmt w:val="lowerLetter"/>
      <w:start w:val="2"/>
    </w:lvl>
    <w:lvl w:ilvl="1">
      <w:lvlJc w:val="left"/>
      <w:lvlText w:val="(%2)"/>
      <w:numFmt w:val="lowerLetter"/>
      <w:start w:val="9"/>
    </w:lvl>
  </w:abstractNum>
  <w:abstractNum w:abstractNumId="344">
    <w:nsid w:val="1C67CB3D"/>
    <w:multiLevelType w:val="hybridMultilevel"/>
    <w:lvl w:ilvl="0">
      <w:lvlJc w:val="left"/>
      <w:lvlText w:val="%1"/>
      <w:numFmt w:val="lowerLetter"/>
      <w:start w:val="1"/>
    </w:lvl>
    <w:lvl w:ilvl="1">
      <w:lvlJc w:val="left"/>
      <w:lvlText w:val="(%2)"/>
      <w:numFmt w:val="lowerLetter"/>
      <w:start w:val="35"/>
    </w:lvl>
  </w:abstractNum>
  <w:abstractNum w:abstractNumId="345">
    <w:nsid w:val="40E29452"/>
    <w:multiLevelType w:val="hybridMultilevel"/>
    <w:lvl w:ilvl="0">
      <w:lvlJc w:val="left"/>
      <w:lvlText w:val="(%1)"/>
      <w:numFmt w:val="lowerLetter"/>
      <w:start w:val="3"/>
    </w:lvl>
    <w:lvl w:ilvl="1">
      <w:lvlJc w:val="left"/>
      <w:lvlText w:val="%2"/>
      <w:numFmt w:val="lowerLetter"/>
      <w:start w:val="1"/>
    </w:lvl>
  </w:abstractNum>
  <w:abstractNum w:abstractNumId="346">
    <w:nsid w:val="63A4AAB6"/>
    <w:multiLevelType w:val="hybridMultilevel"/>
    <w:lvl w:ilvl="0">
      <w:lvlJc w:val="left"/>
      <w:lvlText w:val="%1."/>
      <w:numFmt w:val="decimal"/>
      <w:start w:val="12"/>
    </w:lvl>
  </w:abstractNum>
  <w:abstractNum w:abstractNumId="347">
    <w:nsid w:val="77DA4A57"/>
    <w:multiLevelType w:val="hybridMultilevel"/>
    <w:lvl w:ilvl="0">
      <w:lvlJc w:val="left"/>
      <w:lvlText w:val="%1."/>
      <w:numFmt w:val="decimal"/>
      <w:start w:val="13"/>
    </w:lvl>
  </w:abstractNum>
  <w:abstractNum w:abstractNumId="348">
    <w:nsid w:val="1230F102"/>
    <w:multiLevelType w:val="hybridMultilevel"/>
    <w:lvl w:ilvl="0">
      <w:lvlJc w:val="left"/>
      <w:lvlText w:val="%1."/>
      <w:numFmt w:val="decimal"/>
      <w:start w:val="14"/>
    </w:lvl>
  </w:abstractNum>
  <w:abstractNum w:abstractNumId="349">
    <w:nsid w:val="25B57ED4"/>
    <w:multiLevelType w:val="hybridMultilevel"/>
    <w:lvl w:ilvl="0">
      <w:lvlJc w:val="left"/>
      <w:lvlText w:val="(%1)"/>
      <w:numFmt w:val="lowerLetter"/>
      <w:start w:val="1"/>
    </w:lvl>
  </w:abstractNum>
  <w:abstractNum w:abstractNumId="350">
    <w:nsid w:val="47CF16C4"/>
    <w:multiLevelType w:val="hybridMultilevel"/>
    <w:lvl w:ilvl="0">
      <w:lvlJc w:val="left"/>
      <w:lvlText w:val="(%1)"/>
      <w:numFmt w:val="lowerLetter"/>
      <w:start w:val="2"/>
    </w:lvl>
  </w:abstractNum>
  <w:abstractNum w:abstractNumId="351">
    <w:nsid w:val="527FA04C"/>
    <w:multiLevelType w:val="hybridMultilevel"/>
    <w:lvl w:ilvl="0">
      <w:lvlJc w:val="left"/>
      <w:lvlText w:val="(%1)"/>
      <w:numFmt w:val="lowerLetter"/>
      <w:start w:val="4"/>
    </w:lvl>
  </w:abstractNum>
  <w:abstractNum w:abstractNumId="352">
    <w:nsid w:val="6FCC0624"/>
    <w:multiLevelType w:val="hybridMultilevel"/>
    <w:lvl w:ilvl="0">
      <w:lvlJc w:val="left"/>
      <w:lvlText w:val="(%1)"/>
      <w:numFmt w:val="lowerLetter"/>
      <w:start w:val="7"/>
    </w:lvl>
  </w:abstractNum>
  <w:abstractNum w:abstractNumId="353">
    <w:nsid w:val="1DCDF795"/>
    <w:multiLevelType w:val="hybridMultilevel"/>
    <w:lvl w:ilvl="0">
      <w:lvlJc w:val="left"/>
      <w:lvlText w:val="%1."/>
      <w:numFmt w:val="decimal"/>
      <w:start w:val="2"/>
    </w:lvl>
  </w:abstractNum>
  <w:abstractNum w:abstractNumId="354">
    <w:nsid w:val="564580C8"/>
    <w:multiLevelType w:val="hybridMultilevel"/>
    <w:lvl w:ilvl="0">
      <w:lvlJc w:val="left"/>
      <w:lvlText w:val="%1"/>
      <w:numFmt w:val="lowerRoman"/>
      <w:start w:val="1"/>
    </w:lvl>
    <w:lvl w:ilvl="1">
      <w:lvlJc w:val="left"/>
      <w:lvlText w:val="%2."/>
      <w:numFmt w:val="decimal"/>
      <w:start w:val="5"/>
    </w:lvl>
  </w:abstractNum>
  <w:abstractNum w:abstractNumId="355">
    <w:nsid w:val="508ED897"/>
    <w:multiLevelType w:val="hybridMultilevel"/>
    <w:lvl w:ilvl="0">
      <w:lvlJc w:val="left"/>
      <w:lvlText w:val="(%1)"/>
      <w:numFmt w:val="lowerRoman"/>
      <w:start w:val="2"/>
    </w:lvl>
    <w:lvl w:ilvl="1">
      <w:lvlJc w:val="left"/>
      <w:lvlText w:val="%2."/>
      <w:numFmt w:val="decimal"/>
      <w:start w:val="6"/>
    </w:lvl>
  </w:abstractNum>
  <w:abstractNum w:abstractNumId="356">
    <w:nsid w:val="6A9126B5"/>
    <w:multiLevelType w:val="hybridMultilevel"/>
    <w:lvl w:ilvl="0">
      <w:lvlJc w:val="left"/>
      <w:lvlText w:val="%1."/>
      <w:numFmt w:val="decimal"/>
      <w:start w:val="8"/>
    </w:lvl>
  </w:abstractNum>
  <w:abstractNum w:abstractNumId="357">
    <w:nsid w:val="68104812"/>
    <w:multiLevelType w:val="hybridMultilevel"/>
    <w:lvl w:ilvl="0">
      <w:lvlJc w:val="left"/>
      <w:lvlText w:val="%1."/>
      <w:numFmt w:val="decimal"/>
      <w:start w:val="9"/>
    </w:lvl>
    <w:lvl w:ilvl="1">
      <w:lvlJc w:val="left"/>
      <w:lvlText w:val="(%2)"/>
      <w:numFmt w:val="lowerLetter"/>
      <w:start w:val="1"/>
    </w:lvl>
  </w:abstractNum>
  <w:abstractNum w:abstractNumId="358">
    <w:nsid w:val="62FB8680"/>
    <w:multiLevelType w:val="hybridMultilevel"/>
    <w:lvl w:ilvl="0">
      <w:lvlJc w:val="left"/>
      <w:lvlText w:val="%1"/>
      <w:numFmt w:val="decimal"/>
      <w:start w:val="1"/>
    </w:lvl>
    <w:lvl w:ilvl="1">
      <w:lvlJc w:val="left"/>
      <w:lvlText w:val="(%2)"/>
      <w:numFmt w:val="lowerLetter"/>
      <w:start w:val="2"/>
    </w:lvl>
  </w:abstractNum>
  <w:abstractNum w:abstractNumId="359">
    <w:nsid w:val="3A45530"/>
    <w:multiLevelType w:val="hybridMultilevel"/>
    <w:lvl w:ilvl="0">
      <w:lvlJc w:val="left"/>
      <w:lvlText w:val="%1."/>
      <w:numFmt w:val="decimal"/>
      <w:start w:val="10"/>
    </w:lvl>
    <w:lvl w:ilvl="1">
      <w:lvlJc w:val="left"/>
      <w:lvlText w:val="%2"/>
      <w:numFmt w:val="lowerLetter"/>
      <w:start w:val="1"/>
    </w:lvl>
  </w:abstractNum>
  <w:abstractNum w:abstractNumId="360">
    <w:nsid w:val="4B9275D2"/>
    <w:multiLevelType w:val="hybridMultilevel"/>
    <w:lvl w:ilvl="0">
      <w:lvlJc w:val="left"/>
      <w:lvlText w:val="%1."/>
      <w:numFmt w:val="decimal"/>
      <w:start w:val="12"/>
    </w:lvl>
  </w:abstractNum>
  <w:abstractNum w:abstractNumId="361">
    <w:nsid w:val="4F0CEEDB"/>
    <w:multiLevelType w:val="hybridMultilevel"/>
    <w:lvl w:ilvl="0">
      <w:lvlJc w:val="left"/>
      <w:lvlText w:val="(%1)"/>
      <w:numFmt w:val="upperLetter"/>
      <w:start w:val="1"/>
    </w:lvl>
  </w:abstractNum>
  <w:abstractNum w:abstractNumId="362">
    <w:nsid w:val="61C30361"/>
    <w:multiLevelType w:val="hybridMultilevel"/>
    <w:lvl w:ilvl="0">
      <w:lvlJc w:val="left"/>
      <w:lvlText w:val="(%1)"/>
      <w:numFmt w:val="upperLetter"/>
      <w:start w:val="2"/>
    </w:lvl>
  </w:abstractNum>
  <w:abstractNum w:abstractNumId="363">
    <w:nsid w:val="632099E0"/>
    <w:multiLevelType w:val="hybridMultilevel"/>
    <w:lvl w:ilvl="0">
      <w:lvlJc w:val="left"/>
      <w:lvlText w:val="(%1)"/>
      <w:numFmt w:val="upperLetter"/>
      <w:start w:val="5"/>
    </w:lvl>
    <w:lvl w:ilvl="1">
      <w:lvlJc w:val="left"/>
      <w:lvlText w:val="(%2)"/>
      <w:numFmt w:val="lowerRoman"/>
      <w:start w:val="1"/>
    </w:lvl>
    <w:lvl w:ilvl="2">
      <w:lvlJc w:val="left"/>
      <w:lvlText w:val="(%3)"/>
      <w:numFmt w:val="lowerLetter"/>
      <w:start w:val="1"/>
    </w:lvl>
  </w:abstractNum>
  <w:abstractNum w:abstractNumId="364">
    <w:nsid w:val="24639756"/>
    <w:multiLevelType w:val="hybridMultilevel"/>
    <w:lvl w:ilvl="0">
      <w:lvlJc w:val="left"/>
      <w:lvlText w:val="%1"/>
      <w:numFmt w:val="lowerRoman"/>
      <w:start w:val="1"/>
    </w:lvl>
    <w:lvl w:ilvl="1">
      <w:lvlJc w:val="left"/>
      <w:lvlText w:val="(%2)"/>
      <w:numFmt w:val="lowerLetter"/>
      <w:start w:val="2"/>
    </w:lvl>
  </w:abstractNum>
  <w:abstractNum w:abstractNumId="365">
    <w:nsid w:val="9D30DFD"/>
    <w:multiLevelType w:val="hybridMultilevel"/>
    <w:lvl w:ilvl="0">
      <w:lvlJc w:val="left"/>
      <w:lvlText w:val="(%1)"/>
      <w:numFmt w:val="lowerRoman"/>
      <w:start w:val="4"/>
    </w:lvl>
    <w:lvl w:ilvl="1">
      <w:lvlJc w:val="left"/>
      <w:lvlText w:val="%2"/>
      <w:numFmt w:val="lowerLetter"/>
      <w:start w:val="1"/>
    </w:lvl>
  </w:abstractNum>
  <w:abstractNum w:abstractNumId="366">
    <w:nsid w:val="70A42016"/>
    <w:multiLevelType w:val="hybridMultilevel"/>
    <w:lvl w:ilvl="0">
      <w:lvlJc w:val="left"/>
      <w:lvlText w:val="(%1)"/>
      <w:numFmt w:val="upperLetter"/>
      <w:start w:val="6"/>
    </w:lvl>
  </w:abstractNum>
  <w:abstractNum w:abstractNumId="367">
    <w:nsid w:val="161BC243"/>
    <w:multiLevelType w:val="hybridMultilevel"/>
    <w:lvl w:ilvl="0">
      <w:lvlJc w:val="left"/>
      <w:lvlText w:val="%1."/>
      <w:numFmt w:val="decimal"/>
      <w:start w:val="1"/>
    </w:lvl>
  </w:abstractNum>
  <w:abstractNum w:abstractNumId="368">
    <w:nsid w:val="16E908C8"/>
    <w:multiLevelType w:val="hybridMultilevel"/>
    <w:lvl w:ilvl="0">
      <w:lvlJc w:val="left"/>
      <w:lvlText w:val="(%1)"/>
      <w:numFmt w:val="lowerLetter"/>
      <w:start w:val="2"/>
    </w:lvl>
  </w:abstractNum>
  <w:abstractNum w:abstractNumId="369">
    <w:nsid w:val="2E0D7671"/>
    <w:multiLevelType w:val="hybridMultilevel"/>
    <w:lvl w:ilvl="0">
      <w:lvlJc w:val="left"/>
      <w:lvlText w:val="(%1)"/>
      <w:numFmt w:val="lowerLetter"/>
      <w:start w:val="3"/>
    </w:lvl>
  </w:abstractNum>
  <w:abstractNum w:abstractNumId="370">
    <w:nsid w:val="38B59EFF"/>
    <w:multiLevelType w:val="hybridMultilevel"/>
    <w:lvl w:ilvl="0">
      <w:lvlJc w:val="left"/>
      <w:lvlText w:val="%1."/>
      <w:numFmt w:val="decimal"/>
      <w:start w:val="2"/>
    </w:lvl>
  </w:abstractNum>
  <w:abstractNum w:abstractNumId="371">
    <w:nsid w:val="307995CA"/>
    <w:multiLevelType w:val="hybridMultilevel"/>
    <w:lvl w:ilvl="0">
      <w:lvlJc w:val="left"/>
      <w:lvlText w:val="%1"/>
      <w:numFmt w:val="lowerLetter"/>
      <w:start w:val="1"/>
    </w:lvl>
    <w:lvl w:ilvl="1">
      <w:lvlJc w:val="left"/>
      <w:lvlText w:val="(%2)"/>
      <w:numFmt w:val="lowerLetter"/>
      <w:start w:val="1"/>
    </w:lvl>
  </w:abstractNum>
  <w:abstractNum w:abstractNumId="372">
    <w:nsid w:val="52E2024D"/>
    <w:multiLevelType w:val="hybridMultilevel"/>
    <w:lvl w:ilvl="0">
      <w:lvlJc w:val="left"/>
      <w:lvlText w:val="(%1)"/>
      <w:numFmt w:val="lowerLetter"/>
      <w:start w:val="9"/>
    </w:lvl>
    <w:lvl w:ilvl="1">
      <w:lvlJc w:val="left"/>
      <w:lvlText w:val="(%2)"/>
      <w:numFmt w:val="lowerLetter"/>
      <w:start w:val="2"/>
    </w:lvl>
  </w:abstractNum>
  <w:abstractNum w:abstractNumId="373">
    <w:nsid w:val="CE344B5"/>
    <w:multiLevelType w:val="hybridMultilevel"/>
    <w:lvl w:ilvl="0">
      <w:lvlJc w:val="left"/>
      <w:lvlText w:val="%1."/>
      <w:numFmt w:val="decimal"/>
      <w:start w:val="3"/>
    </w:lvl>
  </w:abstractNum>
  <w:abstractNum w:abstractNumId="374">
    <w:nsid w:val="29B0E9A8"/>
    <w:multiLevelType w:val="hybridMultilevel"/>
    <w:lvl w:ilvl="0">
      <w:lvlJc w:val="left"/>
      <w:lvlText w:val="%1."/>
      <w:numFmt w:val="decimal"/>
      <w:start w:val="4"/>
    </w:lvl>
  </w:abstractNum>
  <w:abstractNum w:abstractNumId="375">
    <w:nsid w:val="6F49CD8A"/>
    <w:multiLevelType w:val="hybridMultilevel"/>
    <w:lvl w:ilvl="0">
      <w:lvlJc w:val="left"/>
      <w:lvlText w:val="(%1)"/>
      <w:numFmt w:val="lowerLetter"/>
      <w:start w:val="1"/>
    </w:lvl>
  </w:abstractNum>
  <w:abstractNum w:abstractNumId="376">
    <w:nsid w:val="4DC5D907"/>
    <w:multiLevelType w:val="hybridMultilevel"/>
    <w:lvl w:ilvl="0">
      <w:lvlJc w:val="left"/>
      <w:lvlText w:val="%1."/>
      <w:numFmt w:val="decimal"/>
      <w:start w:val="5"/>
    </w:lvl>
  </w:abstractNum>
  <w:abstractNum w:abstractNumId="377">
    <w:nsid w:val="D55945E"/>
    <w:multiLevelType w:val="hybridMultilevel"/>
    <w:lvl w:ilvl="0">
      <w:lvlJc w:val="left"/>
      <w:lvlText w:val="%1."/>
      <w:numFmt w:val="decimal"/>
      <w:start w:val="6"/>
    </w:lvl>
  </w:abstractNum>
  <w:abstractNum w:abstractNumId="378">
    <w:nsid w:val="672417E1"/>
    <w:multiLevelType w:val="hybridMultilevel"/>
    <w:lvl w:ilvl="0">
      <w:lvlJc w:val="left"/>
      <w:lvlText w:val="%1."/>
      <w:numFmt w:val="decimal"/>
      <w:start w:val="7"/>
    </w:lvl>
  </w:abstractNum>
  <w:abstractNum w:abstractNumId="379">
    <w:nsid w:val="5FF6CA09"/>
    <w:multiLevelType w:val="hybridMultilevel"/>
    <w:lvl w:ilvl="0">
      <w:lvlJc w:val="left"/>
      <w:lvlText w:val="%1."/>
      <w:numFmt w:val="decimal"/>
      <w:start w:val="9"/>
    </w:lvl>
  </w:abstractNum>
  <w:abstractNum w:abstractNumId="380">
    <w:nsid w:val="330B1333"/>
    <w:multiLevelType w:val="hybridMultilevel"/>
    <w:lvl w:ilvl="0">
      <w:lvlJc w:val="left"/>
      <w:lvlText w:val="%1."/>
      <w:numFmt w:val="decimal"/>
      <w:start w:val="10"/>
    </w:lvl>
  </w:abstractNum>
  <w:abstractNum w:abstractNumId="381">
    <w:nsid w:val="2EF32EA6"/>
    <w:multiLevelType w:val="hybridMultilevel"/>
    <w:lvl w:ilvl="0">
      <w:lvlJc w:val="left"/>
      <w:lvlText w:val="%1."/>
      <w:numFmt w:val="decimal"/>
      <w:start w:val="11"/>
    </w:lvl>
    <w:lvl w:ilvl="1">
      <w:lvlJc w:val="left"/>
      <w:lvlText w:val="(%2)"/>
      <w:numFmt w:val="lowerRoman"/>
      <w:start w:val="1"/>
    </w:lvl>
    <w:lvl w:ilvl="2">
      <w:lvlJc w:val="left"/>
      <w:lvlText w:val="(%3)"/>
      <w:numFmt w:val="lowerRoman"/>
      <w:start w:val="3"/>
    </w:lvl>
  </w:abstractNum>
  <w:abstractNum w:abstractNumId="382">
    <w:nsid w:val="32766A55"/>
    <w:multiLevelType w:val="hybridMultilevel"/>
    <w:lvl w:ilvl="0">
      <w:lvlJc w:val="left"/>
      <w:lvlText w:val="%1"/>
      <w:numFmt w:val="lowerLetter"/>
      <w:start w:val="1"/>
    </w:lvl>
    <w:lvl w:ilvl="1">
      <w:lvlJc w:val="left"/>
      <w:lvlText w:val="(%2)"/>
      <w:numFmt w:val="lowerLetter"/>
      <w:start w:val="22"/>
    </w:lvl>
  </w:abstractNum>
  <w:abstractNum w:abstractNumId="383">
    <w:nsid w:val="22D71957"/>
    <w:multiLevelType w:val="hybridMultilevel"/>
    <w:lvl w:ilvl="0">
      <w:lvlJc w:val="left"/>
      <w:lvlText w:val="(%1)"/>
      <w:numFmt w:val="lowerLetter"/>
      <w:start w:val="2"/>
    </w:lvl>
    <w:lvl w:ilvl="1">
      <w:lvlJc w:val="left"/>
      <w:lvlText w:val="(%2)"/>
      <w:numFmt w:val="lowerLetter"/>
      <w:start w:val="9"/>
    </w:lvl>
  </w:abstractNum>
  <w:abstractNum w:abstractNumId="384">
    <w:nsid w:val="4CC1263B"/>
    <w:multiLevelType w:val="hybridMultilevel"/>
    <w:lvl w:ilvl="0">
      <w:lvlJc w:val="left"/>
      <w:lvlText w:val="%1"/>
      <w:numFmt w:val="lowerLetter"/>
      <w:start w:val="1"/>
    </w:lvl>
    <w:lvl w:ilvl="1">
      <w:lvlJc w:val="left"/>
      <w:lvlText w:val="(%2)"/>
      <w:numFmt w:val="lowerLetter"/>
      <w:start w:val="35"/>
    </w:lvl>
  </w:abstractNum>
  <w:abstractNum w:abstractNumId="385">
    <w:nsid w:val="8BBEB1D"/>
    <w:multiLevelType w:val="hybridMultilevel"/>
    <w:lvl w:ilvl="0">
      <w:lvlJc w:val="left"/>
      <w:lvlText w:val="(%1)"/>
      <w:numFmt w:val="lowerLetter"/>
      <w:start w:val="3"/>
    </w:lvl>
    <w:lvl w:ilvl="1">
      <w:lvlJc w:val="left"/>
      <w:lvlText w:val="%2"/>
      <w:numFmt w:val="lowerLetter"/>
      <w:start w:val="1"/>
    </w:lvl>
  </w:abstractNum>
  <w:abstractNum w:abstractNumId="386">
    <w:nsid w:val="7365F1EE"/>
    <w:multiLevelType w:val="hybridMultilevel"/>
    <w:lvl w:ilvl="0">
      <w:lvlJc w:val="left"/>
      <w:lvlText w:val="%1."/>
      <w:numFmt w:val="decimal"/>
      <w:start w:val="12"/>
    </w:lvl>
  </w:abstractNum>
  <w:abstractNum w:abstractNumId="387">
    <w:nsid w:val="37524CF0"/>
    <w:multiLevelType w:val="hybridMultilevel"/>
    <w:lvl w:ilvl="0">
      <w:lvlJc w:val="left"/>
      <w:lvlText w:val="%1."/>
      <w:numFmt w:val="decimal"/>
      <w:start w:val="13"/>
    </w:lvl>
  </w:abstractNum>
  <w:abstractNum w:abstractNumId="388">
    <w:nsid w:val="70CC332F"/>
    <w:multiLevelType w:val="hybridMultilevel"/>
    <w:lvl w:ilvl="0">
      <w:lvlJc w:val="left"/>
      <w:lvlText w:val="%1."/>
      <w:numFmt w:val="decimal"/>
      <w:start w:val="14"/>
    </w:lvl>
  </w:abstractNum>
  <w:abstractNum w:abstractNumId="389">
    <w:nsid w:val="5661786E"/>
    <w:multiLevelType w:val="hybridMultilevel"/>
    <w:lvl w:ilvl="0">
      <w:lvlJc w:val="left"/>
      <w:lvlText w:val="(%1)"/>
      <w:numFmt w:val="lowerLetter"/>
      <w:start w:val="1"/>
    </w:lvl>
  </w:abstractNum>
  <w:abstractNum w:abstractNumId="390">
    <w:nsid w:val="3AF6A220"/>
    <w:multiLevelType w:val="hybridMultilevel"/>
    <w:lvl w:ilvl="0">
      <w:lvlJc w:val="left"/>
      <w:lvlText w:val="(%1)"/>
      <w:numFmt w:val="lowerLetter"/>
      <w:start w:val="2"/>
    </w:lvl>
  </w:abstractNum>
  <w:abstractNum w:abstractNumId="391">
    <w:nsid w:val="3C5EA902"/>
    <w:multiLevelType w:val="hybridMultilevel"/>
    <w:lvl w:ilvl="0">
      <w:lvlJc w:val="left"/>
      <w:lvlText w:val="(%1)"/>
      <w:numFmt w:val="lowerLetter"/>
      <w:start w:val="4"/>
    </w:lvl>
  </w:abstractNum>
  <w:abstractNum w:abstractNumId="392">
    <w:nsid w:val="256E6749"/>
    <w:multiLevelType w:val="hybridMultilevel"/>
    <w:lvl w:ilvl="0">
      <w:lvlJc w:val="left"/>
      <w:lvlText w:val="(%1)"/>
      <w:numFmt w:val="lowerLetter"/>
      <w:start w:val="7"/>
    </w:lvl>
  </w:abstractNum>
  <w:abstractNum w:abstractNumId="393">
    <w:nsid w:val="1CB9A581"/>
    <w:multiLevelType w:val="hybridMultilevel"/>
    <w:lvl w:ilvl="0">
      <w:lvlJc w:val="left"/>
      <w:lvlText w:val="%1."/>
      <w:numFmt w:val="decimal"/>
      <w:start w:val="2"/>
    </w:lvl>
  </w:abstractNum>
  <w:abstractNum w:abstractNumId="394">
    <w:nsid w:val="1F7F42E2"/>
    <w:multiLevelType w:val="hybridMultilevel"/>
    <w:lvl w:ilvl="0">
      <w:lvlJc w:val="left"/>
      <w:lvlText w:val="%1"/>
      <w:numFmt w:val="lowerRoman"/>
      <w:start w:val="1"/>
    </w:lvl>
    <w:lvl w:ilvl="1">
      <w:lvlJc w:val="left"/>
      <w:lvlText w:val="%2."/>
      <w:numFmt w:val="decimal"/>
      <w:start w:val="5"/>
    </w:lvl>
  </w:abstractNum>
  <w:abstractNum w:abstractNumId="395">
    <w:nsid w:val="49D1FEA0"/>
    <w:multiLevelType w:val="hybridMultilevel"/>
    <w:lvl w:ilvl="0">
      <w:lvlJc w:val="left"/>
      <w:lvlText w:val="(%1)"/>
      <w:numFmt w:val="lowerRoman"/>
      <w:start w:val="2"/>
    </w:lvl>
    <w:lvl w:ilvl="1">
      <w:lvlJc w:val="left"/>
      <w:lvlText w:val="%2."/>
      <w:numFmt w:val="decimal"/>
      <w:start w:val="6"/>
    </w:lvl>
  </w:abstractNum>
  <w:abstractNum w:abstractNumId="396">
    <w:nsid w:val="268CB37F"/>
    <w:multiLevelType w:val="hybridMultilevel"/>
    <w:lvl w:ilvl="0">
      <w:lvlJc w:val="left"/>
      <w:lvlText w:val="%1."/>
      <w:numFmt w:val="decimal"/>
      <w:start w:val="8"/>
    </w:lvl>
  </w:abstractNum>
  <w:abstractNum w:abstractNumId="397">
    <w:nsid w:val="102362F8"/>
    <w:multiLevelType w:val="hybridMultilevel"/>
    <w:lvl w:ilvl="0">
      <w:lvlJc w:val="left"/>
      <w:lvlText w:val="%1."/>
      <w:numFmt w:val="decimal"/>
      <w:start w:val="9"/>
    </w:lvl>
    <w:lvl w:ilvl="1">
      <w:lvlJc w:val="left"/>
      <w:lvlText w:val="(%2)"/>
      <w:numFmt w:val="lowerLetter"/>
      <w:start w:val="1"/>
    </w:lvl>
  </w:abstractNum>
  <w:abstractNum w:abstractNumId="398">
    <w:nsid w:val="5FEDC0E3"/>
    <w:multiLevelType w:val="hybridMultilevel"/>
    <w:lvl w:ilvl="0">
      <w:lvlJc w:val="left"/>
      <w:lvlText w:val="%1"/>
      <w:numFmt w:val="decimal"/>
      <w:start w:val="1"/>
    </w:lvl>
    <w:lvl w:ilvl="1">
      <w:lvlJc w:val="left"/>
      <w:lvlText w:val="(%2)"/>
      <w:numFmt w:val="lowerLetter"/>
      <w:start w:val="2"/>
    </w:lvl>
  </w:abstractNum>
  <w:abstractNum w:abstractNumId="399">
    <w:nsid w:val="3D75BC47"/>
    <w:multiLevelType w:val="hybridMultilevel"/>
    <w:lvl w:ilvl="0">
      <w:lvlJc w:val="left"/>
      <w:lvlText w:val="%1."/>
      <w:numFmt w:val="decimal"/>
      <w:start w:val="10"/>
    </w:lvl>
    <w:lvl w:ilvl="1">
      <w:lvlJc w:val="left"/>
      <w:lvlText w:val="%2"/>
      <w:numFmt w:val="lowerLetter"/>
      <w:start w:val="1"/>
    </w:lvl>
  </w:abstractNum>
  <w:abstractNum w:abstractNumId="400">
    <w:nsid w:val="3E30D969"/>
    <w:multiLevelType w:val="hybridMultilevel"/>
    <w:lvl w:ilvl="0">
      <w:lvlJc w:val="left"/>
      <w:lvlText w:val="%1."/>
      <w:numFmt w:val="decimal"/>
      <w:start w:val="12"/>
    </w:lvl>
  </w:abstractNum>
  <w:abstractNum w:abstractNumId="401">
    <w:nsid w:val="18A35FE3"/>
    <w:multiLevelType w:val="hybridMultilevel"/>
    <w:lvl w:ilvl="0">
      <w:lvlJc w:val="left"/>
      <w:lvlText w:val="(%1)"/>
      <w:numFmt w:val="lowerRoman"/>
      <w:start w:val="1"/>
    </w:lvl>
  </w:abstractNum>
  <w:abstractNum w:abstractNumId="402">
    <w:nsid w:val="6DEF5211"/>
    <w:multiLevelType w:val="hybridMultilevel"/>
    <w:lvl w:ilvl="0">
      <w:lvlJc w:val="left"/>
      <w:lvlText w:val="(%1)"/>
      <w:numFmt w:val="upperLetter"/>
      <w:start w:val="1"/>
    </w:lvl>
  </w:abstractNum>
  <w:abstractNum w:abstractNumId="403">
    <w:nsid w:val="1112DBB6"/>
    <w:multiLevelType w:val="hybridMultilevel"/>
    <w:lvl w:ilvl="0">
      <w:lvlJc w:val="left"/>
      <w:lvlText w:val="(%1)"/>
      <w:numFmt w:val="upperLetter"/>
      <w:start w:val="2"/>
    </w:lvl>
  </w:abstractNum>
  <w:abstractNum w:abstractNumId="404">
    <w:nsid w:val="2586A498"/>
    <w:multiLevelType w:val="hybridMultilevel"/>
    <w:lvl w:ilvl="0">
      <w:lvlJc w:val="left"/>
      <w:lvlText w:val="(%1)"/>
      <w:numFmt w:val="upperLetter"/>
      <w:start w:val="5"/>
    </w:lvl>
    <w:lvl w:ilvl="1">
      <w:lvlJc w:val="left"/>
      <w:lvlText w:val="(%2)"/>
      <w:numFmt w:val="lowerRoman"/>
      <w:start w:val="1"/>
    </w:lvl>
    <w:lvl w:ilvl="2">
      <w:lvlJc w:val="left"/>
      <w:lvlText w:val="(%3)"/>
      <w:numFmt w:val="lowerLetter"/>
      <w:start w:val="1"/>
    </w:lvl>
  </w:abstractNum>
  <w:abstractNum w:abstractNumId="405">
    <w:nsid w:val="17A03BB9"/>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406">
    <w:nsid w:val="5CA941"/>
    <w:multiLevelType w:val="hybridMultilevel"/>
    <w:lvl w:ilvl="0">
      <w:lvlJc w:val="left"/>
      <w:lvlText w:val="(%1)"/>
      <w:numFmt w:val="upperLetter"/>
      <w:start w:val="2"/>
    </w:lvl>
    <w:lvl w:ilvl="1">
      <w:lvlJc w:val="left"/>
      <w:lvlText w:val="(%2)"/>
      <w:numFmt w:val="lowerRoman"/>
      <w:start w:val="3"/>
    </w:lvl>
    <w:lvl w:ilvl="2">
      <w:lvlJc w:val="left"/>
      <w:lvlText w:val="(%3)"/>
      <w:numFmt w:val="lowerLetter"/>
      <w:start w:val="3"/>
    </w:lvl>
  </w:abstractNum>
  <w:abstractNum w:abstractNumId="407">
    <w:nsid w:val="734C7D9F"/>
    <w:multiLevelType w:val="hybridMultilevel"/>
    <w:lvl w:ilvl="0">
      <w:lvlJc w:val="left"/>
      <w:lvlText w:val="(%1)"/>
      <w:numFmt w:val="upperLetter"/>
      <w:start w:val="5"/>
    </w:lvl>
    <w:lvl w:ilvl="1">
      <w:lvlJc w:val="left"/>
      <w:lvlText w:val="%2"/>
      <w:numFmt w:val="lowerRoman"/>
      <w:start w:val="1"/>
    </w:lvl>
    <w:lvl w:ilvl="2">
      <w:lvlJc w:val="left"/>
      <w:lvlText w:val="%3"/>
      <w:numFmt w:val="lowerLetter"/>
      <w:start w:val="1"/>
    </w:lvl>
  </w:abstractNum>
  <w:abstractNum w:abstractNumId="408">
    <w:nsid w:val="24F5D018"/>
    <w:multiLevelType w:val="hybridMultilevel"/>
    <w:lvl w:ilvl="0">
      <w:lvlJc w:val="left"/>
      <w:lvlText w:val="(%1)"/>
      <w:numFmt w:val="upperLetter"/>
      <w:start w:val="6"/>
    </w:lvl>
  </w:abstractNum>
  <w:abstractNum w:abstractNumId="409">
    <w:nsid w:val="6780C122"/>
    <w:multiLevelType w:val="hybridMultilevel"/>
    <w:lvl w:ilvl="0">
      <w:lvlJc w:val="left"/>
      <w:lvlText w:val="%1."/>
      <w:numFmt w:val="decimal"/>
      <w:start w:val="1"/>
    </w:lvl>
  </w:abstractNum>
  <w:abstractNum w:abstractNumId="410">
    <w:nsid w:val="534347A8"/>
    <w:multiLevelType w:val="hybridMultilevel"/>
    <w:lvl w:ilvl="0">
      <w:lvlJc w:val="left"/>
      <w:lvlText w:val="(%1)"/>
      <w:numFmt w:val="lowerLetter"/>
      <w:start w:val="1"/>
    </w:lvl>
  </w:abstractNum>
  <w:abstractNum w:abstractNumId="411">
    <w:nsid w:val="5800E34B"/>
    <w:multiLevelType w:val="hybridMultilevel"/>
    <w:lvl w:ilvl="0">
      <w:lvlJc w:val="left"/>
      <w:lvlText w:val="(%1)"/>
      <w:numFmt w:val="lowerLetter"/>
      <w:start w:val="2"/>
    </w:lvl>
  </w:abstractNum>
  <w:abstractNum w:abstractNumId="412">
    <w:nsid w:val="1673EFC8"/>
    <w:multiLevelType w:val="hybridMultilevel"/>
    <w:lvl w:ilvl="0">
      <w:lvlJc w:val="left"/>
      <w:lvlText w:val="(%1)"/>
      <w:numFmt w:val="lowerLetter"/>
      <w:start w:val="3"/>
    </w:lvl>
  </w:abstractNum>
  <w:abstractNum w:abstractNumId="413">
    <w:nsid w:val="5B9B1FD"/>
    <w:multiLevelType w:val="hybridMultilevel"/>
    <w:lvl w:ilvl="0">
      <w:lvlJc w:val="left"/>
      <w:lvlText w:val="%1."/>
      <w:numFmt w:val="decimal"/>
      <w:start w:val="2"/>
    </w:lvl>
  </w:abstractNum>
  <w:abstractNum w:abstractNumId="414">
    <w:nsid w:val="7AD7FCA2"/>
    <w:multiLevelType w:val="hybridMultilevel"/>
    <w:lvl w:ilvl="0">
      <w:lvlJc w:val="left"/>
      <w:lvlText w:val="(%1)"/>
      <w:numFmt w:val="lowerLetter"/>
      <w:start w:val="1"/>
    </w:lvl>
  </w:abstractNum>
  <w:abstractNum w:abstractNumId="415">
    <w:nsid w:val="63351604"/>
    <w:multiLevelType w:val="hybridMultilevel"/>
    <w:lvl w:ilvl="0">
      <w:lvlJc w:val="left"/>
      <w:lvlText w:val="%1."/>
      <w:numFmt w:val="decimal"/>
      <w:start w:val="3"/>
    </w:lvl>
  </w:abstractNum>
  <w:abstractNum w:abstractNumId="416">
    <w:nsid w:val="E759D1A"/>
    <w:multiLevelType w:val="hybridMultilevel"/>
    <w:lvl w:ilvl="0">
      <w:lvlJc w:val="left"/>
      <w:lvlText w:val="%1."/>
      <w:numFmt w:val="decimal"/>
      <w:start w:val="4"/>
    </w:lvl>
  </w:abstractNum>
  <w:abstractNum w:abstractNumId="417">
    <w:nsid w:val="6E3DEE90"/>
    <w:multiLevelType w:val="hybridMultilevel"/>
    <w:lvl w:ilvl="0">
      <w:lvlJc w:val="left"/>
      <w:lvlText w:val="(%1)"/>
      <w:numFmt w:val="lowerLetter"/>
      <w:start w:val="1"/>
    </w:lvl>
  </w:abstractNum>
  <w:abstractNum w:abstractNumId="418">
    <w:nsid w:val="1A8762F4"/>
    <w:multiLevelType w:val="hybridMultilevel"/>
    <w:lvl w:ilvl="0">
      <w:lvlJc w:val="left"/>
      <w:lvlText w:val="%1."/>
      <w:numFmt w:val="decimal"/>
      <w:start w:val="5"/>
    </w:lvl>
  </w:abstractNum>
  <w:abstractNum w:abstractNumId="419">
    <w:nsid w:val="7F41D049"/>
    <w:multiLevelType w:val="hybridMultilevel"/>
    <w:lvl w:ilvl="0">
      <w:lvlJc w:val="left"/>
      <w:lvlText w:val="%1."/>
      <w:numFmt w:val="decimal"/>
      <w:start w:val="6"/>
    </w:lvl>
  </w:abstractNum>
  <w:abstractNum w:abstractNumId="420">
    <w:nsid w:val="449F66FE"/>
    <w:multiLevelType w:val="hybridMultilevel"/>
    <w:lvl w:ilvl="0">
      <w:lvlJc w:val="left"/>
      <w:lvlText w:val="%1."/>
      <w:numFmt w:val="decimal"/>
      <w:start w:val="7"/>
    </w:lvl>
  </w:abstractNum>
  <w:abstractNum w:abstractNumId="421">
    <w:nsid w:val="557E0515"/>
    <w:multiLevelType w:val="hybridMultilevel"/>
    <w:lvl w:ilvl="0">
      <w:lvlJc w:val="left"/>
      <w:lvlText w:val="%1."/>
      <w:numFmt w:val="decimal"/>
      <w:start w:val="8"/>
    </w:lvl>
  </w:abstractNum>
  <w:abstractNum w:abstractNumId="422">
    <w:nsid w:val="3BA0794B"/>
    <w:multiLevelType w:val="hybridMultilevel"/>
    <w:lvl w:ilvl="0">
      <w:lvlJc w:val="left"/>
      <w:lvlText w:val="%1."/>
      <w:numFmt w:val="decimal"/>
      <w:start w:val="9"/>
    </w:lvl>
  </w:abstractNum>
  <w:abstractNum w:abstractNumId="423">
    <w:nsid w:val="6A0DCE48"/>
    <w:multiLevelType w:val="hybridMultilevel"/>
    <w:lvl w:ilvl="0">
      <w:lvlJc w:val="left"/>
      <w:lvlText w:val="%1."/>
      <w:numFmt w:val="decimal"/>
      <w:start w:val="10"/>
    </w:lvl>
  </w:abstractNum>
  <w:abstractNum w:abstractNumId="424">
    <w:nsid w:val="7237AA96"/>
    <w:multiLevelType w:val="hybridMultilevel"/>
    <w:lvl w:ilvl="0">
      <w:lvlJc w:val="left"/>
      <w:lvlText w:val="%1."/>
      <w:numFmt w:val="decimal"/>
      <w:start w:val="11"/>
    </w:lvl>
    <w:lvl w:ilvl="1">
      <w:lvlJc w:val="left"/>
      <w:lvlText w:val="(%2)"/>
      <w:numFmt w:val="lowerRoman"/>
      <w:start w:val="1"/>
    </w:lvl>
  </w:abstractNum>
  <w:abstractNum w:abstractNumId="425">
    <w:nsid w:val="5B1FBC2D"/>
    <w:multiLevelType w:val="hybridMultilevel"/>
    <w:lvl w:ilvl="0">
      <w:lvlJc w:val="left"/>
      <w:lvlText w:val="%1"/>
      <w:numFmt w:val="lowerLetter"/>
      <w:start w:val="1"/>
    </w:lvl>
    <w:lvl w:ilvl="1">
      <w:lvlJc w:val="left"/>
      <w:lvlText w:val="(%2)"/>
      <w:numFmt w:val="lowerLetter"/>
      <w:start w:val="22"/>
    </w:lvl>
  </w:abstractNum>
  <w:abstractNum w:abstractNumId="426">
    <w:nsid w:val="33DFCCE8"/>
    <w:multiLevelType w:val="hybridMultilevel"/>
    <w:lvl w:ilvl="0">
      <w:lvlJc w:val="left"/>
      <w:lvlText w:val="(%1)"/>
      <w:numFmt w:val="lowerLetter"/>
      <w:start w:val="2"/>
    </w:lvl>
    <w:lvl w:ilvl="1">
      <w:lvlJc w:val="left"/>
      <w:lvlText w:val="(%2)"/>
      <w:numFmt w:val="lowerLetter"/>
      <w:start w:val="9"/>
    </w:lvl>
  </w:abstractNum>
  <w:abstractNum w:abstractNumId="427">
    <w:nsid w:val="18C45E15"/>
    <w:multiLevelType w:val="hybridMultilevel"/>
    <w:lvl w:ilvl="0">
      <w:lvlJc w:val="left"/>
      <w:lvlText w:val="(%1)"/>
      <w:numFmt w:val="lowerRoman"/>
      <w:start w:val="2"/>
    </w:lvl>
  </w:abstractNum>
  <w:abstractNum w:abstractNumId="428">
    <w:nsid w:val="6B431F25"/>
    <w:multiLevelType w:val="hybridMultilevel"/>
    <w:lvl w:ilvl="0">
      <w:lvlJc w:val="left"/>
      <w:lvlText w:val="(%1)"/>
      <w:numFmt w:val="lowerLetter"/>
      <w:start w:val="3"/>
    </w:lvl>
  </w:abstractNum>
  <w:abstractNum w:abstractNumId="429">
    <w:nsid w:val="13CD8DCB"/>
    <w:multiLevelType w:val="hybridMultilevel"/>
    <w:lvl w:ilvl="0">
      <w:lvlJc w:val="left"/>
      <w:lvlText w:val="%1."/>
      <w:numFmt w:val="decimal"/>
      <w:start w:val="12"/>
    </w:lvl>
  </w:abstractNum>
  <w:abstractNum w:abstractNumId="430">
    <w:nsid w:val="563A1A5C"/>
    <w:multiLevelType w:val="hybridMultilevel"/>
    <w:lvl w:ilvl="0">
      <w:lvlJc w:val="left"/>
      <w:lvlText w:val="%1."/>
      <w:numFmt w:val="decimal"/>
      <w:start w:val="13"/>
    </w:lvl>
  </w:abstractNum>
  <w:abstractNum w:abstractNumId="431">
    <w:nsid w:val="2973F88F"/>
    <w:multiLevelType w:val="hybridMultilevel"/>
    <w:lvl w:ilvl="0">
      <w:lvlJc w:val="left"/>
      <w:lvlText w:val="%1."/>
      <w:numFmt w:val="decimal"/>
      <w:start w:val="14"/>
    </w:lvl>
  </w:abstractNum>
  <w:abstractNum w:abstractNumId="432">
    <w:nsid w:val="2C70EDAE"/>
    <w:multiLevelType w:val="hybridMultilevel"/>
    <w:lvl w:ilvl="0">
      <w:lvlJc w:val="left"/>
      <w:lvlText w:val="(%1)"/>
      <w:numFmt w:val="lowerLetter"/>
      <w:start w:val="1"/>
    </w:lvl>
  </w:abstractNum>
  <w:abstractNum w:abstractNumId="433">
    <w:nsid w:val="44296C6D"/>
    <w:multiLevelType w:val="hybridMultilevel"/>
    <w:lvl w:ilvl="0">
      <w:lvlJc w:val="left"/>
      <w:lvlText w:val="(%1)"/>
      <w:numFmt w:val="lowerLetter"/>
      <w:start w:val="2"/>
    </w:lvl>
  </w:abstractNum>
  <w:abstractNum w:abstractNumId="434">
    <w:nsid w:val="3A86D445"/>
    <w:multiLevelType w:val="hybridMultilevel"/>
    <w:lvl w:ilvl="0">
      <w:lvlJc w:val="left"/>
      <w:lvlText w:val="(%1)"/>
      <w:numFmt w:val="lowerLetter"/>
      <w:start w:val="4"/>
    </w:lvl>
  </w:abstractNum>
  <w:abstractNum w:abstractNumId="435">
    <w:nsid w:val="51F79246"/>
    <w:multiLevelType w:val="hybridMultilevel"/>
    <w:lvl w:ilvl="0">
      <w:lvlJc w:val="left"/>
      <w:lvlText w:val="(%1)"/>
      <w:numFmt w:val="lowerLetter"/>
      <w:start w:val="7"/>
    </w:lvl>
  </w:abstractNum>
  <w:abstractNum w:abstractNumId="436">
    <w:nsid w:val="5BC9A827"/>
    <w:multiLevelType w:val="hybridMultilevel"/>
    <w:lvl w:ilvl="0">
      <w:lvlJc w:val="left"/>
      <w:lvlText w:val="%1."/>
      <w:numFmt w:val="decimal"/>
      <w:start w:val="1"/>
    </w:lvl>
  </w:abstractNum>
  <w:abstractNum w:abstractNumId="437">
    <w:nsid w:val="3AE37D86"/>
    <w:multiLevelType w:val="hybridMultilevel"/>
    <w:lvl w:ilvl="0">
      <w:lvlJc w:val="left"/>
      <w:lvlText w:val="%1"/>
      <w:numFmt w:val="lowerRoman"/>
      <w:start w:val="1"/>
    </w:lvl>
    <w:lvl w:ilvl="1">
      <w:lvlJc w:val="left"/>
      <w:lvlText w:val="%2."/>
      <w:numFmt w:val="decimal"/>
      <w:start w:val="5"/>
    </w:lvl>
  </w:abstractNum>
  <w:abstractNum w:abstractNumId="438">
    <w:nsid w:val="45440FE5"/>
    <w:multiLevelType w:val="hybridMultilevel"/>
    <w:lvl w:ilvl="0">
      <w:lvlJc w:val="left"/>
      <w:lvlText w:val="(%1)"/>
      <w:numFmt w:val="lowerRoman"/>
      <w:start w:val="2"/>
    </w:lvl>
    <w:lvl w:ilvl="1">
      <w:lvlJc w:val="left"/>
      <w:lvlText w:val="%2."/>
      <w:numFmt w:val="decimal"/>
      <w:start w:val="6"/>
    </w:lvl>
  </w:abstractNum>
  <w:abstractNum w:abstractNumId="439">
    <w:nsid w:val="BF783F"/>
    <w:multiLevelType w:val="hybridMultilevel"/>
    <w:lvl w:ilvl="0">
      <w:lvlJc w:val="left"/>
      <w:lvlText w:val="%1."/>
      <w:numFmt w:val="decimal"/>
      <w:start w:val="8"/>
    </w:lvl>
  </w:abstractNum>
  <w:abstractNum w:abstractNumId="440">
    <w:nsid w:val="22643EA9"/>
    <w:multiLevelType w:val="hybridMultilevel"/>
    <w:lvl w:ilvl="0">
      <w:lvlJc w:val="left"/>
      <w:lvlText w:val="%1."/>
      <w:numFmt w:val="decimal"/>
      <w:start w:val="9"/>
    </w:lvl>
    <w:lvl w:ilvl="1">
      <w:lvlJc w:val="left"/>
      <w:lvlText w:val="(%2)"/>
      <w:numFmt w:val="lowerLetter"/>
      <w:start w:val="1"/>
    </w:lvl>
  </w:abstractNum>
  <w:abstractNum w:abstractNumId="441">
    <w:nsid w:val="1887578D"/>
    <w:multiLevelType w:val="hybridMultilevel"/>
    <w:lvl w:ilvl="0">
      <w:lvlJc w:val="left"/>
      <w:lvlText w:val="%1"/>
      <w:numFmt w:val="decimal"/>
      <w:start w:val="1"/>
    </w:lvl>
    <w:lvl w:ilvl="1">
      <w:lvlJc w:val="left"/>
      <w:lvlText w:val="(%2)"/>
      <w:numFmt w:val="lowerLetter"/>
      <w:start w:val="2"/>
    </w:lvl>
  </w:abstractNum>
  <w:abstractNum w:abstractNumId="442">
    <w:nsid w:val="58C05B8A"/>
    <w:multiLevelType w:val="hybridMultilevel"/>
    <w:lvl w:ilvl="0">
      <w:lvlJc w:val="left"/>
      <w:lvlText w:val="%1."/>
      <w:numFmt w:val="decimal"/>
      <w:start w:val="10"/>
    </w:lvl>
    <w:lvl w:ilvl="1">
      <w:lvlJc w:val="left"/>
      <w:lvlText w:val="%2"/>
      <w:numFmt w:val="lowerLetter"/>
      <w:start w:val="1"/>
    </w:lvl>
  </w:abstractNum>
  <w:abstractNum w:abstractNumId="443">
    <w:nsid w:val="38D82E71"/>
    <w:multiLevelType w:val="hybridMultilevel"/>
    <w:lvl w:ilvl="0">
      <w:lvlJc w:val="left"/>
      <w:lvlText w:val="%1."/>
      <w:numFmt w:val="decimal"/>
      <w:start w:val="12"/>
    </w:lvl>
  </w:abstractNum>
  <w:abstractNum w:abstractNumId="444">
    <w:nsid w:val="1E41098A"/>
    <w:multiLevelType w:val="hybridMultilevel"/>
    <w:lvl w:ilvl="0">
      <w:lvlJc w:val="left"/>
      <w:lvlText w:val="(%1)"/>
      <w:numFmt w:val="upperLetter"/>
      <w:start w:val="1"/>
    </w:lvl>
  </w:abstractNum>
  <w:abstractNum w:abstractNumId="445">
    <w:nsid w:val="5398582C"/>
    <w:multiLevelType w:val="hybridMultilevel"/>
    <w:lvl w:ilvl="0">
      <w:lvlJc w:val="left"/>
      <w:lvlText w:val="(%1)"/>
      <w:numFmt w:val="upperLetter"/>
      <w:start w:val="2"/>
    </w:lvl>
  </w:abstractNum>
  <w:abstractNum w:abstractNumId="446">
    <w:nsid w:val="1C0D4475"/>
    <w:multiLevelType w:val="hybridMultilevel"/>
    <w:lvl w:ilvl="0">
      <w:lvlJc w:val="left"/>
      <w:lvlText w:val="(%1)"/>
      <w:numFmt w:val="upperLetter"/>
      <w:start w:val="5"/>
    </w:lvl>
    <w:lvl w:ilvl="1">
      <w:lvlJc w:val="left"/>
      <w:lvlText w:val="(%2)"/>
      <w:numFmt w:val="lowerRoman"/>
      <w:start w:val="1"/>
    </w:lvl>
    <w:lvl w:ilvl="2">
      <w:lvlJc w:val="left"/>
      <w:lvlText w:val="(%3)"/>
      <w:numFmt w:val="lowerLetter"/>
      <w:start w:val="1"/>
    </w:lvl>
  </w:abstractNum>
  <w:abstractNum w:abstractNumId="447">
    <w:nsid w:val="2CB6A6A4"/>
    <w:multiLevelType w:val="hybridMultilevel"/>
    <w:lvl w:ilvl="0">
      <w:lvlJc w:val="left"/>
      <w:lvlText w:val="%1"/>
      <w:numFmt w:val="lowerRoman"/>
      <w:start w:val="1"/>
    </w:lvl>
    <w:lvl w:ilvl="1">
      <w:lvlJc w:val="left"/>
      <w:lvlText w:val="(%2)"/>
      <w:numFmt w:val="lowerLetter"/>
      <w:start w:val="2"/>
    </w:lvl>
  </w:abstractNum>
  <w:abstractNum w:abstractNumId="448">
    <w:nsid w:val="41D646BC"/>
    <w:multiLevelType w:val="hybridMultilevel"/>
    <w:lvl w:ilvl="0">
      <w:lvlJc w:val="left"/>
      <w:lvlText w:val="(%1)"/>
      <w:numFmt w:val="lowerRoman"/>
      <w:start w:val="4"/>
    </w:lvl>
    <w:lvl w:ilvl="1">
      <w:lvlJc w:val="left"/>
      <w:lvlText w:val="%2"/>
      <w:numFmt w:val="lowerLetter"/>
      <w:start w:val="1"/>
    </w:lvl>
  </w:abstractNum>
  <w:abstractNum w:abstractNumId="449">
    <w:nsid w:val="3694A76A"/>
    <w:multiLevelType w:val="hybridMultilevel"/>
    <w:lvl w:ilvl="0">
      <w:lvlJc w:val="left"/>
      <w:lvlText w:val="(%1)"/>
      <w:numFmt w:val="upperLetter"/>
      <w:start w:val="6"/>
    </w:lvl>
  </w:abstractNum>
  <w:abstractNum w:abstractNumId="450">
    <w:nsid w:val="2BF876EE"/>
    <w:multiLevelType w:val="hybridMultilevel"/>
    <w:lvl w:ilvl="0">
      <w:lvlJc w:val="left"/>
      <w:lvlText w:val="%1."/>
      <w:numFmt w:val="decimal"/>
      <w:start w:val="1"/>
    </w:lvl>
  </w:abstractNum>
  <w:abstractNum w:abstractNumId="451">
    <w:nsid w:val="675ADBA"/>
    <w:multiLevelType w:val="hybridMultilevel"/>
    <w:lvl w:ilvl="0">
      <w:lvlJc w:val="left"/>
      <w:lvlText w:val="(%1)"/>
      <w:numFmt w:val="lowerLetter"/>
      <w:start w:val="2"/>
    </w:lvl>
  </w:abstractNum>
  <w:abstractNum w:abstractNumId="452">
    <w:nsid w:val="C12AC7F"/>
    <w:multiLevelType w:val="hybridMultilevel"/>
    <w:lvl w:ilvl="0">
      <w:lvlJc w:val="left"/>
      <w:lvlText w:val="(%1)"/>
      <w:numFmt w:val="lowerLetter"/>
      <w:start w:val="3"/>
    </w:lvl>
  </w:abstractNum>
  <w:abstractNum w:abstractNumId="453">
    <w:nsid w:val="6798F039"/>
    <w:multiLevelType w:val="hybridMultilevel"/>
    <w:lvl w:ilvl="0">
      <w:lvlJc w:val="left"/>
      <w:lvlText w:val="%1."/>
      <w:numFmt w:val="decimal"/>
      <w:start w:val="2"/>
    </w:lvl>
  </w:abstractNum>
  <w:abstractNum w:abstractNumId="454">
    <w:nsid w:val="70837C02"/>
    <w:multiLevelType w:val="hybridMultilevel"/>
    <w:lvl w:ilvl="0">
      <w:lvlJc w:val="left"/>
      <w:lvlText w:val="%1"/>
      <w:numFmt w:val="lowerLetter"/>
      <w:start w:val="1"/>
    </w:lvl>
    <w:lvl w:ilvl="1">
      <w:lvlJc w:val="left"/>
      <w:lvlText w:val="(%2)"/>
      <w:numFmt w:val="lowerLetter"/>
      <w:start w:val="1"/>
    </w:lvl>
  </w:abstractNum>
  <w:abstractNum w:abstractNumId="455">
    <w:nsid w:val="7E4A5715"/>
    <w:multiLevelType w:val="hybridMultilevel"/>
    <w:lvl w:ilvl="0">
      <w:lvlJc w:val="left"/>
      <w:lvlText w:val="(%1)"/>
      <w:numFmt w:val="lowerLetter"/>
      <w:start w:val="9"/>
    </w:lvl>
    <w:lvl w:ilvl="1">
      <w:lvlJc w:val="left"/>
      <w:lvlText w:val="(%2)"/>
      <w:numFmt w:val="lowerLetter"/>
      <w:start w:val="2"/>
    </w:lvl>
  </w:abstractNum>
  <w:abstractNum w:abstractNumId="456">
    <w:nsid w:val="42B8AC67"/>
    <w:multiLevelType w:val="hybridMultilevel"/>
    <w:lvl w:ilvl="0">
      <w:lvlJc w:val="left"/>
      <w:lvlText w:val="%1."/>
      <w:numFmt w:val="decimal"/>
      <w:start w:val="3"/>
    </w:lvl>
  </w:abstractNum>
  <w:abstractNum w:abstractNumId="457">
    <w:nsid w:val="246348EA"/>
    <w:multiLevelType w:val="hybridMultilevel"/>
    <w:lvl w:ilvl="0">
      <w:lvlJc w:val="left"/>
      <w:lvlText w:val="%1."/>
      <w:numFmt w:val="decimal"/>
      <w:start w:val="4"/>
    </w:lvl>
  </w:abstractNum>
  <w:abstractNum w:abstractNumId="458">
    <w:nsid w:val="170EB52B"/>
    <w:multiLevelType w:val="hybridMultilevel"/>
    <w:lvl w:ilvl="0">
      <w:lvlJc w:val="left"/>
      <w:lvlText w:val="(%1)"/>
      <w:numFmt w:val="lowerLetter"/>
      <w:start w:val="1"/>
    </w:lvl>
  </w:abstractNum>
  <w:abstractNum w:abstractNumId="459">
    <w:nsid w:val="2DFBCB8C"/>
    <w:multiLevelType w:val="hybridMultilevel"/>
    <w:lvl w:ilvl="0">
      <w:lvlJc w:val="left"/>
      <w:lvlText w:val="%1."/>
      <w:numFmt w:val="decimal"/>
      <w:start w:val="5"/>
    </w:lvl>
  </w:abstractNum>
  <w:abstractNum w:abstractNumId="460">
    <w:nsid w:val="3830D6B6"/>
    <w:multiLevelType w:val="hybridMultilevel"/>
    <w:lvl w:ilvl="0">
      <w:lvlJc w:val="left"/>
      <w:lvlText w:val="%1."/>
      <w:numFmt w:val="decimal"/>
      <w:start w:val="6"/>
    </w:lvl>
  </w:abstractNum>
  <w:abstractNum w:abstractNumId="461">
    <w:nsid w:val="6D48CF87"/>
    <w:multiLevelType w:val="hybridMultilevel"/>
    <w:lvl w:ilvl="0">
      <w:lvlJc w:val="left"/>
      <w:lvlText w:val="%1."/>
      <w:numFmt w:val="decimal"/>
      <w:start w:val="7"/>
    </w:lvl>
  </w:abstractNum>
  <w:abstractNum w:abstractNumId="462">
    <w:nsid w:val="576FC41B"/>
    <w:multiLevelType w:val="hybridMultilevel"/>
    <w:lvl w:ilvl="0">
      <w:lvlJc w:val="left"/>
      <w:lvlText w:val="%1."/>
      <w:numFmt w:val="decimal"/>
      <w:start w:val="8"/>
    </w:lvl>
  </w:abstractNum>
  <w:abstractNum w:abstractNumId="463">
    <w:nsid w:val="64A1C464"/>
    <w:multiLevelType w:val="hybridMultilevel"/>
    <w:lvl w:ilvl="0">
      <w:lvlJc w:val="left"/>
      <w:lvlText w:val="%1."/>
      <w:numFmt w:val="decimal"/>
      <w:start w:val="9"/>
    </w:lvl>
  </w:abstractNum>
  <w:abstractNum w:abstractNumId="464">
    <w:nsid w:val="31723BF5"/>
    <w:multiLevelType w:val="hybridMultilevel"/>
    <w:lvl w:ilvl="0">
      <w:lvlJc w:val="left"/>
      <w:lvlText w:val="%1."/>
      <w:numFmt w:val="decimal"/>
      <w:start w:val="10"/>
    </w:lvl>
  </w:abstractNum>
  <w:abstractNum w:abstractNumId="465">
    <w:nsid w:val="11F69861"/>
    <w:multiLevelType w:val="hybridMultilevel"/>
    <w:lvl w:ilvl="0">
      <w:lvlJc w:val="left"/>
      <w:lvlText w:val="%1."/>
      <w:numFmt w:val="decimal"/>
      <w:start w:val="11"/>
    </w:lvl>
    <w:lvl w:ilvl="1">
      <w:lvlJc w:val="left"/>
      <w:lvlText w:val="(%2)"/>
      <w:numFmt w:val="lowerRoman"/>
      <w:start w:val="1"/>
    </w:lvl>
  </w:abstractNum>
  <w:abstractNum w:abstractNumId="466">
    <w:nsid w:val="369956AB"/>
    <w:multiLevelType w:val="hybridMultilevel"/>
    <w:lvl w:ilvl="0">
      <w:lvlJc w:val="left"/>
      <w:lvlText w:val="%1"/>
      <w:numFmt w:val="lowerLetter"/>
      <w:start w:val="1"/>
    </w:lvl>
    <w:lvl w:ilvl="1">
      <w:lvlJc w:val="left"/>
      <w:lvlText w:val="(%2)"/>
      <w:numFmt w:val="lowerLetter"/>
      <w:start w:val="22"/>
    </w:lvl>
  </w:abstractNum>
  <w:abstractNum w:abstractNumId="467">
    <w:nsid w:val="D3BE41C"/>
    <w:multiLevelType w:val="hybridMultilevel"/>
    <w:lvl w:ilvl="0">
      <w:lvlJc w:val="left"/>
      <w:lvlText w:val="(%1)"/>
      <w:numFmt w:val="lowerLetter"/>
      <w:start w:val="2"/>
    </w:lvl>
    <w:lvl w:ilvl="1">
      <w:lvlJc w:val="left"/>
      <w:lvlText w:val="(%2)"/>
      <w:numFmt w:val="lowerLetter"/>
      <w:start w:val="9"/>
    </w:lvl>
  </w:abstractNum>
  <w:abstractNum w:abstractNumId="468">
    <w:nsid w:val="4CDA15E7"/>
    <w:multiLevelType w:val="hybridMultilevel"/>
    <w:lvl w:ilvl="0">
      <w:lvlJc w:val="left"/>
      <w:lvlText w:val="%1"/>
      <w:numFmt w:val="lowerLetter"/>
      <w:start w:val="1"/>
    </w:lvl>
    <w:lvl w:ilvl="1">
      <w:lvlJc w:val="left"/>
      <w:lvlText w:val="(%2)"/>
      <w:numFmt w:val="lowerLetter"/>
      <w:start w:val="35"/>
    </w:lvl>
  </w:abstractNum>
  <w:abstractNum w:abstractNumId="469">
    <w:nsid w:val="7BDD6690"/>
    <w:multiLevelType w:val="hybridMultilevel"/>
    <w:lvl w:ilvl="0">
      <w:lvlJc w:val="left"/>
      <w:lvlText w:val="(%1)"/>
      <w:numFmt w:val="lowerLetter"/>
      <w:start w:val="3"/>
    </w:lvl>
    <w:lvl w:ilvl="1">
      <w:lvlJc w:val="left"/>
      <w:lvlText w:val="%2"/>
      <w:numFmt w:val="lowerLetter"/>
      <w:start w:val="1"/>
    </w:lvl>
  </w:abstractNum>
  <w:abstractNum w:abstractNumId="470">
    <w:nsid w:val="DFB5C5B"/>
    <w:multiLevelType w:val="hybridMultilevel"/>
    <w:lvl w:ilvl="0">
      <w:lvlJc w:val="left"/>
      <w:lvlText w:val="%1."/>
      <w:numFmt w:val="decimal"/>
      <w:start w:val="12"/>
    </w:lvl>
  </w:abstractNum>
  <w:abstractNum w:abstractNumId="471">
    <w:nsid w:val="6F3E5490"/>
    <w:multiLevelType w:val="hybridMultilevel"/>
    <w:lvl w:ilvl="0">
      <w:lvlJc w:val="left"/>
      <w:lvlText w:val="%1."/>
      <w:numFmt w:val="decimal"/>
      <w:start w:val="13"/>
    </w:lvl>
  </w:abstractNum>
  <w:abstractNum w:abstractNumId="472">
    <w:nsid w:val="1464BE1E"/>
    <w:multiLevelType w:val="hybridMultilevel"/>
    <w:lvl w:ilvl="0">
      <w:lvlJc w:val="left"/>
      <w:lvlText w:val="%1."/>
      <w:numFmt w:val="decimal"/>
      <w:start w:val="14"/>
    </w:lvl>
  </w:abstractNum>
  <w:abstractNum w:abstractNumId="473">
    <w:nsid w:val="66BBB7E5"/>
    <w:multiLevelType w:val="hybridMultilevel"/>
    <w:lvl w:ilvl="0">
      <w:lvlJc w:val="left"/>
      <w:lvlText w:val="(%1)"/>
      <w:numFmt w:val="lowerLetter"/>
      <w:start w:val="1"/>
    </w:lvl>
  </w:abstractNum>
  <w:abstractNum w:abstractNumId="474">
    <w:nsid w:val="28168302"/>
    <w:multiLevelType w:val="hybridMultilevel"/>
    <w:lvl w:ilvl="0">
      <w:lvlJc w:val="left"/>
      <w:lvlText w:val="(%1)"/>
      <w:numFmt w:val="lowerLetter"/>
      <w:start w:val="2"/>
    </w:lvl>
  </w:abstractNum>
  <w:abstractNum w:abstractNumId="475">
    <w:nsid w:val="32A5C7A8"/>
    <w:multiLevelType w:val="hybridMultilevel"/>
    <w:lvl w:ilvl="0">
      <w:lvlJc w:val="left"/>
      <w:lvlText w:val="(%1)"/>
      <w:numFmt w:val="lowerLetter"/>
      <w:start w:val="4"/>
    </w:lvl>
  </w:abstractNum>
  <w:abstractNum w:abstractNumId="476">
    <w:nsid w:val="3A541011"/>
    <w:multiLevelType w:val="hybridMultilevel"/>
    <w:lvl w:ilvl="0">
      <w:lvlJc w:val="left"/>
      <w:lvlText w:val="(%1)"/>
      <w:numFmt w:val="lowerLetter"/>
      <w:start w:val="7"/>
    </w:lvl>
  </w:abstractNum>
  <w:abstractNum w:abstractNumId="477">
    <w:nsid w:val="4423C777"/>
    <w:multiLevelType w:val="hybridMultilevel"/>
    <w:lvl w:ilvl="0">
      <w:lvlJc w:val="left"/>
      <w:lvlText w:val="%1."/>
      <w:numFmt w:val="decimal"/>
      <w:start w:val="2"/>
    </w:lvl>
  </w:abstractNum>
  <w:abstractNum w:abstractNumId="478">
    <w:nsid w:val="5F5C6E4D"/>
    <w:multiLevelType w:val="hybridMultilevel"/>
    <w:lvl w:ilvl="0">
      <w:lvlJc w:val="left"/>
      <w:lvlText w:val="%1"/>
      <w:numFmt w:val="lowerRoman"/>
      <w:start w:val="1"/>
    </w:lvl>
    <w:lvl w:ilvl="1">
      <w:lvlJc w:val="left"/>
      <w:lvlText w:val="%2."/>
      <w:numFmt w:val="decimal"/>
      <w:start w:val="5"/>
    </w:lvl>
  </w:abstractNum>
  <w:abstractNum w:abstractNumId="479">
    <w:nsid w:val="7C2A56CD"/>
    <w:multiLevelType w:val="hybridMultilevel"/>
    <w:lvl w:ilvl="0">
      <w:lvlJc w:val="left"/>
      <w:lvlText w:val="(%1)"/>
      <w:numFmt w:val="lowerRoman"/>
      <w:start w:val="2"/>
    </w:lvl>
    <w:lvl w:ilvl="1">
      <w:lvlJc w:val="left"/>
      <w:lvlText w:val="%2."/>
      <w:numFmt w:val="decimal"/>
      <w:start w:val="6"/>
    </w:lvl>
  </w:abstractNum>
  <w:abstractNum w:abstractNumId="480">
    <w:nsid w:val="7AB86EE1"/>
    <w:multiLevelType w:val="hybridMultilevel"/>
    <w:lvl w:ilvl="0">
      <w:lvlJc w:val="left"/>
      <w:lvlText w:val="%1."/>
      <w:numFmt w:val="decimal"/>
      <w:start w:val="8"/>
    </w:lvl>
  </w:abstractNum>
  <w:abstractNum w:abstractNumId="481">
    <w:nsid w:val="B54E53B"/>
    <w:multiLevelType w:val="hybridMultilevel"/>
    <w:lvl w:ilvl="0">
      <w:lvlJc w:val="left"/>
      <w:lvlText w:val="%1."/>
      <w:numFmt w:val="decimal"/>
      <w:start w:val="9"/>
    </w:lvl>
    <w:lvl w:ilvl="1">
      <w:lvlJc w:val="left"/>
      <w:lvlText w:val="(%2)"/>
      <w:numFmt w:val="lowerLetter"/>
      <w:start w:val="1"/>
    </w:lvl>
  </w:abstractNum>
  <w:abstractNum w:abstractNumId="482">
    <w:nsid w:val="2A00487"/>
    <w:multiLevelType w:val="hybridMultilevel"/>
    <w:lvl w:ilvl="0">
      <w:lvlJc w:val="left"/>
      <w:lvlText w:val="%1"/>
      <w:numFmt w:val="decimal"/>
      <w:start w:val="1"/>
    </w:lvl>
    <w:lvl w:ilvl="1">
      <w:lvlJc w:val="left"/>
      <w:lvlText w:val="(%2)"/>
      <w:numFmt w:val="lowerLetter"/>
      <w:start w:val="2"/>
    </w:lvl>
  </w:abstractNum>
  <w:abstractNum w:abstractNumId="483">
    <w:nsid w:val="6CB1B60"/>
    <w:multiLevelType w:val="hybridMultilevel"/>
    <w:lvl w:ilvl="0">
      <w:lvlJc w:val="left"/>
      <w:lvlText w:val="%1."/>
      <w:numFmt w:val="decimal"/>
      <w:start w:val="10"/>
    </w:lvl>
    <w:lvl w:ilvl="1">
      <w:lvlJc w:val="left"/>
      <w:lvlText w:val="%2"/>
      <w:numFmt w:val="lowerLetter"/>
      <w:start w:val="1"/>
    </w:lvl>
  </w:abstractNum>
  <w:abstractNum w:abstractNumId="484">
    <w:nsid w:val="72EDD574"/>
    <w:multiLevelType w:val="hybridMultilevel"/>
    <w:lvl w:ilvl="0">
      <w:lvlJc w:val="left"/>
      <w:lvlText w:val="%1."/>
      <w:numFmt w:val="decimal"/>
      <w:start w:val="12"/>
    </w:lvl>
  </w:abstractNum>
  <w:abstractNum w:abstractNumId="485">
    <w:nsid w:val="7323808A"/>
    <w:multiLevelType w:val="hybridMultilevel"/>
    <w:lvl w:ilvl="0">
      <w:lvlJc w:val="left"/>
      <w:lvlText w:val="(%1)"/>
      <w:numFmt w:val="lowerRoman"/>
      <w:start w:val="1"/>
    </w:lvl>
  </w:abstractNum>
  <w:abstractNum w:abstractNumId="486">
    <w:nsid w:val="5157276"/>
    <w:multiLevelType w:val="hybridMultilevel"/>
    <w:lvl w:ilvl="0">
      <w:lvlJc w:val="left"/>
      <w:lvlText w:val="(%1)"/>
      <w:numFmt w:val="upperLetter"/>
      <w:start w:val="1"/>
    </w:lvl>
  </w:abstractNum>
  <w:abstractNum w:abstractNumId="487">
    <w:nsid w:val="35A681DB"/>
    <w:multiLevelType w:val="hybridMultilevel"/>
    <w:lvl w:ilvl="0">
      <w:lvlJc w:val="left"/>
      <w:lvlText w:val="(%1)"/>
      <w:numFmt w:val="upperLetter"/>
      <w:start w:val="2"/>
    </w:lvl>
  </w:abstractNum>
  <w:abstractNum w:abstractNumId="488">
    <w:nsid w:val="1786C974"/>
    <w:multiLevelType w:val="hybridMultilevel"/>
    <w:lvl w:ilvl="0">
      <w:lvlJc w:val="left"/>
      <w:lvlText w:val="(%1)"/>
      <w:numFmt w:val="upperLetter"/>
      <w:start w:val="5"/>
    </w:lvl>
    <w:lvl w:ilvl="1">
      <w:lvlJc w:val="left"/>
      <w:lvlText w:val="(%2)"/>
      <w:numFmt w:val="lowerRoman"/>
      <w:start w:val="1"/>
    </w:lvl>
    <w:lvl w:ilvl="2">
      <w:lvlJc w:val="left"/>
      <w:lvlText w:val="(%3)"/>
      <w:numFmt w:val="lowerLetter"/>
      <w:start w:val="1"/>
    </w:lvl>
  </w:abstractNum>
  <w:abstractNum w:abstractNumId="489">
    <w:nsid w:val="1C2427A1"/>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490">
    <w:nsid w:val="63A24D68"/>
    <w:multiLevelType w:val="hybridMultilevel"/>
    <w:lvl w:ilvl="0">
      <w:lvlJc w:val="left"/>
      <w:lvlText w:val="(%1)"/>
      <w:numFmt w:val="upperLetter"/>
      <w:start w:val="2"/>
    </w:lvl>
    <w:lvl w:ilvl="1">
      <w:lvlJc w:val="left"/>
      <w:lvlText w:val="(%2)"/>
      <w:numFmt w:val="lowerRoman"/>
      <w:start w:val="3"/>
    </w:lvl>
    <w:lvl w:ilvl="2">
      <w:lvlJc w:val="left"/>
      <w:lvlText w:val="(%3)"/>
      <w:numFmt w:val="lowerLetter"/>
      <w:start w:val="3"/>
    </w:lvl>
  </w:abstractNum>
  <w:abstractNum w:abstractNumId="491">
    <w:nsid w:val="4FB7A02A"/>
    <w:multiLevelType w:val="hybridMultilevel"/>
    <w:lvl w:ilvl="0">
      <w:lvlJc w:val="left"/>
      <w:lvlText w:val="(%1)"/>
      <w:numFmt w:val="upperLetter"/>
      <w:start w:val="5"/>
    </w:lvl>
    <w:lvl w:ilvl="1">
      <w:lvlJc w:val="left"/>
      <w:lvlText w:val="%2"/>
      <w:numFmt w:val="lowerRoman"/>
      <w:start w:val="1"/>
    </w:lvl>
    <w:lvl w:ilvl="2">
      <w:lvlJc w:val="left"/>
      <w:lvlText w:val="%3"/>
      <w:numFmt w:val="lowerLetter"/>
      <w:start w:val="1"/>
    </w:lvl>
  </w:abstractNum>
  <w:abstractNum w:abstractNumId="492">
    <w:nsid w:val="96CF728"/>
    <w:multiLevelType w:val="hybridMultilevel"/>
    <w:lvl w:ilvl="0">
      <w:lvlJc w:val="left"/>
      <w:lvlText w:val="(%1)"/>
      <w:numFmt w:val="upperLetter"/>
      <w:start w:val="6"/>
    </w:lvl>
  </w:abstractNum>
  <w:abstractNum w:abstractNumId="493">
    <w:nsid w:val="3B121183"/>
    <w:multiLevelType w:val="hybridMultilevel"/>
    <w:lvl w:ilvl="0">
      <w:lvlJc w:val="left"/>
      <w:lvlText w:val="%1."/>
      <w:numFmt w:val="decimal"/>
      <w:start w:val="1"/>
    </w:lvl>
  </w:abstractNum>
  <w:abstractNum w:abstractNumId="494">
    <w:nsid w:val="3459648F"/>
    <w:multiLevelType w:val="hybridMultilevel"/>
    <w:lvl w:ilvl="0">
      <w:lvlJc w:val="left"/>
      <w:lvlText w:val="(%1)"/>
      <w:numFmt w:val="lowerLetter"/>
      <w:start w:val="1"/>
    </w:lvl>
  </w:abstractNum>
  <w:abstractNum w:abstractNumId="495">
    <w:nsid w:val="3ADF331D"/>
    <w:multiLevelType w:val="hybridMultilevel"/>
    <w:lvl w:ilvl="0">
      <w:lvlJc w:val="left"/>
      <w:lvlText w:val="(%1)"/>
      <w:numFmt w:val="lowerLetter"/>
      <w:start w:val="2"/>
    </w:lvl>
  </w:abstractNum>
  <w:abstractNum w:abstractNumId="496">
    <w:nsid w:val="4D08A9E4"/>
    <w:multiLevelType w:val="hybridMultilevel"/>
    <w:lvl w:ilvl="0">
      <w:lvlJc w:val="left"/>
      <w:lvlText w:val="%1."/>
      <w:numFmt w:val="decimal"/>
      <w:start w:val="2"/>
    </w:lvl>
  </w:abstractNum>
  <w:abstractNum w:abstractNumId="497">
    <w:nsid w:val="6AF2BB3A"/>
    <w:multiLevelType w:val="hybridMultilevel"/>
    <w:lvl w:ilvl="0">
      <w:lvlJc w:val="left"/>
      <w:lvlText w:val="(%1)"/>
      <w:numFmt w:val="lowerLetter"/>
      <w:start w:val="1"/>
    </w:lvl>
  </w:abstractNum>
  <w:abstractNum w:abstractNumId="498">
    <w:nsid w:val="481B1739"/>
    <w:multiLevelType w:val="hybridMultilevel"/>
    <w:lvl w:ilvl="0">
      <w:lvlJc w:val="left"/>
      <w:lvlText w:val="(%1)"/>
      <w:numFmt w:val="lowerLetter"/>
      <w:start w:val="2"/>
    </w:lvl>
  </w:abstractNum>
  <w:abstractNum w:abstractNumId="499">
    <w:nsid w:val="19E2BFCC"/>
    <w:multiLevelType w:val="hybridMultilevel"/>
    <w:lvl w:ilvl="0">
      <w:lvlJc w:val="left"/>
      <w:lvlText w:val="%1."/>
      <w:numFmt w:val="decimal"/>
      <w:start w:val="3"/>
    </w:lvl>
  </w:abstractNum>
  <w:abstractNum w:abstractNumId="500">
    <w:nsid w:val="66D021CA"/>
    <w:multiLevelType w:val="hybridMultilevel"/>
    <w:lvl w:ilvl="0">
      <w:lvlJc w:val="left"/>
      <w:lvlText w:val="(%1)"/>
      <w:numFmt w:val="lowerLetter"/>
      <w:start w:val="3"/>
    </w:lvl>
  </w:abstractNum>
  <w:abstractNum w:abstractNumId="501">
    <w:nsid w:val="56167394"/>
    <w:multiLevelType w:val="hybridMultilevel"/>
    <w:lvl w:ilvl="0">
      <w:lvlJc w:val="left"/>
      <w:lvlText w:val="%1."/>
      <w:numFmt w:val="decimal"/>
      <w:start w:val="4"/>
    </w:lvl>
  </w:abstractNum>
  <w:abstractNum w:abstractNumId="502">
    <w:nsid w:val="921145C"/>
    <w:multiLevelType w:val="hybridMultilevel"/>
    <w:lvl w:ilvl="0">
      <w:lvlJc w:val="left"/>
      <w:lvlText w:val="(%1)"/>
      <w:numFmt w:val="lowerLetter"/>
      <w:start w:val="1"/>
    </w:lvl>
  </w:abstractNum>
  <w:abstractNum w:abstractNumId="503">
    <w:nsid w:val="7B34DFE8"/>
    <w:multiLevelType w:val="hybridMultilevel"/>
    <w:lvl w:ilvl="0">
      <w:lvlJc w:val="left"/>
      <w:lvlText w:val="%1."/>
      <w:numFmt w:val="decimal"/>
      <w:start w:val="5"/>
    </w:lvl>
  </w:abstractNum>
  <w:abstractNum w:abstractNumId="504">
    <w:nsid w:val="3CD22B79"/>
    <w:multiLevelType w:val="hybridMultilevel"/>
    <w:lvl w:ilvl="0">
      <w:lvlJc w:val="left"/>
      <w:lvlText w:val="%1."/>
      <w:numFmt w:val="decimal"/>
      <w:start w:val="6"/>
    </w:lvl>
  </w:abstractNum>
  <w:abstractNum w:abstractNumId="505">
    <w:nsid w:val="3137975E"/>
    <w:multiLevelType w:val="hybridMultilevel"/>
    <w:lvl w:ilvl="0">
      <w:lvlJc w:val="left"/>
      <w:lvlText w:val="%1."/>
      <w:numFmt w:val="decimal"/>
      <w:start w:val="7"/>
    </w:lvl>
  </w:abstractNum>
  <w:abstractNum w:abstractNumId="506">
    <w:nsid w:val="2DDAA791"/>
    <w:multiLevelType w:val="hybridMultilevel"/>
    <w:lvl w:ilvl="0">
      <w:lvlJc w:val="left"/>
      <w:lvlText w:val="%1."/>
      <w:numFmt w:val="decimal"/>
      <w:start w:val="8"/>
    </w:lvl>
  </w:abstractNum>
  <w:abstractNum w:abstractNumId="507">
    <w:nsid w:val="77263B8A"/>
    <w:multiLevelType w:val="hybridMultilevel"/>
    <w:lvl w:ilvl="0">
      <w:lvlJc w:val="left"/>
      <w:lvlText w:val="%1."/>
      <w:numFmt w:val="decimal"/>
      <w:start w:val="9"/>
    </w:lvl>
  </w:abstractNum>
  <w:abstractNum w:abstractNumId="508">
    <w:nsid w:val="755B5ED6"/>
    <w:multiLevelType w:val="hybridMultilevel"/>
    <w:lvl w:ilvl="0">
      <w:lvlJc w:val="left"/>
      <w:lvlText w:val="%1."/>
      <w:numFmt w:val="decimal"/>
      <w:start w:val="10"/>
    </w:lvl>
  </w:abstractNum>
  <w:abstractNum w:abstractNumId="509">
    <w:nsid w:val="D3715DE"/>
    <w:multiLevelType w:val="hybridMultilevel"/>
    <w:lvl w:ilvl="0">
      <w:lvlJc w:val="left"/>
      <w:lvlText w:val="%1."/>
      <w:numFmt w:val="decimal"/>
      <w:start w:val="11"/>
    </w:lvl>
  </w:abstractNum>
  <w:abstractNum w:abstractNumId="510">
    <w:nsid w:val="73509257"/>
    <w:multiLevelType w:val="hybridMultilevel"/>
    <w:lvl w:ilvl="0">
      <w:lvlJc w:val="left"/>
      <w:lvlText w:val="%1."/>
      <w:numFmt w:val="decimal"/>
      <w:start w:val="12"/>
    </w:lvl>
  </w:abstractNum>
  <w:abstractNum w:abstractNumId="511">
    <w:nsid w:val="7013CDB7"/>
    <w:multiLevelType w:val="hybridMultilevel"/>
    <w:lvl w:ilvl="0">
      <w:lvlJc w:val="left"/>
      <w:lvlText w:val="%1."/>
      <w:numFmt w:val="decimal"/>
      <w:start w:val="13"/>
    </w:lvl>
  </w:abstractNum>
  <w:abstractNum w:abstractNumId="512">
    <w:nsid w:val="188BFB19"/>
    <w:multiLevelType w:val="hybridMultilevel"/>
    <w:lvl w:ilvl="0">
      <w:lvlJc w:val="left"/>
      <w:lvlText w:val="%1."/>
      <w:numFmt w:val="decimal"/>
      <w:start w:val="15"/>
    </w:lvl>
  </w:abstractNum>
  <w:abstractNum w:abstractNumId="513">
    <w:nsid w:val="75F096DF"/>
    <w:multiLevelType w:val="hybridMultilevel"/>
    <w:lvl w:ilvl="0">
      <w:lvlJc w:val="left"/>
      <w:lvlText w:val="(%1)"/>
      <w:numFmt w:val="lowerLetter"/>
      <w:start w:val="1"/>
    </w:lvl>
  </w:abstractNum>
  <w:abstractNum w:abstractNumId="514">
    <w:nsid w:val="76DEE918"/>
    <w:multiLevelType w:val="hybridMultilevel"/>
    <w:lvl w:ilvl="0">
      <w:lvlJc w:val="left"/>
      <w:lvlText w:val="(%1)"/>
      <w:numFmt w:val="lowerLetter"/>
      <w:start w:val="2"/>
    </w:lvl>
  </w:abstractNum>
  <w:abstractNum w:abstractNumId="515">
    <w:nsid w:val="B79D08D"/>
    <w:multiLevelType w:val="hybridMultilevel"/>
    <w:lvl w:ilvl="0">
      <w:lvlJc w:val="left"/>
      <w:lvlText w:val="(%1)"/>
      <w:numFmt w:val="lowerLetter"/>
      <w:start w:val="5"/>
    </w:lvl>
  </w:abstractNum>
  <w:abstractNum w:abstractNumId="516">
    <w:nsid w:val="69141769"/>
    <w:multiLevelType w:val="hybridMultilevel"/>
    <w:lvl w:ilvl="0">
      <w:lvlJc w:val="left"/>
      <w:lvlText w:val="%1"/>
      <w:numFmt w:val="lowerRoman"/>
      <w:start w:val="1"/>
    </w:lvl>
    <w:lvl w:ilvl="1">
      <w:lvlJc w:val="left"/>
      <w:lvlText w:val="%2."/>
      <w:numFmt w:val="decimal"/>
      <w:start w:val="2"/>
    </w:lvl>
  </w:abstractNum>
  <w:abstractNum w:abstractNumId="517">
    <w:nsid w:val="7BF45B8E"/>
    <w:multiLevelType w:val="hybridMultilevel"/>
    <w:lvl w:ilvl="0">
      <w:lvlJc w:val="left"/>
      <w:lvlText w:val="(%1)"/>
      <w:numFmt w:val="lowerRoman"/>
      <w:start w:val="2"/>
    </w:lvl>
    <w:lvl w:ilvl="1">
      <w:lvlJc w:val="left"/>
      <w:lvlText w:val="%2."/>
      <w:numFmt w:val="decimal"/>
      <w:start w:val="6"/>
    </w:lvl>
  </w:abstractNum>
  <w:abstractNum w:abstractNumId="518">
    <w:nsid w:val="41205269"/>
    <w:multiLevelType w:val="hybridMultilevel"/>
    <w:lvl w:ilvl="0">
      <w:lvlJc w:val="left"/>
      <w:lvlText w:val="%1."/>
      <w:numFmt w:val="decimal"/>
      <w:start w:val="7"/>
    </w:lvl>
  </w:abstractNum>
  <w:abstractNum w:abstractNumId="519">
    <w:nsid w:val="9AE0DD"/>
    <w:multiLevelType w:val="hybridMultilevel"/>
    <w:lvl w:ilvl="0">
      <w:lvlJc w:val="left"/>
      <w:lvlText w:val="%1."/>
      <w:numFmt w:val="decimal"/>
      <w:start w:val="8"/>
    </w:lvl>
    <w:lvl w:ilvl="1">
      <w:lvlJc w:val="left"/>
      <w:lvlText w:val="(%2)"/>
      <w:numFmt w:val="lowerLetter"/>
      <w:start w:val="1"/>
    </w:lvl>
  </w:abstractNum>
  <w:abstractNum w:abstractNumId="520">
    <w:nsid w:val="1818832F"/>
    <w:multiLevelType w:val="hybridMultilevel"/>
    <w:lvl w:ilvl="0">
      <w:lvlJc w:val="left"/>
      <w:lvlText w:val="%1"/>
      <w:numFmt w:val="decimal"/>
      <w:start w:val="1"/>
    </w:lvl>
    <w:lvl w:ilvl="1">
      <w:lvlJc w:val="left"/>
      <w:lvlText w:val="(%2)"/>
      <w:numFmt w:val="lowerLetter"/>
      <w:start w:val="2"/>
    </w:lvl>
  </w:abstractNum>
  <w:abstractNum w:abstractNumId="521">
    <w:nsid w:val="24C29FD1"/>
    <w:multiLevelType w:val="hybridMultilevel"/>
    <w:lvl w:ilvl="0">
      <w:lvlJc w:val="left"/>
      <w:lvlText w:val="%1."/>
      <w:numFmt w:val="decimal"/>
      <w:start w:val="10"/>
    </w:lvl>
    <w:lvl w:ilvl="1">
      <w:lvlJc w:val="left"/>
      <w:lvlText w:val="%2"/>
      <w:numFmt w:val="lowerLetter"/>
      <w:start w:val="1"/>
    </w:lvl>
  </w:abstractNum>
  <w:abstractNum w:abstractNumId="522">
    <w:nsid w:val="50528108"/>
    <w:multiLevelType w:val="hybridMultilevel"/>
    <w:lvl w:ilvl="0">
      <w:lvlJc w:val="left"/>
      <w:lvlText w:val="(%1)"/>
      <w:numFmt w:val="lowerLetter"/>
      <w:start w:val="1"/>
    </w:lvl>
  </w:abstractNum>
  <w:abstractNum w:abstractNumId="523">
    <w:nsid w:val="21857A57"/>
    <w:multiLevelType w:val="hybridMultilevel"/>
    <w:lvl w:ilvl="0">
      <w:lvlJc w:val="left"/>
      <w:lvlText w:val="(%1)"/>
      <w:numFmt w:val="lowerLetter"/>
      <w:start w:val="4"/>
    </w:lvl>
  </w:abstractNum>
  <w:abstractNum w:abstractNumId="524">
    <w:nsid w:val="5FD4B154"/>
    <w:multiLevelType w:val="hybridMultilevel"/>
    <w:lvl w:ilvl="0">
      <w:lvlJc w:val="left"/>
      <w:lvlText w:val="%1."/>
      <w:numFmt w:val="decimal"/>
      <w:start w:val="1"/>
    </w:lvl>
  </w:abstractNum>
  <w:abstractNum w:abstractNumId="525">
    <w:nsid w:val="4ABE597"/>
    <w:multiLevelType w:val="hybridMultilevel"/>
    <w:lvl w:ilvl="0">
      <w:lvlJc w:val="left"/>
      <w:lvlText w:val="(%1)"/>
      <w:numFmt w:val="lowerLetter"/>
      <w:start w:val="1"/>
    </w:lvl>
  </w:abstractNum>
  <w:abstractNum w:abstractNumId="526">
    <w:nsid w:val="5C64AD75"/>
    <w:multiLevelType w:val="hybridMultilevel"/>
    <w:lvl w:ilvl="0">
      <w:lvlJc w:val="left"/>
      <w:lvlText w:val="(%1)"/>
      <w:numFmt w:val="lowerLetter"/>
      <w:start w:val="2"/>
    </w:lvl>
  </w:abstractNum>
  <w:abstractNum w:abstractNumId="527">
    <w:nsid w:val="2CDD5B39"/>
    <w:multiLevelType w:val="hybridMultilevel"/>
    <w:lvl w:ilvl="0">
      <w:lvlJc w:val="left"/>
      <w:lvlText w:val="%1."/>
      <w:numFmt w:val="decimal"/>
      <w:start w:val="2"/>
    </w:lvl>
  </w:abstractNum>
  <w:abstractNum w:abstractNumId="528">
    <w:nsid w:val="6F9EA0D1"/>
    <w:multiLevelType w:val="hybridMultilevel"/>
    <w:lvl w:ilvl="0">
      <w:lvlJc w:val="left"/>
      <w:lvlText w:val="(%1)"/>
      <w:numFmt w:val="lowerLetter"/>
      <w:start w:val="1"/>
    </w:lvl>
  </w:abstractNum>
  <w:abstractNum w:abstractNumId="529">
    <w:nsid w:val="247FC4AE"/>
    <w:multiLevelType w:val="hybridMultilevel"/>
    <w:lvl w:ilvl="0">
      <w:lvlJc w:val="left"/>
      <w:lvlText w:val="%1."/>
      <w:numFmt w:val="decimal"/>
      <w:start w:val="3"/>
    </w:lvl>
  </w:abstractNum>
  <w:abstractNum w:abstractNumId="530">
    <w:nsid w:val="46C01B05"/>
    <w:multiLevelType w:val="hybridMultilevel"/>
    <w:lvl w:ilvl="0">
      <w:lvlJc w:val="left"/>
      <w:lvlText w:val="(%1)"/>
      <w:numFmt w:val="lowerLetter"/>
      <w:start w:val="3"/>
    </w:lvl>
  </w:abstractNum>
  <w:abstractNum w:abstractNumId="531">
    <w:nsid w:val="566EC29B"/>
    <w:multiLevelType w:val="hybridMultilevel"/>
    <w:lvl w:ilvl="0">
      <w:lvlJc w:val="left"/>
      <w:lvlText w:val="%1."/>
      <w:numFmt w:val="decimal"/>
      <w:start w:val="4"/>
    </w:lvl>
  </w:abstractNum>
  <w:abstractNum w:abstractNumId="532">
    <w:nsid w:val="7A963843"/>
    <w:multiLevelType w:val="hybridMultilevel"/>
    <w:lvl w:ilvl="0">
      <w:lvlJc w:val="left"/>
      <w:lvlText w:val="(%1)"/>
      <w:numFmt w:val="lowerLetter"/>
      <w:start w:val="1"/>
    </w:lvl>
  </w:abstractNum>
  <w:abstractNum w:abstractNumId="533">
    <w:nsid w:val="4FE12F61"/>
    <w:multiLevelType w:val="hybridMultilevel"/>
    <w:lvl w:ilvl="0">
      <w:lvlJc w:val="left"/>
      <w:lvlText w:val="%1."/>
      <w:numFmt w:val="decimal"/>
      <w:start w:val="5"/>
    </w:lvl>
  </w:abstractNum>
  <w:abstractNum w:abstractNumId="534">
    <w:nsid w:val="51A3A284"/>
    <w:multiLevelType w:val="hybridMultilevel"/>
    <w:lvl w:ilvl="0">
      <w:lvlJc w:val="left"/>
      <w:lvlText w:val="%1."/>
      <w:numFmt w:val="decimal"/>
      <w:start w:val="6"/>
    </w:lvl>
  </w:abstractNum>
  <w:abstractNum w:abstractNumId="535">
    <w:nsid w:val="376863BC"/>
    <w:multiLevelType w:val="hybridMultilevel"/>
    <w:lvl w:ilvl="0">
      <w:lvlJc w:val="left"/>
      <w:lvlText w:val="%1."/>
      <w:numFmt w:val="decimal"/>
      <w:start w:val="7"/>
    </w:lvl>
  </w:abstractNum>
  <w:abstractNum w:abstractNumId="536">
    <w:nsid w:val="118C6C0"/>
    <w:multiLevelType w:val="hybridMultilevel"/>
    <w:lvl w:ilvl="0">
      <w:lvlJc w:val="left"/>
      <w:lvlText w:val="%1."/>
      <w:numFmt w:val="decimal"/>
      <w:start w:val="8"/>
    </w:lvl>
  </w:abstractNum>
  <w:abstractNum w:abstractNumId="537">
    <w:nsid w:val="7F7E4A15"/>
    <w:multiLevelType w:val="hybridMultilevel"/>
    <w:lvl w:ilvl="0">
      <w:lvlJc w:val="left"/>
      <w:lvlText w:val="%1."/>
      <w:numFmt w:val="decimal"/>
      <w:start w:val="9"/>
    </w:lvl>
  </w:abstractNum>
  <w:abstractNum w:abstractNumId="538">
    <w:nsid w:val="2E8E9F47"/>
    <w:multiLevelType w:val="hybridMultilevel"/>
    <w:lvl w:ilvl="0">
      <w:lvlJc w:val="left"/>
      <w:lvlText w:val="%1."/>
      <w:numFmt w:val="decimal"/>
      <w:start w:val="10"/>
    </w:lvl>
  </w:abstractNum>
  <w:abstractNum w:abstractNumId="539">
    <w:nsid w:val="76742596"/>
    <w:multiLevelType w:val="hybridMultilevel"/>
    <w:lvl w:ilvl="0">
      <w:lvlJc w:val="left"/>
      <w:lvlText w:val="%1."/>
      <w:numFmt w:val="decimal"/>
      <w:start w:val="11"/>
    </w:lvl>
  </w:abstractNum>
  <w:abstractNum w:abstractNumId="540">
    <w:nsid w:val="CB55FF3"/>
    <w:multiLevelType w:val="hybridMultilevel"/>
    <w:lvl w:ilvl="0">
      <w:lvlJc w:val="left"/>
      <w:lvlText w:val="%1."/>
      <w:numFmt w:val="decimal"/>
      <w:start w:val="12"/>
    </w:lvl>
  </w:abstractNum>
  <w:abstractNum w:abstractNumId="541">
    <w:nsid w:val="21DF319E"/>
    <w:multiLevelType w:val="hybridMultilevel"/>
    <w:lvl w:ilvl="0">
      <w:lvlJc w:val="left"/>
      <w:lvlText w:val="%1."/>
      <w:numFmt w:val="decimal"/>
      <w:start w:val="13"/>
    </w:lvl>
  </w:abstractNum>
  <w:abstractNum w:abstractNumId="542">
    <w:nsid w:val="6687F34D"/>
    <w:multiLevelType w:val="hybridMultilevel"/>
    <w:lvl w:ilvl="0">
      <w:lvlJc w:val="left"/>
      <w:lvlText w:val="%1."/>
      <w:numFmt w:val="decimal"/>
      <w:start w:val="15"/>
    </w:lvl>
  </w:abstractNum>
  <w:abstractNum w:abstractNumId="543">
    <w:nsid w:val="25415B0C"/>
    <w:multiLevelType w:val="hybridMultilevel"/>
    <w:lvl w:ilvl="0">
      <w:lvlJc w:val="left"/>
      <w:lvlText w:val="(%1)"/>
      <w:numFmt w:val="lowerLetter"/>
      <w:start w:val="1"/>
    </w:lvl>
  </w:abstractNum>
  <w:abstractNum w:abstractNumId="544">
    <w:nsid w:val="17CFC87D"/>
    <w:multiLevelType w:val="hybridMultilevel"/>
    <w:lvl w:ilvl="0">
      <w:lvlJc w:val="left"/>
      <w:lvlText w:val="(%1)"/>
      <w:numFmt w:val="lowerLetter"/>
      <w:start w:val="2"/>
    </w:lvl>
  </w:abstractNum>
  <w:abstractNum w:abstractNumId="545">
    <w:nsid w:val="5D66DC65"/>
    <w:multiLevelType w:val="hybridMultilevel"/>
    <w:lvl w:ilvl="0">
      <w:lvlJc w:val="left"/>
      <w:lvlText w:val="(%1)"/>
      <w:numFmt w:val="lowerLetter"/>
      <w:start w:val="4"/>
    </w:lvl>
  </w:abstractNum>
  <w:abstractNum w:abstractNumId="546">
    <w:nsid w:val="30BB2B99"/>
    <w:multiLevelType w:val="hybridMultilevel"/>
    <w:lvl w:ilvl="0">
      <w:lvlJc w:val="left"/>
      <w:lvlText w:val="%1"/>
      <w:numFmt w:val="lowerRoman"/>
      <w:start w:val="1"/>
    </w:lvl>
    <w:lvl w:ilvl="1">
      <w:lvlJc w:val="left"/>
      <w:lvlText w:val="%2."/>
      <w:numFmt w:val="decimal"/>
      <w:start w:val="2"/>
    </w:lvl>
  </w:abstractNum>
  <w:abstractNum w:abstractNumId="547">
    <w:nsid w:val="E3DFE6"/>
    <w:multiLevelType w:val="hybridMultilevel"/>
    <w:lvl w:ilvl="0">
      <w:lvlJc w:val="left"/>
      <w:lvlText w:val="(%1)"/>
      <w:numFmt w:val="lowerRoman"/>
      <w:start w:val="2"/>
    </w:lvl>
    <w:lvl w:ilvl="1">
      <w:lvlJc w:val="left"/>
      <w:lvlText w:val="%2."/>
      <w:numFmt w:val="decimal"/>
      <w:start w:val="6"/>
    </w:lvl>
  </w:abstractNum>
  <w:abstractNum w:abstractNumId="548">
    <w:nsid w:val="595B37F3"/>
    <w:multiLevelType w:val="hybridMultilevel"/>
    <w:lvl w:ilvl="0">
      <w:lvlJc w:val="left"/>
      <w:lvlText w:val="%1."/>
      <w:numFmt w:val="decimal"/>
      <w:start w:val="7"/>
    </w:lvl>
  </w:abstractNum>
  <w:abstractNum w:abstractNumId="549">
    <w:nsid w:val="71DB7E02"/>
    <w:multiLevelType w:val="hybridMultilevel"/>
    <w:lvl w:ilvl="0">
      <w:lvlJc w:val="left"/>
      <w:lvlText w:val="%1."/>
      <w:numFmt w:val="decimal"/>
      <w:start w:val="8"/>
    </w:lvl>
    <w:lvl w:ilvl="1">
      <w:lvlJc w:val="left"/>
      <w:lvlText w:val="(%2)"/>
      <w:numFmt w:val="lowerLetter"/>
      <w:start w:val="1"/>
    </w:lvl>
  </w:abstractNum>
  <w:abstractNum w:abstractNumId="550">
    <w:nsid w:val="17EC0C4"/>
    <w:multiLevelType w:val="hybridMultilevel"/>
    <w:lvl w:ilvl="0">
      <w:lvlJc w:val="left"/>
      <w:lvlText w:val="%1"/>
      <w:numFmt w:val="decimal"/>
      <w:start w:val="1"/>
    </w:lvl>
    <w:lvl w:ilvl="1">
      <w:lvlJc w:val="left"/>
      <w:lvlText w:val="(%2)"/>
      <w:numFmt w:val="lowerLetter"/>
      <w:start w:val="2"/>
    </w:lvl>
  </w:abstractNum>
  <w:abstractNum w:abstractNumId="551">
    <w:nsid w:val="7173BB22"/>
    <w:multiLevelType w:val="hybridMultilevel"/>
    <w:lvl w:ilvl="0">
      <w:lvlJc w:val="left"/>
      <w:lvlText w:val="%1."/>
      <w:numFmt w:val="decimal"/>
      <w:start w:val="10"/>
    </w:lvl>
    <w:lvl w:ilvl="1">
      <w:lvlJc w:val="left"/>
      <w:lvlText w:val="%2"/>
      <w:numFmt w:val="lowerLetter"/>
      <w:start w:val="1"/>
    </w:lvl>
  </w:abstractNum>
  <w:abstractNum w:abstractNumId="552">
    <w:nsid w:val="169E1DD3"/>
    <w:multiLevelType w:val="hybridMultilevel"/>
    <w:lvl w:ilvl="0">
      <w:lvlJc w:val="left"/>
      <w:lvlText w:val="(%1)"/>
      <w:numFmt w:val="lowerRoman"/>
      <w:start w:val="1"/>
    </w:lvl>
  </w:abstractNum>
  <w:abstractNum w:abstractNumId="553">
    <w:nsid w:val="51D141CC"/>
    <w:multiLevelType w:val="hybridMultilevel"/>
    <w:lvl w:ilvl="0">
      <w:lvlJc w:val="left"/>
      <w:lvlText w:val="(%1)"/>
      <w:numFmt w:val="lowerLetter"/>
      <w:start w:val="1"/>
    </w:lvl>
  </w:abstractNum>
  <w:abstractNum w:abstractNumId="554">
    <w:nsid w:val="12F9357A"/>
    <w:multiLevelType w:val="hybridMultilevel"/>
    <w:lvl w:ilvl="0">
      <w:lvlJc w:val="left"/>
      <w:lvlText w:val="(%1)"/>
      <w:numFmt w:val="lowerLetter"/>
      <w:start w:val="4"/>
    </w:lvl>
  </w:abstractNum>
  <w:abstractNum w:abstractNumId="555">
    <w:nsid w:val="7672CF28"/>
    <w:multiLevelType w:val="hybridMultilevel"/>
    <w:lvl w:ilvl="0">
      <w:lvlJc w:val="left"/>
      <w:lvlText w:val="(%1)"/>
      <w:numFmt w:val="decimal"/>
      <w:start w:val="1"/>
    </w:lvl>
  </w:abstractNum>
  <w:abstractNum w:abstractNumId="556">
    <w:nsid w:val="567D2763"/>
    <w:multiLevelType w:val="hybridMultilevel"/>
    <w:lvl w:ilvl="0">
      <w:lvlJc w:val="left"/>
      <w:lvlText w:val="(%1)"/>
      <w:numFmt w:val="decimal"/>
      <w:start w:val="1"/>
    </w:lvl>
  </w:abstractNum>
  <w:abstractNum w:abstractNumId="557">
    <w:nsid w:val="6F5DE2EF"/>
    <w:multiLevelType w:val="hybridMultilevel"/>
    <w:lvl w:ilvl="0">
      <w:lvlJc w:val="left"/>
      <w:lvlText w:val="(%1)"/>
      <w:numFmt w:val="decimal"/>
      <w:start w:val="1"/>
    </w:lvl>
  </w:abstractNum>
  <w:abstractNum w:abstractNumId="558">
    <w:nsid w:val="23502A61"/>
    <w:multiLevelType w:val="hybridMultilevel"/>
    <w:lvl w:ilvl="0">
      <w:lvlJc w:val="left"/>
      <w:lvlText w:val="‚"/>
      <w:numFmt w:val="bullet"/>
      <w:start w:val="1"/>
    </w:lvl>
  </w:abstractNum>
  <w:abstractNum w:abstractNumId="559">
    <w:nsid w:val="461BC834"/>
    <w:multiLevelType w:val="hybridMultilevel"/>
    <w:lvl w:ilvl="0">
      <w:lvlJc w:val="left"/>
      <w:lvlText w:val="(%1)"/>
      <w:numFmt w:val="decimal"/>
      <w:start w:val="1"/>
    </w:lvl>
  </w:abstractNum>
  <w:abstractNum w:abstractNumId="560">
    <w:nsid w:val="13DDA79D"/>
    <w:multiLevelType w:val="hybridMultilevel"/>
    <w:lvl w:ilvl="0">
      <w:lvlJc w:val="left"/>
      <w:lvlText w:val="(%1)"/>
      <w:numFmt w:val="decimal"/>
      <w:start w:val="1"/>
    </w:lvl>
  </w:abstractNum>
  <w:abstractNum w:abstractNumId="561">
    <w:nsid w:val="6A104566"/>
    <w:multiLevelType w:val="hybridMultilevel"/>
    <w:lvl w:ilvl="0">
      <w:lvlJc w:val="left"/>
      <w:lvlText w:val="ƒ"/>
      <w:numFmt w:val="bullet"/>
      <w:start w:val="1"/>
    </w:lvl>
  </w:abstractNum>
  <w:abstractNum w:abstractNumId="562">
    <w:nsid w:val="1C8A8ACF"/>
    <w:multiLevelType w:val="hybridMultilevel"/>
    <w:lvl w:ilvl="0">
      <w:lvlJc w:val="left"/>
      <w:lvlText w:val="(%1)"/>
      <w:numFmt w:val="decimal"/>
      <w:start w:val="2"/>
    </w:lvl>
  </w:abstractNum>
  <w:abstractNum w:abstractNumId="563">
    <w:nsid w:val="E73DFE0"/>
    <w:multiLevelType w:val="hybridMultilevel"/>
    <w:lvl w:ilvl="0">
      <w:lvlJc w:val="left"/>
      <w:lvlText w:val="(%1)"/>
      <w:numFmt w:val="decimal"/>
      <w:start w:val="1"/>
    </w:lvl>
  </w:abstractNum>
  <w:abstractNum w:abstractNumId="564">
    <w:nsid w:val="39F174C7"/>
    <w:multiLevelType w:val="hybridMultilevel"/>
    <w:lvl w:ilvl="0">
      <w:lvlJc w:val="left"/>
      <w:lvlText w:val="(%1)"/>
      <w:numFmt w:val="decimal"/>
      <w:start w:val="2"/>
    </w:lvl>
  </w:abstractNum>
  <w:abstractNum w:abstractNumId="565">
    <w:nsid w:val="6E2E2D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2019-12-12T04:22:36Z</dcterms:created>
  <dcterms:modified xsi:type="dcterms:W3CDTF">2019-12-12T04:22:36Z</dcterms:modified>
</cp:coreProperties>
</file>