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As previously disclosed, 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 The Company and Parent filed such notice with CFIUS on June 11, 2021.</w:t>
      </w:r>
    </w:p>
    <w:p>
      <w:pPr>
        <w:spacing w:after="0" w:line="17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 (iii) 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(“Section 721”) with respect to the Merger, (2) the President takes action or declines to take action under Section 721 with respect to the Merger or (3) CFIUS or the President revokes or terminates the Interim Order.</w:t>
      </w:r>
    </w:p>
    <w:p>
      <w:pPr>
        <w:spacing w:after="0" w:line="17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Company is assessing the impact of the Interim Order and the special meeting of stockholders scheduled for 8:00 p.m. Eastern Time on June 17, 2021 is expected to be postponed.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2021-06-16T05:13:56Z</dcterms:created>
  <dcterms:modified xsi:type="dcterms:W3CDTF">2021-06-16T05:13:56Z</dcterms:modified>
</cp:coreProperties>
</file>