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2073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20732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Kim Theodore S</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line="357" w:lineRule="auto"/>
        <w:rPr>
          <w:sz w:val="20"/>
          <w:szCs w:val="20"/>
          <w:color w:val="auto"/>
        </w:rPr>
      </w:pPr>
      <w:r>
        <w:rPr>
          <w:rFonts w:ascii="Arial" w:cs="Arial" w:eastAsia="Arial" w:hAnsi="Arial"/>
          <w:sz w:val="17"/>
          <w:szCs w:val="17"/>
          <w:color w:val="0000FF"/>
        </w:rPr>
        <w:t>C/O MAGNACHIP SEMICONDUCTOR, LTD. 501, TEHERAN-RO, GANGNAM-GU</w:t>
      </w:r>
    </w:p>
    <w:p>
      <w:pPr>
        <w:spacing w:after="0" w:line="20" w:lineRule="exact"/>
        <w:rPr>
          <w:sz w:val="24"/>
          <w:szCs w:val="24"/>
          <w:color w:val="auto"/>
        </w:rPr>
      </w:pPr>
      <w:r>
        <w:rPr>
          <w:sz w:val="24"/>
          <w:szCs w:val="24"/>
          <w:color w:val="auto"/>
        </w:rPr>
        <w:br w:type="column"/>
      </w:r>
    </w:p>
    <w:p>
      <w:pPr>
        <w:ind w:left="9"/>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ind w:left="9"/>
        <w:spacing w:after="0"/>
        <w:rPr>
          <w:rFonts w:ascii="Arial" w:cs="Arial" w:eastAsia="Arial" w:hAnsi="Arial"/>
          <w:sz w:val="20"/>
          <w:szCs w:val="20"/>
          <w:u w:val="single" w:color="auto"/>
          <w:color w:val="0000EE"/>
        </w:rPr>
      </w:pPr>
      <w:hyperlink r:id="rId14">
        <w:r>
          <w:rPr>
            <w:rFonts w:ascii="Arial" w:cs="Arial" w:eastAsia="Arial" w:hAnsi="Arial"/>
            <w:sz w:val="20"/>
            <w:szCs w:val="20"/>
            <w:u w:val="single" w:color="auto"/>
            <w:color w:val="0000EE"/>
          </w:rPr>
          <w:t>MAGNACHIP SEMICONDUCTOR Corp</w:t>
        </w:r>
      </w:hyperlink>
    </w:p>
    <w:p>
      <w:pPr>
        <w:spacing w:after="0" w:line="10" w:lineRule="exact"/>
        <w:rPr>
          <w:sz w:val="24"/>
          <w:szCs w:val="24"/>
          <w:color w:val="auto"/>
        </w:rPr>
      </w:pPr>
    </w:p>
    <w:p>
      <w:pPr>
        <w:ind w:left="129" w:hanging="129"/>
        <w:spacing w:after="0"/>
        <w:tabs>
          <w:tab w:leader="none" w:pos="129" w:val="left"/>
        </w:tabs>
        <w:numPr>
          <w:ilvl w:val="0"/>
          <w:numId w:val="1"/>
        </w:numPr>
        <w:rPr>
          <w:rFonts w:ascii="Arial" w:cs="Arial" w:eastAsia="Arial" w:hAnsi="Arial"/>
          <w:sz w:val="21"/>
          <w:szCs w:val="21"/>
          <w:color w:val="auto"/>
        </w:rPr>
      </w:pPr>
      <w:r>
        <w:rPr>
          <w:rFonts w:ascii="Arial" w:cs="Arial" w:eastAsia="Arial" w:hAnsi="Arial"/>
          <w:sz w:val="17"/>
          <w:szCs w:val="17"/>
          <w:color w:val="0000FF"/>
        </w:rPr>
        <w:t xml:space="preserve">MX </w:t>
      </w:r>
      <w:r>
        <w:rPr>
          <w:rFonts w:ascii="Arial" w:cs="Arial" w:eastAsia="Arial" w:hAnsi="Arial"/>
          <w:sz w:val="21"/>
          <w:szCs w:val="21"/>
          <w:color w:val="000000"/>
        </w:rPr>
        <w:t>]</w:t>
      </w:r>
    </w:p>
    <w:p>
      <w:pPr>
        <w:spacing w:after="0" w:line="200" w:lineRule="exact"/>
        <w:rPr>
          <w:sz w:val="24"/>
          <w:szCs w:val="24"/>
          <w:color w:val="auto"/>
        </w:rPr>
      </w:pPr>
    </w:p>
    <w:p>
      <w:pPr>
        <w:spacing w:after="0" w:line="228" w:lineRule="exact"/>
        <w:rPr>
          <w:sz w:val="24"/>
          <w:szCs w:val="24"/>
          <w:color w:val="auto"/>
        </w:rPr>
      </w:pPr>
    </w:p>
    <w:p>
      <w:pPr>
        <w:ind w:left="9"/>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ind w:left="9"/>
        <w:spacing w:after="0"/>
        <w:rPr>
          <w:sz w:val="20"/>
          <w:szCs w:val="20"/>
          <w:color w:val="auto"/>
        </w:rPr>
      </w:pPr>
      <w:r>
        <w:rPr>
          <w:rFonts w:ascii="Arial" w:cs="Arial" w:eastAsia="Arial" w:hAnsi="Arial"/>
          <w:sz w:val="17"/>
          <w:szCs w:val="17"/>
          <w:color w:val="0000FF"/>
        </w:rPr>
        <w:t>12/31/2020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2"/>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jc w:val="center"/>
        <w:ind w:right="195"/>
        <w:spacing w:after="0"/>
        <w:rPr>
          <w:sz w:val="20"/>
          <w:szCs w:val="20"/>
          <w:color w:val="auto"/>
        </w:rPr>
      </w:pPr>
      <w:r>
        <w:rPr>
          <w:rFonts w:ascii="Arial" w:cs="Arial" w:eastAsia="Arial" w:hAnsi="Arial"/>
          <w:sz w:val="17"/>
          <w:szCs w:val="17"/>
          <w:color w:val="0000FF"/>
        </w:rPr>
        <w:t>See Remarks</w:t>
      </w:r>
    </w:p>
    <w:p>
      <w:pPr>
        <w:spacing w:after="0" w:line="675" w:lineRule="exact"/>
        <w:rPr>
          <w:sz w:val="24"/>
          <w:szCs w:val="24"/>
          <w:color w:val="auto"/>
        </w:rPr>
      </w:pPr>
    </w:p>
    <w:p>
      <w:pPr>
        <w:sectPr>
          <w:pgSz w:w="11900" w:h="16838" w:orient="portrait"/>
          <w:cols w:equalWidth="0" w:num="3">
            <w:col w:w="3500" w:space="411"/>
            <w:col w:w="3649" w:space="175"/>
            <w:col w:w="3345"/>
          </w:cols>
          <w:pgMar w:left="460" w:top="225" w:right="359" w:bottom="1440" w:gutter="0" w:footer="0" w:header="0"/>
          <w:type w:val="continuous"/>
        </w:sectPr>
      </w:pPr>
    </w:p>
    <w:p>
      <w:pPr>
        <w:spacing w:after="0" w:line="30"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SEOUL,</w:t>
      </w:r>
    </w:p>
    <w:p>
      <w:pPr>
        <w:spacing w:after="0" w:line="25" w:lineRule="exact"/>
        <w:rPr>
          <w:sz w:val="24"/>
          <w:szCs w:val="24"/>
          <w:color w:val="auto"/>
        </w:rPr>
      </w:pPr>
    </w:p>
    <w:p>
      <w:pPr>
        <w:ind w:left="120" w:right="200"/>
        <w:spacing w:after="0" w:line="261" w:lineRule="auto"/>
        <w:rPr>
          <w:sz w:val="20"/>
          <w:szCs w:val="20"/>
          <w:color w:val="auto"/>
        </w:rPr>
      </w:pPr>
      <w:r>
        <w:rPr>
          <w:rFonts w:ascii="Arial" w:cs="Arial" w:eastAsia="Arial" w:hAnsi="Arial"/>
          <w:sz w:val="17"/>
          <w:szCs w:val="17"/>
          <w:color w:val="0000FF"/>
        </w:rPr>
        <w:t>REPUBLIC OF M5 06168 KOREA</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spacing w:after="0" w:line="7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6964045" cy="1565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565275"/>
                    </a:xfrm>
                    <a:prstGeom prst="rect">
                      <a:avLst/>
                    </a:prstGeom>
                    <a:noFill/>
                  </pic:spPr>
                </pic:pic>
              </a:graphicData>
            </a:graphic>
          </wp:anchor>
        </w:drawing>
      </w:r>
    </w:p>
    <w:p>
      <w:pPr>
        <w:spacing w:after="0" w:line="159"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12/31/2020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3,330</w:t>
            </w:r>
            <w:r>
              <w:rPr>
                <w:rFonts w:ascii="Arial" w:cs="Arial" w:eastAsia="Arial" w:hAnsi="Arial"/>
                <w:sz w:val="22"/>
                <w:szCs w:val="22"/>
                <w:color w:val="008000"/>
                <w:w w:val="92"/>
                <w:vertAlign w:val="superscript"/>
              </w:rPr>
              <w:t>(1)</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13.52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121,022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12/31/2020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2,775</w:t>
            </w:r>
            <w:r>
              <w:rPr>
                <w:rFonts w:ascii="Arial" w:cs="Arial" w:eastAsia="Arial" w:hAnsi="Arial"/>
                <w:sz w:val="22"/>
                <w:szCs w:val="22"/>
                <w:color w:val="008000"/>
                <w:w w:val="92"/>
                <w:vertAlign w:val="superscript"/>
              </w:rPr>
              <w:t>(2)</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13.52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118,247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Arial" w:cs="Arial" w:eastAsia="Arial" w:hAnsi="Arial"/>
                <w:sz w:val="17"/>
                <w:szCs w:val="17"/>
                <w:color w:val="0000FF"/>
              </w:rPr>
              <w:t>12/31/2020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w w:val="92"/>
              </w:rPr>
              <w:t>2,466</w:t>
            </w:r>
            <w:r>
              <w:rPr>
                <w:rFonts w:ascii="Arial" w:cs="Arial" w:eastAsia="Arial" w:hAnsi="Arial"/>
                <w:sz w:val="22"/>
                <w:szCs w:val="22"/>
                <w:color w:val="008000"/>
                <w:w w:val="92"/>
                <w:vertAlign w:val="superscript"/>
              </w:rPr>
              <w:t>(3)</w:t>
            </w:r>
          </w:p>
        </w:tc>
        <w:tc>
          <w:tcPr>
            <w:tcW w:w="6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13.52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115,781</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gridSpan w:val="3"/>
          </w:tcPr>
          <w:p>
            <w:pPr>
              <w:ind w:left="4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3"/>
          </w:tcPr>
          <w:p>
            <w:pPr>
              <w:ind w:left="4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6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represents the withholding by the Issuer of 3,330 shares of common stock to satisfy tax withholding obligations incurred by the Reporting Person upon the vesting of 9,000 shares of common stock originally awarded to the Reporting Person on October 22, 2018.</w:t>
      </w:r>
    </w:p>
    <w:p>
      <w:pPr>
        <w:spacing w:after="0" w:line="15" w:lineRule="exact"/>
        <w:rPr>
          <w:rFonts w:ascii="Arial" w:cs="Arial" w:eastAsia="Arial" w:hAnsi="Arial"/>
          <w:sz w:val="13"/>
          <w:szCs w:val="13"/>
          <w:color w:val="008000"/>
        </w:rPr>
      </w:pPr>
    </w:p>
    <w:p>
      <w:pPr>
        <w:ind w:left="40" w:right="36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represents the withholding by the Issuer of 2,775 shares of common stock to satisfy tax withholding obligations incurred by the Reporting Person upon the vesting of 7,500 shares of common stock originally awarded to the Reporting Person on October 22, 2019.</w:t>
      </w:r>
    </w:p>
    <w:p>
      <w:pPr>
        <w:spacing w:after="0" w:line="15" w:lineRule="exact"/>
        <w:rPr>
          <w:rFonts w:ascii="Arial" w:cs="Arial" w:eastAsia="Arial" w:hAnsi="Arial"/>
          <w:sz w:val="13"/>
          <w:szCs w:val="13"/>
          <w:color w:val="008000"/>
        </w:rPr>
      </w:pPr>
    </w:p>
    <w:p>
      <w:pPr>
        <w:ind w:left="40" w:right="360" w:firstLine="7"/>
        <w:spacing w:after="0" w:line="266" w:lineRule="auto"/>
        <w:tabs>
          <w:tab w:leader="none" w:pos="17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This transaction represents the withholding by the Issuer of 2,466 shares of common stock to satisfy tax withholding obligations incurred by the Reporting Person upon the vesting of 6,666 shares of common stock originally awarded to the Reporting Person on May 7, 2020.</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Chief Compliance Officer, General Counsel and Secretary</w:t>
      </w:r>
    </w:p>
    <w:p>
      <w:pPr>
        <w:spacing w:after="0" w:line="6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Theodore Kim</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01/05/2021</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92205" TargetMode="External"/><Relationship Id="rId14" Type="http://schemas.openxmlformats.org/officeDocument/2006/relationships/hyperlink" Target="http://www.sec.gov/cgi-bin/browse-edgar?action=getcompany&amp;CIK=0001325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2021-01-05T15:23:24Z</dcterms:created>
  <dcterms:modified xsi:type="dcterms:W3CDTF">2021-01-05T15:23:24Z</dcterms:modified>
</cp:coreProperties>
</file>