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3" w:after="283"/>
        <w:jc w:val="center"/>
        <w:rPr>
          <w:rFonts w:ascii="Times New Roman" w:hAnsi="Times New Roman"/>
          <w:b/>
          <w:color w:val="231F20"/>
          <w:sz w:val="36"/>
        </w:rPr>
      </w:pPr>
      <w:bookmarkStart w:id="0" w:name="mx-20260430.htm"/>
      <w:bookmarkStart w:id="1" w:name="ksmx20260430"/>
      <w:bookmarkEnd w:id="0"/>
      <w:bookmarkEnd w:id="1"/>
      <w:r>
        <w:rPr>
          <w:rFonts w:ascii="Times New Roman" w:hAnsi="Times New Roman"/>
          <w:b/>
          <w:color w:val="231F20"/>
          <w:sz w:val="36"/>
        </w:rPr>
        <w:t>UNITED STATES</w:t>
      </w:r>
    </w:p>
    <w:p>
      <w:pPr>
        <w:pStyle w:val="TextBody"/>
        <w:bidi w:val="0"/>
        <w:jc w:val="center"/>
        <w:rPr>
          <w:rFonts w:ascii="Times New Roman" w:hAnsi="Times New Roman"/>
          <w:b/>
          <w:color w:val="231F20"/>
          <w:sz w:val="36"/>
        </w:rPr>
      </w:pPr>
      <w:r>
        <w:rPr>
          <w:rFonts w:ascii="Times New Roman" w:hAnsi="Times New Roman"/>
          <w:b/>
          <w:color w:val="231F20"/>
          <w:sz w:val="36"/>
        </w:rPr>
        <w:t>SECURITIES AND EXCHANGE COMMISSION</w:t>
      </w:r>
    </w:p>
    <w:p>
      <w:pPr>
        <w:pStyle w:val="TextBody"/>
        <w:bidi w:val="0"/>
        <w:jc w:val="center"/>
        <w:rPr>
          <w:rFonts w:ascii="Times New Roman" w:hAnsi="Times New Roman"/>
          <w:b/>
          <w:color w:val="231F20"/>
          <w:sz w:val="24"/>
        </w:rPr>
      </w:pPr>
      <w:r>
        <w:rPr>
          <w:rFonts w:ascii="Times New Roman" w:hAnsi="Times New Roman"/>
          <w:b/>
          <w:color w:val="231F20"/>
          <w:sz w:val="24"/>
        </w:rPr>
        <w:t>WASHINGTON, D.C. 20549</w:t>
      </w:r>
    </w:p>
    <w:p>
      <w:pPr>
        <w:pStyle w:val="TextBody"/>
        <w:bidi w:val="0"/>
        <w:spacing w:before="240" w:after="283"/>
        <w:jc w:val="center"/>
        <w:rPr>
          <w:rFonts w:ascii="Times New Roman" w:hAnsi="Times New Roman"/>
          <w:b/>
          <w:color w:val="231F20"/>
          <w:sz w:val="36"/>
        </w:rPr>
      </w:pPr>
      <w:r>
        <w:rPr>
          <w:rFonts w:ascii="Times New Roman" w:hAnsi="Times New Roman"/>
          <w:b/>
          <w:color w:val="231F20"/>
          <w:sz w:val="36"/>
        </w:rPr>
        <w:t>SCHEDULE 14A</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(Rule 14a-101)</w:t>
      </w:r>
    </w:p>
    <w:p>
      <w:pPr>
        <w:pStyle w:val="TextBody"/>
        <w:bidi w:val="0"/>
        <w:jc w:val="center"/>
        <w:rPr>
          <w:rFonts w:ascii="Times New Roman" w:hAnsi="Times New Roman"/>
          <w:b/>
          <w:color w:val="231F20"/>
          <w:sz w:val="24"/>
        </w:rPr>
      </w:pPr>
      <w:r>
        <w:rPr>
          <w:rFonts w:ascii="Times New Roman" w:hAnsi="Times New Roman"/>
          <w:b/>
          <w:color w:val="231F20"/>
          <w:sz w:val="24"/>
        </w:rPr>
        <w:t>SCHEDULE 14A INFORMATION</w:t>
      </w:r>
    </w:p>
    <w:p>
      <w:pPr>
        <w:pStyle w:val="TextBody"/>
        <w:bidi w:val="0"/>
        <w:spacing w:before="240" w:after="283"/>
        <w:jc w:val="center"/>
        <w:rPr>
          <w:rFonts w:ascii="Times New Roman" w:hAnsi="Times New Roman"/>
          <w:b/>
          <w:color w:val="231F20"/>
          <w:sz w:val="24"/>
        </w:rPr>
      </w:pPr>
      <w:r>
        <w:rPr>
          <w:rFonts w:ascii="Times New Roman" w:hAnsi="Times New Roman"/>
          <w:b/>
          <w:color w:val="231F20"/>
          <w:sz w:val="24"/>
        </w:rPr>
        <w:t>Proxy Statement Pursuant to Section 14(a) of the</w:t>
      </w:r>
    </w:p>
    <w:p>
      <w:pPr>
        <w:pStyle w:val="TextBody"/>
        <w:bidi w:val="0"/>
        <w:jc w:val="center"/>
        <w:rPr>
          <w:rFonts w:ascii="Times New Roman" w:hAnsi="Times New Roman"/>
          <w:b/>
          <w:color w:val="231F20"/>
          <w:sz w:val="24"/>
        </w:rPr>
      </w:pPr>
      <w:r>
        <w:rPr>
          <w:rFonts w:ascii="Times New Roman" w:hAnsi="Times New Roman"/>
          <w:b/>
          <w:color w:val="231F20"/>
          <w:sz w:val="24"/>
        </w:rPr>
        <w:t>Securities Exchange Act of 1934</w:t>
      </w:r>
    </w:p>
    <w:p>
      <w:pPr>
        <w:pStyle w:val="TextBody"/>
        <w:bidi w:val="0"/>
        <w:jc w:val="left"/>
        <w:rPr/>
      </w:pPr>
      <w:r>
        <w:rPr/>
        <w:t> </w:t>
      </w:r>
    </w:p>
    <w:tbl>
      <w:tblPr>
        <w:tblW w:w="6240" w:type="dxa"/>
        <w:jc w:val="left"/>
        <w:tblInd w:w="0" w:type="dxa"/>
        <w:tblLayout w:type="fixed"/>
        <w:tblCellMar>
          <w:top w:w="28" w:type="dxa"/>
          <w:left w:w="28" w:type="dxa"/>
          <w:bottom w:w="28" w:type="dxa"/>
          <w:right w:w="28" w:type="dxa"/>
        </w:tblCellMar>
      </w:tblPr>
      <w:tblGrid>
        <w:gridCol w:w="1981"/>
        <w:gridCol w:w="316"/>
        <w:gridCol w:w="3436"/>
        <w:gridCol w:w="31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Filed by a Party other than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Check the appropriate box:</w:t>
      </w:r>
    </w:p>
    <w:p>
      <w:pPr>
        <w:pStyle w:val="TextBody"/>
        <w:bidi w:val="0"/>
        <w:jc w:val="left"/>
        <w:rPr/>
      </w:pPr>
      <w:r>
        <w:rPr/>
        <w:t> </w:t>
      </w:r>
    </w:p>
    <w:tbl>
      <w:tblPr>
        <w:tblW w:w="7217" w:type="dxa"/>
        <w:jc w:val="left"/>
        <w:tblInd w:w="0" w:type="dxa"/>
        <w:tblLayout w:type="fixed"/>
        <w:tblCellMar>
          <w:top w:w="28" w:type="dxa"/>
          <w:left w:w="28" w:type="dxa"/>
          <w:bottom w:w="28" w:type="dxa"/>
          <w:right w:w="28" w:type="dxa"/>
        </w:tblCellMar>
      </w:tblPr>
      <w:tblGrid>
        <w:gridCol w:w="331"/>
        <w:gridCol w:w="6886"/>
      </w:tblGrid>
      <w:tr>
        <w:trPr/>
        <w:tc>
          <w:tcPr>
            <w:tcW w:w="331"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Soliciting Material Pursuant to Section 240.14a-12.</w:t>
            </w:r>
          </w:p>
        </w:tc>
      </w:tr>
    </w:tbl>
    <w:p>
      <w:pPr>
        <w:pStyle w:val="TextBody"/>
        <w:bidi w:val="0"/>
        <w:jc w:val="left"/>
        <w:rPr/>
      </w:pPr>
      <w:r>
        <w:rPr/>
        <w:t> </w:t>
      </w:r>
    </w:p>
    <w:p>
      <w:pPr>
        <w:pStyle w:val="TextBody"/>
        <w:bidi w:val="0"/>
        <w:jc w:val="center"/>
        <w:rPr>
          <w:rFonts w:ascii="Times New Roman" w:hAnsi="Times New Roman"/>
          <w:b/>
          <w:color w:val="231F20"/>
          <w:sz w:val="44"/>
        </w:rPr>
      </w:pPr>
      <w:r>
        <w:rPr>
          <w:rFonts w:ascii="Times New Roman" w:hAnsi="Times New Roman"/>
          <w:b/>
          <w:color w:val="231F20"/>
          <w:sz w:val="44"/>
        </w:rPr>
        <w:t>Magnachip Semiconductor Corporation</w:t>
      </w:r>
    </w:p>
    <w:p>
      <w:pPr>
        <w:pStyle w:val="TextBody"/>
        <w:bidi w:val="0"/>
        <w:jc w:val="center"/>
        <w:rPr>
          <w:rFonts w:ascii="Times New Roman" w:hAnsi="Times New Roman"/>
          <w:b/>
          <w:color w:val="231F20"/>
          <w:sz w:val="16"/>
        </w:rPr>
      </w:pPr>
      <w:r>
        <w:rPr>
          <w:rFonts w:ascii="Times New Roman" w:hAnsi="Times New Roman"/>
          <w:b/>
          <w:color w:val="231F20"/>
          <w:sz w:val="16"/>
        </w:rPr>
        <w:t>(Name of Registrant as Specified in its Charter)</w:t>
      </w:r>
    </w:p>
    <w:p>
      <w:pPr>
        <w:pStyle w:val="TextBody"/>
        <w:bidi w:val="0"/>
        <w:spacing w:before="240" w:after="283"/>
        <w:jc w:val="center"/>
        <w:rPr>
          <w:rFonts w:ascii="Times New Roman" w:hAnsi="Times New Roman"/>
          <w:b/>
          <w:color w:val="231F20"/>
          <w:sz w:val="16"/>
        </w:rPr>
      </w:pPr>
      <w:r>
        <w:rPr>
          <w:rFonts w:ascii="Times New Roman" w:hAnsi="Times New Roman"/>
          <w:b/>
          <w:color w:val="231F20"/>
          <w:sz w:val="16"/>
        </w:rPr>
        <w:t>(Name of Person(s) Filing Proxy Statement, if Other Than the Registrant)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Payment of Filing Fee (Check all boxes that apply):</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Fee computed on table in exhibit required by Item 25(b) per Exchange Act Rules 14a-6(i)(1) and 0-11.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23431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3150" cy="447675"/>
                    </a:xfrm>
                    <a:prstGeom prst="rect">
                      <a:avLst/>
                    </a:prstGeom>
                  </pic:spPr>
                </pic:pic>
              </a:graphicData>
            </a:graphic>
          </wp:inline>
        </w:drawing>
      </w:r>
    </w:p>
    <w:p>
      <w:pPr>
        <w:pStyle w:val="TextBody"/>
        <w:bidi w:val="0"/>
        <w:jc w:val="left"/>
        <w:rPr/>
      </w:pPr>
      <w:r>
        <w:rPr/>
        <w:t> </w:t>
      </w:r>
    </w:p>
    <w:p>
      <w:pPr>
        <w:pStyle w:val="TextBody"/>
        <w:bidi w:val="0"/>
        <w:spacing w:before="40" w:after="283"/>
        <w:jc w:val="center"/>
        <w:rPr>
          <w:rFonts w:ascii="Times New Roman" w:hAnsi="Times New Roman"/>
          <w:b/>
          <w:color w:val="231F20"/>
          <w:sz w:val="20"/>
        </w:rPr>
      </w:pPr>
      <w:r>
        <w:rPr>
          <w:rFonts w:ascii="Times New Roman" w:hAnsi="Times New Roman"/>
          <w:b/>
          <w:color w:val="231F20"/>
          <w:sz w:val="20"/>
        </w:rPr>
        <w:t>c/o Magnachip Semiconductor, Ltd.</w:t>
      </w:r>
    </w:p>
    <w:p>
      <w:pPr>
        <w:pStyle w:val="TextBody"/>
        <w:bidi w:val="0"/>
        <w:jc w:val="center"/>
        <w:rPr>
          <w:rFonts w:ascii="Times New Roman" w:hAnsi="Times New Roman"/>
          <w:b/>
          <w:color w:val="231F20"/>
          <w:sz w:val="20"/>
        </w:rPr>
      </w:pPr>
      <w:r>
        <w:rPr>
          <w:rFonts w:ascii="Times New Roman" w:hAnsi="Times New Roman"/>
          <w:b/>
          <w:color w:val="231F20"/>
          <w:sz w:val="20"/>
        </w:rPr>
        <w:t>15F, 76 Jikji-daero 436beon-gil, Heungdeok-gu</w:t>
      </w:r>
    </w:p>
    <w:p>
      <w:pPr>
        <w:pStyle w:val="TextBody"/>
        <w:bidi w:val="0"/>
        <w:jc w:val="center"/>
        <w:rPr>
          <w:rFonts w:ascii="Times New Roman" w:hAnsi="Times New Roman"/>
          <w:b/>
          <w:color w:val="231F20"/>
          <w:sz w:val="20"/>
        </w:rPr>
      </w:pPr>
      <w:r>
        <w:rPr>
          <w:rFonts w:ascii="Times New Roman" w:hAnsi="Times New Roman"/>
          <w:b/>
          <w:color w:val="231F20"/>
          <w:sz w:val="20"/>
        </w:rPr>
        <w:t>Cheongju-si, Chungcheongbuk-do, Republic of Korea 28581</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Our Stockholders: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are invited to attend the Annual Meeting of Stockholders of Magnachip Semiconductor Corporation to be held on June 11, 2026, at 8:00 p.m. Eastern Daylight Time.</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We are pleased to announce that this year’s Annual Meeting will again be held completely virtually via live interactive webcast on the Internet. You will be able to attend, vote and submit your questions during the meeting at </w:t>
      </w:r>
      <w:r>
        <w:rPr>
          <w:rFonts w:ascii="Times New Roman" w:hAnsi="Times New Roman"/>
          <w:i/>
          <w:color w:val="231F20"/>
          <w:sz w:val="20"/>
        </w:rPr>
        <w:t>www.virtualshareholdermeeting.com/MX2026</w:t>
      </w:r>
      <w:r>
        <w:rPr>
          <w:rFonts w:ascii="Times New Roman" w:hAnsi="Times New Roman"/>
          <w:color w:val="231F20"/>
          <w:sz w:val="20"/>
        </w:rPr>
        <w:t>. We have enclosed the notice of our Annual Meeting of Stockholders, together with this Proxy Statement, a proxy and an envelope for returning the proxy.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are asked to act upon proposals to: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elect the four director nominees named in the Proxy Statement to our Board of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conduct an advisory (non-binding) vote on the compensation of our named executive officers as described in this Proxy Statement;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ratify the appointment of Ernst &amp; Young Han Young as our independent registered public accounting firm for the fiscal year ending December 31, 2026;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approve our Amended and Restated 2020 Equity and Incentive Compensation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Your Board of Directors unanimously recommends that you vote “FOR” each nominee for director that the Board of Directors has selected, “FOR” the approval of the compensation of our named executive officers as described in the Proxy Statement, “FOR” the appointment of Ernst &amp; Young Han Young as our independent registered public accounting firm for the fiscal year ending December 31, 2026, and “FOR” the approval of our Amended and Restated 2020 Equity and Incentive Compensation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Please carefully review the Proxy Statement and then complete and sign your proxy and return it promptly. If you attend the virtual meeting and decide to vote during the meeting, you may withdraw your proxy by voting at the meeting.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Your time and attention to this letter and the accompanying Proxy Statement and proxy are appreciated. Your vote is important. Please take the time to read the enclosed Proxy Statement and cast your vote via proxy or at the Annual Meeting of Stockholders.</w:t>
      </w:r>
    </w:p>
    <w:p>
      <w:pPr>
        <w:pStyle w:val="TextBody"/>
        <w:bidi w:val="0"/>
        <w:spacing w:before="20" w:after="283"/>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Sincerely,</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 Camillo Martino</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Camillo Martino</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Chairman and Interim Chief Executive Officer</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April 30, 2026</w:t>
            </w:r>
          </w:p>
        </w:tc>
      </w:tr>
    </w:tbl>
    <w:p>
      <w:pPr>
        <w:pStyle w:val="TextBody"/>
        <w:bidi w:val="0"/>
        <w:spacing w:before="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3431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43150" cy="447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231F20"/>
          <w:sz w:val="20"/>
        </w:rPr>
        <w:t>Magnachip Semiconductor Corporation</w:t>
      </w:r>
      <w:r>
        <w:rPr>
          <w:rFonts w:ascii="Times New Roman" w:hAnsi="Times New Roman"/>
          <w:color w:val="231F20"/>
          <w:sz w:val="20"/>
        </w:rPr>
        <w:t xml:space="preserve"> </w:t>
      </w:r>
    </w:p>
    <w:p>
      <w:pPr>
        <w:pStyle w:val="TextBody"/>
        <w:bidi w:val="0"/>
        <w:jc w:val="center"/>
        <w:rPr>
          <w:rFonts w:ascii="Times New Roman" w:hAnsi="Times New Roman"/>
          <w:b/>
          <w:color w:val="231F20"/>
          <w:sz w:val="20"/>
        </w:rPr>
      </w:pPr>
      <w:r>
        <w:rPr>
          <w:rFonts w:ascii="Times New Roman" w:hAnsi="Times New Roman"/>
          <w:b/>
          <w:color w:val="231F20"/>
          <w:sz w:val="20"/>
        </w:rPr>
        <w:t>c/o Magnachip Semiconductor, Ltd.</w:t>
      </w:r>
    </w:p>
    <w:p>
      <w:pPr>
        <w:pStyle w:val="TextBody"/>
        <w:bidi w:val="0"/>
        <w:jc w:val="center"/>
        <w:rPr>
          <w:rFonts w:ascii="Times New Roman" w:hAnsi="Times New Roman"/>
          <w:b/>
          <w:color w:val="231F20"/>
          <w:sz w:val="20"/>
        </w:rPr>
      </w:pPr>
      <w:r>
        <w:rPr>
          <w:rFonts w:ascii="Times New Roman" w:hAnsi="Times New Roman"/>
          <w:b/>
          <w:color w:val="231F20"/>
          <w:sz w:val="20"/>
        </w:rPr>
        <w:t>15F, 76 Jikji-daero 436beon-gil, Heungdeok-gu</w:t>
      </w:r>
    </w:p>
    <w:p>
      <w:pPr>
        <w:pStyle w:val="TextBody"/>
        <w:bidi w:val="0"/>
        <w:jc w:val="center"/>
        <w:rPr>
          <w:rFonts w:ascii="Times New Roman" w:hAnsi="Times New Roman"/>
          <w:b/>
          <w:color w:val="231F20"/>
          <w:sz w:val="20"/>
        </w:rPr>
      </w:pPr>
      <w:r>
        <w:rPr>
          <w:rFonts w:ascii="Times New Roman" w:hAnsi="Times New Roman"/>
          <w:b/>
          <w:color w:val="231F20"/>
          <w:sz w:val="20"/>
        </w:rPr>
        <w:t>Cheongju-si, Chungcheongbuk-do, Republic of Korea 28581</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NOTICE OF ANNUAL MEETING OF STOCKHOLDERS June 11, 2026</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Annual Meeting of Stockholders of Magnachip Semiconductor Corporation, a Delaware corporation, will be held on Thursday, June 11, 2026, at 8:00 p.m. Eastern Daylight Time, via live interactive webcast on the Internet, for the following purposes: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elect the four director nominees named in the Proxy Statement to our Board of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conduct an advisory (non-binding) vote on the compensation of our named executive officers as described in the Proxy Statement;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ratify the appointment of Ernst &amp; Young Han Young as our independent registered public accounting firm for the fiscal year ending December 31,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approve our Amended and Restated 2020 Equity and Incentive Compensation Plan;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transact such other business as may properly come before the meeting or any adjournment, continuance or postponement thereof at the direction of the Board of Directors (or an authorized committee of the Board).</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Holders of record of our common stock at the close of business on Tuesday, April 21, 2026, are entitled to vote at the meeting. A list of stockholders entitled to vote will be available for inspection by stockholders of record for any purpose germane to the Annual Meeting during ordinary business hours at our corporate offices located at Magnachip Semiconductor Corporation, c/o Magnachip Semiconductor, Ltd., 15F, 76 Jikji-daero, 436beon-gil, Heungdeok-gu, Cheongju-si, Chungcheongbuk-do, Republic of Korea 28581, for a period of ten days immediately prior to the Annual Meeting. If you are a stockholder of record and would like to view this stockholder list, please contact Investor Relations Department at investor.relations@magnachip.com and arrangements will be made to review the records in person during the ten days prior to the Annual Meeting. Additionally, such list of stockholders will be made available for viewing electronically during the Annual Meeting, and instructions to access such list will be available on the date of the Annual Meeting at </w:t>
      </w:r>
      <w:r>
        <w:rPr>
          <w:rFonts w:ascii="Times New Roman" w:hAnsi="Times New Roman"/>
          <w:i/>
          <w:sz w:val="20"/>
        </w:rPr>
        <w:t>www.virtualshareholdermeeting.com/MX2026.</w:t>
      </w:r>
    </w:p>
    <w:p>
      <w:pPr>
        <w:pStyle w:val="TextBody"/>
        <w:bidi w:val="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Shinyoung Park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Secretary</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April 30,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Important Notice Regarding the Availability of Proxy Materials for the</w:t>
      </w:r>
    </w:p>
    <w:p>
      <w:pPr>
        <w:pStyle w:val="TextBody"/>
        <w:bidi w:val="0"/>
        <w:spacing w:before="10" w:after="283"/>
        <w:jc w:val="center"/>
        <w:rPr>
          <w:rFonts w:ascii="Times New Roman" w:hAnsi="Times New Roman"/>
          <w:b/>
          <w:color w:val="231F20"/>
          <w:sz w:val="20"/>
        </w:rPr>
      </w:pPr>
      <w:r>
        <w:rPr>
          <w:rFonts w:ascii="Times New Roman" w:hAnsi="Times New Roman"/>
          <w:b/>
          <w:color w:val="231F20"/>
          <w:sz w:val="20"/>
        </w:rPr>
        <w:t>Annual Meeting of Stockholders to Be Held on June 11, 2026</w:t>
      </w:r>
    </w:p>
    <w:p>
      <w:pPr>
        <w:pStyle w:val="TextBody"/>
        <w:bidi w:val="0"/>
        <w:spacing w:before="240" w:after="283"/>
        <w:jc w:val="left"/>
        <w:rPr>
          <w:rFonts w:ascii="Times New Roman" w:hAnsi="Times New Roman"/>
          <w:sz w:val="20"/>
        </w:rPr>
      </w:pPr>
      <w:r>
        <w:rPr>
          <w:rFonts w:ascii="Times New Roman" w:hAnsi="Times New Roman"/>
          <w:b/>
          <w:color w:val="231F20"/>
          <w:sz w:val="20"/>
        </w:rPr>
        <w:t>The 2026 Proxy Statement and 2025 Annual Report are available, free of charge, at</w:t>
      </w:r>
      <w:r>
        <w:rPr>
          <w:rFonts w:ascii="Times New Roman" w:hAnsi="Times New Roman"/>
          <w:sz w:val="20"/>
        </w:rPr>
        <w:t xml:space="preserve"> </w:t>
      </w:r>
      <w:r>
        <w:rPr>
          <w:rFonts w:ascii="Times New Roman" w:hAnsi="Times New Roman"/>
          <w:b/>
          <w:i/>
          <w:sz w:val="20"/>
        </w:rPr>
        <w:t>www.proxyvote.com</w:t>
      </w:r>
      <w:r>
        <w:rPr>
          <w:rFonts w:ascii="Times New Roman" w:hAnsi="Times New Roman"/>
          <w:b/>
          <w:sz w:val="20"/>
        </w:rPr>
        <w:t>.</w:t>
      </w:r>
    </w:p>
    <w:p>
      <w:pPr>
        <w:pStyle w:val="TextBody"/>
        <w:bidi w:val="0"/>
        <w:spacing w:before="240" w:after="283"/>
        <w:jc w:val="both"/>
        <w:rPr>
          <w:rFonts w:ascii="Times New Roman" w:hAnsi="Times New Roman"/>
          <w:b/>
          <w:color w:val="231F20"/>
          <w:sz w:val="20"/>
        </w:rPr>
      </w:pPr>
      <w:r>
        <w:rPr>
          <w:rFonts w:ascii="Times New Roman" w:hAnsi="Times New Roman"/>
          <w:b/>
          <w:color w:val="231F20"/>
          <w:sz w:val="20"/>
        </w:rPr>
        <w:t>Magnachip Semiconductor Corporation’s Annual Report for the year ended December 31, 2025 is being mailed to stockholders concurrently with the 2026 Proxy Statement. The Annual Report contains financial and other information about Magnachip Semiconductor Corporation, but is not incorporated into the Proxy Statement and is not deemed to be a part of the proxy soliciting materials.</w:t>
      </w:r>
    </w:p>
    <w:p>
      <w:pPr>
        <w:pStyle w:val="TextBody"/>
        <w:bidi w:val="0"/>
        <w:spacing w:before="240" w:after="283"/>
        <w:jc w:val="left"/>
        <w:rPr>
          <w:rFonts w:ascii="Times New Roman" w:hAnsi="Times New Roman"/>
          <w:sz w:val="20"/>
        </w:rPr>
      </w:pPr>
      <w:r>
        <w:rPr>
          <w:rFonts w:ascii="Times New Roman" w:hAnsi="Times New Roman"/>
          <w:b/>
          <w:color w:val="231F20"/>
          <w:sz w:val="20"/>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Times New Roman" w:hAnsi="Times New Roman"/>
          <w:b/>
          <w:i/>
          <w:sz w:val="20"/>
        </w:rPr>
        <w:t>www.proxyvote.com</w:t>
      </w:r>
      <w:r>
        <w:rPr>
          <w:rFonts w:ascii="Times New Roman" w:hAnsi="Times New Roman"/>
          <w:sz w:val="20"/>
        </w:rPr>
        <w:t xml:space="preserve"> </w:t>
      </w:r>
      <w:r>
        <w:rPr>
          <w:rFonts w:ascii="Times New Roman" w:hAnsi="Times New Roman"/>
          <w:b/>
          <w:color w:val="231F20"/>
          <w:sz w:val="20"/>
        </w:rPr>
        <w:t xml:space="preserve">or by touch- tone telephone at 1-800-690-6903. Stockholders who attend the Annual Meeting may revoke their proxies and vote during the meeting at </w:t>
      </w:r>
      <w:r>
        <w:rPr>
          <w:rFonts w:ascii="Times New Roman" w:hAnsi="Times New Roman"/>
          <w:b/>
          <w:i/>
          <w:sz w:val="20"/>
        </w:rPr>
        <w:t>www.virtualshareholdermeeting.com/MX2026</w:t>
      </w:r>
      <w:r>
        <w:rPr>
          <w:rFonts w:ascii="Times New Roman" w:hAnsi="Times New Roman"/>
          <w:sz w:val="20"/>
        </w:rPr>
        <w:t xml:space="preserve"> </w:t>
      </w:r>
      <w:r>
        <w:rPr>
          <w:rFonts w:ascii="Times New Roman" w:hAnsi="Times New Roman"/>
          <w:b/>
          <w:color w:val="231F20"/>
          <w:sz w:val="20"/>
        </w:rPr>
        <w:t>if they so desire.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TABLE OF CONTENTS</w:t>
      </w:r>
    </w:p>
    <w:p>
      <w:pPr>
        <w:pStyle w:val="TextBody"/>
        <w:bidi w:val="0"/>
        <w:spacing w:before="2" w:after="283"/>
        <w:jc w:val="left"/>
        <w:rPr/>
      </w:pPr>
      <w:r>
        <w:rPr/>
        <w:t> </w:t>
      </w:r>
    </w:p>
    <w:tbl>
      <w:tblPr>
        <w:tblW w:w="10205" w:type="dxa"/>
        <w:jc w:val="left"/>
        <w:tblInd w:w="0" w:type="dxa"/>
        <w:tblLayout w:type="fixed"/>
        <w:tblCellMar>
          <w:top w:w="28" w:type="dxa"/>
          <w:left w:w="28" w:type="dxa"/>
          <w:bottom w:w="28" w:type="dxa"/>
          <w:right w:w="28" w:type="dxa"/>
        </w:tblCellMar>
      </w:tblPr>
      <w:tblGrid>
        <w:gridCol w:w="9556"/>
        <w:gridCol w:w="649"/>
      </w:tblGrid>
      <w:tr>
        <w:trPr/>
        <w:tc>
          <w:tcPr>
            <w:tcW w:w="955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single" w:sz="8" w:space="0" w:color="231F20"/>
            </w:tcBorders>
            <w:tcMar>
              <w:top w:w="0" w:type="dxa"/>
              <w:left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Page</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general_information">
              <w:r>
                <w:rPr>
                  <w:rStyle w:val="InternetLink"/>
                  <w:rFonts w:ascii="Times New Roman" w:hAnsi="Times New Roman"/>
                  <w:color w:val="0000FF"/>
                  <w:sz w:val="20"/>
                  <w:u w:val="single"/>
                </w:rPr>
                <w:t>GENERAL INFORMATION</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one_election_of_directors">
              <w:r>
                <w:rPr>
                  <w:rStyle w:val="InternetLink"/>
                  <w:rFonts w:ascii="Times New Roman" w:hAnsi="Times New Roman"/>
                  <w:color w:val="0000FF"/>
                  <w:sz w:val="20"/>
                  <w:u w:val="single"/>
                </w:rPr>
                <w:t>PROPOSAL ONE: ELECTION OF DIRECTORS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he_board_of_directors_and_corporate">
              <w:r>
                <w:rPr>
                  <w:rStyle w:val="InternetLink"/>
                  <w:rFonts w:ascii="Times New Roman" w:hAnsi="Times New Roman"/>
                  <w:color w:val="0000FF"/>
                  <w:sz w:val="20"/>
                  <w:u w:val="single"/>
                </w:rPr>
                <w:t>THE BOARD OF DIRECTORS AND CORPORATE GOVERNANCE</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irector_independence">
              <w:r>
                <w:rPr>
                  <w:rStyle w:val="InternetLink"/>
                  <w:rFonts w:ascii="Times New Roman" w:hAnsi="Times New Roman"/>
                  <w:color w:val="0000FF"/>
                  <w:sz w:val="20"/>
                  <w:u w:val="single"/>
                </w:rPr>
                <w:t>Director Independence</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meetings">
              <w:r>
                <w:rPr>
                  <w:rStyle w:val="InternetLink"/>
                  <w:rFonts w:ascii="Times New Roman" w:hAnsi="Times New Roman"/>
                  <w:color w:val="0000FF"/>
                  <w:sz w:val="20"/>
                  <w:u w:val="single"/>
                </w:rPr>
                <w:t>Board Meetings</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ttendance_at_annual_meeting">
              <w:r>
                <w:rPr>
                  <w:rStyle w:val="InternetLink"/>
                  <w:rFonts w:ascii="Times New Roman" w:hAnsi="Times New Roman"/>
                  <w:color w:val="0000FF"/>
                  <w:sz w:val="20"/>
                  <w:u w:val="single"/>
                </w:rPr>
                <w:t>Attendance at Annual Meeting</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mittees">
              <w:r>
                <w:rPr>
                  <w:rStyle w:val="InternetLink"/>
                  <w:rFonts w:ascii="Times New Roman" w:hAnsi="Times New Roman"/>
                  <w:color w:val="0000FF"/>
                  <w:sz w:val="20"/>
                  <w:u w:val="single"/>
                </w:rPr>
                <w:t>Committees</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leadership_structure">
              <w:r>
                <w:rPr>
                  <w:rStyle w:val="InternetLink"/>
                  <w:rFonts w:ascii="Times New Roman" w:hAnsi="Times New Roman"/>
                  <w:color w:val="0000FF"/>
                  <w:sz w:val="20"/>
                  <w:u w:val="single"/>
                </w:rPr>
                <w:t>Board Leadership Structure</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9</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role_in_risk_oversight">
              <w:r>
                <w:rPr>
                  <w:rStyle w:val="InternetLink"/>
                  <w:rFonts w:ascii="Times New Roman" w:hAnsi="Times New Roman"/>
                  <w:color w:val="0000FF"/>
                  <w:sz w:val="20"/>
                  <w:u w:val="single"/>
                </w:rPr>
                <w:t>Board Role in Risk Oversight</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10</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de_of_business_conduct_and_ethics">
              <w:r>
                <w:rPr>
                  <w:rStyle w:val="InternetLink"/>
                  <w:rFonts w:ascii="Times New Roman" w:hAnsi="Times New Roman"/>
                  <w:color w:val="0000FF"/>
                  <w:sz w:val="20"/>
                  <w:u w:val="single"/>
                </w:rPr>
                <w:t>Code of Business Conduct and Ethics</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11</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port_of_the_audit_committee">
              <w:r>
                <w:rPr>
                  <w:rStyle w:val="InternetLink"/>
                  <w:rFonts w:ascii="Times New Roman" w:hAnsi="Times New Roman"/>
                  <w:color w:val="0000FF"/>
                  <w:sz w:val="20"/>
                  <w:u w:val="single"/>
                </w:rPr>
                <w:t>Report of the Audit Committee</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11</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munications_with_directors">
              <w:r>
                <w:rPr>
                  <w:rStyle w:val="InternetLink"/>
                  <w:rFonts w:ascii="Times New Roman" w:hAnsi="Times New Roman"/>
                  <w:color w:val="0000FF"/>
                  <w:sz w:val="20"/>
                  <w:u w:val="single"/>
                </w:rPr>
                <w:t>Communications with Directors</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11</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porate_responsibilities_and">
              <w:r>
                <w:rPr>
                  <w:rStyle w:val="InternetLink"/>
                  <w:rFonts w:ascii="Times New Roman" w:hAnsi="Times New Roman"/>
                  <w:color w:val="0000FF"/>
                  <w:sz w:val="20"/>
                  <w:u w:val="single"/>
                </w:rPr>
                <w:t>Corporate Responsibilities and Sustainability</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12</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human_capital_management">
              <w:r>
                <w:rPr>
                  <w:rStyle w:val="InternetLink"/>
                  <w:rFonts w:ascii="Times New Roman" w:hAnsi="Times New Roman"/>
                  <w:color w:val="0000FF"/>
                  <w:sz w:val="20"/>
                  <w:u w:val="single"/>
                </w:rPr>
                <w:t>Human Capital Management</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13</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irector_compensation">
              <w:r>
                <w:rPr>
                  <w:rStyle w:val="InternetLink"/>
                  <w:rFonts w:ascii="Times New Roman" w:hAnsi="Times New Roman"/>
                  <w:color w:val="0000FF"/>
                  <w:sz w:val="20"/>
                  <w:u w:val="single"/>
                </w:rPr>
                <w:t>2025 Director Compensation</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15</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ensation_committee_interlocks_and">
              <w:r>
                <w:rPr>
                  <w:rStyle w:val="InternetLink"/>
                  <w:rFonts w:ascii="Times New Roman" w:hAnsi="Times New Roman"/>
                  <w:color w:val="0000FF"/>
                  <w:sz w:val="20"/>
                  <w:u w:val="single"/>
                </w:rPr>
                <w:t>Compensation Committee Interlocks and Insider Participation</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18</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ensation_discussion_and_analysis">
              <w:r>
                <w:rPr>
                  <w:rStyle w:val="InternetLink"/>
                  <w:rFonts w:ascii="Times New Roman" w:hAnsi="Times New Roman"/>
                  <w:color w:val="0000FF"/>
                  <w:sz w:val="20"/>
                  <w:u w:val="single"/>
                </w:rPr>
                <w:t>Compensation Discussion and Analysis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Times New Roman" w:hAnsi="Times New Roman"/>
                  <w:color w:val="0000FF"/>
                  <w:sz w:val="20"/>
                  <w:u w:val="single"/>
                </w:rPr>
                <w:t>COMPENSATION COMMITTEE REPORT</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34</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ummary_compensation_table">
              <w:r>
                <w:rPr>
                  <w:rStyle w:val="InternetLink"/>
                  <w:rFonts w:ascii="Times New Roman" w:hAnsi="Times New Roman"/>
                  <w:color w:val="0000FF"/>
                  <w:sz w:val="20"/>
                  <w:u w:val="single"/>
                </w:rPr>
                <w:t>Summary Compensation Table</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35</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grants_of_plan_based_awards">
              <w:r>
                <w:rPr>
                  <w:rStyle w:val="InternetLink"/>
                  <w:rFonts w:ascii="Times New Roman" w:hAnsi="Times New Roman"/>
                  <w:color w:val="0000FF"/>
                  <w:sz w:val="20"/>
                  <w:u w:val="single"/>
                </w:rPr>
                <w:t>Grants of Plan-Based Awards Table for Fiscal Year 2025</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37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outstanding_equity_awards">
              <w:r>
                <w:rPr>
                  <w:rStyle w:val="InternetLink"/>
                  <w:rFonts w:ascii="Times New Roman" w:hAnsi="Times New Roman"/>
                  <w:color w:val="0000FF"/>
                  <w:sz w:val="20"/>
                  <w:u w:val="single"/>
                </w:rPr>
                <w:t>Outstanding Equity Awards at Fiscal Year End 2025</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38</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option_exercises_and_stock_vested">
              <w:r>
                <w:rPr>
                  <w:rStyle w:val="InternetLink"/>
                  <w:rFonts w:ascii="Times New Roman" w:hAnsi="Times New Roman"/>
                  <w:color w:val="0000FF"/>
                  <w:sz w:val="20"/>
                  <w:u w:val="single"/>
                </w:rPr>
                <w:t>Option Exercises and Stock Vested</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39</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ension_benefits_for_the_fiscal_year">
              <w:r>
                <w:rPr>
                  <w:rStyle w:val="InternetLink"/>
                  <w:rFonts w:ascii="Times New Roman" w:hAnsi="Times New Roman"/>
                  <w:color w:val="0000FF"/>
                  <w:sz w:val="20"/>
                  <w:u w:val="single"/>
                </w:rPr>
                <w:t>Pension Benefits for the Fiscal Year Ended December 31, 2025</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40</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nonqualified_deferred_compensation">
              <w:r>
                <w:rPr>
                  <w:rStyle w:val="InternetLink"/>
                  <w:rFonts w:ascii="Times New Roman" w:hAnsi="Times New Roman"/>
                  <w:color w:val="0000FF"/>
                  <w:sz w:val="20"/>
                  <w:u w:val="single"/>
                </w:rPr>
                <w:t>Nonqualified Deferred Compensation</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40</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otential_payments_upon">
              <w:r>
                <w:rPr>
                  <w:rStyle w:val="InternetLink"/>
                  <w:rFonts w:ascii="Times New Roman" w:hAnsi="Times New Roman"/>
                  <w:color w:val="0000FF"/>
                  <w:sz w:val="20"/>
                  <w:u w:val="single"/>
                </w:rPr>
                <w:t>Potential Payments Upon Termination or Change in Control</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40</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49</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quity_compensation_plan_summary">
              <w:r>
                <w:rPr>
                  <w:rStyle w:val="InternetLink"/>
                  <w:rFonts w:ascii="Times New Roman" w:hAnsi="Times New Roman"/>
                  <w:color w:val="0000FF"/>
                  <w:sz w:val="20"/>
                  <w:u w:val="single"/>
                </w:rPr>
                <w:t>Equity Compensation Plan Summary</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50</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ay_versus_performance">
              <w:r>
                <w:rPr>
                  <w:rStyle w:val="InternetLink"/>
                  <w:rFonts w:ascii="Times New Roman" w:hAnsi="Times New Roman"/>
                  <w:color w:val="0000FF"/>
                  <w:sz w:val="20"/>
                  <w:u w:val="single"/>
                </w:rPr>
                <w:t>Pay Versus Performance</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u w:val="single"/>
                </w:rPr>
                <w:t>CERTAIN RELATIONSHIPS AND RELATED TRANSACTIONS</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57</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lated_person_transactions_policy">
              <w:r>
                <w:rPr>
                  <w:rStyle w:val="InternetLink"/>
                  <w:rFonts w:ascii="Times New Roman" w:hAnsi="Times New Roman"/>
                  <w:color w:val="0000FF"/>
                  <w:sz w:val="20"/>
                  <w:u w:val="single"/>
                </w:rPr>
                <w:t>Related Person Transactions Policy</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
              <w:r>
                <w:rPr>
                  <w:rStyle w:val="InternetLink"/>
                  <w:rFonts w:ascii="Times New Roman" w:hAnsi="Times New Roman"/>
                  <w:color w:val="0000FF"/>
                  <w:sz w:val="20"/>
                  <w:u w:val="single"/>
                </w:rPr>
                <w:t>SECURITY OWNERSHIP OF CERTAIN BENEFICIAL OWNERS AND MANAGEMENT</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two">
              <w:r>
                <w:rPr>
                  <w:rStyle w:val="InternetLink"/>
                  <w:rFonts w:ascii="Times New Roman" w:hAnsi="Times New Roman"/>
                  <w:color w:val="0000FF"/>
                  <w:sz w:val="20"/>
                  <w:u w:val="single"/>
                </w:rPr>
                <w:t>PROPOSAL TWO: ADVISORY VOTE ON COMPENSATION OF OUR NAMED EXECUTIVE OFFICERS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three">
              <w:r>
                <w:rPr>
                  <w:rStyle w:val="InternetLink"/>
                  <w:rFonts w:ascii="Times New Roman" w:hAnsi="Times New Roman"/>
                  <w:color w:val="0000FF"/>
                  <w:sz w:val="20"/>
                  <w:u w:val="single"/>
                </w:rPr>
                <w:t>PROPOSAL THREE: RATIFICATION OF APPOINTMENT OF OUR INDEPENDENT REGISTERED PUBLIC ACCOUNTING FIRM FOR THE FISCAL YEAR ENDING DECEMBER 31, 2026</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62</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ees_paid_to_independent_registered">
              <w:r>
                <w:rPr>
                  <w:rStyle w:val="InternetLink"/>
                  <w:rFonts w:ascii="Times New Roman" w:hAnsi="Times New Roman"/>
                  <w:color w:val="0000FF"/>
                  <w:sz w:val="20"/>
                  <w:u w:val="single"/>
                </w:rPr>
                <w:t>Fees Paid to Independent Registered Public Accounting Firm</w:t>
              </w:r>
            </w:hyperlink>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231F20"/>
                <w:sz w:val="20"/>
              </w:rPr>
            </w:pPr>
            <w:r>
              <w:rPr>
                <w:rFonts w:ascii="Times New Roman" w:hAnsi="Times New Roman"/>
                <w:color w:val="231F20"/>
                <w:sz w:val="20"/>
              </w:rPr>
              <w:t>62</w:t>
            </w:r>
          </w:p>
        </w:tc>
      </w:tr>
      <w:tr>
        <w:trPr/>
        <w:tc>
          <w:tcPr>
            <w:tcW w:w="955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olicy_and_procedure_for_approval">
              <w:r>
                <w:rPr>
                  <w:rStyle w:val="InternetLink"/>
                  <w:rFonts w:ascii="Times New Roman" w:hAnsi="Times New Roman"/>
                  <w:color w:val="0000FF"/>
                  <w:sz w:val="20"/>
                  <w:u w:val="single"/>
                </w:rPr>
                <w:t>Policy and Procedure for Approval of Audit and Permitted Non-Audit Services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63</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four">
              <w:r>
                <w:rPr>
                  <w:rStyle w:val="InternetLink"/>
                  <w:rFonts w:ascii="Times New Roman" w:hAnsi="Times New Roman"/>
                  <w:color w:val="0000FF"/>
                  <w:sz w:val="20"/>
                  <w:u w:val="single"/>
                </w:rPr>
                <w:t>PROPOSAL FOUR: APPROVAL OF OUR AMENDED AND RESTATED 2020 EQUITY AND INCENTIVE COMPENSATION PLAN</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tockholder_proposals_for_2027_annual">
              <w:r>
                <w:rPr>
                  <w:rStyle w:val="InternetLink"/>
                  <w:rFonts w:ascii="Times New Roman" w:hAnsi="Times New Roman"/>
                  <w:color w:val="0000FF"/>
                  <w:sz w:val="20"/>
                  <w:u w:val="single"/>
                </w:rPr>
                <w:t>STOCKHOLDER PROPOSALS FOR 2027 ANNUAL MEETING</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olicitation_of_proxies">
              <w:r>
                <w:rPr>
                  <w:rStyle w:val="InternetLink"/>
                  <w:rFonts w:ascii="Times New Roman" w:hAnsi="Times New Roman"/>
                  <w:color w:val="0000FF"/>
                  <w:sz w:val="20"/>
                  <w:u w:val="single"/>
                </w:rPr>
                <w:t>SOLICITATION OF PROXIES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p>
        </w:tc>
        <w:tc>
          <w:tcPr>
            <w:tcW w:w="6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Magnachip Semiconductor Corporation</w:t>
      </w:r>
    </w:p>
    <w:p>
      <w:pPr>
        <w:pStyle w:val="TextBody"/>
        <w:bidi w:val="0"/>
        <w:jc w:val="center"/>
        <w:rPr>
          <w:rFonts w:ascii="Times New Roman" w:hAnsi="Times New Roman"/>
          <w:b/>
          <w:color w:val="231F20"/>
          <w:sz w:val="20"/>
        </w:rPr>
      </w:pPr>
      <w:r>
        <w:rPr>
          <w:rFonts w:ascii="Times New Roman" w:hAnsi="Times New Roman"/>
          <w:b/>
          <w:color w:val="231F20"/>
          <w:sz w:val="20"/>
        </w:rPr>
        <w:t>c/o Magnachip Semiconductor, Ltd.</w:t>
      </w:r>
    </w:p>
    <w:p>
      <w:pPr>
        <w:pStyle w:val="TextBody"/>
        <w:bidi w:val="0"/>
        <w:jc w:val="center"/>
        <w:rPr>
          <w:rFonts w:ascii="Times New Roman" w:hAnsi="Times New Roman"/>
          <w:b/>
          <w:color w:val="231F20"/>
          <w:sz w:val="20"/>
        </w:rPr>
      </w:pPr>
      <w:r>
        <w:rPr>
          <w:rFonts w:ascii="Times New Roman" w:hAnsi="Times New Roman"/>
          <w:b/>
          <w:color w:val="231F20"/>
          <w:sz w:val="20"/>
        </w:rPr>
        <w:t>15F, 76 Jikji-daero 436beon-gil, Heungdeok-gu</w:t>
      </w:r>
    </w:p>
    <w:p>
      <w:pPr>
        <w:pStyle w:val="TextBody"/>
        <w:bidi w:val="0"/>
        <w:jc w:val="center"/>
        <w:rPr>
          <w:rFonts w:ascii="Times New Roman" w:hAnsi="Times New Roman"/>
          <w:b/>
          <w:color w:val="231F20"/>
          <w:sz w:val="20"/>
        </w:rPr>
      </w:pPr>
      <w:r>
        <w:rPr>
          <w:rFonts w:ascii="Times New Roman" w:hAnsi="Times New Roman"/>
          <w:b/>
          <w:color w:val="231F20"/>
          <w:sz w:val="20"/>
        </w:rPr>
        <w:t>Cheongju-si, Chungcheongbuk-do, Republic of Korea 28581</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PROXY STATEMENT</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ANNUAL MEETING OF STOCKHOLDERS TO BE HELD ON JUNE 11, 2026</w:t>
      </w:r>
    </w:p>
    <w:p>
      <w:pPr>
        <w:pStyle w:val="TextBody"/>
        <w:bidi w:val="0"/>
        <w:spacing w:before="240" w:after="283"/>
        <w:jc w:val="center"/>
        <w:rPr>
          <w:rFonts w:ascii="Times New Roman" w:hAnsi="Times New Roman"/>
          <w:b/>
          <w:color w:val="231F20"/>
          <w:sz w:val="20"/>
        </w:rPr>
      </w:pPr>
      <w:bookmarkStart w:id="2" w:name="general_information"/>
      <w:bookmarkEnd w:id="2"/>
      <w:r>
        <w:rPr>
          <w:rFonts w:ascii="Times New Roman" w:hAnsi="Times New Roman"/>
          <w:b/>
          <w:color w:val="231F20"/>
          <w:sz w:val="20"/>
        </w:rPr>
        <w:t>GENERAL INFORMATION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Why am I receiving these materials?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sent you these proxy materials because the Board of Directors (the “Board”) of Magnachip Semiconductor Corporation (the “Company,” “Magnachip,” “we,” “us” and “our”) is soliciting your proxy to vote at the 2026 Annual Meeting of Stockholders (the “Annual Meeting”) and at any postponements or adjournments of the Annual Meeting. The Annual Meeting will be held virtually via live interactive webcast on the Internet on June 11, 2026, at 8:00 p.m. Eastern Daylight Time. If you held shares of our common stock, par value of $0.01 per share (the “Common Stock”), on April 21, 2026 (the “Record Date”), you are invited to attend the Annual Meeting at </w:t>
      </w:r>
      <w:r>
        <w:rPr>
          <w:rFonts w:ascii="Times New Roman" w:hAnsi="Times New Roman"/>
          <w:i/>
          <w:sz w:val="20"/>
        </w:rPr>
        <w:t>www.virtualshareholdermeeting.com/MX2026</w:t>
      </w:r>
      <w:r>
        <w:rPr>
          <w:rFonts w:ascii="Times New Roman" w:hAnsi="Times New Roman"/>
          <w:sz w:val="20"/>
        </w:rPr>
        <w:t xml:space="preserve"> </w:t>
      </w:r>
      <w:r>
        <w:rPr>
          <w:rFonts w:ascii="Times New Roman" w:hAnsi="Times New Roman"/>
          <w:color w:val="231F20"/>
          <w:sz w:val="20"/>
        </w:rPr>
        <w:t>and vote on the proposals described below under the heading “What am I voting on?” However, you do not need to attend the Annual Meeting to vote your shares. Instead, you may complete, sign, date and return the enclosed proxy card. You may also vote over the Internet or by telephone.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Notice of Annual Meeting of Stockholders, the Proxy Statement, the enclosed proxy card and our Annual Report on Form 10-K for the fiscal year ended December 31, 2025 are being mailed to stockholders commencing on or about April 30, 2026.</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What am I voting 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four proposals scheduled to be voted on at the Annual Meeting: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Election of the four director nominees specified in this Proxy Statement to serve until the 2027 annual meeting of stockholders and until their respective successors are elected and qualified;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Approval on an advisory (non-binding) basis of the compensation of our named executive officers as described in this Proxy Statement;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Ratification of the appointment of Ernst &amp; Young Han Young as our independent registered public accountants for the fiscal year ending December 31, 2026;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Approval of our Amended and Restated 2020 Equity and Incentive Compensation Plan.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does the Board recommend that I vote?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Board recommends that you vote your shares:</w:t>
      </w:r>
    </w:p>
    <w:p>
      <w:pPr>
        <w:pStyle w:val="TextBody"/>
        <w:bidi w:val="0"/>
        <w:spacing w:before="240" w:after="283"/>
        <w:jc w:val="left"/>
        <w:rPr>
          <w:color w:val="231F20"/>
        </w:rPr>
      </w:pPr>
      <w:r>
        <w:rPr>
          <w:color w:val="231F20"/>
        </w:rPr>
        <w:t>“</w:t>
      </w:r>
      <w:r>
        <w:rPr>
          <w:rFonts w:ascii="Times New Roman" w:hAnsi="Times New Roman"/>
          <w:color w:val="231F20"/>
          <w:sz w:val="20"/>
        </w:rPr>
        <w:t>FOR” the election of each of the four director nominees named in this Proxy Statement to hold office until the 2027 annual meeting of stockholders and until their respective successors are elected and qualified;</w:t>
      </w:r>
    </w:p>
    <w:p>
      <w:pPr>
        <w:pStyle w:val="TextBody"/>
        <w:bidi w:val="0"/>
        <w:spacing w:before="240" w:after="283"/>
        <w:jc w:val="left"/>
        <w:rPr>
          <w:color w:val="231F20"/>
        </w:rPr>
      </w:pPr>
      <w:r>
        <w:rPr>
          <w:color w:val="231F20"/>
        </w:rPr>
        <w:t>“</w:t>
      </w:r>
      <w:r>
        <w:rPr>
          <w:rFonts w:ascii="Times New Roman" w:hAnsi="Times New Roman"/>
          <w:color w:val="231F20"/>
          <w:sz w:val="20"/>
        </w:rPr>
        <w:t>FOR” the approval on an advisory (non-binding) basis of the compensation of the named executive officers as described in this Proxy Statement;</w:t>
      </w:r>
    </w:p>
    <w:p>
      <w:pPr>
        <w:pStyle w:val="TextBody"/>
        <w:bidi w:val="0"/>
        <w:spacing w:before="240" w:after="283"/>
        <w:jc w:val="left"/>
        <w:rPr>
          <w:color w:val="231F20"/>
        </w:rPr>
      </w:pPr>
      <w:r>
        <w:rPr>
          <w:color w:val="231F20"/>
        </w:rPr>
        <w:t>“</w:t>
      </w:r>
      <w:r>
        <w:rPr>
          <w:rFonts w:ascii="Times New Roman" w:hAnsi="Times New Roman"/>
          <w:color w:val="231F20"/>
          <w:sz w:val="20"/>
        </w:rPr>
        <w:t>FOR” the ratification of the appointment of Ernst &amp; Young Han Young as our independent registered public accountants for the fiscal year ending December 31, 2026; and</w:t>
      </w:r>
    </w:p>
    <w:p>
      <w:pPr>
        <w:pStyle w:val="TextBody"/>
        <w:bidi w:val="0"/>
        <w:spacing w:before="240" w:after="283"/>
        <w:jc w:val="left"/>
        <w:rPr>
          <w:color w:val="231F20"/>
        </w:rPr>
      </w:pPr>
      <w:r>
        <w:rPr>
          <w:color w:val="231F20"/>
        </w:rPr>
        <w:t>“</w:t>
      </w:r>
      <w:r>
        <w:rPr>
          <w:rFonts w:ascii="Times New Roman" w:hAnsi="Times New Roman"/>
          <w:color w:val="231F20"/>
          <w:sz w:val="20"/>
        </w:rPr>
        <w:t>FOR” the approval of our Amended and Restated 2020 Equity and Incentive Compensation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Who can vote at the Annual Meeting?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you were a holder of record of the Company’s Common Stock as of the close of business on April 21, 2026, the Record Date for the Annual Meeting, you may vote your shares at the Annual Meeting. As of the Record Date, there were 36,219,100 shares of Magnachip Common Stock outstanding, excluding treasury shares. Company treasury shares will not be voted. Each stockholder has one vote for each share of Common Stock held as of the Record Date.</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Times New Roman" w:hAnsi="Times New Roman"/>
          <w:i/>
          <w:sz w:val="20"/>
        </w:rPr>
        <w:t>www.virtualshareholdermeeting.com/MX2026</w:t>
      </w:r>
      <w:r>
        <w:rPr>
          <w:rFonts w:ascii="Times New Roman" w:hAnsi="Times New Roman"/>
          <w:sz w:val="20"/>
        </w:rPr>
        <w:t>.</w:t>
      </w:r>
      <w:r>
        <w:rPr>
          <w:rFonts w:ascii="Times New Roman" w:hAnsi="Times New Roman"/>
          <w:color w:val="231F20"/>
          <w:sz w:val="20"/>
        </w:rPr>
        <w:t xml:space="preserve"> However, since you are not a stockholder of record, you may not vote your shares at the Annual Meeting unless you request and obtain a valid proxy from your broker.</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can I attend the Annual Meeting?</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If you are a stockholder of record or a beneficial owner as of the Record Date, you are invited to attend the Annual Meeting live via the Internet at </w:t>
      </w:r>
      <w:r>
        <w:rPr>
          <w:rFonts w:ascii="Times New Roman" w:hAnsi="Times New Roman"/>
          <w:i/>
          <w:sz w:val="20"/>
        </w:rPr>
        <w:t>www.virtualshareholdermeeting.com/MX2026</w:t>
      </w:r>
      <w:r>
        <w:rPr>
          <w:rFonts w:ascii="Times New Roman" w:hAnsi="Times New Roman"/>
          <w:color w:val="231F20"/>
          <w:sz w:val="20"/>
        </w:rPr>
        <w:t xml:space="preserve">. You must have your Control Number listed on the enclosed proxy card to enter the meeting. The webcast starts at 8:00 p.m. Eastern Daylight Time on June 11, 2026. You may vote and submit questions while attending the meeting on the Internet. Instructions on how to attend and participate in the Annual Meeting via the Internet, including how to demonstrate proof of stock ownership, are posted at </w:t>
      </w:r>
      <w:r>
        <w:rPr>
          <w:rFonts w:ascii="Times New Roman" w:hAnsi="Times New Roman"/>
          <w:i/>
          <w:sz w:val="20"/>
        </w:rPr>
        <w:t>www.virtualshareholdermeeting.com/MX2026</w:t>
      </w:r>
      <w:r>
        <w:rPr>
          <w:rFonts w:ascii="Times New Roman" w:hAnsi="Times New Roman"/>
          <w:color w:val="231F20"/>
          <w:sz w:val="20"/>
        </w:rPr>
        <w:t>. The audio broadcast will be archived on that website for one year.</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What if I return the proxy card to the Company but do not make specific choices?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you return a signed, dated, proxy card to the Company without making any voting selections, the named proxies will vote your shares (1) “FOR” the election of each of the four director nominees named in this Proxy Statement to hold office until the 2027 annual meeting of stockholders and until their respective successors are elected and qualified; (2) “FOR” the approval on an advisory (non-binding) basis of the compensation of our named executive officers as disclosed in this Proxy Statement; (3) “FOR” the ratification of the appointment of Ernst &amp; Young Han Young as our independent registered public accountants for the fiscal year ending December 31, 2026; and (4) “FOR” the approval of our Amended and Restated 2020 Equity and Incentive Compensation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many shares must be present or represented to conduct business at the Annual Meeting?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quorum of stockholders is necessary to hold a valid annual meeting. A quorum will be present if the holders of at least a majority of the total number of shares of Common Stock entitled to vote are present, in person or by proxy, at the Annual Meeting. There were 36,219,100 shares of our Common Stock outstanding and entitled to vote on the Record Date. Therefore, a quorum will be present if at least 18,109,551 shares of our Common Stock are present in person or represented by executed proxies timely received by us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are votes counted and what is a broker non-vote?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Votes will be counted by the inspector of election appointed for the Annual Meeting, who will separately count “FOR,” “AGAINST,” “WITHHOLD,” abstentions and broker non-votes.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2026. Non-routine matters in this Proxy Statement are Proposal One—the election of directors, Proposal Two—the advisory (non-binding) vote on the compensation of our named executive officers as described in this Proxy Statement, and Proposal Four—the approval of our Amended and Restated 2020 Equity and Incentive Compensation Plan.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2026. However, your shares will be considered present at the Annual Meeting for purposes of determining the existence of a quorum.</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What is the voting requirement to approve each of the proposals?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Proposal One—Election of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Proposal Two—Advisory (Non-Binding) Vote on the Compensation of our Named Executive Officers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proposal to approve on an advisory (non-binding) basis the compensation of our named executive officers as described in this Proxy Statement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Proposal Three—Ratification of the Appointment of our Independent Registered Public Accounting Firm for the Fiscal Year Ending December 31,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proposal to ratify the appointment of Ernst &amp; Young Han Young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this proposal. Brokers have discretionary authority to vote uninstructed shares on this proposal.</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Proposal Four—Approval of our Amended and Restated 2020 Equity and Incentive Compensation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proposal to approve our Amended and Restated 2020 Equity and Incentive Compensation Plan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this proposal. Broker non-votes will not be included in calculating the number of votes entitled to vote on this proposal and will therefore have no effect on the outcome of this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do I vote my shares of Magnachip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Stockholders may vote shares of our Common Stock using any of the following means:</w:t>
      </w:r>
    </w:p>
    <w:p>
      <w:pPr>
        <w:pStyle w:val="TextBody"/>
        <w:bidi w:val="0"/>
        <w:spacing w:before="240" w:after="283"/>
        <w:jc w:val="left"/>
        <w:rPr>
          <w:rFonts w:ascii="Times New Roman" w:hAnsi="Times New Roman"/>
          <w:sz w:val="20"/>
        </w:rPr>
      </w:pPr>
      <w:r>
        <w:rPr>
          <w:rFonts w:ascii="Times New Roman" w:hAnsi="Times New Roman"/>
          <w:i/>
          <w:color w:val="231F20"/>
          <w:sz w:val="20"/>
        </w:rPr>
        <w:t>Voting by Proxy Cards</w:t>
      </w:r>
      <w:r>
        <w:rPr>
          <w:rFonts w:ascii="Times New Roman" w:hAnsi="Times New Roman"/>
          <w:color w:val="231F20"/>
          <w:sz w:val="20"/>
        </w:rPr>
        <w:t>. A registered stockholder may vote shares until voting is completed at the Annual Meeting by returning a duly completed 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June 10, 2026.</w:t>
      </w:r>
    </w:p>
    <w:p>
      <w:pPr>
        <w:pStyle w:val="TextBody"/>
        <w:bidi w:val="0"/>
        <w:spacing w:before="240" w:after="283"/>
        <w:jc w:val="left"/>
        <w:rPr>
          <w:rFonts w:ascii="Times New Roman" w:hAnsi="Times New Roman"/>
          <w:sz w:val="20"/>
        </w:rPr>
      </w:pPr>
      <w:r>
        <w:rPr>
          <w:rFonts w:ascii="Times New Roman" w:hAnsi="Times New Roman"/>
          <w:i/>
          <w:color w:val="231F20"/>
          <w:sz w:val="20"/>
        </w:rPr>
        <w:t>Voting by Telephone or Internet</w:t>
      </w:r>
      <w:r>
        <w:rPr>
          <w:rFonts w:ascii="Times New Roman" w:hAnsi="Times New Roman"/>
          <w:color w:val="231F20"/>
          <w:sz w:val="20"/>
        </w:rPr>
        <w:t>. A registered stockholder may vote shares until 11:59 p.m. Eastern Daylight Time on June 10, 2026 by calling the 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pStyle w:val="TextBody"/>
        <w:bidi w:val="0"/>
        <w:spacing w:before="240" w:after="283"/>
        <w:jc w:val="left"/>
        <w:rPr>
          <w:rFonts w:ascii="Times New Roman" w:hAnsi="Times New Roman"/>
          <w:sz w:val="20"/>
        </w:rPr>
      </w:pPr>
      <w:r>
        <w:rPr>
          <w:rFonts w:ascii="Times New Roman" w:hAnsi="Times New Roman"/>
          <w:i/>
          <w:color w:val="231F20"/>
          <w:sz w:val="20"/>
        </w:rPr>
        <w:t>Voting by Internet During the Annual Meeting</w:t>
      </w:r>
      <w:r>
        <w:rPr>
          <w:rFonts w:ascii="Times New Roman" w:hAnsi="Times New Roman"/>
          <w:color w:val="231F20"/>
          <w:sz w:val="20"/>
        </w:rPr>
        <w:t xml:space="preserve">. Instructions on how to attend and vote at the meeting are described at </w:t>
      </w:r>
      <w:r>
        <w:rPr>
          <w:rFonts w:ascii="Times New Roman" w:hAnsi="Times New Roman"/>
          <w:i/>
          <w:sz w:val="20"/>
        </w:rPr>
        <w:t>www.virtualshareholdermeeting.com/MX2026</w:t>
      </w:r>
      <w:r>
        <w:rPr>
          <w:rFonts w:ascii="Times New Roman" w:hAnsi="Times New Roman"/>
          <w:color w:val="231F20"/>
          <w:sz w:val="20"/>
        </w:rPr>
        <w:t xml:space="preserve">. If a stockholder attends the Annual Meeting and votes his, her or its shares during the meeting via the voting instructions described at </w:t>
      </w:r>
      <w:r>
        <w:rPr>
          <w:rFonts w:ascii="Times New Roman" w:hAnsi="Times New Roman"/>
          <w:i/>
          <w:sz w:val="20"/>
        </w:rPr>
        <w:t>www.virtualshareholdermeeting.com/MX2026</w:t>
      </w:r>
      <w:r>
        <w:rPr>
          <w:rFonts w:ascii="Times New Roman" w:hAnsi="Times New Roman"/>
          <w:color w:val="231F20"/>
          <w:sz w:val="20"/>
        </w:rPr>
        <w:t>,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pStyle w:val="TextBody"/>
        <w:bidi w:val="0"/>
        <w:spacing w:before="240" w:after="283"/>
        <w:jc w:val="left"/>
        <w:rPr>
          <w:rFonts w:ascii="Times New Roman" w:hAnsi="Times New Roman"/>
          <w:sz w:val="20"/>
        </w:rPr>
      </w:pPr>
      <w:r>
        <w:rPr>
          <w:rFonts w:ascii="Times New Roman" w:hAnsi="Times New Roman"/>
          <w:i/>
          <w:color w:val="231F20"/>
          <w:sz w:val="20"/>
        </w:rPr>
        <w:t>Voting by “Street Name” Stockholders</w:t>
      </w:r>
      <w:r>
        <w:rPr>
          <w:rFonts w:ascii="Times New Roman" w:hAnsi="Times New Roman"/>
          <w:color w:val="231F20"/>
          <w:sz w:val="20"/>
        </w:rPr>
        <w:t>. If stockholders hold shares in “street name,” then those stockholders may vote in accordance with the 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Two or Four at the Annual Meeting.</w:t>
      </w:r>
    </w:p>
    <w:p>
      <w:pPr>
        <w:pStyle w:val="TextBody"/>
        <w:bidi w:val="0"/>
        <w:spacing w:before="240" w:after="283"/>
        <w:jc w:val="left"/>
        <w:rPr>
          <w:rFonts w:ascii="Times New Roman" w:hAnsi="Times New Roman"/>
          <w:sz w:val="20"/>
        </w:rPr>
      </w:pPr>
      <w:r>
        <w:rPr>
          <w:rFonts w:ascii="Times New Roman" w:hAnsi="Times New Roman"/>
          <w:i/>
          <w:color w:val="231F20"/>
          <w:sz w:val="20"/>
        </w:rPr>
        <w:t>Changing Votes</w:t>
      </w:r>
      <w:r>
        <w:rPr>
          <w:rFonts w:ascii="Times New Roman" w:hAnsi="Times New Roman"/>
          <w:color w:val="231F20"/>
          <w:sz w:val="20"/>
        </w:rPr>
        <w:t>. A stockholder may change his, her or its vote at any time before it is voted at the Annual Meeting by (1) delivering a proxy revocation or another duly executed proxy bearing a later date to Magnachip Semiconductor Corporation, c/o Magnachip Semiconductor, Ltd., 15F, 76 Jikji-daero 436beon-gil,</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Heungdeok-gu, Cheongju-si, Chungcheongbuk-do, Republic of Korea 28581, Attention: Secretary, which revocation or later- dated proxy is received by us prior to the close of business on June 10, 2026; (2) voting again by telephone or Internet in the manner described above prior to 11:59 p.m., Eastern Daylight Time, on June 10, 2026; or (3) attending the Annual Meeting and voting via the Internet during the meeting using the procedures described at </w:t>
      </w:r>
      <w:r>
        <w:rPr>
          <w:rFonts w:ascii="Times New Roman" w:hAnsi="Times New Roman"/>
          <w:i/>
          <w:sz w:val="20"/>
        </w:rPr>
        <w:t>www.virtualshareholdermeeting.com/MX2026</w:t>
      </w:r>
      <w:r>
        <w:rPr>
          <w:rFonts w:ascii="Times New Roman" w:hAnsi="Times New Roman"/>
          <w:color w:val="231F20"/>
          <w:sz w:val="20"/>
        </w:rPr>
        <w:t>. Attending the Annual Meeting via the Internet will not revoke a 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How can I find out the results of the Annual Meeting?</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Times New Roman" w:hAnsi="Times New Roman"/>
          <w:i/>
          <w:sz w:val="20"/>
        </w:rPr>
        <w:t>www.magnachip.com</w:t>
      </w:r>
      <w:r>
        <w:rPr>
          <w:rFonts w:ascii="Times New Roman" w:hAnsi="Times New Roman"/>
          <w:sz w:val="20"/>
        </w:rPr>
        <w:t xml:space="preserve"> </w:t>
      </w:r>
      <w:r>
        <w:rPr>
          <w:rFonts w:ascii="Times New Roman" w:hAnsi="Times New Roman"/>
          <w:color w:val="231F20"/>
          <w:sz w:val="20"/>
        </w:rPr>
        <w:t>or by writing to Magnachip Semiconductor Corporation, c/o Magnachip Semiconductor, Ltd., 15F, 76 Jikji-daero 436beon-gil, Heungdeok-gu, Cheongju-si, Chungcheongbuk-do, Republic of Korea 28581, Attention: Secretary.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231F20"/>
          <w:sz w:val="20"/>
        </w:rPr>
        <w:t>PROPOSAL ONE</w:t>
      </w:r>
      <w:r>
        <w:rPr>
          <w:rFonts w:ascii="Times New Roman" w:hAnsi="Times New Roman"/>
          <w:color w:val="231F20"/>
          <w:sz w:val="20"/>
        </w:rPr>
        <w:t xml:space="preserve"> </w:t>
      </w:r>
    </w:p>
    <w:p>
      <w:pPr>
        <w:pStyle w:val="TextBody"/>
        <w:bidi w:val="0"/>
        <w:spacing w:before="240" w:after="283"/>
        <w:jc w:val="center"/>
        <w:rPr>
          <w:rFonts w:ascii="Times New Roman" w:hAnsi="Times New Roman"/>
          <w:b/>
          <w:color w:val="231F20"/>
          <w:sz w:val="20"/>
        </w:rPr>
      </w:pPr>
      <w:bookmarkStart w:id="3" w:name="proposal_one_election_of_directors"/>
      <w:bookmarkEnd w:id="3"/>
      <w:r>
        <w:rPr>
          <w:rFonts w:ascii="Times New Roman" w:hAnsi="Times New Roman"/>
          <w:b/>
          <w:color w:val="231F20"/>
          <w:sz w:val="20"/>
        </w:rPr>
        <w:t>ELECTION OF DIRECTORS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members of our Board are elected to one-year terms, with each director to serve until such director’s successor is elected and qualified or until such director’s earlier resignation or removal. We have four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At the Annual Meeting, four directors are to be elected to hold office for a one-year term and until their successors are elected and qualified. The nominees to the Board are Mr. Camillo Martino, Mr. Gilbert Nathan, Mr. Cristiano Amoruso and Ms. Kyo-Hwa (Liz) Chung.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Information regarding the nominees is set forth below. Each of the nominees listed in the Proxy Statement has agreed to serve as a director if elected. If for some unforeseen reason a nominee becomes unwilling or unable to serve, proxies will be voted for a substitute nominee selected by the Board.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sets forth certain information regarding our director nominees: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0"/>
        <w:gridCol w:w="146"/>
        <w:gridCol w:w="391"/>
        <w:gridCol w:w="246"/>
        <w:gridCol w:w="7902"/>
      </w:tblGrid>
      <w:tr>
        <w:trPr/>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2" w:type="dxa"/>
            <w:tcBorders/>
            <w:vAlign w:val="center"/>
          </w:tcPr>
          <w:p>
            <w:pPr>
              <w:pStyle w:val="TableContents"/>
              <w:bidi w:val="0"/>
              <w:spacing w:before="0" w:after="283"/>
              <w:jc w:val="left"/>
              <w:rPr>
                <w:sz w:val="4"/>
                <w:szCs w:val="4"/>
              </w:rPr>
            </w:pPr>
            <w:r>
              <w:rPr>
                <w:sz w:val="4"/>
                <w:szCs w:val="4"/>
              </w:rPr>
            </w:r>
          </w:p>
        </w:tc>
      </w:tr>
      <w:tr>
        <w:trPr/>
        <w:tc>
          <w:tcPr>
            <w:tcW w:w="1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16"/>
                <w:u w:val="single"/>
              </w:rPr>
            </w:pPr>
            <w:r>
              <w:rPr>
                <w:rFonts w:ascii="Times New Roman" w:hAnsi="Times New Roman"/>
                <w:b/>
                <w:color w:val="231F20"/>
                <w:sz w:val="16"/>
                <w:u w:val="single"/>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16"/>
                <w:u w:val="single"/>
              </w:rPr>
            </w:pPr>
            <w:r>
              <w:rPr>
                <w:rFonts w:ascii="Times New Roman" w:hAnsi="Times New Roman"/>
                <w:b/>
                <w:color w:val="231F20"/>
                <w:sz w:val="16"/>
                <w:u w:val="single"/>
              </w:rPr>
              <w:t>Age</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02"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b/>
                <w:color w:val="231F20"/>
                <w:sz w:val="16"/>
                <w:u w:val="single"/>
              </w:rPr>
            </w:pPr>
            <w:r>
              <w:rPr>
                <w:rFonts w:ascii="Times New Roman" w:hAnsi="Times New Roman"/>
                <w:b/>
                <w:color w:val="231F20"/>
                <w:sz w:val="16"/>
                <w:u w:val="single"/>
              </w:rPr>
              <w:t>Position</w:t>
            </w:r>
          </w:p>
        </w:tc>
      </w:tr>
      <w:tr>
        <w:trPr/>
        <w:tc>
          <w:tcPr>
            <w:tcW w:w="1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 Chairman and Interim Chief Executive Officer</w:t>
            </w:r>
          </w:p>
        </w:tc>
      </w:tr>
      <w:tr>
        <w:trPr/>
        <w:tc>
          <w:tcPr>
            <w:tcW w:w="1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Gilbert Nathan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Lead Director, Chair of the Audit Committee and the Nominating and Corporate Governance Committee, Member of the Compensation Committee</w:t>
            </w:r>
          </w:p>
        </w:tc>
      </w:tr>
      <w:tr>
        <w:trPr/>
        <w:tc>
          <w:tcPr>
            <w:tcW w:w="1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Cristiano Amoruso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 Member of the Audit Committee, the Compensation Committee and the Nominating and Corporate Governance Committee</w:t>
            </w:r>
          </w:p>
        </w:tc>
      </w:tr>
      <w:tr>
        <w:trPr/>
        <w:tc>
          <w:tcPr>
            <w:tcW w:w="1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Kyo-Hwa (Liz) Chung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 Chair of the Compensation Committee, Member of the Audit Committee and the Nominating and Corporate Governance Committee</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231F20"/>
          <w:sz w:val="20"/>
        </w:rPr>
        <w:t xml:space="preserve">Camillo Martino, Director, Chairman and Interim Chief Executive Officer. </w:t>
      </w:r>
      <w:r>
        <w:rPr>
          <w:rFonts w:ascii="Times New Roman" w:hAnsi="Times New Roman"/>
          <w:color w:val="231F20"/>
          <w:sz w:val="20"/>
        </w:rPr>
        <w:t>Mr. Martino has served as the Company’s Chairman of the Board since June 2020 and as a director since August 2016. Effective August 11, 2025, Mr. Martino was also appointed Interim Chief Executive Officer of the Company. Mr. Martino currently also serves as a member of the board of directors for CXApp. Mr. Martino also serves as a member of the board of directors at multiple privately-held companies, including VVDN Technologies, Sakuu and Ceremorphic. Mr. Martino previously served as a director of Cypress Semiconductor from 2017 through to 2020, a director of Sensera from 2018 to 2024, and was also the Chief Executive Officer of Silicon Image Inc. from January 2010 until the completion of its sale to Lattice Semiconductor Corporation in March 2015. From 2008 to 2009, Mr. Martino served as Chief Operating Officer of SAI Technology Inc., where he also served as a director from 2006 to 2010. From 2005 to 2007, Mr. Martino served as a director, the President and Chief Executive Officer of Cornice Inc. From 2001 to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operating and Board experience with technology companies.</w:t>
      </w:r>
    </w:p>
    <w:p>
      <w:pPr>
        <w:pStyle w:val="TextBody"/>
        <w:bidi w:val="0"/>
        <w:spacing w:before="240" w:after="283"/>
        <w:jc w:val="left"/>
        <w:rPr>
          <w:rFonts w:ascii="Times New Roman" w:hAnsi="Times New Roman"/>
          <w:sz w:val="20"/>
        </w:rPr>
      </w:pPr>
      <w:r>
        <w:rPr>
          <w:rFonts w:ascii="Times New Roman" w:hAnsi="Times New Roman"/>
          <w:b/>
          <w:i/>
          <w:color w:val="231F20"/>
          <w:sz w:val="20"/>
        </w:rPr>
        <w:t xml:space="preserve">Gilbert Nathan, Lead Director, Chair of the Audit Committee and the Nominating and Corporate Governance Committee, Member of the Compensation Committee. </w:t>
      </w:r>
      <w:r>
        <w:rPr>
          <w:rFonts w:ascii="Times New Roman" w:hAnsi="Times New Roman"/>
          <w:color w:val="231F20"/>
          <w:sz w:val="20"/>
        </w:rPr>
        <w:t xml:space="preserve">Mr. Nathan is the Managing Member of Jackson Square Advisors LLC, a financial advisory and services firm. He serves on the Boards of Directors of Ready Capital Corporation and Alto Ingredients, Inc. Mr. Nathan is the plan administrator of Mission Coal and Mahwah Bergen Retail Group, Inc. and is the Chief Executive Officer of Keycon Power Holdings, LLC. Mr. Nathan was formerly a Senior Analyst with Candlewood Investment Group and served as Principal at Restoration Capital Management. Mr. Nathan has a BS degree in Management, Major in Finance from the A. B. Freeman School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Business at Tulane University. Our Board has concluded that Mr. Nathan should serve on our Board based upon his extensive experience in finance. Mr. Nathan was appointed as Lead Director in connection with the appointment of Mr. Camillo Martino as Interim Chief Executive Officer.</w:t>
      </w:r>
    </w:p>
    <w:p>
      <w:pPr>
        <w:pStyle w:val="TextBody"/>
        <w:bidi w:val="0"/>
        <w:spacing w:before="240" w:after="283"/>
        <w:jc w:val="left"/>
        <w:rPr>
          <w:rFonts w:ascii="Times New Roman" w:hAnsi="Times New Roman"/>
          <w:sz w:val="20"/>
        </w:rPr>
      </w:pPr>
      <w:r>
        <w:rPr>
          <w:rFonts w:ascii="Times New Roman" w:hAnsi="Times New Roman"/>
          <w:b/>
          <w:i/>
          <w:color w:val="231F20"/>
          <w:sz w:val="20"/>
        </w:rPr>
        <w:t xml:space="preserve">Cristiano Amoruso, Director, Member of the Audit Committee, the Compensation Committee and the Nominating and Corporate Governance Committee. </w:t>
      </w:r>
      <w:r>
        <w:rPr>
          <w:rFonts w:ascii="Times New Roman" w:hAnsi="Times New Roman"/>
          <w:color w:val="231F20"/>
          <w:sz w:val="20"/>
        </w:rPr>
        <w:t>Mr. Amoruso is Managing Partner and Portfolio Manager of Byreforge Management LP, a New York and London-based investment firm that seeks to drive long-term value at publicly listed companies by partnering with management and boards on a combination of operational and strategic improvements. He currently serves as a member of the board of directors for Navitas Semiconductor. Before founding Byreforge, Mr. Amoruso served as Chief Executive Officer and Director of Suniva, Inc., the largest private U.S.-based manufacturer of solar photovoltaic semiconductors, where he led its successful operational turnaround. Mr. Amoruso concurrently held senior investment roles at Lion Point Capital, L.P., a global investment firm. He previously served as an analyst at Starboard Value LP. Mr. Amoruso holds an MBA from Columbia Business School, and a Laurea in Economics and Commerce from the University of Bary (Italy). Our Board has concluded that Mr. Amoruso should serve on the Board based upon his operational turnaround leadership and investment experience in high-growth technology markets.</w:t>
      </w:r>
    </w:p>
    <w:p>
      <w:pPr>
        <w:pStyle w:val="TextBody"/>
        <w:bidi w:val="0"/>
        <w:spacing w:before="240" w:after="283"/>
        <w:jc w:val="left"/>
        <w:rPr>
          <w:rFonts w:ascii="Times New Roman" w:hAnsi="Times New Roman"/>
          <w:sz w:val="20"/>
        </w:rPr>
      </w:pPr>
      <w:r>
        <w:rPr>
          <w:rFonts w:ascii="Times New Roman" w:hAnsi="Times New Roman"/>
          <w:b/>
          <w:i/>
          <w:color w:val="231F20"/>
          <w:sz w:val="20"/>
        </w:rPr>
        <w:t xml:space="preserve">Kyo-Hwa (Liz) Chung, Director, Chair of the Compensation Committee and Member of the Audit Committee and the Nominating and Corporate Governance Committee. </w:t>
      </w:r>
      <w:r>
        <w:rPr>
          <w:rFonts w:ascii="Times New Roman" w:hAnsi="Times New Roman"/>
          <w:color w:val="231F20"/>
          <w:sz w:val="20"/>
        </w:rPr>
        <w:t>Ms. Chung was appointed as our director in July 2020. Ms. Chung most recently served as the Senior Director of Legal for Netflix Services Korea, a position she held from April 2021 until December 2025. Prior to Netflix Services Korea, Ms. Chung served as the Head of Corporate, External and Legal Affairs for Microsoft Korea from November 2018 until March 2021. Since March 2022, she has also served as an independent director of NC Corporation (previously NCSoft Corporation), a Korean video game developer and publisher listed on the Korea Exchange.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 Our Board has concluded that Ms. Chung should serve on the Board based upon her extensive experience advising technology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4" w:name="the_board_of_directors_and_corporate"/>
      <w:bookmarkEnd w:id="4"/>
      <w:r>
        <w:rPr>
          <w:rFonts w:ascii="Times New Roman" w:hAnsi="Times New Roman"/>
          <w:b/>
          <w:color w:val="231F20"/>
          <w:sz w:val="20"/>
        </w:rPr>
        <w:t>THE BOARD OF DIRECTORS AND CORPORATE GOVERNANCE</w:t>
      </w:r>
    </w:p>
    <w:p>
      <w:pPr>
        <w:pStyle w:val="TextBody"/>
        <w:bidi w:val="0"/>
        <w:spacing w:before="240" w:after="283"/>
        <w:jc w:val="left"/>
        <w:rPr>
          <w:rFonts w:ascii="Times New Roman" w:hAnsi="Times New Roman"/>
          <w:b/>
          <w:color w:val="231F20"/>
          <w:sz w:val="20"/>
        </w:rPr>
      </w:pPr>
      <w:bookmarkStart w:id="5" w:name="director_independence"/>
      <w:bookmarkEnd w:id="5"/>
      <w:r>
        <w:rPr>
          <w:rFonts w:ascii="Times New Roman" w:hAnsi="Times New Roman"/>
          <w:b/>
          <w:color w:val="231F20"/>
          <w:sz w:val="20"/>
        </w:rPr>
        <w:t>Director Independence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reviews the independence of each director annually. In determining the independence of our directors, our Board considered Section 303A of the New York Stock Exchange (“NYSE”) listing standards and broadly considered the materiality of each director’s relationship with us. Based upon the foregoing criteria, our Board has determined that the following directors are independent: Mr. Nathan, Mr. Amoruso, Ms. Chung and Dr. Lee.</w:t>
      </w:r>
    </w:p>
    <w:p>
      <w:pPr>
        <w:pStyle w:val="TextBody"/>
        <w:bidi w:val="0"/>
        <w:spacing w:before="360" w:after="283"/>
        <w:jc w:val="left"/>
        <w:rPr>
          <w:rFonts w:ascii="Times New Roman" w:hAnsi="Times New Roman"/>
          <w:b/>
          <w:color w:val="231F20"/>
          <w:sz w:val="20"/>
        </w:rPr>
      </w:pPr>
      <w:bookmarkStart w:id="6" w:name="board_meetings"/>
      <w:bookmarkEnd w:id="6"/>
      <w:r>
        <w:rPr>
          <w:rFonts w:ascii="Times New Roman" w:hAnsi="Times New Roman"/>
          <w:b/>
          <w:color w:val="231F20"/>
          <w:sz w:val="20"/>
        </w:rPr>
        <w:t>Board Meetings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meets regularly during the year, and it holds special meetings and acts by unanimous written consent whenever necessary or otherwise appropriate. The Board held 7 meetings during fiscal year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2025, each director attended 100% of the aggregate number of meetings of the Board and the respective committees on which such director served.</w:t>
      </w:r>
    </w:p>
    <w:p>
      <w:pPr>
        <w:pStyle w:val="TextBody"/>
        <w:bidi w:val="0"/>
        <w:spacing w:before="360" w:after="283"/>
        <w:jc w:val="left"/>
        <w:rPr>
          <w:rFonts w:ascii="Times New Roman" w:hAnsi="Times New Roman"/>
          <w:b/>
          <w:color w:val="231F20"/>
          <w:sz w:val="20"/>
        </w:rPr>
      </w:pPr>
      <w:bookmarkStart w:id="7" w:name="attendance_at_annual_meeting"/>
      <w:bookmarkEnd w:id="7"/>
      <w:r>
        <w:rPr>
          <w:rFonts w:ascii="Times New Roman" w:hAnsi="Times New Roman"/>
          <w:b/>
          <w:color w:val="231F20"/>
          <w:sz w:val="20"/>
        </w:rPr>
        <w:t>Attendance at Annual Meeting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Corporate Governance Guidelines as currently in effect provide that all directors shall make every effort to attend the Company’s annual meeting of stockholders. In 2025, all of our then-current directors attended our Annual Meeting of Stockholders.</w:t>
      </w:r>
    </w:p>
    <w:p>
      <w:pPr>
        <w:pStyle w:val="TextBody"/>
        <w:bidi w:val="0"/>
        <w:spacing w:before="360" w:after="283"/>
        <w:jc w:val="left"/>
        <w:rPr>
          <w:rFonts w:ascii="Times New Roman" w:hAnsi="Times New Roman"/>
          <w:b/>
          <w:color w:val="231F20"/>
          <w:sz w:val="20"/>
        </w:rPr>
      </w:pPr>
      <w:bookmarkStart w:id="8" w:name="committees"/>
      <w:bookmarkEnd w:id="8"/>
      <w:r>
        <w:rPr>
          <w:rFonts w:ascii="Times New Roman" w:hAnsi="Times New Roman"/>
          <w:b/>
          <w:color w:val="231F20"/>
          <w:sz w:val="20"/>
        </w:rPr>
        <w:t>Committees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has three standing committees: the Audit Committee, the Compensation Committee and the Nominating and Corporate Governance Committee. The Risk Committee, which existed during a portion of 2025, was dissolved in September 2025. The Strategic Review Committee, which was established in August 2022 to assist the Board in reviewing, considering, exploring and evaluating strategic alternatives, was dissolved in January 2026.</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Board has adopted written charters for the Audit Committee, the Compensation Committee and the Nominating and Corporate Governance Committee. These charters, as well as our Code of Business Conduct and Ethics and our Corporate Governance Guidelines, are posted and available on our website at </w:t>
      </w:r>
      <w:r>
        <w:rPr>
          <w:rFonts w:ascii="Times New Roman" w:hAnsi="Times New Roman"/>
          <w:i/>
          <w:color w:val="231F20"/>
          <w:sz w:val="20"/>
        </w:rPr>
        <w:t xml:space="preserve">https://investors.magnachip.com/corporate-governance/highlights. </w:t>
      </w:r>
      <w:r>
        <w:rPr>
          <w:rFonts w:ascii="Times New Roman" w:hAnsi="Times New Roman"/>
          <w:color w:val="231F20"/>
          <w:sz w:val="20"/>
        </w:rPr>
        <w:t>The information on or accessible through our website is not a part of or incorporated by reference into this Proxy Statement.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Audit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Audit Committee consists of Mr. Nathan, as Chair, Mr. Amoruso and Ms. Chung. Our Board has determined that Mr. Nathan is an audit committee financial expert as defined in Item 407(d)(5) of Regulation S-K promulgated under the Securities Act of 1933, as amended. Our Board has also determined that each of Mr. Nathan, Mr. Amoruso and Ms. Chung is financially literate and independent as that term is defined in Section 303A of the NYSE listing standards and Rule 10A-3 promulgated under the Exchange Act of 1934, as amended (the “Exchange Act”).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Audit Committee held 6 meetings in fiscal year 2025.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bodies, the Company’s management of key risks, as well as the guidelines, policies and processes for monitoring and mitigating such risks, and on the Company’s compliance with other legal and regulatory requirements. The Audit Committee is responsible for the appointment, retention, review and oversight of the Company’s independent auditor, as well as the review and oversight of the Company’s internal financial reporting, policies and processes. The Audit Committee is also responsible for reviewing related party transactions, risk management, and legal and ethics compliance, and for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Compensation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Compensation Committee consists of Ms. Chung, as Chair, Mr. Amoruso and Mr. Nathan. Our Board has determined that each of Ms. Chung, Mr. Amoruso and Mr. Nathan is independent under applicable NYSE listing standards.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held 5 meetings in 2025. The Compensation Committee has the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Nominating and Corporate Governance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Nominating and Corporate Governance Committee consists of Mr. Nathan, as Chair, Mr. Amoruso and Ms. Chung. Our Board has determined that each of Mr. Nathan, Mr. Amoruso and Ms. Chung is independent under applicable NYSE listing standards.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Nominating and Corporate Governance Committee held 4 meetings in 2025. The Nominating and Corporate Governance Committee identifies individuals qualified to become Board members, recommends director nominees, recommends Board members for committee membership, develops and recommends corporate governance principles and practices and training programs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Ltd., 15F, 76 Jikji-daero 436beon-gil, Heungdeok-gu, Cheongju-si, Chungcheongbuk-do, Republic of Korea 28581,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name and address of the stockholder who intends to make the nomination, and the names and addresses of the beneficial owners, if any, on whose behalf the nomination is being made and of the person or persons to be nominated;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information regarding the ownership and other interests of the stockholder or such other beneficial owner;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other information regarding each nominee proposed by such stockholder as would be required to be included in a Proxy Statement filed pursuant to the proxy rules of the SEC;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consent of each nominee to serve as a director of the Company if so elected.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of our bylaws and such other applicable provisions of our bylaws as in effect from time to time for the specific requirements of such director nomination procedures by stockholders.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pStyle w:val="TextBody"/>
        <w:bidi w:val="0"/>
        <w:spacing w:before="360" w:after="283"/>
        <w:jc w:val="left"/>
        <w:rPr>
          <w:rFonts w:ascii="Times New Roman" w:hAnsi="Times New Roman"/>
          <w:b/>
          <w:color w:val="231F20"/>
          <w:sz w:val="20"/>
        </w:rPr>
      </w:pPr>
      <w:bookmarkStart w:id="9" w:name="board_leadership_structure"/>
      <w:bookmarkEnd w:id="9"/>
      <w:r>
        <w:rPr>
          <w:rFonts w:ascii="Times New Roman" w:hAnsi="Times New Roman"/>
          <w:b/>
          <w:color w:val="231F20"/>
          <w:sz w:val="20"/>
        </w:rPr>
        <w:t>Board Leadership Structure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Separation of Chairperson and Chief Executive Officer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Corporate Governance Guidelines state that the Board shall elect its Chairperson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August 11, 2025, Mr. Young-Joon Kim resigned from his position as Chief Executive Officer of the Company, and the Board appointed Camillo Martino to serve as the Company’s Interim Chief Executive Officer (“Interim CEO”). As a result of Mr. Martino’s appointment as Interim CEO, Mr. Martino stepped down from each of the Company’s Audit Committee, Compensation Committee and Nominating and Corporate Governance Committee. Mr. Martino currently serves as the Chairman of the Board and is expected to continue in that role as well.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may, however, make changes to its leadership structure in the future as it deems appropriate.</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Lead Director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Pursuant to the Company’s Corporate Governance Guidelines, if the positions of Chairperson and Chief Executive Officer are held by the same person or the Chairperson is not otherwise an independent director, the Board designates a lead director (the “Lead Director”) and, accordingly, Mr. Nathan was selected by the Board as Lead Director until his successor is duly elected and qualified or until his earlier death, resignation or removal by the Board. The Lead Director has the authority to call meetings of the independent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Executive Sessions of the Board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non-management directors meet at regularly scheduled Board meetings in executive session without management present. In 2025, the Chairman of the Board presided over the meetings of the non-employee directors before August 11, 2025. Following the appointment of Mr. Camillo Martino as Interim CEO and the designation of Mr. Gilbert Nathan as Lead Director, Mr. Nathan, in his capacity as Lead Director, presided over such meetings for the remainder of the year.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in accordance with our Corporate Governance Guidelines, the independent members of the Board meet at least twice a year in executive session, with the Chairman (or the Lead Director) setting the agenda and presiding over such meetings.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Presiding Director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pStyle w:val="TextBody"/>
        <w:bidi w:val="0"/>
        <w:spacing w:before="360" w:after="283"/>
        <w:jc w:val="left"/>
        <w:rPr>
          <w:rFonts w:ascii="Times New Roman" w:hAnsi="Times New Roman"/>
          <w:b/>
          <w:color w:val="231F20"/>
          <w:sz w:val="20"/>
        </w:rPr>
      </w:pPr>
      <w:bookmarkStart w:id="10" w:name="board_role_in_risk_oversight"/>
      <w:bookmarkEnd w:id="10"/>
      <w:r>
        <w:rPr>
          <w:rFonts w:ascii="Times New Roman" w:hAnsi="Times New Roman"/>
          <w:b/>
          <w:color w:val="231F20"/>
          <w:sz w:val="20"/>
        </w:rPr>
        <w:t>Board Role in Risk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Board is responsible for overseeing our management of risk. Our Audit Committee assists in overseeing management’s identification and evaluation of key enterprise risks to the Company, as well as guidelines, policies and processes for monitoring and mitigating such risks. In particular, the Audit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Board also considers sustainable business practices that advance our long- term ambitions as well as to mitigate business risks. Our Audit Committee oversees the Company’s objectives, goals, strategies and initiatives relating to Corporate Responsibilities and Sustainability Matters and the related impacts and risks related thereto.</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Company management reports on a quarterly basis to the Audit Committee their assessment of key enterprise risks across multiple categories and mitigation plans for those that fail to meet relevant tolerance standards established from time to time. During quarterly Audit Committee meetings, the members of the Audit Committee review management’s assessment report and discuss with management measures to be implemented to better control against existing risks and identify emerging risks. For example, the Audit Committee may consider replacing specific existing risk categories, adding new risk categories, or adjusting the tolerance standards of risks to preemptively respond to changes in the Company’s business and the environment in which we operate.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generally capped and payout opportunities may generally be achieved on a straight-line interpolation basis between threshold and target levels, and between the target and maximum levels. Our equity awards are limited by the terms of our equity plans to not more than a fixed maximum amount specified in the plan, and are subject to vesting to align the long-term interests of our executive officers with those of our stockholders. Our Board adopted a compensation recovery policy,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231F20"/>
          <w:sz w:val="20"/>
        </w:rPr>
        <w:t>compliance with the NYSE listing rules, to provide for the recoupment of certain executive compensation in the event of any material accounting misstatement. See “Executive Compensation— Compensation Discussion and Analysis—</w:t>
      </w:r>
      <w:r>
        <w:rPr>
          <w:rFonts w:ascii="Times New Roman" w:hAnsi="Times New Roman"/>
          <w:i/>
          <w:color w:val="231F20"/>
          <w:sz w:val="20"/>
        </w:rPr>
        <w:t>Compensation Recovery Policy</w:t>
      </w:r>
      <w:r>
        <w:rPr>
          <w:rFonts w:ascii="Times New Roman" w:hAnsi="Times New Roman"/>
          <w:color w:val="231F20"/>
          <w:sz w:val="20"/>
        </w:rPr>
        <w:t>” contained elsewhere in this Proxy Statement.</w:t>
      </w:r>
    </w:p>
    <w:p>
      <w:pPr>
        <w:pStyle w:val="TextBody"/>
        <w:bidi w:val="0"/>
        <w:spacing w:before="360" w:after="283"/>
        <w:jc w:val="left"/>
        <w:rPr>
          <w:rFonts w:ascii="Times New Roman" w:hAnsi="Times New Roman"/>
          <w:b/>
          <w:color w:val="231F20"/>
          <w:sz w:val="20"/>
        </w:rPr>
      </w:pPr>
      <w:bookmarkStart w:id="11" w:name="code_of_business_conduct_and_ethics"/>
      <w:bookmarkEnd w:id="11"/>
      <w:r>
        <w:rPr>
          <w:rFonts w:ascii="Times New Roman" w:hAnsi="Times New Roman"/>
          <w:b/>
          <w:color w:val="231F2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Ltd., 15F, 76 Jikji-daero 436beon-gil, Heungdeok-gu, Cheongju-si, Chungcheongbuk-do, Republic of Korea 28581. Our Code of Business Conduct and Ethics is also available on our website at </w:t>
      </w:r>
      <w:r>
        <w:rPr>
          <w:rFonts w:ascii="Times New Roman" w:hAnsi="Times New Roman"/>
          <w:i/>
          <w:color w:val="231F20"/>
          <w:sz w:val="20"/>
        </w:rPr>
        <w:t xml:space="preserve">https://investors.magnachip.com/corporate-governance/highlights. </w:t>
      </w:r>
      <w:r>
        <w:rPr>
          <w:rFonts w:ascii="Times New Roman" w:hAnsi="Times New Roman"/>
          <w:color w:val="231F20"/>
          <w:sz w:val="20"/>
        </w:rPr>
        <w:t>We will disclose any waivers or amendments to the provisions of our Code of Business Conduct and Ethics applicable to our principal executive officer, principal financial officer, principal accounting officer or controller or persons performing similar functions, that relates to one or more of the elements contained therein of the code of ethics definition enumerated in Item 406(b) of SEC Regulation S-K on our website.</w:t>
      </w:r>
    </w:p>
    <w:p>
      <w:pPr>
        <w:pStyle w:val="TextBody"/>
        <w:bidi w:val="0"/>
        <w:spacing w:before="360" w:after="283"/>
        <w:jc w:val="left"/>
        <w:rPr>
          <w:rFonts w:ascii="Times New Roman" w:hAnsi="Times New Roman"/>
          <w:sz w:val="20"/>
        </w:rPr>
      </w:pPr>
      <w:bookmarkStart w:id="12" w:name="report_of_the_audit_committee"/>
      <w:bookmarkEnd w:id="12"/>
      <w:r>
        <w:rPr>
          <w:rFonts w:ascii="Times New Roman" w:hAnsi="Times New Roman"/>
          <w:b/>
          <w:color w:val="231F20"/>
          <w:sz w:val="20"/>
        </w:rPr>
        <w:t>Report of the</w:t>
      </w:r>
      <w:r>
        <w:rPr>
          <w:rFonts w:ascii="Times New Roman" w:hAnsi="Times New Roman"/>
          <w:color w:val="231F20"/>
          <w:sz w:val="20"/>
        </w:rPr>
        <w:t xml:space="preserve"> </w:t>
      </w:r>
      <w:r>
        <w:rPr>
          <w:rFonts w:ascii="Times New Roman" w:hAnsi="Times New Roman"/>
          <w:b/>
          <w:color w:val="231F20"/>
          <w:sz w:val="20"/>
        </w:rPr>
        <w:t>Audit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Audit Committee has reviewed and discussed with our management and Ernst &amp; Young Han Young, our independent registered public accounting firm for the year ended December 31, 2025, our audited financial statements contained in our Annual Report to Stockholders for the year ended December 31, 2025. The Audit Committee has also discussed with our independent registered public accounting firm the matters required to be discussed under Public Company Accounting Oversight Board standards.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Audit Committee has received and reviewed the written disclosures and the letter from Ernst &amp; Young Han Young required by applicable requirements of the Public Company Accounting Oversight Board regarding Ernst &amp; Young Han Young’s communications with the Audit Committee concerning independence, and has discussed with Ernst &amp; Young Han Young its independence.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2025 filed with the SEC on March 16, 2026.</w:t>
      </w:r>
    </w:p>
    <w:p>
      <w:pPr>
        <w:pStyle w:val="TextBody"/>
        <w:bidi w:val="0"/>
        <w:spacing w:before="240" w:after="283"/>
        <w:jc w:val="left"/>
        <w:rPr>
          <w:rFonts w:ascii="Times New Roman" w:hAnsi="Times New Roman"/>
          <w:color w:val="231F20"/>
          <w:sz w:val="20"/>
          <w:u w:val="single"/>
        </w:rPr>
      </w:pPr>
      <w:r>
        <w:rPr>
          <w:rFonts w:ascii="Times New Roman" w:hAnsi="Times New Roman"/>
          <w:color w:val="231F20"/>
          <w:sz w:val="20"/>
          <w:u w:val="single"/>
        </w:rPr>
        <w:t>Audit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Gilbert Nathan, Chair</w:t>
      </w:r>
    </w:p>
    <w:p>
      <w:pPr>
        <w:pStyle w:val="TextBody"/>
        <w:bidi w:val="0"/>
        <w:spacing w:before="10" w:after="283"/>
        <w:jc w:val="left"/>
        <w:rPr>
          <w:rFonts w:ascii="Times New Roman" w:hAnsi="Times New Roman"/>
          <w:color w:val="231F20"/>
          <w:sz w:val="20"/>
        </w:rPr>
      </w:pPr>
      <w:r>
        <w:rPr>
          <w:rFonts w:ascii="Times New Roman" w:hAnsi="Times New Roman"/>
          <w:color w:val="231F20"/>
          <w:sz w:val="20"/>
        </w:rPr>
        <w:t>Cristiano Amoruso</w:t>
      </w:r>
    </w:p>
    <w:p>
      <w:pPr>
        <w:pStyle w:val="TextBody"/>
        <w:bidi w:val="0"/>
        <w:spacing w:before="10" w:after="283"/>
        <w:jc w:val="left"/>
        <w:rPr>
          <w:rFonts w:ascii="Times New Roman" w:hAnsi="Times New Roman"/>
          <w:color w:val="231F20"/>
          <w:sz w:val="20"/>
        </w:rPr>
      </w:pPr>
      <w:r>
        <w:rPr>
          <w:rFonts w:ascii="Times New Roman" w:hAnsi="Times New Roman"/>
          <w:color w:val="231F20"/>
          <w:sz w:val="20"/>
        </w:rPr>
        <w:t>Liz Chung</w:t>
      </w:r>
    </w:p>
    <w:p>
      <w:pPr>
        <w:pStyle w:val="TextBody"/>
        <w:bidi w:val="0"/>
        <w:spacing w:before="360" w:after="283"/>
        <w:jc w:val="left"/>
        <w:rPr>
          <w:rFonts w:ascii="Times New Roman" w:hAnsi="Times New Roman"/>
          <w:b/>
          <w:color w:val="231F20"/>
          <w:sz w:val="20"/>
        </w:rPr>
      </w:pPr>
      <w:bookmarkStart w:id="13" w:name="communications_with_directors"/>
      <w:bookmarkEnd w:id="13"/>
      <w:r>
        <w:rPr>
          <w:rFonts w:ascii="Times New Roman" w:hAnsi="Times New Roman"/>
          <w:b/>
          <w:color w:val="231F20"/>
          <w:sz w:val="20"/>
        </w:rPr>
        <w:t>Communications with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stockholder or other interested party who wishes to communicate directly with the Board, a committee of the Board, the non-management or independent directors as a group, or with the Chairman of the Board or any other individual director, regarding matters related to the Company should send the communication to:</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Board of Directors</w:t>
      </w:r>
    </w:p>
    <w:p>
      <w:pPr>
        <w:pStyle w:val="TextBody"/>
        <w:bidi w:val="0"/>
        <w:jc w:val="left"/>
        <w:rPr>
          <w:rFonts w:ascii="Times New Roman" w:hAnsi="Times New Roman"/>
          <w:color w:val="231F20"/>
          <w:sz w:val="20"/>
        </w:rPr>
      </w:pPr>
      <w:r>
        <w:rPr>
          <w:rFonts w:ascii="Times New Roman" w:hAnsi="Times New Roman"/>
          <w:color w:val="231F20"/>
          <w:sz w:val="20"/>
        </w:rPr>
        <w:t>or Chairman, Lead Director, individual director, committee or group of directors</w:t>
      </w:r>
    </w:p>
    <w:p>
      <w:pPr>
        <w:pStyle w:val="TextBody"/>
        <w:bidi w:val="0"/>
        <w:jc w:val="left"/>
        <w:rPr>
          <w:rFonts w:ascii="Times New Roman" w:hAnsi="Times New Roman"/>
          <w:color w:val="231F20"/>
          <w:sz w:val="20"/>
        </w:rPr>
      </w:pPr>
      <w:r>
        <w:rPr>
          <w:rFonts w:ascii="Times New Roman" w:hAnsi="Times New Roman"/>
          <w:color w:val="231F20"/>
          <w:sz w:val="20"/>
        </w:rPr>
        <w:t xml:space="preserve">Magnachip Semiconductor Corporation </w:t>
      </w:r>
    </w:p>
    <w:p>
      <w:pPr>
        <w:pStyle w:val="TextBody"/>
        <w:bidi w:val="0"/>
        <w:jc w:val="left"/>
        <w:rPr>
          <w:rFonts w:ascii="Times New Roman" w:hAnsi="Times New Roman"/>
          <w:color w:val="231F20"/>
          <w:sz w:val="20"/>
        </w:rPr>
      </w:pPr>
      <w:r>
        <w:rPr>
          <w:rFonts w:ascii="Times New Roman" w:hAnsi="Times New Roman"/>
          <w:color w:val="231F20"/>
          <w:sz w:val="20"/>
        </w:rPr>
        <w:t>c/o Magnachip Semiconductor, Ltd.</w:t>
      </w:r>
    </w:p>
    <w:p>
      <w:pPr>
        <w:pStyle w:val="TextBody"/>
        <w:bidi w:val="0"/>
        <w:jc w:val="left"/>
        <w:rPr>
          <w:rFonts w:ascii="Times New Roman" w:hAnsi="Times New Roman"/>
          <w:color w:val="231F20"/>
          <w:sz w:val="20"/>
        </w:rPr>
      </w:pPr>
      <w:r>
        <w:rPr>
          <w:rFonts w:ascii="Times New Roman" w:hAnsi="Times New Roman"/>
          <w:color w:val="231F20"/>
          <w:sz w:val="20"/>
        </w:rPr>
        <w:t>Corporate Secretary</w:t>
      </w:r>
    </w:p>
    <w:p>
      <w:pPr>
        <w:pStyle w:val="TextBody"/>
        <w:bidi w:val="0"/>
        <w:jc w:val="left"/>
        <w:rPr>
          <w:rFonts w:ascii="Times New Roman" w:hAnsi="Times New Roman"/>
          <w:color w:val="231F20"/>
          <w:sz w:val="20"/>
        </w:rPr>
      </w:pPr>
      <w:r>
        <w:rPr>
          <w:rFonts w:ascii="Times New Roman" w:hAnsi="Times New Roman"/>
          <w:color w:val="231F20"/>
          <w:sz w:val="20"/>
        </w:rPr>
        <w:t>15F, 76 Jikji-daero 436beon-gil, Heungdeok-gu</w:t>
      </w:r>
    </w:p>
    <w:p>
      <w:pPr>
        <w:pStyle w:val="TextBody"/>
        <w:bidi w:val="0"/>
        <w:jc w:val="left"/>
        <w:rPr>
          <w:rFonts w:ascii="Times New Roman" w:hAnsi="Times New Roman"/>
          <w:color w:val="231F20"/>
          <w:sz w:val="20"/>
        </w:rPr>
      </w:pPr>
      <w:r>
        <w:rPr>
          <w:rFonts w:ascii="Times New Roman" w:hAnsi="Times New Roman"/>
          <w:color w:val="231F20"/>
          <w:sz w:val="20"/>
        </w:rPr>
        <w:t>Cheongju-si, Chungcheongbuk-do, Republic of Korea 28581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pStyle w:val="TextBody"/>
        <w:bidi w:val="0"/>
        <w:spacing w:before="360" w:after="283"/>
        <w:jc w:val="left"/>
        <w:rPr>
          <w:rFonts w:ascii="Times New Roman" w:hAnsi="Times New Roman"/>
          <w:b/>
          <w:color w:val="231F20"/>
          <w:sz w:val="20"/>
        </w:rPr>
      </w:pPr>
      <w:bookmarkStart w:id="14" w:name="corporate_responsibilities_and"/>
      <w:bookmarkEnd w:id="14"/>
      <w:r>
        <w:rPr>
          <w:rFonts w:ascii="Times New Roman" w:hAnsi="Times New Roman"/>
          <w:b/>
          <w:color w:val="231F20"/>
          <w:sz w:val="20"/>
        </w:rPr>
        <w:t>Corporate Responsibilities and Sustainability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addition to the information contained in this Proxy Statement, we provide further information regarding our Corporate Responsibility on our website, </w:t>
      </w:r>
      <w:r>
        <w:rPr>
          <w:rFonts w:ascii="Times New Roman" w:hAnsi="Times New Roman"/>
          <w:sz w:val="20"/>
        </w:rPr>
        <w:t>www.magnachip.com</w:t>
      </w:r>
      <w:r>
        <w:rPr>
          <w:rFonts w:ascii="Times New Roman" w:hAnsi="Times New Roman"/>
          <w:color w:val="231F20"/>
          <w:sz w:val="20"/>
        </w:rPr>
        <w:t>, detailing our approach on various corporate initiatives, accomplishments and objectives. Our website and the Corporate Responsibility disclosures contained therein are not incorporated by reference in, and are not part of, this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Below are a few of the highlights of our comprehensive corporate responsibility and sustainability practices: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GHG reduction efforts: </w:t>
      </w:r>
      <w:r>
        <w:rPr>
          <w:rFonts w:ascii="Times New Roman" w:hAnsi="Times New Roman"/>
          <w:color w:val="231F20"/>
          <w:sz w:val="20"/>
        </w:rPr>
        <w:t>Aligned with targets set by the Korean government, we aim to reduce greenhouse gas (GHG) emissions by 40% from a 2018 baseline by 2030 and achieve carbon neutrality by 2050. Our GHG emissions data are submitted annually to Korea’s Ministry of Environment, following third-party verification.</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Our products’ impact: </w:t>
      </w:r>
      <w:r>
        <w:rPr>
          <w:rFonts w:ascii="Times New Roman" w:hAnsi="Times New Roman"/>
          <w:color w:val="231F20"/>
          <w:sz w:val="20"/>
        </w:rPr>
        <w:t>Our semiconductor products are used in a wide range of high-tech consumer and industrial technologies. Our products have enabled gadgets to become slimmer, with longer-lasting batteries and better performance, thereby reducing energy consumption for end-users and alleviating the burden on our planet’s resources. We have created the “Green Manufacturing Management Rule”, which we apply to all the products we design, build and deliver to our customers. This rule enables product traceability through the setting of continuous indicators and goals. It also ensures that sustainability remains a top priority throughout all stages of the product lifecycle. All our products are Pb-free (lead-free) and have obtained RoHs (Restricted Hazardous Substances) certification.</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Our environmental, health and safety, and quality standards: </w:t>
      </w:r>
      <w:r>
        <w:rPr>
          <w:rFonts w:ascii="Times New Roman" w:hAnsi="Times New Roman"/>
          <w:color w:val="231F20"/>
          <w:sz w:val="20"/>
        </w:rPr>
        <w:t>We comply with a range of internationally recognized standards. We have adopted ISO 14001 and ISO 45001 since 2004. We also maintain compliance with applicable local and international laws, including the Occupational Safety and Health Act of Korea, as well as customer requirements such as those relating to hazardous chemicals. We also focus on continuous improvement through quality management systems, including compliance with IATF 16949 and ISO 9001 standards.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Human rights and labor standards: </w:t>
      </w:r>
      <w:r>
        <w:rPr>
          <w:rFonts w:ascii="Times New Roman" w:hAnsi="Times New Roman"/>
          <w:color w:val="231F20"/>
          <w:sz w:val="20"/>
        </w:rPr>
        <w:t>We adhere to international human rights and labor standards as agreed to by the United Nations and the International Labor Organization. We prohibit all forms of discrimination based on gender, race, nationality, religion and age to ensure that all employees work in a safe and fair environment. These values are embedded in our policies, including our Labor &amp; Ethical Management Policy, Equal Employment Policy and Code of Business Conduct and Ethics.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Supply chain management:</w:t>
      </w:r>
      <w:r>
        <w:rPr>
          <w:color w:val="000000"/>
        </w:rPr>
        <w:t xml:space="preserve"> </w:t>
      </w:r>
      <w:r>
        <w:rPr>
          <w:rFonts w:ascii="Times New Roman" w:hAnsi="Times New Roman"/>
          <w:color w:val="000000"/>
          <w:sz w:val="20"/>
        </w:rPr>
        <w:t>We prioritize responsible sourcing and supply chain management.Through our Supplier Approval Assessment and Supplier Evaluation procedures, we ensure our suppliers adhere to the same ethical, social and environmental principles under which we operate. We share our Environment, Safety and Health Policy with our suppliers and request that they implement it.</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Conflict minerals: </w:t>
      </w:r>
      <w:r>
        <w:rPr>
          <w:rFonts w:ascii="Times New Roman" w:hAnsi="Times New Roman"/>
          <w:color w:val="231F20"/>
          <w:sz w:val="20"/>
        </w:rPr>
        <w:t>We support and comply with Section 1502 of the U.S. Dodd-Frank Wall Street Reform and Consumer Protection Act. For more information on our conflict minerals, please refer to our Conflict Minerals Reports on our website.</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Cybersecurity and data privacy: </w:t>
      </w:r>
      <w:r>
        <w:rPr>
          <w:rFonts w:ascii="Times New Roman" w:hAnsi="Times New Roman"/>
          <w:color w:val="231F20"/>
          <w:sz w:val="20"/>
        </w:rPr>
        <w:t>Cybersecurity risks and data protection are integrated into our overall risk management systems. We maintain processes for assessing, identifying and managing material risks from cybersecurity threats, and we routinely invest in developing and implementing numerous cybersecurity programs and processes. Management is responsible for the day-to-day management of cybersecurity risks while the Company’s Board of Directors and its Audit Committee actively and continuously provide oversight. Our information security management system is ISO 27001 certified.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 xml:space="preserve">Whistleblower policy and reporting: </w:t>
      </w:r>
      <w:r>
        <w:rPr>
          <w:rFonts w:ascii="Times New Roman" w:hAnsi="Times New Roman"/>
          <w:color w:val="231F20"/>
          <w:sz w:val="20"/>
        </w:rPr>
        <w:t>We take whistleblowing seriously and have created robust structures to encourage the reporting of actual or suspected violations of law, our Code of Business Conduct and Ethics, or our other policies or procedures, and protect individuals who may come forward. Our reporting system allows anonymous reporting and is also accessible to our partners, suppliers and customers. We also adhere to our non-retaliation policy contained in our Code of Business Conduct and Ethics to encourage and protect “good faith” reporters.</w:t>
      </w:r>
    </w:p>
    <w:p>
      <w:pPr>
        <w:pStyle w:val="TextBody"/>
        <w:bidi w:val="0"/>
        <w:spacing w:before="360" w:after="283"/>
        <w:jc w:val="left"/>
        <w:rPr>
          <w:rFonts w:ascii="Times New Roman" w:hAnsi="Times New Roman"/>
          <w:b/>
          <w:color w:val="231F20"/>
          <w:sz w:val="20"/>
        </w:rPr>
      </w:pPr>
      <w:bookmarkStart w:id="15" w:name="human_capital_management"/>
      <w:bookmarkEnd w:id="15"/>
      <w:r>
        <w:rPr>
          <w:rFonts w:ascii="Times New Roman" w:hAnsi="Times New Roman"/>
          <w:b/>
          <w:color w:val="231F20"/>
          <w:sz w:val="20"/>
        </w:rPr>
        <w:t>Human Capital Management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Board of Directors maintains policies relating to upholding ethical practices and a strong sense of integrity. Across all our activities, we aim to achieve a dynamic and inclusive workplace that supports creativity and open communication, where all our employees feel safe, valued and respected. More information on these policies can be found in the “About Us” section of our website.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2025, our total global workforce (full- and part-time) numbered 711, with 688 of these individuals based in Korea, in the roles represented in the following table. In 2025, our total global workforce declined as compared to the prior year as a result of the MMS liquidation and the 2025 Early Retirement Program.</w:t>
      </w:r>
    </w:p>
    <w:p>
      <w:pPr>
        <w:pStyle w:val="TextBody"/>
        <w:bidi w:val="0"/>
        <w:jc w:val="left"/>
        <w:rPr/>
      </w:pPr>
      <w:r>
        <w:rPr/>
        <w:t> </w:t>
      </w:r>
    </w:p>
    <w:tbl>
      <w:tblPr>
        <w:tblW w:w="5898" w:type="dxa"/>
        <w:jc w:val="left"/>
        <w:tblInd w:w="0" w:type="dxa"/>
        <w:tblLayout w:type="fixed"/>
        <w:tblCellMar>
          <w:top w:w="28" w:type="dxa"/>
          <w:left w:w="28" w:type="dxa"/>
          <w:bottom w:w="28" w:type="dxa"/>
          <w:right w:w="28" w:type="dxa"/>
        </w:tblCellMar>
      </w:tblPr>
      <w:tblGrid>
        <w:gridCol w:w="3766"/>
        <w:gridCol w:w="346"/>
        <w:gridCol w:w="357"/>
        <w:gridCol w:w="103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Role type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people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 With advanced degrees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Quality, reliability, and assurance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 Engineering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 Operations, maintenance and others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b/>
          <w:i/>
          <w:color w:val="231F20"/>
          <w:sz w:val="20"/>
        </w:rPr>
      </w:pPr>
      <w:r>
        <w:rPr>
          <w:rFonts w:ascii="Times New Roman" w:hAnsi="Times New Roman"/>
          <w:b/>
          <w:i/>
          <w:color w:val="231F20"/>
          <w:sz w:val="20"/>
        </w:rPr>
        <w:t>Competitive Compensation and Pay Equity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HR team remains current on employee benefits detailed in the following table and conducts regular reviews of compensation levels and distribution methods to ensure fairness and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6"/>
        <w:gridCol w:w="549"/>
        <w:gridCol w:w="2860"/>
      </w:tblGrid>
      <w:tr>
        <w:trPr/>
        <w:tc>
          <w:tcPr>
            <w:tcW w:w="67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6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16"/>
              </w:rPr>
            </w:pPr>
            <w:r>
              <w:rPr>
                <w:rFonts w:ascii="Times New Roman" w:hAnsi="Times New Roman"/>
                <w:b/>
                <w:color w:val="231F20"/>
                <w:sz w:val="16"/>
              </w:rPr>
              <w:t>Financial benefits</w:t>
            </w:r>
          </w:p>
        </w:tc>
        <w:tc>
          <w:tcPr>
            <w:tcW w:w="5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0" w:type="dxa"/>
            <w:tcBorders>
              <w:bottom w:val="single" w:sz="4" w:space="0" w:color="000000"/>
            </w:tcBorders>
            <w:tcMar>
              <w:top w:w="0" w:type="dxa"/>
              <w:left w:w="0" w:type="dxa"/>
              <w:right w:w="0" w:type="dxa"/>
            </w:tcMar>
            <w:vAlign w:val="center"/>
          </w:tcPr>
          <w:p>
            <w:pPr>
              <w:pStyle w:val="TableContents"/>
              <w:bidi w:val="0"/>
              <w:spacing w:before="0" w:after="283"/>
              <w:ind w:left="0" w:right="0" w:firstLine="403"/>
              <w:jc w:val="center"/>
              <w:rPr>
                <w:rFonts w:ascii="Times New Roman" w:hAnsi="Times New Roman"/>
                <w:b/>
                <w:color w:val="231F20"/>
                <w:sz w:val="16"/>
              </w:rPr>
            </w:pPr>
            <w:r>
              <w:rPr>
                <w:rFonts w:ascii="Times New Roman" w:hAnsi="Times New Roman"/>
                <w:b/>
                <w:color w:val="231F20"/>
                <w:sz w:val="16"/>
              </w:rPr>
              <w:t>Non-financial benefits</w:t>
            </w:r>
          </w:p>
        </w:tc>
      </w:tr>
      <w:tr>
        <w:trPr/>
        <w:tc>
          <w:tcPr>
            <w:tcW w:w="679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Cash and equity-based compensation programs for certain employees to incentivize achievement</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Industry-benchmarked salaries and remuneration packages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Regularly reviewed compensation levels to ensure fairness</w:t>
            </w:r>
          </w:p>
        </w:tc>
        <w:tc>
          <w:tcPr>
            <w:tcW w:w="549"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2860"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Health and wellness programs</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o</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 xml:space="preserve">Access to annual health examination </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o</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Health examinations for spouses</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o</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Medical reimbursement plans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Personal pensions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Housing assistance</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Educational assistance programs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Workplace environment</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o</w:t>
            </w:r>
          </w:p>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Comfortable employee lounge areas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Recruitment and Talent Pipeline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adopted a structured approach to identifying, training, mentoring and developing talent within Magnachip, aiming to secure a steady supply of skilled and competent employees. To ensure that we attract the best talent, we regularly review and update our recruitment processes, incorporating feedback from both candidates and hiring managers.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Since 2018, we have operated a scholarship program designed for recent university graduates in partnership with a local university, aiming to develop and recruit local talent for the semiconductor industry. Every year, several students are selected to receive scholarships, which include a monthly tuition subsidy during the school year and a job offer upon graduation. In 2025, more than 61% of our new hires were recent graduates or graduating seniors from universities near our operational sites. Offering work-related training and employment opportunities for local students not only grants us access to top emerging talent but also enhances our reputation within the community and strengthens our community connections.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Training Programs and Continuing Education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provide a wide range of training initiatives covering fundamental skills as well as more advanced competencies. We have a comprehensive training system tailored for new employees, engineers and other functions, as well as leaders, to ensure a seamless onboarding and ongoing development process. We also allocate funds for employees seeking to enhance their skills through workshops, conferences and industry- specific courses to encourage a culture of continuous learning and development.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Employee Evaluation and Career Development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foster a culture of personal and professional growth by aligning individual goals with organizational objectives, helping employees identify and expand upon their strengths, and identifying areas for improvement. We evaluate all of our full-time employees and executives through an annual performance review process, using the management by objectives (MBO) method, which involves setting goals collaboratively, continuous monitoring and regular feedback. This approach allows us to establish clear career paths for our employees and uncover talent and potential for internal promotion.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Employee Engagement and Satisfaction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Every two years, we conduct a satisfaction survey to gain insight into how employees feel about their jobs, working environment and the Company as a whole. The results are communicated to our management team and employees, and we develop action plans to address any areas identified as needing improvement. We also track both the cadence of these assessments and the associated response rates.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Health and Safety of our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January 2021, the Korean legislature enacted the Serious Accident Punishment Act (“SAPA”), which imposes criminal liability on individuals and entities responsible for serious accidents, including industrial accidents that cause death, serious injury or occupational illness. We appointed Mr. Seunghoon Lee, our Chief of Manufacturing to serve as the Chief Safety Officer of our Korean operating subsidiary. Mr. Lee has more than 35 years of manufacturing and industrial experience at Magnachip in the area of environment, health and safety. On appointment, Mr. Lee formed a dedicated team to evaluate, improve and monitor the policies, practices, standards and systems relating to environment, health and safety.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aspire to become a “zero-accident, zero-disease” workplace. Under this plan, we set specific goals, analyze our progress towards these goals on a quarterly basis, and conduct a biannual workplace environment measurement to assess, monitor, and reduce the exposure of our employees to human health hazards. We also provide employees with 12 training courses related to environmental health and safety every year, conducted both in-house and through external providers.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color w:val="231F20"/>
          <w:sz w:val="20"/>
        </w:rPr>
      </w:pPr>
      <w:bookmarkStart w:id="16" w:name="director_compensation"/>
      <w:bookmarkEnd w:id="16"/>
      <w:r>
        <w:rPr>
          <w:rFonts w:ascii="Times New Roman" w:hAnsi="Times New Roman"/>
          <w:b/>
          <w:color w:val="231F20"/>
          <w:sz w:val="20"/>
        </w:rPr>
        <w:t>2025 Director Compensation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Each of our non-employee directors was eligible to earn a quarterly cash retainer, additional fees based on committee service and equity awards in 2025 pursuant to our Non-Employee Director Compensation Policy, which is described in further detail below. All such cash fees are paid quarterly in advance. A non-employee director who joins the Board after the beginning of a quarter receives a prorated cash retainer reflecting the actual period the non-employee director provided services on the Board and the applicable committee for such quarter and a non-employee director who joins the Board after the beginning of the Company’s annual director service period receives a pro-rated equity award reflecting the period the non-employee director provided services on the Board and the applicable committee during such annual service period.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below table depicts the Non-Employee Director Compensation Policy:</w:t>
      </w:r>
    </w:p>
    <w:p>
      <w:pPr>
        <w:pStyle w:val="TextBody"/>
        <w:bidi w:val="0"/>
        <w:jc w:val="left"/>
        <w:rPr/>
      </w:pPr>
      <w:r>
        <w:rPr/>
        <w:t> </w:t>
      </w:r>
    </w:p>
    <w:tbl>
      <w:tblPr>
        <w:tblW w:w="5816" w:type="dxa"/>
        <w:jc w:val="left"/>
        <w:tblInd w:w="0" w:type="dxa"/>
        <w:tblLayout w:type="fixed"/>
        <w:tblCellMar>
          <w:top w:w="28" w:type="dxa"/>
          <w:left w:w="28" w:type="dxa"/>
          <w:bottom w:w="28" w:type="dxa"/>
          <w:right w:w="28" w:type="dxa"/>
        </w:tblCellMar>
      </w:tblPr>
      <w:tblGrid>
        <w:gridCol w:w="3756"/>
        <w:gridCol w:w="346"/>
        <w:gridCol w:w="211"/>
        <w:gridCol w:w="781"/>
        <w:gridCol w:w="146"/>
        <w:gridCol w:w="576"/>
      </w:tblGrid>
      <w:tr>
        <w:trPr/>
        <w:tc>
          <w:tcPr>
            <w:tcW w:w="37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Elements: Non-Employee Director Compensation Policy</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Quarterly Cash Retainer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Quarterly Chairman Cash Retainer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Quarterly Lead Director Cash Retainer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Committee Chair Retainers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Audit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Nominating and Corporate Governance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Committee Member Retainers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Audit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Nominating and Corporate Governance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Initial Equity Grant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Annual Equity Grant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Committee Chair Grant (per committee)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Committee Member Grant (per committee)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bl>
    <w:p>
      <w:pPr>
        <w:pStyle w:val="TextBody"/>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(1)</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These cash retainers are separate from and in addition to the standard cash retainer compensation provided to all non-executive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pPr>
      <w:r>
        <w:rPr>
          <w:rFonts w:ascii="Times New Roman" w:hAnsi="Times New Roman"/>
          <w:i/>
          <w:color w:val="231F20"/>
          <w:sz w:val="20"/>
        </w:rPr>
        <w:t>Initial Equity Awards</w:t>
      </w:r>
      <w:r>
        <w:rPr>
          <w:rFonts w:ascii="Times New Roman" w:hAnsi="Times New Roman"/>
          <w:color w:val="231F20"/>
          <w:sz w:val="20"/>
        </w:rPr>
        <w:t>: If a non-employee director’s initial appointment to the Board or a Board committee occurs other than at an Annual Meeting of Stockholders, such director will be granted pro-rated RSU awards having a dollar value equal to (x) the applicable dollar value amount for applicable Board or committee membership described above, multiplied by (y) the quotient obtained by dividing the number of days elapsed from the date of initial appointment to the first anniversary of the prior year’s Annual Meeting of Stockholders of the Company (or, if earlier, August 31 of such year), by 365, with such grants to vest in full on the date of the annual equity grant made to non-executive directors immediately preceding the grant of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Annual Equity Awards</w:t>
      </w:r>
      <w:r>
        <w:rPr>
          <w:rFonts w:ascii="Times New Roman" w:hAnsi="Times New Roman"/>
          <w:color w:val="000000"/>
          <w:sz w:val="20"/>
        </w:rPr>
        <w:t xml:space="preserve">: Each non-employee director was eligible to receive a time-based restricted stock unit (“RSU”) award having a dollar value equal to $165,000. In addition, each non-employee director was eligible to receive an RSU award having a dollar value equal to $20,000 for such director’s service as the Chair of the Board’s Audit Committee, Compensation Committee or Nominating and Corporate Governance Committee, as applicable; and an RSU award having a dollar value equal to $10,000 for such director’s service as a non-Chair member of the Board’s Audit Committee, Compensation Committee or Nominating and Corporate Governance Committee. The number of shares subject to such RSU awards is calculated by dividing the applicable dollar value of the approved award by the volume-weighted average closing market price on the NYSE of one share of the Company’s Common stock over the trailing 30-day period ending on the last day immediately prior to the grant date. Each RSU award vests in full on the earlier of (x) the first anniversary of the date of grant, and (y) the date of the Company’s Annual Meeting of Stockholders held in the year following the year of grant. RSU awards are approved by the Board following the Company’s Annual Meeting of Stockholders for such year and are granted on the earlier of (A) the first to occur of the 1st or 15th day of any month following the approval date and (B) August 31 of such year. Vested RSUs settle as soon as administratively practicable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pPr>
      <w:r>
        <w:rPr>
          <w:rFonts w:ascii="Times New Roman" w:hAnsi="Times New Roman"/>
          <w:color w:val="000000"/>
          <w:sz w:val="20"/>
        </w:rPr>
        <w:t>following the date the non-employee director’s service terminates for any reason, unless the director has elected to settle the RSUs upon vesting.</w:t>
      </w:r>
      <w:r>
        <w:rPr>
          <w:color w:val="000000"/>
        </w:rPr>
        <w:t xml:space="preserv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All non-employee director equity awards will be granted under the Company’s 2020 Equity and Incentive Compensation Plan, as amended. Non-employee directors are subject to our Stock Ownership Policy, as described under the heading “Stock Ownership Guidelines”.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following table sets forth the total compensation earned by our non-employee directors during the year ended December 31, 2025.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2025 Director Compensation Table</w:t>
      </w:r>
    </w:p>
    <w:p>
      <w:pPr>
        <w:pStyle w:val="TextBody"/>
        <w:bidi w:val="0"/>
        <w:jc w:val="left"/>
        <w:rPr/>
      </w:pPr>
      <w:r>
        <w:rPr/>
        <w:t> </w:t>
      </w:r>
    </w:p>
    <w:tbl>
      <w:tblPr>
        <w:tblW w:w="6729" w:type="dxa"/>
        <w:jc w:val="left"/>
        <w:tblInd w:w="0" w:type="dxa"/>
        <w:tblLayout w:type="fixed"/>
        <w:tblCellMar>
          <w:top w:w="28" w:type="dxa"/>
          <w:left w:w="28" w:type="dxa"/>
          <w:bottom w:w="28" w:type="dxa"/>
          <w:right w:w="28" w:type="dxa"/>
        </w:tblCellMar>
      </w:tblPr>
      <w:tblGrid>
        <w:gridCol w:w="1321"/>
        <w:gridCol w:w="146"/>
        <w:gridCol w:w="189"/>
        <w:gridCol w:w="1011"/>
        <w:gridCol w:w="146"/>
        <w:gridCol w:w="146"/>
        <w:gridCol w:w="146"/>
        <w:gridCol w:w="781"/>
        <w:gridCol w:w="146"/>
        <w:gridCol w:w="146"/>
        <w:gridCol w:w="338"/>
        <w:gridCol w:w="803"/>
        <w:gridCol w:w="146"/>
        <w:gridCol w:w="146"/>
        <w:gridCol w:w="146"/>
        <w:gridCol w:w="781"/>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Gilbert Nathan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Liz Chung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Ilbok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Consists of the aggregate dollar amount of cash fees earned by our non-employee directors in 2025 for Board and committee service as described in the table below.</w:t>
      </w:r>
    </w:p>
    <w:p>
      <w:pPr>
        <w:pStyle w:val="TextBody"/>
        <w:bidi w:val="0"/>
        <w:jc w:val="left"/>
        <w:rPr/>
      </w:pPr>
      <w:r>
        <w:rPr/>
        <w:t> </w:t>
      </w:r>
    </w:p>
    <w:tbl>
      <w:tblPr>
        <w:tblW w:w="6174" w:type="dxa"/>
        <w:jc w:val="left"/>
        <w:tblInd w:w="0" w:type="dxa"/>
        <w:tblLayout w:type="fixed"/>
        <w:tblCellMar>
          <w:top w:w="28" w:type="dxa"/>
          <w:left w:w="28" w:type="dxa"/>
          <w:bottom w:w="28" w:type="dxa"/>
          <w:right w:w="28" w:type="dxa"/>
        </w:tblCellMar>
      </w:tblPr>
      <w:tblGrid>
        <w:gridCol w:w="1321"/>
        <w:gridCol w:w="146"/>
        <w:gridCol w:w="146"/>
        <w:gridCol w:w="676"/>
        <w:gridCol w:w="146"/>
        <w:gridCol w:w="146"/>
        <w:gridCol w:w="176"/>
        <w:gridCol w:w="814"/>
        <w:gridCol w:w="146"/>
        <w:gridCol w:w="146"/>
        <w:gridCol w:w="160"/>
        <w:gridCol w:w="741"/>
        <w:gridCol w:w="146"/>
        <w:gridCol w:w="146"/>
        <w:gridCol w:w="146"/>
        <w:gridCol w:w="781"/>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w:t>
              <w:br/>
              <w:t>Retainer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Service Fees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br/>
              <w:t>Service</w:t>
              <w:br/>
              <w:t>Fees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Gilbert Nathan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Liz Chung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Ilbok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The amounts reported represent the aggregate grant date fair value of the RSUs awarded to the non-employee directors, calculated in accordance with FASB ASC Topic 718. Such aggregate grant date fair values do not take into account any estimated forfeitures related to service vesting conditions. The amounts reported in this column reflect the accounting cost for these RSUs and do not correspond to the actual economic value that may be received by the directors upon vesting and/or settlement of the RSUs.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2025, the number of outstanding stock options and RSU awards held by our non-employee directors who served during 2025 were as follows:</w:t>
      </w:r>
    </w:p>
    <w:p>
      <w:pPr>
        <w:pStyle w:val="TextBody"/>
        <w:bidi w:val="0"/>
        <w:spacing w:before="9" w:after="283"/>
        <w:jc w:val="left"/>
        <w:rPr/>
      </w:pPr>
      <w:r>
        <w:rPr/>
        <w:t> </w:t>
      </w:r>
    </w:p>
    <w:tbl>
      <w:tblPr>
        <w:tblW w:w="4257" w:type="dxa"/>
        <w:jc w:val="left"/>
        <w:tblInd w:w="0" w:type="dxa"/>
        <w:tblLayout w:type="fixed"/>
        <w:tblCellMar>
          <w:top w:w="28" w:type="dxa"/>
          <w:left w:w="28" w:type="dxa"/>
          <w:bottom w:w="28" w:type="dxa"/>
          <w:right w:w="28" w:type="dxa"/>
        </w:tblCellMar>
      </w:tblPr>
      <w:tblGrid>
        <w:gridCol w:w="1321"/>
        <w:gridCol w:w="146"/>
        <w:gridCol w:w="146"/>
        <w:gridCol w:w="781"/>
        <w:gridCol w:w="146"/>
        <w:gridCol w:w="146"/>
        <w:gridCol w:w="245"/>
        <w:gridCol w:w="1135"/>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Gilbert Nathan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Liz Chung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Ilbok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of December 31, 2025, the following number of RSUs included in the table above were vested but not yet settled under the terms of the applicable RSU agreements: Mr. Nathan—59,858 RSUs; Ms. Chung—49,228 RSUs; and Dr. Lee—165,909 RSUs. Stock options were last granted to our non-employee directors in 2017, and no stock options have been granted since then. Please see the section entitled “Security Ownership of Certain Beneficial Owners and Management” for additional information regarding all shares of Common Stock beneficially owned by our non-employee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color w:val="231F20"/>
          <w:sz w:val="20"/>
        </w:rPr>
      </w:pPr>
      <w:bookmarkStart w:id="17" w:name="compensation_committee_interlocks_and"/>
      <w:bookmarkEnd w:id="17"/>
      <w:r>
        <w:rPr>
          <w:rFonts w:ascii="Times New Roman" w:hAnsi="Times New Roman"/>
          <w:b/>
          <w:color w:val="231F20"/>
          <w:sz w:val="20"/>
        </w:rPr>
        <w:t>Compensation Committee Interlocks and Insider Participation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None of the members of the Compensation Committee has been an officer or employee of our Company during the last fiscal year. During 2025, decisions regarding executive officer compensation were made by our 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Mr. Young-Joon Kim, our former Chief Executive Officer, participated in the deliberations of our Compensation Committee regarding the determination of the compensation of our executive officers (other than himself) for 2025 and prior periods. At the time of such deliberations, Mr. Camillo Martino was serving as a non-employee director and member of the 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None of our executive officers currently serves, or in the past has served, as a member of the Board or the compensation committee of another entity that has one or more executive officers serving on our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18" w:name="executive_compensation"/>
      <w:bookmarkEnd w:id="18"/>
      <w:r>
        <w:rPr>
          <w:rFonts w:ascii="Times New Roman" w:hAnsi="Times New Roman"/>
          <w:b/>
          <w:color w:val="231F20"/>
          <w:sz w:val="20"/>
        </w:rPr>
        <w:t>EXECUTIVE COMPENSATION</w:t>
      </w:r>
    </w:p>
    <w:p>
      <w:pPr>
        <w:pStyle w:val="TextBody"/>
        <w:bidi w:val="0"/>
        <w:spacing w:before="240" w:after="283"/>
        <w:jc w:val="left"/>
        <w:rPr>
          <w:rFonts w:ascii="Times New Roman" w:hAnsi="Times New Roman"/>
          <w:b/>
          <w:color w:val="231F20"/>
          <w:sz w:val="20"/>
        </w:rPr>
      </w:pPr>
      <w:bookmarkStart w:id="19" w:name="compensation_discussion_and_analysis"/>
      <w:bookmarkEnd w:id="19"/>
      <w:r>
        <w:rPr>
          <w:rFonts w:ascii="Times New Roman" w:hAnsi="Times New Roman"/>
          <w:b/>
          <w:color w:val="231F20"/>
          <w:sz w:val="20"/>
        </w:rPr>
        <w:t>COMPENSATION DISCUSSION AND ANALYSIS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Introduction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Compensation Discussion and Analysis (CD&amp;A) describes and analyzes our executive compensation program for the following executive officers who served the Company in 2025 (collectively, our “named executive officers”):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Camillo Martino, Chairman and Interim Chief Executive Officer (“Interim CEO”)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Young-Joon Kim, Former Chief Executive Officer (Separated on August 11, 2025)</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Shinyoung Park, Chief Financial Officer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Seunghoon Lee, Chief of Manufacturing and Chief Safety Officer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Theodore Kim, Former Chief Compliance Officer, Executive Vice President, General Counsel and Secretary (Separated on October 21, 2025)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 “smaller reporting company” as defined in the rules of the SEC, the Company is not required to include a CD&amp;A in this proxy statement and may provide scaled executive compensation disclosure. However, the Company has elected to include the following CD&amp;A to provide its stockholders with additional context regarding its executive compensation philosophy, policies and practices, as well as the factors considered in making compensation decisions for our named executive officers. The Company believes that this additional disclosure promotes transparency and enhances stockholders’ understanding of the Company’s executive compensation program.</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Compensation Philosophy and Objectives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of our Board has primary responsibility for developing and maintaining a compensation program for our senior management, including our named executive officers.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believes that our executive compensation program should play a key role in our operating and financial success, and has worked with outside legal counsel and Compensia Inc. (“Compensia”), a national compensation consulting firm, to develop a comprehensive executive compensation program that is intended to attract and retain talent with competitive compensation, and further align the interests of our executive officers with our stockholders by linking a significant component of executive compensation to variable cash-based compensation tied to the achievement of our short-term financial, operational and strategic goals, as well as equity-based compensation tied to the achievement of our long-term strategic goals that in turn lead to stockholder value creation.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light of the highly competitive market in which we compete for business, and our dependence on the highly skilled workforce that is necessary in order to innovate and compete in that market, the Compensation Committee believes that our ability to attract and retain talent at all levels of the Company is critical to our long- term success.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view of our unique situation in that most of our senior executives live and work in South Korea (herein referred to as “Korea”), we have provided competitive expatriate benefits intended to minimize adverse tax and financial impacts. In 2025, such benefits were provided to Mr. Young-Joon Kim and Mr. Theodore Kim in connection with their expatriate assignments, as they were subject to taxation in both the United States and Republic of Korea. After Messer. Kims’ departures, we no longer employ any expatriate full time executives and so none of our executive officers are currently receiving expatriate assignment benefits.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More information about our human capital management strategy and approach can be found under the heading “Human Capital Management” on page 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Key 2025 Compensation Decisions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made the following key compensation decision in respect of fiscal year 2025:</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Granted annual equity awards to Mr. Young-Joon Kim (the “Former CEO”), Ms. Shinyoung Park (“CFO”) and Mr. Seunghoon Lee (“CSO”) using a combination of performance- based stock units (“PSUs”) and service-based restricted stock units (“RSUs”). Accordingly, our Former CEO received 67% of his grants in PSUs and 33% in RSUs and our CFO and CSO received 50% of their grants in PSUs and 50% in RSUs. The PSUs granted in 2025 were based on financial performance goals and stock price-based metrics, with financial performance measured based on the achievement of pre-established revenue, gross profit margin and adjusted EBITDA targets over the applicable performance period, which is the full year 2025, and subject to certification by the Compensation Committee, and stock price performance measured at the end of the three-year performance period ending on January 31, 2028, and subject to meeting or exceeding targets set by the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Approved a 20% reduction in the Former CEO’s annual base salary, effective April 1, 2025, which reduction remains in effect until the Company achieves positive operating income for two consecutive fiscal quarters, with automatic restoration upon satisfaction of such condition or upon a change in control.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Approved the increase of the CFO’s annual base salary from $350,000 to $360,000 effective as of April 1, 2025 to better align our CFO’s compensation with the market, and approved a 10% reduction in CFO’s annual base salary, effective April 1, 2025, subject to the same restoration conditions applicable to the Former CEO’s salary reduction.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Approved a 5% reduction in Mr. Seunghoon Lee’s annual base salary, effective October 1, 2025.</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Certified that there was no cash bonus payout for 2025, because performance was below the threshold for any bonus payout.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Certified that the Company achieved 0% of the performance goals underlying 2025 Performance-Based (Financial) Restricted Stock Units (“Financial PSUs”), and, accordingly, such awards were forfeited in their entirety.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Certified that the Company did not achieve at least the threshold level for the performance goals underlying the total shareholder return PSUs (“TSR PSUs”) granted in 2023, and, accordingly, such awards were forfeited in their entirety.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Reviewed the compensation-related terms in connection with Mr. Camillo Martino’s services as the Company’s Interim CEO and, accordingly, approved such arrangements and recommended their approval to the Board.</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Executive Compensation-Related Policies and Practices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endeavor to maintain sound executive compensation policies and practices, including compensation-related corporate governance standards, consistent with our pay for performance philosophy. The following summarizes our executive compensation and related governance policies and practices: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2"/>
        <w:gridCol w:w="146"/>
        <w:gridCol w:w="7917"/>
      </w:tblGrid>
      <w:tr>
        <w:trPr/>
        <w:tc>
          <w:tcPr>
            <w:tcW w:w="21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17" w:type="dxa"/>
            <w:tcBorders/>
            <w:shd w:fill="FFFFFF" w:val="clear"/>
            <w:vAlign w:val="center"/>
          </w:tcPr>
          <w:p>
            <w:pPr>
              <w:pStyle w:val="TableContents"/>
              <w:bidi w:val="0"/>
              <w:spacing w:before="0" w:after="283"/>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7" w:type="dxa"/>
            <w:tcBorders>
              <w:bottom w:val="single" w:sz="4" w:space="0" w:color="000000"/>
            </w:tcBorders>
            <w:tcMar>
              <w:top w:w="0" w:type="dxa"/>
              <w:left w:w="0" w:type="dxa"/>
              <w:right w:w="0" w:type="dxa"/>
            </w:tcMar>
            <w:vAlign w:val="center"/>
          </w:tcPr>
          <w:p>
            <w:pPr>
              <w:pStyle w:val="TableContents"/>
              <w:bidi w:val="0"/>
              <w:spacing w:before="0" w:after="283"/>
              <w:ind w:left="0" w:right="0" w:firstLine="806"/>
              <w:jc w:val="center"/>
              <w:rPr>
                <w:rFonts w:ascii="Times New Roman" w:hAnsi="Times New Roman"/>
                <w:b/>
                <w:color w:val="231F20"/>
                <w:sz w:val="20"/>
              </w:rPr>
            </w:pPr>
            <w:r>
              <w:rPr>
                <w:rFonts w:ascii="Times New Roman" w:hAnsi="Times New Roman"/>
                <w:b/>
                <w:color w:val="231F20"/>
                <w:sz w:val="20"/>
              </w:rPr>
              <w:t>What We Do</w:t>
            </w:r>
          </w:p>
        </w:tc>
      </w:tr>
      <w:tr>
        <w:trPr/>
        <w:tc>
          <w:tcPr>
            <w:tcW w:w="2142"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Pay-for-Performance Philosophy</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917"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A significant portion of our named executive officers’ compensation is directly linked to corporate performance. We structure target total direct compensation with a significant long- term equity component in the form of RSUs and PSUs, thereby making a vast majority of each named executive officer’s target total direct compensation dependent upon our corporate performance, stock price and/or total shareholder return.</w:t>
            </w:r>
          </w:p>
        </w:tc>
      </w:tr>
      <w:tr>
        <w:trPr/>
        <w:tc>
          <w:tcPr>
            <w:tcW w:w="2142"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Performance-Based Equity Awards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91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Our named executive officers receive performance-based equity awards that vest based on achieving pre-determined financial and stock price targets.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266"/>
        <w:gridCol w:w="146"/>
        <w:gridCol w:w="7793"/>
      </w:tblGrid>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93"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93" w:type="dxa"/>
            <w:tcBorders>
              <w:bottom w:val="single" w:sz="4" w:space="0" w:color="000000"/>
            </w:tcBorders>
            <w:tcMar>
              <w:top w:w="0" w:type="dxa"/>
              <w:left w:w="0" w:type="dxa"/>
              <w:right w:w="0" w:type="dxa"/>
            </w:tcMar>
            <w:vAlign w:val="center"/>
          </w:tcPr>
          <w:p>
            <w:pPr>
              <w:pStyle w:val="TableContents"/>
              <w:bidi w:val="0"/>
              <w:spacing w:before="0" w:after="283"/>
              <w:ind w:left="0" w:right="0" w:firstLine="806"/>
              <w:jc w:val="center"/>
              <w:rPr>
                <w:rFonts w:ascii="Times New Roman" w:hAnsi="Times New Roman"/>
                <w:b/>
                <w:color w:val="231F20"/>
                <w:sz w:val="20"/>
              </w:rPr>
            </w:pPr>
            <w:r>
              <w:rPr>
                <w:rFonts w:ascii="Times New Roman" w:hAnsi="Times New Roman"/>
                <w:b/>
                <w:color w:val="231F20"/>
                <w:sz w:val="20"/>
              </w:rPr>
              <w:t>What We Do</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Human Capital Management and Succession Planning</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provide opportunities for training and advancement to all employees as part of our human capital management program. Furthermore, we conduct succession planning and executive assessments for all key employees to ensure orderly succession plans are in place.</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Independent Compensation Committee</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The Compensation Committee consists solely of independent directors.</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Compensation Recovery Policy</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have a policy providing for the recovery of certain cash incentive compensation and equity or equity-based awards from our CEO and other executive officers (including our other named executive officers).</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Stock Ownership Guidelines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maintain stock ownership guidelines for our CEO, our other executive officers (including our other named executive officers) and the non-employee members of our Board.</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Equity Award Grant Policy</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Equity awards are granted in accordance with our Equity Award Grant Policy. We do not have any program, practice or plan to time equity awards in coordination with the release of material non-public information.</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Retain an Independent Compensation Advisor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ind w:left="0" w:right="0" w:firstLine="806"/>
              <w:jc w:val="both"/>
              <w:rPr>
                <w:rFonts w:ascii="Times New Roman" w:hAnsi="Times New Roman"/>
                <w:color w:val="231F20"/>
                <w:sz w:val="20"/>
              </w:rPr>
            </w:pPr>
            <w:r>
              <w:rPr>
                <w:rFonts w:ascii="Times New Roman" w:hAnsi="Times New Roman"/>
                <w:color w:val="231F20"/>
                <w:sz w:val="20"/>
              </w:rPr>
              <w:t>The Compensation Committee has engaged its own independent compensation advisor to provide information, analysis and other advice on executive compensation independent of management.</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Annual Executive Compensation Review</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98" w:after="283"/>
              <w:ind w:left="0" w:right="0" w:firstLine="806"/>
              <w:jc w:val="left"/>
              <w:rPr>
                <w:rFonts w:ascii="Times New Roman" w:hAnsi="Times New Roman"/>
                <w:color w:val="231F20"/>
                <w:sz w:val="20"/>
              </w:rPr>
            </w:pPr>
            <w:r>
              <w:rPr>
                <w:rFonts w:ascii="Times New Roman" w:hAnsi="Times New Roman"/>
                <w:color w:val="231F20"/>
                <w:sz w:val="20"/>
              </w:rPr>
              <w:t>The Compensation Committee conducts an annual review of our compensation strategy, including a review of our compensation used for comparative purposes.</w:t>
            </w:r>
          </w:p>
        </w:tc>
      </w:tr>
      <w:tr>
        <w:trPr/>
        <w:tc>
          <w:tcPr>
            <w:tcW w:w="2266"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Balanced Time Horizon for Incentive Compensation</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9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We have a balance of time horizons for our incentive awards, including an annual cash incentive plan, a three-year performance period for our TSR PSUs and Stock Price PSUs and a three-year vesting period for our RSUs.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9"/>
        <w:gridCol w:w="146"/>
        <w:gridCol w:w="7560"/>
      </w:tblGrid>
      <w:tr>
        <w:trPr/>
        <w:tc>
          <w:tcPr>
            <w:tcW w:w="24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60" w:type="dxa"/>
            <w:tcBorders/>
            <w:shd w:fill="FFFFFF" w:val="clear"/>
            <w:vAlign w:val="center"/>
          </w:tcPr>
          <w:p>
            <w:pPr>
              <w:pStyle w:val="TableContents"/>
              <w:bidi w:val="0"/>
              <w:spacing w:before="0" w:after="283"/>
              <w:jc w:val="left"/>
              <w:rPr>
                <w:sz w:val="4"/>
                <w:szCs w:val="4"/>
              </w:rPr>
            </w:pPr>
            <w:r>
              <w:rPr>
                <w:sz w:val="4"/>
                <w:szCs w:val="4"/>
              </w:rPr>
            </w:r>
          </w:p>
        </w:tc>
      </w:tr>
      <w:tr>
        <w:trPr/>
        <w:tc>
          <w:tcPr>
            <w:tcW w:w="24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0" w:type="dxa"/>
            <w:tcBorders>
              <w:bottom w:val="single" w:sz="4" w:space="0" w:color="000000"/>
            </w:tcBorders>
            <w:tcMar>
              <w:top w:w="0" w:type="dxa"/>
              <w:left w:w="0" w:type="dxa"/>
              <w:right w:w="0" w:type="dxa"/>
            </w:tcMar>
            <w:vAlign w:val="center"/>
          </w:tcPr>
          <w:p>
            <w:pPr>
              <w:pStyle w:val="TableContents"/>
              <w:bidi w:val="0"/>
              <w:spacing w:before="0" w:after="283"/>
              <w:ind w:left="0" w:right="0" w:firstLine="806"/>
              <w:jc w:val="center"/>
              <w:rPr>
                <w:rFonts w:ascii="Times New Roman" w:hAnsi="Times New Roman"/>
                <w:b/>
                <w:color w:val="231F20"/>
                <w:sz w:val="20"/>
              </w:rPr>
            </w:pPr>
            <w:r>
              <w:rPr>
                <w:rFonts w:ascii="Times New Roman" w:hAnsi="Times New Roman"/>
                <w:b/>
                <w:color w:val="231F20"/>
                <w:sz w:val="20"/>
              </w:rPr>
              <w:t>What We Don't Do</w:t>
            </w:r>
          </w:p>
        </w:tc>
      </w:tr>
      <w:tr>
        <w:trPr/>
        <w:tc>
          <w:tcPr>
            <w:tcW w:w="2499"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Special Retirement Plans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60"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do not currently offer pension arrangements or retirement plans to our executive officers other than statutory severance benefits required under the Employee Retirement Benefit Security Act of Korea.</w:t>
            </w:r>
          </w:p>
        </w:tc>
      </w:tr>
      <w:tr>
        <w:trPr/>
        <w:tc>
          <w:tcPr>
            <w:tcW w:w="2499"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Stock Option Re-Pricing</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60"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Our equity compensation plan does not permit stock options or stock appreciation rights (“SARs”) to be repriced to a lower exercise or strike price without the approval of our stockholders.</w:t>
            </w:r>
          </w:p>
        </w:tc>
      </w:tr>
      <w:tr>
        <w:trPr/>
        <w:tc>
          <w:tcPr>
            <w:tcW w:w="2499"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Excise Tax Payments on Future Post-Employment Compensation Arrangements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60"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do not provide any excise tax reimbursement payments (including “gross-ups”) with respect to payments or benefits contingent upon a change in control of the Company. The Company does, however, have the obligation to provide tax equalization with respect to such payments and benefits to individuals who receive them as a part of their expatriate benefit package, as such individuals are subject to taxation in both the U.S. and Korea.</w:t>
            </w:r>
          </w:p>
        </w:tc>
      </w:tr>
      <w:tr>
        <w:trPr/>
        <w:tc>
          <w:tcPr>
            <w:tcW w:w="2499"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Hedging or Pledging</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60" w:type="dxa"/>
            <w:tcBorders/>
            <w:tcMar>
              <w:top w:w="0" w:type="dxa"/>
              <w:left w:w="0" w:type="dxa"/>
              <w:bottom w:w="0" w:type="dxa"/>
              <w:right w:w="0" w:type="dxa"/>
            </w:tcMar>
            <w:vAlign w:val="center"/>
          </w:tcPr>
          <w:p>
            <w:pPr>
              <w:pStyle w:val="TableContents"/>
              <w:bidi w:val="0"/>
              <w:spacing w:before="120" w:after="283"/>
              <w:ind w:left="0" w:right="0" w:firstLine="806"/>
              <w:jc w:val="left"/>
              <w:rPr>
                <w:rFonts w:ascii="Times New Roman" w:hAnsi="Times New Roman"/>
                <w:color w:val="231F20"/>
                <w:sz w:val="20"/>
              </w:rPr>
            </w:pPr>
            <w:r>
              <w:rPr>
                <w:rFonts w:ascii="Times New Roman" w:hAnsi="Times New Roman"/>
                <w:color w:val="231F20"/>
                <w:sz w:val="20"/>
              </w:rPr>
              <w:t>We prohibit our employees, including our executive officers, and the non-employee members of our Board from pledging, engaging in short sales and certain derivative transactions relating to our securities.</w:t>
            </w:r>
          </w:p>
        </w:tc>
      </w:tr>
      <w:tr>
        <w:trPr/>
        <w:tc>
          <w:tcPr>
            <w:tcW w:w="2499"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Special Welfare or Health Benefits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6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 xml:space="preserve">We do not provide our executive officers with any welfare or health benefit programs, other than participation on the same basis as our full-time employees in the employee programs that are standard in our industry sector. The Company does provide customary international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994"/>
        <w:gridCol w:w="146"/>
        <w:gridCol w:w="6065"/>
      </w:tblGrid>
      <w:tr>
        <w:trPr/>
        <w:tc>
          <w:tcPr>
            <w:tcW w:w="39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5" w:type="dxa"/>
            <w:tcBorders/>
            <w:shd w:fill="FFFFFF" w:val="clear"/>
            <w:vAlign w:val="center"/>
          </w:tcPr>
          <w:p>
            <w:pPr>
              <w:pStyle w:val="TableContents"/>
              <w:bidi w:val="0"/>
              <w:spacing w:before="0" w:after="283"/>
              <w:jc w:val="left"/>
              <w:rPr>
                <w:sz w:val="4"/>
                <w:szCs w:val="4"/>
              </w:rPr>
            </w:pPr>
            <w:r>
              <w:rPr>
                <w:sz w:val="4"/>
                <w:szCs w:val="4"/>
              </w:rPr>
            </w:r>
          </w:p>
        </w:tc>
      </w:tr>
      <w:tr>
        <w:trPr/>
        <w:tc>
          <w:tcPr>
            <w:tcW w:w="3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What We Don't Do</w:t>
            </w:r>
          </w:p>
        </w:tc>
      </w:tr>
      <w:tr>
        <w:trPr/>
        <w:tc>
          <w:tcPr>
            <w:tcW w:w="3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5" w:type="dxa"/>
            <w:tcBorders/>
            <w:tcMar>
              <w:top w:w="0" w:type="dxa"/>
              <w:left w:w="0" w:type="dxa"/>
              <w:bottom w:w="0" w:type="dxa"/>
              <w:right w:w="0" w:type="dxa"/>
            </w:tcMar>
            <w:vAlign w:val="center"/>
          </w:tcPr>
          <w:p>
            <w:pPr>
              <w:pStyle w:val="TableContents"/>
              <w:bidi w:val="0"/>
              <w:spacing w:before="0" w:after="283"/>
              <w:ind w:left="0" w:right="0" w:firstLine="806"/>
              <w:jc w:val="left"/>
              <w:rPr>
                <w:rFonts w:ascii="Times New Roman" w:hAnsi="Times New Roman"/>
                <w:color w:val="231F20"/>
                <w:sz w:val="20"/>
              </w:rPr>
            </w:pPr>
            <w:r>
              <w:rPr>
                <w:rFonts w:ascii="Times New Roman" w:hAnsi="Times New Roman"/>
                <w:color w:val="231F20"/>
                <w:sz w:val="20"/>
              </w:rPr>
              <w:t>health insurance to individuals who are eligible for such benefits as part of their expatriate benefit package.</w:t>
            </w:r>
          </w:p>
        </w:tc>
      </w:tr>
      <w:tr>
        <w:trPr/>
        <w:tc>
          <w:tcPr>
            <w:tcW w:w="3994" w:type="dxa"/>
            <w:tcBorders/>
            <w:tcMar>
              <w:top w:w="0" w:type="dxa"/>
              <w:left w:w="0" w:type="dxa"/>
              <w:bottom w:w="0" w:type="dxa"/>
              <w:right w:w="0" w:type="dxa"/>
            </w:tcMar>
            <w:vAlign w:val="center"/>
          </w:tcPr>
          <w:p>
            <w:pPr>
              <w:pStyle w:val="TableContents"/>
              <w:bidi w:val="0"/>
              <w:spacing w:before="120" w:after="283"/>
              <w:jc w:val="left"/>
              <w:rPr>
                <w:color w:val="231F20"/>
              </w:rPr>
            </w:pPr>
            <w:r>
              <w:rPr>
                <w:color w:val="231F20"/>
              </w:rPr>
              <w:t>•</w:t>
            </w:r>
          </w:p>
          <w:p>
            <w:pPr>
              <w:pStyle w:val="TableContents"/>
              <w:bidi w:val="0"/>
              <w:spacing w:before="120" w:after="283"/>
              <w:jc w:val="left"/>
              <w:rPr>
                <w:rFonts w:ascii="Times New Roman" w:hAnsi="Times New Roman"/>
                <w:b/>
                <w:color w:val="231F20"/>
                <w:sz w:val="20"/>
              </w:rPr>
            </w:pPr>
            <w:r>
              <w:rPr>
                <w:rFonts w:ascii="Times New Roman" w:hAnsi="Times New Roman"/>
                <w:b/>
                <w:color w:val="231F20"/>
                <w:sz w:val="20"/>
              </w:rPr>
              <w:t>No Dividends or Dividend Equivalents Payable on Unvested Equity Awards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06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We do not pay dividends or dividend equivalents on unvested equity awards.</w:t>
            </w:r>
          </w:p>
        </w:tc>
      </w:tr>
    </w:tbl>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Insider Trading Policy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adopted an insider trading policy governing the purchase, sale and/or other dispositions of the Company’s securities by the Company’s directors, officers and employees, among other covered persons. The Company believes this policy is reasonably designed to promote and enforce compliance by such covered persons with applicable insider trading laws, rules and regulations, as well as the listing standards applicable to the Company. A copy of our Securities Trading Policy is filed as Exhibit 19.1 to the Annual Report on Form 10-K filed with the SEC on March 16, 2026.</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Say on Pay Vote and Stockholder Input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has responsibility to ensure that the compensation paid to our executive officers aligns with the interests of our stockholders and the Company’s compensation philosophy. Approximately 77.4% of the stockholders at the Annual Meeting of Stockholders of the Company held in 2025 (“2025 Annual Meeting”) voted to approve the compensation of the Company’s named executive officers as disclosed in the Company’s 2025 proxy statement. In light of the advisory vote results and given the departure of the Company's former CEO, the Compensation Committee determined not to make any changes to the Company’s executive compensation program at this time. Following the appointment of a new CEO, the Compensation Committee will consider shareholder feedback and evaluate whether any changes are appropriate.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at our 2024 Annual Meeting, our stockholders recommended that we hold future non-binding advisory votes on the compensation of our named executive officers every year. As part of our commitment and consistent with the results of the advisory “Say on Frequency” vote of our stockholders that was held at our 2024</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Annual Meeting, we intend to hold an annual non-binding, advisory vote on the compensation of our named executive officers to provide our stockholders with an opportunity to provide their feedback on an annual basis.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Timing of Compensation Decisions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Generally, at the end of each annual evaluation period, our CEO reviews the performance of the other executive officers and presents his conclusions and recommendations to the Compensation Committee. At that time and throughout the year, the Compensation Committee also evaluates the performance of our CEO, which is measured in substantial part against our consolidated financial performance.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the fiscal year 2026, given the departure of two senior executives—namely, Mr. Young-Joon Kim and Mr. Theodore Kim—the Committee determined that it is advisable to maintain the current compensation structure without material modifications until a permanent CEO is appointed and the executive team is reconstituted.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awards are made in accordance with our Equity Award Grant Policy described below. We do not have any program, plan or practice to time equity award grants in coordination with the release of material non-public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Role of the Compensation Committee in Compensation Decisions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Committee’s responsibilities include evaluating, approving and monitoring our named executive officer and director compensation plans, policies and programs, as well as each of our equity-based compensation plans and policies. In addition, the Compensation Committee has the responsibility of periodically reviewing and advising the Board concerning our human capital strategies, initiatives and programs with respect to our culture, talent, recruitment, retention and employee engagement and inclusion efforts.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Consistent with our compensation philosophy and objectives, the Compensation Committee evaluates our executive officer compensation packages annually to ensure that: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maintain our ability to attract and retain superior executives in critical positions;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executives are incentivized and rewarded for corporate growth, achievement of long-term corporate objectives and individual performance that meet or exceed our expectations without encouraging unnecessary risk-taking;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Compensation provided to critical executives remains competitive relative to the compensation paid to similarly situated executives of companies in the semiconductor industry.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the annual reviews, the Compensation Committee also typically considers compensation changes upon a named executive officer’s promotion or other change in job responsibility.</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Role of CEO in Compensation Decisions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named executive officers other than our CEO, we have historically sought and considered input from our CEO and our independent compensation consultant as described below, in making determinations regarding executive compensation.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CEO annually reviews the performance of our other named executive officers. Thereafter, he presents conclusions and recommendations regarding the compensation of such officers, including proposed salary adjustments and incentive amounts, to the Compensation Committee. The Compensation Committee then takes this information into account when it makes final decisions regarding any adjustments or awards.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review of performance by the Compensation Committee and our CEO of our other named executive officers is both an objective and subjective assessment of each named executive officer’s contribution to our performance, leadership qualities, strengths and weaknesses and performance relative to goals set by the Compensation Committee or our CEO, as applicable. The Compensation Committee and our CEO do not systematically assign a weight to the factors, and may, in their discretion, consider or disregard any one factor which, in their sole discretion, is important to or irrelevant for a particular executive.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Role of Compensation Consultant</w:t>
      </w:r>
    </w:p>
    <w:p>
      <w:pPr>
        <w:pStyle w:val="TextBody"/>
        <w:bidi w:val="0"/>
        <w:spacing w:before="120" w:after="283"/>
        <w:jc w:val="left"/>
        <w:rPr>
          <w:rFonts w:ascii="Times New Roman" w:hAnsi="Times New Roman"/>
          <w:sz w:val="20"/>
        </w:rPr>
      </w:pPr>
      <w:r>
        <w:rPr>
          <w:rFonts w:ascii="Times New Roman" w:hAnsi="Times New Roman"/>
          <w:color w:val="231F20"/>
          <w:sz w:val="20"/>
        </w:rPr>
        <w:t>The Compensation Committee engages an external compensation consultant to assist it by providing information, analysis and other advice relating to our executive compensation program and the decisions</w:t>
      </w:r>
      <w:r>
        <w:rPr>
          <w:rFonts w:ascii="Times New Roman" w:hAnsi="Times New Roman"/>
          <w:color w:val="000000"/>
          <w:sz w:val="20"/>
        </w:rPr>
        <w:t xml:space="preserve"> </w:t>
      </w:r>
      <w:r>
        <w:rPr>
          <w:rFonts w:ascii="Times New Roman" w:hAnsi="Times New Roman"/>
          <w:color w:val="231F20"/>
          <w:sz w:val="20"/>
        </w:rPr>
        <w:t>resulting from its annual executive compensation review. For 2025, the Compensation Committee retained Compensia, a national compensation consulting firm, to serve as its independent compensation consultant. This compensation consultant serves at the discretion of the 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2025, Compensia attended some of the meetings of the Compensation Committee (both with and without management present) during the period of its engagement and provided the following services: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Consulting with the Compensation Committee Chair and other members between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Committee meetings on compensation matters as needed;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Reviewing the Compensation Discussion and Analysis and assisting in the drafting of the Pay Versus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Performance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Reviewing and updating the compensation peer group used to assess executive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Providing market data for selected executive officer positions covering target total direct compensation levels and design to help the Compensation Committee determine how to competitively set compensation for the selected executive officer positions;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Assistance with the design of the PSUs.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2025, Compensia did not provide any services to us other than the consulting services to the Compensation Committee. The Compensation Committee regularly reviews the objectivity and independence of the advice provided by its compensation consultant on executive compensation. In 2025, the Compensation Committee considered the six specific independence factors adopted by the SEC and reflected in the NYSE listing standards and determined that the work performed by Compensia did not raise any conflicts of interest.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Elements of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making decisions regarding the pay of the named executive officers, the Compensation Committee looks to set a total compensation package for each officer that will retain high-quality talent and motivate the officer to achieve the goals set by our Board. Our executive compensation package is generally comprised of the following elements: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71"/>
        <w:gridCol w:w="146"/>
        <w:gridCol w:w="3858"/>
        <w:gridCol w:w="146"/>
        <w:gridCol w:w="4684"/>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4" w:type="dxa"/>
            <w:tcBorders/>
            <w:vAlign w:val="center"/>
          </w:tcPr>
          <w:p>
            <w:pPr>
              <w:pStyle w:val="TableContents"/>
              <w:bidi w:val="0"/>
              <w:spacing w:before="0" w:after="283"/>
              <w:jc w:val="left"/>
              <w:rPr>
                <w:sz w:val="4"/>
                <w:szCs w:val="4"/>
              </w:rPr>
            </w:pPr>
            <w:r>
              <w:rPr>
                <w:sz w:val="4"/>
                <w:szCs w:val="4"/>
              </w:rPr>
            </w:r>
          </w:p>
        </w:tc>
      </w:tr>
      <w:tr>
        <w:trPr/>
        <w:tc>
          <w:tcPr>
            <w:tcW w:w="1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Purpose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base salary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Provides a fixed source of annual cash compensation for our named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upon each individual’s skills, experience and performance as well as the criticality of the role.</w:t>
            </w:r>
          </w:p>
        </w:tc>
      </w:tr>
      <w:tr>
        <w:trPr/>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cash incentives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Incentivizes achievement of key annual financial, operational and strategic goals.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Variable cash compensation based on performance. </w:t>
            </w:r>
          </w:p>
        </w:tc>
      </w:tr>
      <w:tr>
        <w:trPr/>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equity incentives</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Aligns the interests of our named executive officers with those of our stockholders by increasing stock ownership, incentivizing increases in stockholder value and strengthening retention.</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Variable equity compensation delivered through three vehicles: </w:t>
            </w:r>
          </w:p>
        </w:tc>
      </w:tr>
      <w:tr>
        <w:trPr/>
        <w:tc>
          <w:tcPr>
            <w:tcW w:w="137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85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684"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 Service-based RSUs with a three-year vesting period; </w:t>
            </w:r>
          </w:p>
        </w:tc>
      </w:tr>
      <w:tr>
        <w:trPr/>
        <w:tc>
          <w:tcPr>
            <w:tcW w:w="137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85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684"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Financial-Based PSUs with a one-year performance period based on the achievement of pre-established revenue, gross profit margin and adjusted EBITDA targets and subsequent three-year vesting period; and</w:t>
            </w:r>
          </w:p>
        </w:tc>
      </w:tr>
      <w:tr>
        <w:trPr/>
        <w:tc>
          <w:tcPr>
            <w:tcW w:w="137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85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684"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Stock Price PSUs to be earned based on the 30-calendar day volume-weighted average Company stock price (“VWAP”) at the end of the three-year vesting period.</w:t>
            </w:r>
          </w:p>
        </w:tc>
      </w:tr>
      <w:tr>
        <w:trPr/>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Expatriate and other executive benefits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Allows us to remain competitive with peer and market practices and to attract and retain key personnel on expatriate assignment by minimizing adverse financial impacts associated with such assignments.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for qualified executives include housing allowances, relocation and repatriation allowances, insurance premiums, reimbursement for the use of a car, home leave flights, tax equalization payments and tax advisory services.</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executives also participate in a health and welfare benefits package that is generally available to all of our employees and are each party to an employment agreement that provides for limited post-employment and change in control payments and benefits.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comparing our executive compensation against the competitive market, the Compensation Committee reviews and considers the compensation levels and practices of a group of comparable technology companies. The companies in this compensation peer group were selected on the basis of their similarity to us in size, industry focus and being based in the U.S. We focused on U.S.-based companies because our highest- ranking executives are U.S. expatriates who have opportunities to work with U.S.-based technology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Compensia provided the Compensation Committee with an analysis of the prior compensation peers with a recommendation of three companies to exclude based on the companies being acquired or being outside the financial ranges noted below. Compensia also provided three potential additions based on the selection criteria noted below. The Compensation Committee reviewed the proposed changes to our compensation peer group and approved the final group to be used for this year’s analysis. The companies in this compensation peer group were selected on the basis of their similarity to us, based on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 semiconductors; semiconductor equipment and electronic equipment &amp; instruments;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type — Public companies primarily headquartered in the U.S. and traded on a major U.S. stock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revenue size — 0.4x – 2.5x Magnachip’s then-current revenue of $214 million ($85 million to $535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capitalization — 0.25x – 4.0x Magnachip’s then-current market cap of $176 million ($44 million to $704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 positions similar in breadth, complexity and/or scope of responsibility;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for executive talent.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approved the use of market data from the following group of peer companies, which was reviewed and approved in November 2024 for our 2025 executive compensation market assessment:</w:t>
      </w:r>
    </w:p>
    <w:p>
      <w:pPr>
        <w:pStyle w:val="TextBody"/>
        <w:bidi w:val="0"/>
        <w:spacing w:before="13" w:after="283"/>
        <w:jc w:val="left"/>
        <w:rPr/>
      </w:pPr>
      <w:r>
        <w:rPr/>
        <w:t> </w:t>
      </w:r>
    </w:p>
    <w:tbl>
      <w:tblPr>
        <w:tblW w:w="5402" w:type="dxa"/>
        <w:jc w:val="left"/>
        <w:tblInd w:w="0" w:type="dxa"/>
        <w:tblLayout w:type="fixed"/>
        <w:tblCellMar>
          <w:top w:w="28" w:type="dxa"/>
          <w:left w:w="28" w:type="dxa"/>
          <w:bottom w:w="28" w:type="dxa"/>
          <w:right w:w="28" w:type="dxa"/>
        </w:tblCellMar>
      </w:tblPr>
      <w:tblGrid>
        <w:gridCol w:w="2851"/>
        <w:gridCol w:w="2551"/>
      </w:tblGrid>
      <w:tr>
        <w:trPr/>
        <w:tc>
          <w:tcPr>
            <w:tcW w:w="28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 Research</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inTEST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and Omega Semiconductor</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Luna Innovations</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Amtech Systems</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Napco Security Technologies</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Navitas Semiconductor</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CEVA</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nLIGHT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Cohu</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Ouster</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Evolv Technologies Holdings</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PowerFleet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FARO Technologies</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SkyWater Technology</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Ichor Holdings</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Vishay Precision Group</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indie Semiconductor</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Compensation Committee reviews and updates the peer group periodically to ensure that the peer group companies satisfy our selection criteria. As a result of the review of the 2024 peer group, the following updates were made to establish the 2025 peer group: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Impinj was removed due to market cap positioned above the selection criteria range; Veeco Instruments, and Photronics were removed due to both revenue and market cap. positioned above the selection criteria range;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AXT, Evolv Technologies Holdings, Luna Innovations, Navitas Semiconductor, Ouster, and PowerFleet were added based on the selection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seeks to establish a total compensation package for our named executive officers that is competitive with the compensation for similarly situated executives in this compensation peer group, while also considering each executive’s experience and performance. Accordingly, the Compensation Committee used the market data from this peer group as a reference point in its 2024 executive compensation process.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Elements of Compensation and Weighting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does not apply a formula or assign relative weight in apportioning compensation among the various elements used. Instead, it makes a subjective determination after considering all information collectively for each element of compensation.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Annual 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seeks to set the base salaries of our named executive officers at competitive levels as compared to similarly situated executives in our select peer group, but also takes into account the named executive officer’s experience, skill set and the value of that skill set and performance. The Compensation Committee makes a subjective decision regarding any changes in base salary based on these factors and the data from our select peer group. The Compensation Committee does not systematically assign weights to any of the factors it considers, and may, in its discretion, ignore any factors or deem any one factor to have greater importance for a particular executive officer. In 2025, the Compensation Committee increased the annual base salary of our CFO by 2.86%, from $350,000 to $360,000, effective as of April 1, 2025, to better align our CFO’s compensation with the market. In light of the prevailing business environment, the annual base salaries of our other named executive officers remained the same without an increase in 2025. For more details, please refer to the footnotes below.</w:t>
      </w:r>
    </w:p>
    <w:p>
      <w:pPr>
        <w:pStyle w:val="TextBody"/>
        <w:bidi w:val="0"/>
        <w:jc w:val="left"/>
        <w:rPr/>
      </w:pPr>
      <w:r>
        <w:rPr/>
        <w:t> </w:t>
      </w:r>
    </w:p>
    <w:tbl>
      <w:tblPr>
        <w:tblW w:w="3716" w:type="dxa"/>
        <w:jc w:val="left"/>
        <w:tblInd w:w="0" w:type="dxa"/>
        <w:tblLayout w:type="fixed"/>
        <w:tblCellMar>
          <w:top w:w="28" w:type="dxa"/>
          <w:left w:w="28" w:type="dxa"/>
          <w:bottom w:w="28" w:type="dxa"/>
          <w:right w:w="28" w:type="dxa"/>
        </w:tblCellMar>
      </w:tblPr>
      <w:tblGrid>
        <w:gridCol w:w="1951"/>
        <w:gridCol w:w="146"/>
        <w:gridCol w:w="225"/>
        <w:gridCol w:w="836"/>
        <w:gridCol w:w="156"/>
        <w:gridCol w:w="402"/>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 Salary(1)</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329,958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discrepancy between the amounts in this table and the contractually agreed amounts for each named executive officer is attributable to fluctuations in the exchange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Mr. Martino did not receive an annual base salary. This represents compensation paid to Mr. Martino as a monthly fee in his capacity as Interim CEO pursuant to the Martino Consulting Agreement (as defined in the section below entitled "Potential Payments Upon Termination or Change in Control</w:t>
      </w:r>
      <w:r>
        <w:rPr>
          <w:color w:val="231F20"/>
        </w:rPr>
        <w:t>—</w:t>
      </w:r>
      <w:r>
        <w:rPr>
          <w:rFonts w:ascii="Times New Roman" w:hAnsi="Times New Roman"/>
          <w:color w:val="000000"/>
          <w:sz w:val="20"/>
        </w:rPr>
        <w:t>Interim CEO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as of April 2025, Mr. Young-Joon Kim volunteered to reduce his annual base salary by 20% (the “CEO Salary Reduction”). The CEO Salary Reduction was to remain in effect until such time as the “operating income” line on the consolidated financial statements of the Company is greater than zero for any two consecutive fiscal quarters. Upon achieving such result, Mr. Young-Joon Kim’s annual base salary would have returned to the amount immediately prior to the reduction (the “CEO Original Base Salary”), effective as of the first day of the fiscal quarter immediately following such two consecutive fiscal quarters. Upon the occurrence of a change in control (regardless of whether accompanied by termination), Mr. Young-Joon Kim’s annual base salary would have immediately return to the CEO Original Base Salary. Furthermore, the CEO Original Base Salary would have been used for the calculation of (a) any statutory severance or pension benefits that Mr. Young-Joon Kim’s may have been entitled to receive, (b) cash severance payments that he may have been entitled to receive pursuant to his employment agreement and (c) the annual cash bonus, if any. However, Mr. Young-Joon Kim resigned in August 2025, and accordingly, the CEO Salary Reduction is no longer applicable. Following his resignation, he is entitled only to the compensation provided pursuant to his separation agreement. For a description of the material terms of Mr. Young-Joon Kim’s separation agreement, please refer to the Company’s Current Report on Form 8-K filed with the Securities and Exchange Commission on August 11,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Park’s annual base salary was increased from $350,000 to $360,000, effective as of April 1, 2025. At the same time, she volunteered to reduce her annual base salary by 10% (the “CFO Salary Reduction”). The CFO Salary Reduction will remain in effect until such time as the “operating income” line on the consolidated financial statements of the Company is greater than zero for any two consecutive fiscal quarters. Upon achieving such result, our CFO’s annual base salary will return to the amount immediately prior to the reduction (the “CFO Original Base Salary”), effective as of the first day of the fiscal quarter immediately following such two consecutive fiscal quarters. Upon the occurrence of a change in control (regardless of whether accompanied by termination), our CFO’s annual base salary will immediately return to the CFO Original Base Salary. Furthermore, the CFO Original Base Salary will be used for the calculation of (a) any statutory severance or pension benefits that our CFO may be entitled to receive, (b) cash severance payments that she may be entitled to receive pursuant to her employment agreement and (c) the annual cash bonus,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Lee volunteered to reduce his monthly base salary by 5% for a six-month period from October 1, 2025 to March 31, 2026. During this period, all allowances calculated based on the monthly base salary were determined using the pre-reduction amount, and the renumeration used for calculating statutory severance pay and severance bonuses was based on the pre-reduction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Theodore Kim departed in October 2025. Following his resignation, he is entitled only to the compensation provided pursuant to his separation agreement. For a description of the material terms of Mr. Kim’s separation agreement, please refer to the Company’s Current Report on Form 8-K filed with the Securities and Exchange Commission on September 9,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Short-Term Cash Incentives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providing short-term cash incentive opportunities to encourage our named executive officers to achieve certain short-term corporate performance goals. The employment agreement that each of our named executive officers (except Interim CEO) has entered into includes a target bonus amount, which is expressed as a percentage of base salary. In 2025, there were no changes in the target bonus amounts, as expressed as a percentage of 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typically makes annual determinations regarding short-term cash incentive compensation based on various performance-related factors, including our annual operating plan, which is generally adopted in the December preceding each fiscal year. The Compensation Committee also considers for each year the cash bonus payout percentage earned by our non-executive employees pursuant to the terms of the collective bargaining agreement entered into by our Korean operating subsidiary, Magnachip Semiconductor, Ltd. (“MSK”), which agreement provides that the annual cash bonus budget for all non-executive employees shall be 10% of MSK’s operating income for each applicable year. The Compensation Committee’s annual determination regarding short-term cash incentive compensation for our executives, including our named executive officers, is conducted generally with a view toward applying a payout percentage (applicable to the target bonus amount) to our executives that is similar to, or commensurate with, that determined under the applicable collective bargaining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2025, the Compensation Committee determined that the payout percentage of short-term cash incentive compensation for our executives would be 0%, as the Company did not meet the threshold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Target bonus as a percentage of base salary, the target bonus amount and the actual amount of 2025 bonus award for each of our named executive officers are set forth below.</w:t>
      </w:r>
    </w:p>
    <w:p>
      <w:pPr>
        <w:pStyle w:val="TextBody"/>
        <w:bidi w:val="0"/>
        <w:jc w:val="left"/>
        <w:rPr/>
      </w:pPr>
      <w:r>
        <w:rPr/>
        <w:t> </w:t>
      </w:r>
    </w:p>
    <w:tbl>
      <w:tblPr>
        <w:tblW w:w="5848" w:type="dxa"/>
        <w:jc w:val="left"/>
        <w:tblInd w:w="0" w:type="dxa"/>
        <w:tblLayout w:type="fixed"/>
        <w:tblCellMar>
          <w:top w:w="28" w:type="dxa"/>
          <w:left w:w="28" w:type="dxa"/>
          <w:bottom w:w="28" w:type="dxa"/>
          <w:right w:w="28" w:type="dxa"/>
        </w:tblCellMar>
      </w:tblPr>
      <w:tblGrid>
        <w:gridCol w:w="1951"/>
        <w:gridCol w:w="146"/>
        <w:gridCol w:w="277"/>
        <w:gridCol w:w="803"/>
        <w:gridCol w:w="271"/>
        <w:gridCol w:w="146"/>
        <w:gridCol w:w="229"/>
        <w:gridCol w:w="851"/>
        <w:gridCol w:w="146"/>
        <w:gridCol w:w="146"/>
        <w:gridCol w:w="205"/>
        <w:gridCol w:w="48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Bonus</w:t>
              <w:br/>
              <w:t>(% of Base</w:t>
              <w:br/>
              <w:t>Salary)(2)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Bonus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Mr. Martino was not an executive at the time and therefore was not eligible for the target bonus.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Target bonus percentages of base salary remained the same as compared to the prior year. The target annual cash bonus for each executive was determined based on such executive’s annual base salary, provided that, in the case of executives who voluntarily reduced their base salary, the calculation was based on the annual base salary in effect immediately prior to such reduction.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Long-Term Equity Incentives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awards are not tied to base salary or cash incentive amounts and constitute lesser or greater proportions of total compensation for each executive depending on market practices and the Compensation Committee’s determination of target grant values. The Compensation Committee, relying on the professional and market experience of our Compensation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 The Compensation Committee does not target a specific percentile within our peer group with respect to equity-based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Consistent with the Compensation Committee’s desire to provide compensation that is largely “at risk” while still competitive with our peers with whom we compete for talent, our equity compensation program for our named executive officers includes PSUs each year along with RSUs. The Compensation Committee believes that the inclusion of PSUs in our executive compensation program is consistent with, explicitly linked to, and supports our strategic objective of enhancing stockholder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general terms of the equity awards contemplated by our 2025 executive compensation program are summarized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4"/>
        <w:gridCol w:w="549"/>
        <w:gridCol w:w="4195"/>
        <w:gridCol w:w="549"/>
        <w:gridCol w:w="2708"/>
      </w:tblGrid>
      <w:tr>
        <w:trPr/>
        <w:tc>
          <w:tcPr>
            <w:tcW w:w="220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9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r>
      <w:tr>
        <w:trPr/>
        <w:tc>
          <w:tcPr>
            <w:tcW w:w="220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Service-Based RSUs</w:t>
            </w:r>
          </w:p>
        </w:tc>
        <w:tc>
          <w:tcPr>
            <w:tcW w:w="549"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19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PSUs</w:t>
            </w:r>
          </w:p>
        </w:tc>
        <w:tc>
          <w:tcPr>
            <w:tcW w:w="549"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2708" w:type="dxa"/>
            <w:tcBorders>
              <w:bottom w:val="single" w:sz="8" w:space="0" w:color="000000"/>
            </w:tcBorders>
            <w:tcMar>
              <w:top w:w="0" w:type="dxa"/>
              <w:left w:w="0" w:type="dxa"/>
              <w:right w:w="0" w:type="dxa"/>
            </w:tcMar>
            <w:vAlign w:val="center"/>
          </w:tcPr>
          <w:p>
            <w:pPr>
              <w:pStyle w:val="TableContents"/>
              <w:bidi w:val="0"/>
              <w:spacing w:before="0" w:after="283"/>
              <w:ind w:left="0" w:right="0" w:firstLine="403"/>
              <w:jc w:val="center"/>
              <w:rPr>
                <w:rFonts w:ascii="Times New Roman" w:hAnsi="Times New Roman"/>
                <w:b/>
                <w:color w:val="000000"/>
                <w:sz w:val="16"/>
              </w:rPr>
            </w:pPr>
            <w:r>
              <w:rPr>
                <w:rFonts w:ascii="Times New Roman" w:hAnsi="Times New Roman"/>
                <w:b/>
                <w:color w:val="000000"/>
                <w:sz w:val="16"/>
              </w:rPr>
              <w:t>Stock Price PSUs</w:t>
            </w:r>
          </w:p>
        </w:tc>
      </w:tr>
      <w:tr>
        <w:trPr/>
        <w:tc>
          <w:tcPr>
            <w:tcW w:w="2204"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216"/>
              <w:jc w:val="left"/>
              <w:rPr>
                <w:rFonts w:ascii="Times New Roman" w:hAnsi="Times New Roman"/>
                <w:color w:val="000000"/>
                <w:sz w:val="20"/>
              </w:rPr>
            </w:pPr>
            <w:r>
              <w:rPr>
                <w:rFonts w:ascii="Times New Roman" w:hAnsi="Times New Roman"/>
                <w:color w:val="000000"/>
                <w:sz w:val="20"/>
              </w:rPr>
              <w:t>Vest over three years in three equal annual installments, subject to the executive’s continued employment through each applicable vesting date.</w:t>
            </w:r>
          </w:p>
        </w:tc>
        <w:tc>
          <w:tcPr>
            <w:tcW w:w="549"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419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Annual grants with one-year performance period.</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color w:val="000000"/>
                <w:sz w:val="20"/>
              </w:rPr>
              <w:t>Vesting is based on (i) the achievement of financial goals that measure our performance against our business strategy, with specific performance targets established by the Compensation Committee annually, and (ii) satisfaction of the Continued Service Condition through each applicable date in the following vesting schedule: 1/3 of Vestable Units on the Certification Date</w:t>
            </w:r>
            <w:r>
              <w:rPr>
                <w:rFonts w:ascii="Times New Roman" w:hAnsi="Times New Roman"/>
                <w:color w:val="000000"/>
                <w:sz w:val="13"/>
              </w:rPr>
              <w:t>(1)</w:t>
            </w:r>
            <w:r>
              <w:rPr>
                <w:rFonts w:ascii="Times New Roman" w:hAnsi="Times New Roman"/>
                <w:color w:val="000000"/>
                <w:sz w:val="20"/>
              </w:rPr>
              <w:t>; 1/3 of Vestable Units on December 31, 2026; and 1/3 of Vestable Units on December 31, 2027.</w:t>
            </w:r>
          </w:p>
          <w:p>
            <w:pPr>
              <w:pStyle w:val="TableContents"/>
              <w:bidi w:val="0"/>
              <w:spacing w:before="120" w:after="283"/>
              <w:jc w:val="left"/>
              <w:rPr>
                <w:color w:val="000000"/>
              </w:rPr>
            </w:pPr>
            <w:r>
              <w:rPr>
                <w:color w:val="000000"/>
              </w:rPr>
              <w:t>•</w:t>
            </w:r>
          </w:p>
          <w:p>
            <w:pPr>
              <w:pStyle w:val="TableContents"/>
              <w:bidi w:val="0"/>
              <w:spacing w:before="120" w:after="283"/>
              <w:ind w:left="0" w:right="0" w:firstLine="216"/>
              <w:jc w:val="left"/>
              <w:rPr/>
            </w:pPr>
            <w:r>
              <w:rPr>
                <w:rFonts w:ascii="Times New Roman" w:hAnsi="Times New Roman"/>
                <w:color w:val="000000"/>
                <w:sz w:val="20"/>
              </w:rPr>
              <w:t>For 2025, performance goals were based on revenue (1/3 weighting), gross profit margin (1/3 weighting) and Adjusted EBITDA (1/3 weighting)</w:t>
            </w:r>
            <w:r>
              <w:rPr>
                <w:rFonts w:ascii="Times New Roman" w:hAnsi="Times New Roman"/>
                <w:color w:val="000000"/>
                <w:sz w:val="13"/>
              </w:rPr>
              <w:t>(2)</w:t>
            </w:r>
            <w:r>
              <w:rPr>
                <w:rFonts w:ascii="Times New Roman" w:hAnsi="Times New Roman"/>
                <w:color w:val="000000"/>
                <w:sz w:val="20"/>
              </w:rPr>
              <w:t>.</w:t>
            </w:r>
          </w:p>
        </w:tc>
        <w:tc>
          <w:tcPr>
            <w:tcW w:w="549"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2708"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Price PSUs to be earned based on stock price performance at the end of the three-year performance period ending on January 31, 2028.</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Stock price achievement prior to the end of the performance period does not count for achieving the goal (except in the case of a change in control; see the section below entitled “Potential Payments Upon Termination or Change in Control” for details).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Stock price performance is determined at the end of the performance period based on the trailing 30-calendar day VWAP:</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$14.14 is the only defined performance level and upon achieving such price the payout percentage will be 100% vesting.</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February 25, 2026, Compensation Committee certified that 0% of 2025 Financial PSUs were eligible to vest.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color w:val="000000"/>
        </w:rPr>
      </w:pPr>
      <w:r>
        <w:rPr>
          <w:color w:val="000000"/>
        </w:rPr>
        <w:t>“</w:t>
      </w:r>
      <w:r>
        <w:rPr>
          <w:rFonts w:ascii="Times New Roman" w:hAnsi="Times New Roman"/>
          <w:color w:val="000000"/>
          <w:sz w:val="20"/>
        </w:rPr>
        <w:t>Adjusted EBITDA” means EBITDA (as defined below) adjusted to exclude (i) equity-based compensation expense, (ii) foreign currency loss (gain), net, (iii) derivative valuation loss (gain), net, and (iv) various non-recurring expense (income), net. “EBITDA” is defined as the Company’s net income (loss) before interest income, interest expense, income tax expense, and depreciation and amortization. For 2025, it was determined that the Adjusted EBITDA condition would be based solely on the Adjusted EBITDA results for the fourth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and conditions of the Stock Price PSUs were adopted beginning with the Company’s 2024 annual equity grants based on discussions with certain significant shareholders, who expressed the desire for better alignment between our named executive officers and shareholders and believed that PSUs that vest based on achieving stock price targets were the best way to achieve that goal. The initial stock price target of $14.14 is significantly higher than the stock price at the time of grant and will require execution of our business strategy in order to be earned, with the other two stock price targets of $21.21 and $28.28 requiring 50% and 100% additional stock price appreciation).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upon a determination by the Compensation Committee and with the agreement of the applicable grantees, the $28.28 stock price target (which corresponded to 300% vesting) applicable to the 2024 Stock Price PSU awards was eliminated, and only two performance thresholds—$14.14 (100% vesting) and $21.21 (200% vesting)—remain in effect for such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Stock Price PSU awards granted in 2025, $14.14 was the sole performance threshold, and achievement of such stock price would result in a 100% payout.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price in all cases is measured based on the trailing 30-calendar day average at the end of the three-year performance period, and achievement prior to that time is not recognized, so that the Stock Price PSUs have a full three-year performance period (absent a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below tables summarize the RSUs, Stock Price PSUs and Financial PSUs granted to each of the named executive officers in 2025. No other equity awards were granted, such as TSR PSUs, to our named executive officers in 2025.</w:t>
      </w:r>
    </w:p>
    <w:p>
      <w:pPr>
        <w:pStyle w:val="TextBody"/>
        <w:bidi w:val="0"/>
        <w:jc w:val="left"/>
        <w:rPr/>
      </w:pPr>
      <w:r>
        <w:rPr/>
        <w:t> </w:t>
      </w:r>
    </w:p>
    <w:tbl>
      <w:tblPr>
        <w:tblW w:w="6075" w:type="dxa"/>
        <w:jc w:val="left"/>
        <w:tblInd w:w="0" w:type="dxa"/>
        <w:tblLayout w:type="fixed"/>
        <w:tblCellMar>
          <w:top w:w="28" w:type="dxa"/>
          <w:left w:w="28" w:type="dxa"/>
          <w:bottom w:w="28" w:type="dxa"/>
          <w:right w:w="28" w:type="dxa"/>
        </w:tblCellMar>
      </w:tblPr>
      <w:tblGrid>
        <w:gridCol w:w="1516"/>
        <w:gridCol w:w="146"/>
        <w:gridCol w:w="961"/>
        <w:gridCol w:w="146"/>
        <w:gridCol w:w="211"/>
        <w:gridCol w:w="466"/>
        <w:gridCol w:w="146"/>
        <w:gridCol w:w="146"/>
        <w:gridCol w:w="146"/>
        <w:gridCol w:w="781"/>
        <w:gridCol w:w="146"/>
        <w:gridCol w:w="146"/>
        <w:gridCol w:w="146"/>
        <w:gridCol w:w="7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FV of</w:t>
              <w:b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Granted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of grant</w:t>
              <w:br/>
              <w:t>date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1516"/>
        <w:gridCol w:w="146"/>
        <w:gridCol w:w="1066"/>
        <w:gridCol w:w="146"/>
        <w:gridCol w:w="220"/>
        <w:gridCol w:w="485"/>
        <w:gridCol w:w="146"/>
        <w:gridCol w:w="146"/>
        <w:gridCol w:w="146"/>
        <w:gridCol w:w="781"/>
        <w:gridCol w:w="146"/>
        <w:gridCol w:w="146"/>
        <w:gridCol w:w="146"/>
        <w:gridCol w:w="7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Price PSUs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FV of</w:t>
              <w:br/>
              <w:t>Grant</w:t>
              <w:br/>
              <w:t>Date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of grant</w:t>
              <w:br/>
              <w:t>date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8288" w:type="dxa"/>
        <w:jc w:val="left"/>
        <w:tblInd w:w="0" w:type="dxa"/>
        <w:tblLayout w:type="fixed"/>
        <w:tblCellMar>
          <w:top w:w="28" w:type="dxa"/>
          <w:left w:w="28" w:type="dxa"/>
          <w:bottom w:w="28" w:type="dxa"/>
          <w:right w:w="28" w:type="dxa"/>
        </w:tblCellMar>
      </w:tblPr>
      <w:tblGrid>
        <w:gridCol w:w="1516"/>
        <w:gridCol w:w="146"/>
        <w:gridCol w:w="961"/>
        <w:gridCol w:w="146"/>
        <w:gridCol w:w="318"/>
        <w:gridCol w:w="702"/>
        <w:gridCol w:w="146"/>
        <w:gridCol w:w="146"/>
        <w:gridCol w:w="148"/>
        <w:gridCol w:w="692"/>
        <w:gridCol w:w="146"/>
        <w:gridCol w:w="146"/>
        <w:gridCol w:w="146"/>
        <w:gridCol w:w="781"/>
        <w:gridCol w:w="146"/>
        <w:gridCol w:w="146"/>
        <w:gridCol w:w="262"/>
        <w:gridCol w:w="140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PSUs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FV of Grant</w:t>
              <w:br/>
              <w:t>Date ($)</w:t>
              <w:br/>
              <w:t>(at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 (at Target)</w:t>
              <w:br/>
              <w:t>of grant date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Target (100%) level is the maximum performance goal for 2025 Financial PSUs and thus there is no additional payout beyond this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results for 2025 Financial PSUs were certified by the Compensation Committee of the Board of Directors of the Company on February 25,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Vesting of the Financial PSUs are based on the actual level of achievement for three corporate financial performance metrics—revenue, gross profit margin and Adjusted EBITDA. Achievement at or above the target level of achievement for each performance goal would result in a maximum payout of 100% of the portion of the named executive officer’s target level award attributable to that performance goal, while achievement below the threshold level of achievement for each performance goal would result in no payout for the portion of the named executive officer’s target level award attributable to that performance goal.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2026, the Compensation Committee determined that the 2025 Financial PSUs were to be forfeited, as the Company did not achieve the threshold level of achievement for any of the three performance goals. As a result, Financial PSUs granted in 2025 covering the following number of shares of our Common Stock were forfeited by our named executive officers: Mr. Young-Joon Kim 164,269; Ms. Park 55,104; and Mr. Lee 15,375.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applicable goals and weighting, and the level of achievement for the Financial PSUs granted in 2025 are as follows: </w:t>
      </w:r>
    </w:p>
    <w:p>
      <w:pPr>
        <w:pStyle w:val="TextBody"/>
        <w:bidi w:val="0"/>
        <w:jc w:val="left"/>
        <w:rPr/>
      </w:pPr>
      <w:r>
        <w:rPr/>
        <w:t> </w:t>
      </w:r>
    </w:p>
    <w:tbl>
      <w:tblPr>
        <w:tblW w:w="10128" w:type="dxa"/>
        <w:jc w:val="left"/>
        <w:tblInd w:w="0" w:type="dxa"/>
        <w:tblLayout w:type="fixed"/>
        <w:tblCellMar>
          <w:top w:w="28" w:type="dxa"/>
          <w:left w:w="28" w:type="dxa"/>
          <w:bottom w:w="28" w:type="dxa"/>
          <w:right w:w="28" w:type="dxa"/>
        </w:tblCellMar>
      </w:tblPr>
      <w:tblGrid>
        <w:gridCol w:w="1891"/>
        <w:gridCol w:w="146"/>
        <w:gridCol w:w="174"/>
        <w:gridCol w:w="682"/>
        <w:gridCol w:w="271"/>
        <w:gridCol w:w="146"/>
        <w:gridCol w:w="222"/>
        <w:gridCol w:w="604"/>
        <w:gridCol w:w="271"/>
        <w:gridCol w:w="146"/>
        <w:gridCol w:w="211"/>
        <w:gridCol w:w="571"/>
        <w:gridCol w:w="271"/>
        <w:gridCol w:w="146"/>
        <w:gridCol w:w="279"/>
        <w:gridCol w:w="757"/>
        <w:gridCol w:w="271"/>
        <w:gridCol w:w="146"/>
        <w:gridCol w:w="315"/>
        <w:gridCol w:w="780"/>
        <w:gridCol w:w="271"/>
        <w:gridCol w:w="146"/>
        <w:gridCol w:w="314"/>
        <w:gridCol w:w="781"/>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Metrics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Goal</w:t>
              <w:br/>
              <w:t>Weighting</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Achievement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 Ratio</w:t>
              <w:br/>
              <w:t>by Category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Weighed</w:t>
              <w:br/>
              <w:t>Vesting Ratio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br/>
              <w:t>   (as %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(in</w:t>
              <w:br/>
              <w:t>   millions)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2025, it was determined that the Adjusted EBITDA condition would be based solely on the Adjusted EBITDA results for the fourth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metric of the TSR PSUs granted in 2023 (the “2023 TSR PSUs”) is the three-year TSR relative to the S&amp;P Semiconductor Index. In structuring the relative TSR calculation and selecting the index, the Compensation Committee wanted to compare our stock price performance to that of a large, steady-state sampling of semiconductor companies on a basis designed to eliminate any short-term aberrations in stock price at the start or at the end of the performance period. The TSR payout percentage is represented by three performance levels: “Threshold,” “Target,” and “Maximum,” and the maximum payout is 150% of target for achieving 75th percentile or better.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performance period applicable to the 2023 TSR PSUs ended. In March 2026, based on such performance metric, the Compensation Committee determined that the vesting percentage of the 2023 TSR PSUs to be 0%, as the Company recorded a TSR of -71.73% for the performance period, placing it at the 5th percentile within the S&amp;P Semiconductor Index, which was below the achievement threshold of the 35th percentile. As a result, TSR PSUs covering the following number of shares of our Common Stock were forfeited by our named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officers: Mr. Young-Joon Kim—57,092; Ms. Park—11,257; Mr. Lee—5,250; and Mr. Theodore Kim—12,195.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hereof, no Stock Price PSUs have vested.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Health and Welfare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named executive officers are eligible to participate in our employee benefit plans that are generally provided to all full-time employees, and on the same basis as all of our full-time employees in the country in which they are resident. For Messrs. YJ Kim and T. Kim, these benefits included individual health insurance (medical, dental and vision).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Perquisites and Other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the named executive officers with perquisites and other benefits, including expatriate benefits, which the Compensation Committee believes are reasonable and consistent with our overall compensation program to better enable us to attract and retain superior employees for key positions. Generally, perquisites are determined based upon what the Compensation Committee considers to be customary perquisites offered by our select peer group and are not based upon a median cost for specific perquisites or for the perquisites in aggregate. The Compensation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YJ Kim and Mr. T. Kim were expatriates during 2025 and received expatriate benefits commensurate with market practice in Korea. The Compensation Committee determined the appropriate benefits for each expatriate in accordance with internal policies approved by our Board from time to time, which generally included housing allowances, relocation and repatriation allowances, insurance premiums (including, in addition to health and welfare benefits described above, group personal accident and business travel insurance), reimbursement for the use of a car, home leave flights, tax equalization payments and tax advisory services.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Employment Agreements and Post-Employment Severance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 is or was a party to an employment agreement or executive service agreement that, except in the case of our Interim Chief Executive Officer, provides for certain payments upon termination of the executive’s employment and/or a change in control of the Company and that is intended to align the interests of the executive and stockholders if a transaction were to occur.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Company adopted a new Compensation Recovery Policy in accordance with the NYSE listing rules. The Compensation Recovery Policy applies to all incentive-based compensation, which is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provided, directly or indirectly, by the Company that is granted, earned or vested based, in whole or in part, upon the attainment of financial reporting measures, received by executive officers, including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Recovery Policy applies in the case of a financial restatement due to the material noncompliance of the Company with any financial reporting requirement under the securities laws, including any required restatement to correct an error in previously-issued financial statements that is material to the previously-issued financial statements or what would result in a material misstatement if the error were corrected in the current period or left uncorrected in the current period. The Compensation Recovery Policy provides that promptly following such a financial restatement, the Company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computed without regard to any taxes paid. The Compensation Recovery Policy also provides for discretionary recovery of erroneously-earned incentive-based compensation from all other employees, as well as discretionary recovery from executive officers and other employees of all incentive-based compensation and (in the case of intentional or willful misconduct) any other equity-based compensation in the event such executive officer’s or other employee’s act or omission contributed to the circumstances of such financial restatement. The Compensation Committee is responsible for determining the method to recover erroneously awarded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Anti-Hedging and Pledging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the Securities Trading Policy, which applies to all of the directors, officers and employees of the Company, to describe the standards concerning the handling of non-public information relating to the Company and the buying and selling of securities of the Company. The policy prohibits engaging in pledging, short sales and buying or selling puts, calls, options or other derivatives in respect of securities of the Company. The policy also strongly discourages speculative hedging transactions where even long-term hedging transactions that are designed to protect an individual’s investment in Company securities (i.e., the hedge must be for at least twelve (12) months and relate to stock or options held by the individual) are only permitted after being pre-cleared with the Chairman of the Board and the Company’s General Counsel.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Award Grant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an Equity Award Grant Policy. The policy provides that equity awards made in connection with the hiring of a new employee or the promotion of an existing employee will generally be made on a bi-monthly basis, and that, unless the Board, the Compensation Committee, or its delegate determines otherwise, will be effective on the earlier of the 1st or the 15th day of the month during which such grant is approved, or the month immediately following the date on which such grant is approved, as appropriate. In addition, new hire grants will generally become effective at least fourteen days after the date on which an employee’s employment begins. Annual and other equity awards to continuing employees, if made, will generally be made at a meeting of the Board or the Compensation Committee, or its delegate established in advance, and will generally become effective on the earlier of the 1st or the 15th day of the month during which such grant is approved, or of the month immediately following the date on which such grant is approved,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 awards denominated in a number of shares will be priced in accordance with the terms of the Company’s Amended and Restated 2020 Equity and Incentive Compensation Plan. If a grant of restricted stock or RSUs is denominated in dollars, the number of shares of restricted stock or RSUs subject to such grant will be calculated by dividing the dollar value of the approved award by the volume-weighted average closing market price on the NYSE (or such other market on which the Company’s stock is then principally listed) of one share of the Company’s stock over the trailing 30-day period ending on the last day immediately prior to the grant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Grant Timing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our Board and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grant stock options to any of our named executive officers during any period beginning four business days before and ending one business day after the filing or furnishing of a Form 10-K, 10-Q or 8-K that discloses material nonpublic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Stock Ownership Policy (the “Stock Ownership Policy”) that is applicable to our non-employee directors and executive officers. The Stock Ownership Policy requires that: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Chairman </w:t>
      </w:r>
      <w:r>
        <w:rPr>
          <w:rFonts w:ascii="Times New Roman" w:hAnsi="Times New Roman"/>
          <w:color w:val="231F20"/>
          <w:sz w:val="20"/>
        </w:rPr>
        <w:t>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covered executives own equity in the Company equal to the lesser of (i) two times his or her annual base salary and (ii) two times his or her annual base salary as of the date such individual’s entered into their role that made them subject to the Stock Ownership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Stock Ownership Policy, shares of our Common Stock directly owned by covered executives and directors, vested but not settled RSUs, 50% of any vested unexercised options, shares owned jointly with a spouse and shares of our Common Stock held in a trust established by a covered executive or director for the benefit of the such covered executive or director and/or family members will all count towards satisfying the minimum equity ownership requirement of the Stock Ownership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 All applicable non-employee directors and executive officers of the Company met the ownership guidelines based on the trailing 90-day average stock price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equity award grants received from the Company, our non-employee directors and executive officers have from time to time purchased shares of the Company’s Common Stock in the open market, exhibiting their intent to be better aligned with the interests of our shareholders. The following table shows the purchases of shares of the Company’s Common Stock by our non-employee directors and named executive officers in 2025:</w:t>
      </w:r>
    </w:p>
    <w:p>
      <w:pPr>
        <w:pStyle w:val="TextBody"/>
        <w:bidi w:val="0"/>
        <w:jc w:val="left"/>
        <w:rPr/>
      </w:pPr>
      <w:r>
        <w:rPr/>
        <w:t> </w:t>
      </w:r>
    </w:p>
    <w:tbl>
      <w:tblPr>
        <w:tblW w:w="3218" w:type="dxa"/>
        <w:jc w:val="left"/>
        <w:tblInd w:w="0" w:type="dxa"/>
        <w:tblLayout w:type="fixed"/>
        <w:tblCellMar>
          <w:top w:w="28" w:type="dxa"/>
          <w:left w:w="28" w:type="dxa"/>
          <w:bottom w:w="28" w:type="dxa"/>
          <w:right w:w="28" w:type="dxa"/>
        </w:tblCellMar>
      </w:tblPr>
      <w:tblGrid>
        <w:gridCol w:w="1756"/>
        <w:gridCol w:w="146"/>
        <w:gridCol w:w="199"/>
        <w:gridCol w:w="92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Ilbok Lee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Gilbert Nathan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Dr. Lee purchased 20,000 shares on March 14,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Mr. Nathan purchased 20,000 shares on March 13,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Martino purchased 20,000 shares on March 13, 2025 and 30,000 shares on August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Ms. Park purchased 10,000 shares on August 25,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Accounting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20" w:name="compensation_committee_report"/>
      <w:bookmarkEnd w:id="20"/>
      <w:r>
        <w:rPr>
          <w:rFonts w:ascii="Times New Roman" w:hAnsi="Times New Roman"/>
          <w:b/>
          <w:color w:val="231F20"/>
          <w:sz w:val="20"/>
        </w:rPr>
        <w:t>COMPENSATION COMMITTEE REPORT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w:t>
      </w:r>
    </w:p>
    <w:p>
      <w:pPr>
        <w:pStyle w:val="TextBody"/>
        <w:bidi w:val="0"/>
        <w:spacing w:before="240" w:after="283"/>
        <w:jc w:val="left"/>
        <w:rPr>
          <w:rFonts w:ascii="Times New Roman" w:hAnsi="Times New Roman"/>
          <w:color w:val="231F20"/>
          <w:sz w:val="20"/>
          <w:u w:val="single"/>
        </w:rPr>
      </w:pPr>
      <w:r>
        <w:rPr>
          <w:rFonts w:ascii="Times New Roman" w:hAnsi="Times New Roman"/>
          <w:color w:val="231F20"/>
          <w:sz w:val="20"/>
          <w:u w:val="single"/>
        </w:rPr>
        <w:t>Members of the 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Kyo-Hwa (Liz) Chung, Chair</w:t>
      </w:r>
    </w:p>
    <w:p>
      <w:pPr>
        <w:pStyle w:val="TextBody"/>
        <w:bidi w:val="0"/>
        <w:jc w:val="left"/>
        <w:rPr>
          <w:rFonts w:ascii="Times New Roman" w:hAnsi="Times New Roman"/>
          <w:color w:val="231F20"/>
          <w:sz w:val="20"/>
        </w:rPr>
      </w:pPr>
      <w:r>
        <w:rPr>
          <w:rFonts w:ascii="Times New Roman" w:hAnsi="Times New Roman"/>
          <w:color w:val="231F20"/>
          <w:sz w:val="20"/>
        </w:rPr>
        <w:t>Cristiano Amoruso</w:t>
      </w:r>
    </w:p>
    <w:p>
      <w:pPr>
        <w:pStyle w:val="TextBody"/>
        <w:bidi w:val="0"/>
        <w:jc w:val="left"/>
        <w:rPr>
          <w:rFonts w:ascii="Times New Roman" w:hAnsi="Times New Roman"/>
          <w:color w:val="231F20"/>
          <w:sz w:val="20"/>
        </w:rPr>
      </w:pPr>
      <w:r>
        <w:rPr>
          <w:rFonts w:ascii="Times New Roman" w:hAnsi="Times New Roman"/>
          <w:color w:val="231F20"/>
          <w:sz w:val="20"/>
        </w:rPr>
        <w:t>Gilbert Nathan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b/>
          <w:color w:val="231F20"/>
          <w:sz w:val="20"/>
        </w:rPr>
      </w:pPr>
      <w:bookmarkStart w:id="21" w:name="summary_compensation_table"/>
      <w:bookmarkEnd w:id="21"/>
      <w:r>
        <w:rPr>
          <w:rFonts w:ascii="Times New Roman" w:hAnsi="Times New Roman"/>
          <w:b/>
          <w:color w:val="231F20"/>
          <w:sz w:val="20"/>
        </w:rPr>
        <w:t>Summary Compensation Table</w:t>
      </w:r>
    </w:p>
    <w:p>
      <w:pPr>
        <w:pStyle w:val="TextBody"/>
        <w:bidi w:val="0"/>
        <w:jc w:val="left"/>
        <w:rPr/>
      </w:pPr>
      <w:r>
        <w:rPr/>
        <w:t> </w:t>
      </w:r>
    </w:p>
    <w:tbl>
      <w:tblPr>
        <w:tblW w:w="10498" w:type="dxa"/>
        <w:jc w:val="left"/>
        <w:tblInd w:w="0" w:type="dxa"/>
        <w:tblLayout w:type="fixed"/>
        <w:tblCellMar>
          <w:top w:w="28" w:type="dxa"/>
          <w:left w:w="28" w:type="dxa"/>
          <w:bottom w:w="28" w:type="dxa"/>
          <w:right w:w="28" w:type="dxa"/>
        </w:tblCellMar>
      </w:tblPr>
      <w:tblGrid>
        <w:gridCol w:w="991"/>
        <w:gridCol w:w="146"/>
        <w:gridCol w:w="406"/>
        <w:gridCol w:w="146"/>
        <w:gridCol w:w="146"/>
        <w:gridCol w:w="586"/>
        <w:gridCol w:w="146"/>
        <w:gridCol w:w="146"/>
        <w:gridCol w:w="146"/>
        <w:gridCol w:w="436"/>
        <w:gridCol w:w="146"/>
        <w:gridCol w:w="146"/>
        <w:gridCol w:w="164"/>
        <w:gridCol w:w="392"/>
        <w:gridCol w:w="146"/>
        <w:gridCol w:w="146"/>
        <w:gridCol w:w="146"/>
        <w:gridCol w:w="691"/>
        <w:gridCol w:w="146"/>
        <w:gridCol w:w="146"/>
        <w:gridCol w:w="285"/>
        <w:gridCol w:w="676"/>
        <w:gridCol w:w="146"/>
        <w:gridCol w:w="146"/>
        <w:gridCol w:w="213"/>
        <w:gridCol w:w="748"/>
        <w:gridCol w:w="146"/>
        <w:gridCol w:w="146"/>
        <w:gridCol w:w="146"/>
        <w:gridCol w:w="691"/>
        <w:gridCol w:w="146"/>
        <w:gridCol w:w="271"/>
        <w:gridCol w:w="146"/>
        <w:gridCol w:w="146"/>
        <w:gridCol w:w="69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br/>
              <w:t>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Pension</w:t>
              <w:br/>
              <w:t>Value and</w:t>
              <w:br/>
              <w:t>Non-qualified</w:t>
              <w:br/>
              <w:t>Deferred</w:t>
              <w:br/>
              <w:t>Compensation</w:t>
              <w:br/>
              <w:t>Earnings</w:t>
              <w:br/>
              <w:t>($)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Camillo Martino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Chairman and Interim</w:t>
              <w:br/>
              <w:t>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1,779,033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1,420,869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3,509,979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Former Chief Executive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3,074,295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Shinyoung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1,187,340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Seunghoon Lee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432,827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Chief of Manufacturing</w:t>
              <w:br/>
              <w:t>   and Chief Safety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Former Chief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Compliance Officer,</w:t>
              <w:br/>
              <w:t>   Executive Vice President,</w:t>
              <w:br/>
              <w:t>   General Counsel and</w:t>
              <w:br/>
              <w:t>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2,261,616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231F20"/>
          <w:sz w:val="20"/>
          <w:u w:val="single"/>
        </w:rPr>
        <w:t>Note</w:t>
      </w:r>
      <w:r>
        <w:rPr>
          <w:rFonts w:ascii="Times New Roman" w:hAnsi="Times New Roman"/>
          <w:color w:val="231F20"/>
          <w:sz w:val="20"/>
        </w:rPr>
        <w:t>: A monthly average exchange rate was used to convert amounts in the above table that were originally paid in Korean won.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discrepancy between the amounts in the above table and the contractually agreed amounts for each named executive officer is attributable to fluctuations in the exchange rate. In addition, the former CEO’s annual base salary was subject to a 20% reduction as of April 1, 2025, and the CFO’s annual base salary was increased from $350,000 to $360,000 as of April 1, 2025, while a 10% reduction was applied at the same time. Mr. Lee’s annual base salary was subject to a 5% reduction as of October 1, 2025.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 annual cash bonus was granted to any of our named executive officers in 2025.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reported represents the aggregate grant date fair value of RSUs, Financial PSUs and Stock Price PSUs granted to our named executive officers in 2025, determined in accordance with FASB ASC 718. Such grant date fair value does not take into account any estimated forfeitures. The amount reported in this column reflects the accounting cost for these RSUs, Financial PSUs and Stock Price PSUs and does not correspond to the actual economic value that may be received by the applicable NEO upon the vesting/settlement of the awards or any sale of the underlying shares of Common Stock. In the case of Mr. Martino, he received a grant of RSUs in his capacity as Interim CEO, and did not receive any equity award in 2025 in connection with his services as a non-employee director. Financial PSUs and Stock Price PSUs are reported based on the performance level associated with a 100% vesting. Assuming the maximum level of performance is achieved, the aggregate grant date fair value of the 2025 Financial PSUs and 2025 Stock Price PSUs would be approximately $1,186,022 for Mr. Young-Joon Kim (“YJ Kim”), $397,851 for Ms. Park, and $90,098 for Mr. Lee. Vesting percentage for the 2023 TSR PSUs and 2025 Financial PSUs was determined by the Compensation Committee on February 25, 2026, and as a result of actual performance over the performance period, these awards were forfeited in their entirety. See the section subtitled “Compensation Discussion and Analysis—Long-Term Equity Incentives” for further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Consists of statutory severance accrued for the years ended December 31, 2025. However, in the case of Mr. YJ Kim and Mr. Theodore Kim (“T. Kim”), the value up to the separation date in 2025 is reflected. That is, the value for Mr. YJ Kim is reflected up to August 11, 2025, and the value for Mr. T. Kim is reflected up to October 21, 2025. See the section below subtitled “Pension Benefits for the Fiscal Year Ended December 31, 2025” for a description of the statutory severance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Mr. Martino’s 2025 salary represents (i) $138,750 received for his service as a non-employee director prior to becoming Interim CEO and (ii) $208,335 received in connection with his service as Interim CEO thereafter. Mr. Martino was not a named executive officer in 2023 or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(6)</w:t>
      </w:r>
    </w:p>
    <w:p>
      <w:pPr>
        <w:pStyle w:val="TextBody"/>
        <w:bidi w:val="0"/>
        <w:spacing w:before="120" w:after="283"/>
        <w:jc w:val="left"/>
        <w:rPr/>
      </w:pPr>
      <w:r>
        <w:rPr>
          <w:rFonts w:ascii="Times New Roman" w:hAnsi="Times New Roman"/>
          <w:color w:val="231F20"/>
          <w:sz w:val="20"/>
        </w:rPr>
        <w:t xml:space="preserve">Prior to his appointment as Interim CEO, Mr. Martino, acting in his capacity as the Chairman of the Board, received additional service fees for his visits to </w:t>
      </w:r>
      <w:r>
        <w:rPr>
          <w:rFonts w:ascii="Times New Roman" w:hAnsi="Times New Roman"/>
          <w:color w:val="000000"/>
          <w:sz w:val="20"/>
        </w:rPr>
        <w:t>the Korean operating subsidiary of the Company</w:t>
      </w:r>
      <w:r>
        <w:rPr>
          <w:color w:val="231F20"/>
        </w:rPr>
        <w:t xml:space="preserve"> </w:t>
      </w:r>
      <w:r>
        <w:rPr>
          <w:rFonts w:ascii="Times New Roman" w:hAnsi="Times New Roman"/>
          <w:color w:val="231F20"/>
          <w:sz w:val="20"/>
        </w:rPr>
        <w:t>for meetings and full-day working sessions outside of regular in-person Board meetings. These fees, which consist of per visit Board services fees ($20,000) and per diem Board services fees ($12,000), were paid pursuant to the Company’s Non-Employee Director Compensation Policy and authorized by a resolution of the Board.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(7)</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Consists of the following personal benefits paid to Mr. Young-Joon Kim for 2025: (a) $139,197 for Mr. YJ Kim’s housing lease; (b) $3,744 for reimbursement of tuition expenses for Mr. YJ Kim’s child; (c) $79,661 for health insurance premiums; (d) $6,903 for accident insurance and business travel insurance premiums; (e) $26,952 for annual cash special allowance (the amount reported in this table differs from the $27,000 contractual annual cash special allowance due to fluctuation in the exchange rate between U.S. dollars and Korean won during the year); (f) $10,859 for car and driver expense (including personal use of a car service provided by the Company); (g) $42,858 for tax consulting expense; (h) $17,706 for living expense; (i) $197 for meal allowance; (j) -$124,456 of reimbursement (payable by Mr. YJ Kim to the Company) of the difference between the actual U.S. tax Mr. YJ Kim paid (taking into account the use of foreign tax credit carryover) and the applicable hypothetical tax calculated for fiscal year 2025; (k) $70,363 for reimbursement of Korean taxes paid in fiscal year 2024; (l) $1,120,200 for severance payments pursuant to the YJ Kim’s separation agreement dated as of August 11, 2025; (m) $24,702 for moving expense; (n) $1,039 for fitness allowance; and (o) $944 for commuting allowance, patent filing allowance, welfare points and similar benefits.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(8)</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Consists of the following personal benefits paid to Ms. Park for 2025: (a) $17,628 for health insurance premiums; (b) $2,900 for personal use of a car service provided by the Company; (c) $1,039 for annual health examination for spouse; (d) $1,039 for fitness allowance; (e) $405 for meal allowance; and (f) $2,160 for medical expense support, commuting allowance, welfare points and similar benefits.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(9)</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Mr. Lee was not a named executive officer in 2023 or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(10)</w:t>
      </w:r>
    </w:p>
    <w:p>
      <w:pPr>
        <w:pStyle w:val="TextBody"/>
        <w:bidi w:val="0"/>
        <w:spacing w:before="120" w:after="283"/>
        <w:jc w:val="left"/>
        <w:rPr/>
      </w:pPr>
      <w:r>
        <w:rPr>
          <w:rFonts w:ascii="Times New Roman" w:hAnsi="Times New Roman"/>
          <w:color w:val="231F20"/>
          <w:sz w:val="20"/>
        </w:rPr>
        <w:t>Consists of the following personal benefits paid to Mr. Lee for 2025: (a) $7,409 for health insurance premiums; (b) $3,816 for personal use of a car service provided by the Company; (c)</w:t>
      </w:r>
      <w:r>
        <w:rPr>
          <w:color w:val="000000"/>
        </w:rPr>
        <w:t xml:space="preserve"> </w:t>
      </w:r>
      <w:r>
        <w:rPr>
          <w:rFonts w:ascii="Times New Roman" w:hAnsi="Times New Roman"/>
          <w:color w:val="231F20"/>
          <w:sz w:val="20"/>
        </w:rPr>
        <w:t>$1,242 for annual health examination for spouse; (d) $1,071 for fitness allowance; and (e) $858 for medical expense support, welfare points and similar benefits.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Consists of the following personal benefits paid to Mr. T. Kim for 2025: (a) $81,457 for housing lease; (b) $23,304 for home leave flights; (c) $58,526 for health insurance premiums; (d) $1,682 for accident insurance and business travel insurance premiums; (e) $7,735 for reimbursement of tuition expense for Mr. T. Kim’s child; (f) $3,000 for car expense (including personal use of a car service provided by the Company); (g) $26,741 for tax consulting expense; (h) $7,979 for living expense; (i) $363 for meal allowance; (j) -$137,066 of reimbursement (payable by Mr. T. Kim to the Company) of the difference between the actual U.S. tax Mr. T. Kim paid (taking into account the use of foreign tax credit carryover) and the applicable hypothetical tax calculated for fiscal year 2024; (k) $37,223 for reimbursement of Korean taxes paid in fiscal year 2024; (l) $350,000 for the severance payments pursuant to the T. Kim’s separation agreement dated September 9, 2025; (m) $2,129 for fitness allowance; (n) $1,078 for annual health examination for spouse; and (o) $2,165 for medical expense support, commuting allowance, welfare points and similar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b/>
          <w:color w:val="000000"/>
          <w:sz w:val="20"/>
        </w:rPr>
      </w:pPr>
      <w:bookmarkStart w:id="22" w:name="grants_of_plan_based_awards"/>
      <w:bookmarkEnd w:id="22"/>
      <w:r>
        <w:rPr>
          <w:rFonts w:ascii="Times New Roman" w:hAnsi="Times New Roman"/>
          <w:b/>
          <w:color w:val="000000"/>
          <w:sz w:val="20"/>
        </w:rPr>
        <w:t>Grants of Plan-Based Awards Table for Fiscal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grants of plan-based awards made to our named executive officers during 2025. The vesting schedule applicable to each award is set forth in the “Outstanding Equity Awards as of Fiscal Year End 2025” table. See the section subtitled “Compensation Discussion and Analysis—Long-Term Equity Incentives” for further information regarding grants made to our named executive officers during 2025.</w:t>
      </w:r>
    </w:p>
    <w:p>
      <w:pPr>
        <w:pStyle w:val="TextBody"/>
        <w:bidi w:val="0"/>
        <w:jc w:val="left"/>
        <w:rPr/>
      </w:pPr>
      <w:r>
        <w:rPr/>
        <w:t> </w:t>
      </w:r>
    </w:p>
    <w:tbl>
      <w:tblPr>
        <w:tblW w:w="8044" w:type="dxa"/>
        <w:jc w:val="left"/>
        <w:tblInd w:w="0" w:type="dxa"/>
        <w:tblLayout w:type="fixed"/>
        <w:tblCellMar>
          <w:top w:w="28" w:type="dxa"/>
          <w:left w:w="28" w:type="dxa"/>
          <w:bottom w:w="28" w:type="dxa"/>
          <w:right w:w="28" w:type="dxa"/>
        </w:tblCellMar>
      </w:tblPr>
      <w:tblGrid>
        <w:gridCol w:w="1381"/>
        <w:gridCol w:w="146"/>
        <w:gridCol w:w="826"/>
        <w:gridCol w:w="316"/>
        <w:gridCol w:w="146"/>
        <w:gridCol w:w="197"/>
        <w:gridCol w:w="812"/>
        <w:gridCol w:w="197"/>
        <w:gridCol w:w="197"/>
        <w:gridCol w:w="197"/>
        <w:gridCol w:w="934"/>
        <w:gridCol w:w="146"/>
        <w:gridCol w:w="146"/>
        <w:gridCol w:w="162"/>
        <w:gridCol w:w="768"/>
        <w:gridCol w:w="146"/>
        <w:gridCol w:w="146"/>
        <w:gridCol w:w="172"/>
        <w:gridCol w:w="818"/>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Future Payouts Under </w:t>
              <w:br/>
              <w:t>Equity Incentive Plan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 xml:space="preserve">Stock </w:t>
              <w:br/>
              <w:t xml:space="preserve">Awards: </w:t>
              <w:br/>
              <w:t xml:space="preserve">Number of </w:t>
              <w:br/>
              <w:t xml:space="preserve">Shares of </w:t>
              <w:br/>
              <w:t xml:space="preserve">Stock or </w:t>
              <w:b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Date </w:t>
              <w:br/>
              <w:t xml:space="preserve">Fair Value </w:t>
              <w:br/>
              <w:t xml:space="preserve">of Stock </w:t>
              <w:br/>
              <w:t xml:space="preserve">and </w:t>
              <w:br/>
              <w:t xml:space="preserve">Option </w:t>
              <w:br/>
              <w:t>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Shinyoung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RSUs granted during fiscal year 2025 to our named executive officers. Further information on the RSU awards can be found in the “Compensation Discussion &amp; Analysis” section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grant date fair value of each equity-based award as determined in accordance with FASB ASC 718. For the performance-based equity awards, the amounts are reported at the target performance level based on the probable outcome of the applicable performance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Financial PSUs granted during fiscal year 2025 to our named executive officers. The Compensation Committee is required to certify the actual amount earned for each performance goal for the performance period, within 60 days following the end of the performance period. Upon such determination, the 2025 Financial PSU award corresponding to the payout percentage vests, subject to the satisfaction of continuous service through the applicable performance period (“Continued Service Condition”). For these Financial PSUs, target performance represents the maximum number of shares that may be earned, and accordingly, there is no opportunity for payout above target. Further information on the Financial PSUs can be found in the “Compensation Discussion &amp; Analysis” section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 xml:space="preserve">Represents the Stock Price PSUs granted during fiscal year 2025 to our named executive officers. Vesting of the Stock Price PSUs granted with a three-year performance period ending January 31, 2028 will be based on the Company’s stock price performance as measured by the trailing 30-calendar day VWAP ending on and including January 31, 2028, subject to the satisfaction of the Continued Service Condition, with a vesting percentage of 100% based on stock price (to be equal to or greater than $14.14) achievement. </w:t>
      </w:r>
      <w:r>
        <w:rPr>
          <w:rFonts w:ascii="Times New Roman" w:hAnsi="Times New Roman"/>
          <w:color w:val="231F20"/>
          <w:sz w:val="20"/>
        </w:rPr>
        <w:t xml:space="preserve">The Stock Price PSUs do not provide for a threshold or maximum payout level, and the number of shares that may be earned is fixed at the target amount subject to the stock price achievement. </w:t>
      </w:r>
      <w:r>
        <w:rPr>
          <w:rFonts w:ascii="Times New Roman" w:hAnsi="Times New Roman"/>
          <w:color w:val="000000"/>
          <w:sz w:val="20"/>
        </w:rPr>
        <w:t>Further information on the Stock Price PSUs can be found in the “Compensation Discussion &amp; Analysis” section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color w:val="000000"/>
          <w:sz w:val="20"/>
        </w:rPr>
      </w:pPr>
      <w:bookmarkStart w:id="23" w:name="outstanding_equity_awards"/>
      <w:bookmarkEnd w:id="23"/>
      <w:r>
        <w:rPr>
          <w:rFonts w:ascii="Times New Roman" w:hAnsi="Times New Roman"/>
          <w:b/>
          <w:color w:val="000000"/>
          <w:sz w:val="20"/>
        </w:rPr>
        <w:t>Outstanding Equity Awards at Fiscal Year End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all outstanding equity awards held by our named executive officers as of December 31, 2025. Please see the section below entitled “Potential Payments Upon Termination or Change in Control” for information regarding the impact of certain employment termination scenarios on outstanding equity awards.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1516"/>
        <w:gridCol w:w="146"/>
        <w:gridCol w:w="961"/>
        <w:gridCol w:w="146"/>
        <w:gridCol w:w="173"/>
        <w:gridCol w:w="803"/>
        <w:gridCol w:w="146"/>
        <w:gridCol w:w="146"/>
        <w:gridCol w:w="329"/>
        <w:gridCol w:w="782"/>
        <w:gridCol w:w="146"/>
        <w:gridCol w:w="146"/>
        <w:gridCol w:w="146"/>
        <w:gridCol w:w="571"/>
        <w:gridCol w:w="146"/>
        <w:gridCol w:w="146"/>
        <w:gridCol w:w="100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3"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8/8/2026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7/12/2027</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3/11/2026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 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3/11/2026</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3/11/2026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3/11/2026</w:t>
            </w:r>
          </w:p>
        </w:tc>
      </w:tr>
    </w:tbl>
    <w:p>
      <w:pPr>
        <w:pStyle w:val="TextBody"/>
        <w:bidi w:val="0"/>
        <w:jc w:val="left"/>
        <w:rPr/>
      </w:pPr>
      <w:r>
        <w:rPr/>
        <w:t> </w:t>
      </w:r>
    </w:p>
    <w:tbl>
      <w:tblPr>
        <w:tblW w:w="9565" w:type="dxa"/>
        <w:jc w:val="left"/>
        <w:tblInd w:w="0" w:type="dxa"/>
        <w:tblLayout w:type="fixed"/>
        <w:tblCellMar>
          <w:top w:w="28" w:type="dxa"/>
          <w:left w:w="28" w:type="dxa"/>
          <w:bottom w:w="28" w:type="dxa"/>
          <w:right w:w="28" w:type="dxa"/>
        </w:tblCellMar>
      </w:tblPr>
      <w:tblGrid>
        <w:gridCol w:w="1336"/>
        <w:gridCol w:w="146"/>
        <w:gridCol w:w="946"/>
        <w:gridCol w:w="146"/>
        <w:gridCol w:w="146"/>
        <w:gridCol w:w="691"/>
        <w:gridCol w:w="146"/>
        <w:gridCol w:w="316"/>
        <w:gridCol w:w="146"/>
        <w:gridCol w:w="235"/>
        <w:gridCol w:w="1115"/>
        <w:gridCol w:w="146"/>
        <w:gridCol w:w="146"/>
        <w:gridCol w:w="240"/>
        <w:gridCol w:w="1140"/>
        <w:gridCol w:w="146"/>
        <w:gridCol w:w="616"/>
        <w:gridCol w:w="146"/>
        <w:gridCol w:w="248"/>
        <w:gridCol w:w="1177"/>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w:t>
              <w:br/>
              <w:t>Units of</w:t>
              <w:br/>
              <w:t xml:space="preserve">Stock </w:t>
              <w:br/>
              <w:t>That Have</w:t>
              <w:br/>
              <w:t>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 Value of </w:t>
              <w:br/>
              <w:t xml:space="preserve">Shares or Units </w:t>
              <w:br/>
              <w:t xml:space="preserve">of Stock </w:t>
              <w:br/>
              <w:t xml:space="preserve">That Have </w:t>
              <w:br/>
              <w:t xml:space="preserve">Not Vested </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w:t>
              <w:br/>
              <w:t>Plan Awards:</w:t>
              <w:br/>
              <w:t>Number of</w:t>
              <w:br/>
              <w:t>Unearned Shares,</w:t>
              <w:br/>
              <w:t>Units or Other</w:t>
              <w:br/>
              <w:t>Rights That</w:t>
              <w:br/>
              <w:t>Have Not</w:t>
              <w:br/>
              <w:t>Vested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w:t>
              <w:br/>
              <w:t>Plan Awards:</w:t>
              <w:br/>
              <w:t>Market or Payout</w:t>
              <w:br/>
              <w:t>Value of</w:t>
              <w:br/>
              <w:t>Unearned</w:t>
              <w:br/>
              <w:t>Shares, Units</w:t>
              <w:br/>
              <w:t>or Other Rights</w:t>
              <w:br/>
              <w:t>That Have</w:t>
              <w:br/>
              <w:t>Not Vested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07/01/2025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Young-Joon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02/16/2023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Shin Young Park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03/23/2023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Theodore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market value of RSUs based on our closing per share price of $2.55 on December 31, 2025, the last trading day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unvested Financial PSUs granted on June 1, 2024 for Mr. Lee, June 1, 2025 for Ms. Park and Mr. YJ Kim, and August 15, 2025 for Mr. Lee, unvested TSR PSUs granted on February 16, 2023 for Ms. Park, Mr. YJ Kim and Mr. T. Kim, and March 23, 2023 for Mr. Lee, unvested Stock Price PSUs granted on June 1, 2024 for Ms. Park, Mr. Lee, Mr. YJ Kim, and Mr. T. Kim, June 1, 2025 for Ms. Park and Mr. YJ Kim, and August 15, 2025 for Mr. Lee at target performance level (i.e., at the performance level associated with a 100% vesting in the case of Stock Price PSUs). The TSR PSUs, which were granted in 2023, vest based on achievement of the TSR performance goal over the 2023-2025 performance period. The Stock Price PSUs, which were granted in 2024 and 2025, vest based on achievement of the Company’s stock price performance as measured by the trailing 30-calendar day VWAP ending on and including January 31 of the third year following the grant year. The Stock Price PSUs granted in 2024 are eligible to vest at up to 200% of target based on the VWAP result as of January 31, 2027, while the Stock Price PSUs granted in 2025 do not have a threshold or maximum and are eligible to vest only at 100% of target based on the VWAP result as of January 31,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market value of Financial PSUs, TSR PSUs and Stock Price PSUs at target performance level (i.e., at the performance level associated with a 100% vesting) based on our closing per share price of $2.55 on December 31, 2025, the last trading day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vest on the initial vesting date which is the earlier of (i) the first anniversary of the date of grant and (ii) the meeting date of the Company's next succeeding Annual Meeting of Stockholders; provided, however, that for RSUs granted on October 1, 2025, vesting shall occur on August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vest over three years in three equal annual installments, subject to executive’s continued employment through each applicable vesting date. Represents the third installment, scheduled to vest on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vest over three years in three equal annual installments, subject to executive’s continued employment through each applicable vesting date. Represents the second and third installments, scheduled to vest on December 31, 2026 and December 31, 2027,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25, 2026, the Compensation Committee determined the vesting percentage of the 2023 TSR PSUs to be 0%, as the threshold performance metric for the performance period was not achieved. Accordingly, this award was forfeited in its entirety. See “Compensation Discussion and Analysis—Long-term Equity Incentives” for additional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25, 2026, the Compensation Committee determined the vesting percentage of the 2025 Financial PSUs to be 0%, as the threshold performance metric for the performance period was not achieved. Accordingly, this award was forfeited in its entirety. See “Compensation Discussion and Analysis—Long-term Equity Incentives” for additional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payable upon achievement of the performance goals is subject to further proration based on Mr. YJ Kim’s service through his termination date. Accordingly, even at 100% vesting, the maximum number of shares payable is 49,163, 133,500, and 59,321 for the 2023, 2024, and 2025 grants,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payable upon achievement of the performance goals is subject to further proration based on Mr. T. Kim’s service through his termination date. Accordingly, even at 100% vesting, the maximum number of shares payable is 11,179 and 41,667 for the 2023 and 2024 grants, respectively.</w:t>
      </w:r>
    </w:p>
    <w:p>
      <w:pPr>
        <w:pStyle w:val="TextBody"/>
        <w:bidi w:val="0"/>
        <w:spacing w:before="360" w:after="283"/>
        <w:jc w:val="left"/>
        <w:rPr>
          <w:rFonts w:ascii="Times New Roman" w:hAnsi="Times New Roman"/>
          <w:b/>
          <w:color w:val="231F20"/>
          <w:sz w:val="20"/>
        </w:rPr>
      </w:pPr>
      <w:bookmarkStart w:id="24" w:name="option_exercises_and_stock_vested"/>
      <w:bookmarkEnd w:id="24"/>
      <w:r>
        <w:rPr>
          <w:rFonts w:ascii="Times New Roman" w:hAnsi="Times New Roman"/>
          <w:b/>
          <w:color w:val="231F20"/>
          <w:sz w:val="20"/>
        </w:rPr>
        <w:t>Option Exercises and Stock Vested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shows information regarding the vesting of stock awards held by our named executive officers in 2025. None of our named executive officers exercised stock options during 2025.</w:t>
      </w:r>
    </w:p>
    <w:p>
      <w:pPr>
        <w:pStyle w:val="TextBody"/>
        <w:bidi w:val="0"/>
        <w:jc w:val="left"/>
        <w:rPr/>
      </w:pPr>
      <w:r>
        <w:rPr/>
        <w:t> </w:t>
      </w:r>
    </w:p>
    <w:tbl>
      <w:tblPr>
        <w:tblW w:w="4620" w:type="dxa"/>
        <w:jc w:val="left"/>
        <w:tblInd w:w="0" w:type="dxa"/>
        <w:tblLayout w:type="fixed"/>
        <w:tblCellMar>
          <w:top w:w="28" w:type="dxa"/>
          <w:left w:w="28" w:type="dxa"/>
          <w:bottom w:w="28" w:type="dxa"/>
          <w:right w:w="28" w:type="dxa"/>
        </w:tblCellMar>
      </w:tblPr>
      <w:tblGrid>
        <w:gridCol w:w="1516"/>
        <w:gridCol w:w="146"/>
        <w:gridCol w:w="229"/>
        <w:gridCol w:w="1061"/>
        <w:gridCol w:w="146"/>
        <w:gridCol w:w="146"/>
        <w:gridCol w:w="186"/>
        <w:gridCol w:w="999"/>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Acquired</w:t>
              <w:br/>
              <w:t>on Vesting</w:t>
              <w:b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Realized</w:t>
              <w:br/>
              <w:t>on Vesting</w:t>
              <w:br/>
              <w:t>($)(2)(3)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Represents the sum of (i) RSUs that vested on June 15, 2025 for Mr. Martino, August 11, 2025 for Mr. YJ Kim, December 31, 2025 for Ms. Park and Mr. Lee, and October 21 for Mr. T. Kim; and (ii) Financial PSUs that vested on March 1, 2025 and December 31, 2025 for Mr. Lee.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the sum of the value of vested RSUs as of the vesting date, based on our closing per share price on the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share numbers and values set forth in these two columns do not take into account the shares that were withheld from the named executive officers to pay applicable withholding taxes. The below table shows the number of shares, with their values calculated as of the vesting date, that were withheld by the Company in order to pay applicable withholding taxes on behalf of our named executive officers:</w:t>
      </w:r>
    </w:p>
    <w:p>
      <w:pPr>
        <w:pStyle w:val="TextBody"/>
        <w:bidi w:val="0"/>
        <w:jc w:val="left"/>
        <w:rPr/>
      </w:pPr>
      <w:r>
        <w:rPr/>
        <w:t> </w:t>
      </w:r>
    </w:p>
    <w:tbl>
      <w:tblPr>
        <w:tblW w:w="3792" w:type="dxa"/>
        <w:jc w:val="left"/>
        <w:tblInd w:w="0" w:type="dxa"/>
        <w:tblLayout w:type="fixed"/>
        <w:tblCellMar>
          <w:top w:w="28" w:type="dxa"/>
          <w:left w:w="28" w:type="dxa"/>
          <w:bottom w:w="28" w:type="dxa"/>
          <w:right w:w="28" w:type="dxa"/>
        </w:tblCellMar>
      </w:tblPr>
      <w:tblGrid>
        <w:gridCol w:w="1516"/>
        <w:gridCol w:w="146"/>
        <w:gridCol w:w="146"/>
        <w:gridCol w:w="679"/>
        <w:gridCol w:w="146"/>
        <w:gridCol w:w="146"/>
        <w:gridCol w:w="146"/>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Shares </w:t>
              <w:br/>
              <w:t xml:space="preserve">Withheld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 xml:space="preserve">Shares </w:t>
              <w:br/>
              <w:t xml:space="preserve">Withheld </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360" w:after="283"/>
        <w:jc w:val="left"/>
        <w:rPr>
          <w:rFonts w:ascii="Times New Roman" w:hAnsi="Times New Roman"/>
          <w:b/>
          <w:color w:val="231F20"/>
          <w:sz w:val="20"/>
        </w:rPr>
      </w:pPr>
      <w:bookmarkStart w:id="25" w:name="pension_benefits_for_the_fiscal_year"/>
      <w:bookmarkEnd w:id="25"/>
      <w:r>
        <w:rPr>
          <w:rFonts w:ascii="Times New Roman" w:hAnsi="Times New Roman"/>
          <w:b/>
          <w:color w:val="231F20"/>
          <w:sz w:val="20"/>
        </w:rPr>
        <w:t>Pension Benefits for the Fiscal Year Ended December 31, 2025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the severance benefits described above, pursuant to the Employee Retirement Benefit Security Act of Korea,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employment with the Company terminated on the last day of our fiscal year ended December 31, 2025, they would have been entitled to the statutory severance payments described below. The accumulated amounts 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w:t>
      </w:r>
    </w:p>
    <w:p>
      <w:pPr>
        <w:pStyle w:val="TextBody"/>
        <w:bidi w:val="0"/>
        <w:jc w:val="left"/>
        <w:rPr/>
      </w:pPr>
      <w:r>
        <w:rPr/>
        <w:t> </w:t>
      </w:r>
    </w:p>
    <w:tbl>
      <w:tblPr>
        <w:tblW w:w="7519" w:type="dxa"/>
        <w:jc w:val="left"/>
        <w:tblInd w:w="0" w:type="dxa"/>
        <w:tblLayout w:type="fixed"/>
        <w:tblCellMar>
          <w:top w:w="28" w:type="dxa"/>
          <w:left w:w="28" w:type="dxa"/>
          <w:bottom w:w="28" w:type="dxa"/>
          <w:right w:w="28" w:type="dxa"/>
        </w:tblCellMar>
      </w:tblPr>
      <w:tblGrid>
        <w:gridCol w:w="1516"/>
        <w:gridCol w:w="146"/>
        <w:gridCol w:w="1726"/>
        <w:gridCol w:w="146"/>
        <w:gridCol w:w="289"/>
        <w:gridCol w:w="686"/>
        <w:gridCol w:w="146"/>
        <w:gridCol w:w="146"/>
        <w:gridCol w:w="172"/>
        <w:gridCol w:w="923"/>
        <w:gridCol w:w="146"/>
        <w:gridCol w:w="146"/>
        <w:gridCol w:w="179"/>
        <w:gridCol w:w="96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Years </w:t>
              <w:br/>
              <w:t xml:space="preserve">of Credited </w:t>
              <w:br/>
              <w:t>Service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Present </w:t>
              <w:br/>
              <w:t xml:space="preserve">Value of </w:t>
              <w:br/>
              <w:t xml:space="preserve">Accumulated </w:t>
              <w:br/>
              <w:t>Benefit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Payments </w:t>
              <w:br/>
              <w:t xml:space="preserve">During </w:t>
              <w:br/>
              <w:t xml:space="preserve">the Last </w:t>
              <w:br/>
              <w:t>Fiscal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value reported in this column represents the accumulated amount of the benefit for each executive based on the formula described above of one month of base salary per year of credited service.</w:t>
      </w:r>
    </w:p>
    <w:p>
      <w:pPr>
        <w:pStyle w:val="TextBody"/>
        <w:bidi w:val="0"/>
        <w:spacing w:before="360" w:after="283"/>
        <w:jc w:val="left"/>
        <w:rPr>
          <w:rFonts w:ascii="Times New Roman" w:hAnsi="Times New Roman"/>
          <w:b/>
          <w:color w:val="231F20"/>
          <w:sz w:val="20"/>
        </w:rPr>
      </w:pPr>
      <w:bookmarkStart w:id="26" w:name="nonqualified_deferred_compensation"/>
      <w:bookmarkEnd w:id="26"/>
      <w:r>
        <w:rPr>
          <w:rFonts w:ascii="Times New Roman" w:hAnsi="Times New Roman"/>
          <w:b/>
          <w:color w:val="231F20"/>
          <w:sz w:val="20"/>
        </w:rPr>
        <w:t>Nonqualified Deferred Compensation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maintain any nonqualified deferred compensation plans for our named executive officers.</w:t>
      </w:r>
    </w:p>
    <w:p>
      <w:pPr>
        <w:pStyle w:val="TextBody"/>
        <w:bidi w:val="0"/>
        <w:spacing w:before="360" w:after="283"/>
        <w:jc w:val="left"/>
        <w:rPr>
          <w:rFonts w:ascii="Times New Roman" w:hAnsi="Times New Roman"/>
          <w:b/>
          <w:color w:val="231F20"/>
          <w:sz w:val="20"/>
        </w:rPr>
      </w:pPr>
      <w:bookmarkStart w:id="27" w:name="potential_payments_upon"/>
      <w:bookmarkEnd w:id="27"/>
      <w:r>
        <w:rPr>
          <w:rFonts w:ascii="Times New Roman" w:hAnsi="Times New Roman"/>
          <w:b/>
          <w:color w:val="231F20"/>
          <w:sz w:val="20"/>
        </w:rPr>
        <w:t>Potential Payments Upon Termination or Change in Control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named executive officers (except Mr. Martino) are or were each party to an employment agreement that provides for post- employment or change in control benefits. The terms “Cause”, “Good Reason”, “Disability”, “Change in Control”, and “CIC Qualified Termination” used below have the meanings given to them in the applicable agreement(s), while generally corresponding to these descriptions: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"Cause" for terminating an executive's employment generally refers to material misconduct or wrongful act or omission on the executive’s part, including criminal convictions, fraud, embezzlement or misappropriation of funds, breach of fiduciary duty, refusal to fulfill its duties and responsibilities, material policy violations, material contract breaches, substance abuse affecting work, or gross negligence.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"Good Reason" for an executive to resign or terminate their engagement generally refers to specific actions taken by the company without the executive's consent and not cured within a specified period, including: a diminution in the executive's salary or target annual bonus opportunity, the company's material breach of any material agreement with the executive, or relocation of the executive's primary work location by a significant distance from their current location that substantially increases their commute.</w:t>
      </w:r>
    </w:p>
    <w:p>
      <w:pPr>
        <w:pStyle w:val="TextBody"/>
        <w:bidi w:val="0"/>
        <w:spacing w:before="240" w:after="283"/>
        <w:jc w:val="left"/>
        <w:rPr>
          <w:color w:val="231F20"/>
        </w:rPr>
      </w:pPr>
      <w:r>
        <w:rPr>
          <w:color w:val="231F20"/>
        </w:rPr>
        <w:t>“</w:t>
      </w:r>
      <w:r>
        <w:rPr>
          <w:rFonts w:ascii="Times New Roman" w:hAnsi="Times New Roman"/>
          <w:color w:val="231F20"/>
          <w:sz w:val="20"/>
        </w:rPr>
        <w:t>Disability” shall mean a finding by the Company of the executive’s incapacitation through any illness, injury, accident or condition of either a physical or psychological nature that has resulted in his inability to perform the essential functions of the executive’s position, even with reasonable accommodations, for one hundred eighty (180) calendar days during any period of three hundred sixty-five (365) consecutive calendar days, and such incapacity is expected to continue.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"Change in Control" generally refers to significant changes in company ownership or control, including: (1) when a person or entity acquires more than 50% of the company's voting power or fair market value of securities (with certain exceptions), (2) a transaction resulting in stockholders losing direct or indirect beneficial ownership of more than 50% of the voting power, or (3) the company's complete liquidation or dissolution after stockholder approval. The definition typically excludes acquisitions by existing major shareholders, internal reorganizations, and transactions where the majority of the board remains composed of incumbent directors.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"CIC Qualified Termination" shall mean a termination of the executive's employment either (i) by the Company without Cause or (ii) by the executive's resignation with Good Reason, in each case, occurring either (x) during a period of time when the Company is party to a definitive corporate transaction agreement, the consummation of which would result in a Change in Control or (y) within eighteen (18) months following a Change in Control.</w:t>
      </w:r>
    </w:p>
    <w:p>
      <w:pPr>
        <w:pStyle w:val="TextBody"/>
        <w:bidi w:val="0"/>
        <w:spacing w:before="240" w:after="283"/>
        <w:jc w:val="left"/>
        <w:rPr>
          <w:color w:val="231F20"/>
        </w:rPr>
      </w:pPr>
      <w:r>
        <w:rPr>
          <w:color w:val="231F20"/>
        </w:rPr>
        <w:t>“</w:t>
      </w:r>
      <w:r>
        <w:rPr>
          <w:rFonts w:ascii="Times New Roman" w:hAnsi="Times New Roman"/>
          <w:color w:val="231F20"/>
          <w:sz w:val="20"/>
        </w:rPr>
        <w:t>Non-CIC Qualified Termination” shall mean a termination of the executive’s employment either (i) by the Company without Cause or (ii) by the executive for Good Reason, in each case, occurring outside of either (x) the period of time when the Company is party to a definitive corporate transaction agreement, the consummation of which would result in a Change in Control or (y) the eighteen (18) month period following a Change in Control.</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Interim CEO Agreement</w:t>
      </w:r>
    </w:p>
    <w:p>
      <w:pPr>
        <w:pStyle w:val="TextBody"/>
        <w:bidi w:val="0"/>
        <w:spacing w:before="120" w:after="283"/>
        <w:jc w:val="left"/>
        <w:rPr>
          <w:rFonts w:ascii="Times New Roman" w:hAnsi="Times New Roman"/>
          <w:sz w:val="20"/>
        </w:rPr>
      </w:pPr>
      <w:r>
        <w:rPr>
          <w:rFonts w:ascii="Times New Roman" w:hAnsi="Times New Roman"/>
          <w:color w:val="231F20"/>
          <w:sz w:val="20"/>
        </w:rPr>
        <w:t>In September 2025, the Company entered into a Consulting Agreement (the “Martino Consulting Agreement”)</w:t>
      </w:r>
      <w:r>
        <w:rPr>
          <w:rFonts w:ascii="Times New Roman" w:hAnsi="Times New Roman"/>
          <w:color w:val="231F20"/>
          <w:sz w:val="20"/>
          <w:u w:val="single"/>
        </w:rPr>
        <w:t xml:space="preserve"> </w:t>
      </w:r>
      <w:r>
        <w:rPr>
          <w:rFonts w:ascii="Times New Roman" w:hAnsi="Times New Roman"/>
          <w:color w:val="231F20"/>
          <w:sz w:val="20"/>
        </w:rPr>
        <w:t xml:space="preserve">with Mr. Martino which set forth the principal terms and conditions of his service as Interim Chief Executive Officer (“Interim CEO”), and an Executive Service Agreement (the “Martino Executive Agreement”) with the Company’s Korean operating subsidiary in connection with his additional responsibilities therein as its representative director (the Martino Consulting Agreement and the Martino Executive Agreement are collectively referred to as the “Interim CEO Agreement”).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an interim executive, Mr. Martino is not eligible for the Company's standard severance arrangements or change in control benefits applicable to other named executive officers. His potential payments upon termination are limited to those specified in his Interim CEO Agreement, which includes: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accrued but unpaid service fees and reimbursements through the date of termination;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case of immediate termination by the Board without prior notice) An amount equal to the fees that would have accrued during the thirty (30) day notice period;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 to Mr. Martino's continued service to the Company through the consummation of a Change in Control (as defined in the Plan), any unvested equity awards will be subject to accelerated vesting and become fully vested upon the consummation of a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Executive Service Agreements – Ms. Shinyoung Park and Mr. Seunghoon Lee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February of 2022, the Company entered into an executive service agreement with Ms. Shinyoung Park that superseded her prior offer letter. In October of 2018, the Company entered into similar arrangements with Mr. Seunghoon Lee (the “SH Lee Agreement”) that replaced their prior severance agreements and offer letters.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April 28, 2025, the Company entered into an amended and restated executive service agreement (the “CFO Agreement”) with Ms. Park in order to increase her annual base salary and to augment her severance payment upon termination in connection with a change in control of the Company.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CFO Agreement provides that the Ms. Park will be entitled to severance payments and benefits upon certain qualifying termination of her employment with the Company. In the event that Ms. Park incurs a Non-CIC Qualified Termination, she will be entitled to (i) 12 months of continued base salary (as then in effect or in effect prior to any diminution constituting “good reason”) (the “CFO Salary Payment”), (ii) a pro rata bonus based on actual performance (if such termination occurs after June 30 of the year of termination) (together with the CFO Salary Payment, the “CFO Severance Payment”), and (iii) vesting of all equity awards in accordance with the terms of our equity plan and the applicable award agreements.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that Ms. Park incurs a CIC Qualified Termination, then Ms. Park will be entitled to the severance payments described above, provided that the CFO Severance Payment instead will equal one and one-half times her base salary (as then in effect or in effect prior to any diminution implicating “good reason”); and provided further, that if the date of termination occurs after June 30 of the calendar year in which the date of termination occurs, Ms. Park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Ms. Park will vest in all equity grants in accordance with the terms of our equity plan and the applicable award agreements.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SH Lee Agreement also provides that the Mr. Lee will be entitled to severance payments and benefits upon certain qualifying terminations of his employment with the Company. In the event that Mr. Lee incurs a Non-CIC Qualified Termination, he will be entitled to (i) 12 months of continued base salary (as then in effect or in effect prior to any diminution constituting “good reason”) (the “Lee Salary Payment”), (ii) a pro rata bonus based on actual performance (if such termination occurs after June 30 of the year of termination) (together with the Lee Salary Payment, the “Lee Severance Payment”), and (iii) vesting of all equity awards in accordance with the terms of our equity plan and the applicable award agreements.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that Mr. Lee incurs a CIC Qualified Termination, then Mr. Lee will be entitled to the severance payments described above, provided that the Lee Severance Payment instead will equal one times Mr. Lee’s base salary (as then in effect or in effect prior to any diminution implicating “good reason”); and provided further, that if the date of termination occurs after June 30 of the calendar year in which the date of termination occurs, Mr. Lee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the applicable executive will vest in all equity grants in accordance with the terms of our equity plan and the applicable award agreements.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the foregoing, certain equity awards held by our named executive officers contain additional terms and conditions relating to terminations or a change in control event.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the Time-Based RSUs, the following terms apply:</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Upon an involuntary termination of the executive by the Company without Cause or a resignation by the executive for Good Reason, in each case not in connection with a CIC Qualified Termination and prior to settlement of the award, the executive will</w:t>
      </w:r>
      <w:r>
        <w:rPr>
          <w:color w:val="000000"/>
        </w:rPr>
        <w:t xml:space="preserve"> </w:t>
      </w:r>
      <w:r>
        <w:rPr>
          <w:rFonts w:ascii="Times New Roman" w:hAnsi="Times New Roman"/>
          <w:color w:val="231F20"/>
          <w:sz w:val="20"/>
        </w:rPr>
        <w:t>remain eligible to vest with respect to a pro rata portion of the next tranche of the Time-Based RSUs scheduled to vest;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executive incurs a CIC Qualified Termination, all unvested Time-Based RSUs shall fully vest on the date of such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the Financial PSUs, the following terms apply: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Upon an involuntary termination of the executive by the Company without Cause or a resignation by the executive for Good Reason, in each case not in connection with a CIC Qualified Termination and prior to settlement of the award, the executive will remain eligible to vest in a pro rata portion of the Financial PSUs that are earned based on actual Company performance following the end of the performance period;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event of a Change in Control during the performance period, if a replacement award is provided, any Financial PSUs that are outstanding and unvested immediately prior to the Change in Control will remain outstanding and unvested, and the applicable performance conditions will be deemed achieved at target levels;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event of a Change in Control during the performance period, if a replacement award is not provided, any Financial PSUs that are outstanding and unvested immediately prior to the Change in Control will vest at target levels;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 Change in Control occurs after the end of the performance period, any Financial PSUs that are outstanding and unvested immediately prior to the Change in Control will vest based on actual Company performance;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executive incurs a CIC Qualified Termination, all Financial PSUs that remain outstanding and unvested shall fully vest on the date of such termination, and, in the event that the date of such CIC Qualified Termination occurs prior to the occurrence of any Change in Control, the Financial PSUs that remain outstanding and unvested shall vest at the target level of achievement; provided, however, if such CIC Qualified Termination occurs after the end of the Performance Period, then the aforesaid Financial PSUs shall vest based on actual Company performance.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the TSR PSUs, the following terms apply: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Upon an involuntary termination by the Company without Cause or a resignation for Good Reason, in each case not in connection with a CIC Qualified Termination and prior to settlement of the award, the executive will remain eligible to vest in a pro rata portion of the TSR PSUs based on actual Company performance following the end of the performance period;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 Change in Control occurs, the number of TSR PSUs that remain eligible to vest will be determined as of the date of the Change in Control. If a replacement award is provided, such TSR PSUs will remain outstanding and continue to vest based solely on the passage of time, subject to continued service. If a replacement award is not provided, such TSR PSUs will vest upon the Change in Control;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executive incurs a CIC Qualified Termination, all TSR PSUs that remain outstanding and unvested will fully vest upon such termination; provided that, if such termination occurs prior to a Change in Control, vesting will be based on actual Company performance through the date of termination.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the Stock Price PSUs, the following terms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an involuntary termination of the executive by the Company without Cause or a termination by the executive for Good Reason, in each case not in connection with a CIC Qualified Termination, the Stock Price PSUs will remain eligible to vest on a pro rata basis based on actual Company performance following the end of the performance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Change in Control, the performance period will be truncated as of the Change in Control date, and vesting will be determined based on the applicable stock price achievement levels, with treatment depending on whether the awards are assumed, substituted or continued in the transaction (in which case performance is determined as of the Change in Control and any vested portion is converted into time-based awards that vest subject to continued service, with acceleration upon qualifying termination), or are not assumed, substituted or continued (in which case the awards are settled upon the Change in Control based on stock price performance conditions, subject to applicable minimum vesting thresholds);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Participant incurs a CIC Qualified Termination, all Stock Price PSUs that remain outstanding and unvested shall vest on the date of such termination, provided that the number of Stock Price PSUs that vest shall be determined subject to satisfaction of the applicable performance goal measured as of the earlier of (i) the Change in Control date and (ii) the end of the original Performance Period (i.e., the third anniversary of the grant 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applicable executive’s rights to receive any “change in control” or other severance payments under the applicable agreements are subject to the applicable executive’s execution of a release of claims against the Company and his or her compliance with certain restrictive covenants.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2025, and assuming a closing per share price of $2.55 on December 31, 2025, the last trading day of 2025. In addition, the disclosure in the following table does not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accrued benefits that were earned and payable as of December 31, 2025; 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payments and benefits to the extent they are provided generally to all salaried employees and do not discriminate in scope, terms or operation in favor of the named executive officers.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Camillo Martino</w:t>
      </w:r>
    </w:p>
    <w:p>
      <w:pPr>
        <w:pStyle w:val="TextBody"/>
        <w:bidi w:val="0"/>
        <w:jc w:val="left"/>
        <w:rPr/>
      </w:pPr>
      <w:r>
        <w:rPr/>
        <w:t> </w:t>
      </w:r>
    </w:p>
    <w:tbl>
      <w:tblPr>
        <w:tblW w:w="9329" w:type="dxa"/>
        <w:jc w:val="left"/>
        <w:tblInd w:w="0" w:type="dxa"/>
        <w:tblLayout w:type="fixed"/>
        <w:tblCellMar>
          <w:top w:w="28" w:type="dxa"/>
          <w:left w:w="28" w:type="dxa"/>
          <w:bottom w:w="28" w:type="dxa"/>
          <w:right w:w="28" w:type="dxa"/>
        </w:tblCellMar>
      </w:tblPr>
      <w:tblGrid>
        <w:gridCol w:w="4351"/>
        <w:gridCol w:w="146"/>
        <w:gridCol w:w="249"/>
        <w:gridCol w:w="592"/>
        <w:gridCol w:w="146"/>
        <w:gridCol w:w="146"/>
        <w:gridCol w:w="178"/>
        <w:gridCol w:w="843"/>
        <w:gridCol w:w="146"/>
        <w:gridCol w:w="146"/>
        <w:gridCol w:w="316"/>
        <w:gridCol w:w="750"/>
        <w:gridCol w:w="146"/>
        <w:gridCol w:w="146"/>
        <w:gridCol w:w="146"/>
        <w:gridCol w:w="69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Severance</w:t>
              <w:br/>
              <w:t>Payment</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Equity</w:t>
              <w:br/>
              <w:t>Award</w:t>
              <w:br/>
              <w:t>Acceleration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Continuation</w:t>
              <w:br/>
              <w:t>of Benefits</w:t>
              <w:br/>
              <w:t>and</w:t>
              <w:br/>
              <w:t>Perquisites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 In Connection With a</w:t>
              <w:br/>
              <w:t>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for Cause / By Executive</w:t>
              <w:br/>
              <w:t>   without Good Reason / Disability / Death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Control (without termination</w:t>
              <w:br/>
              <w:t>   of employment)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 Cash Severance Payment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Acceleration is not eligible for any reason or no reason, with or without cause, other than in the event of a Change in Control and subject to Mr. Martino's continued service through the Change in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Martino is not eligible for a continuation of benefits pursuant to his Interim CEO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Shinyoung Park</w:t>
      </w:r>
    </w:p>
    <w:p>
      <w:pPr>
        <w:pStyle w:val="TextBody"/>
        <w:bidi w:val="0"/>
        <w:jc w:val="left"/>
        <w:rPr/>
      </w:pPr>
      <w:r>
        <w:rPr/>
        <w:t> </w:t>
      </w:r>
    </w:p>
    <w:tbl>
      <w:tblPr>
        <w:tblW w:w="9596" w:type="dxa"/>
        <w:jc w:val="left"/>
        <w:tblInd w:w="0" w:type="dxa"/>
        <w:tblLayout w:type="fixed"/>
        <w:tblCellMar>
          <w:top w:w="28" w:type="dxa"/>
          <w:left w:w="28" w:type="dxa"/>
          <w:bottom w:w="28" w:type="dxa"/>
          <w:right w:w="28" w:type="dxa"/>
        </w:tblCellMar>
      </w:tblPr>
      <w:tblGrid>
        <w:gridCol w:w="4351"/>
        <w:gridCol w:w="146"/>
        <w:gridCol w:w="146"/>
        <w:gridCol w:w="695"/>
        <w:gridCol w:w="146"/>
        <w:gridCol w:w="146"/>
        <w:gridCol w:w="146"/>
        <w:gridCol w:w="691"/>
        <w:gridCol w:w="146"/>
        <w:gridCol w:w="316"/>
        <w:gridCol w:w="146"/>
        <w:gridCol w:w="316"/>
        <w:gridCol w:w="750"/>
        <w:gridCol w:w="146"/>
        <w:gridCol w:w="146"/>
        <w:gridCol w:w="146"/>
        <w:gridCol w:w="82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Severance</w:t>
              <w:br/>
              <w:t>Payment</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Equity</w:t>
              <w:br/>
              <w:t>Award</w:t>
              <w:br/>
              <w:t>Acceleration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Continuation</w:t>
              <w:br/>
              <w:t>of Benefits</w:t>
              <w:br/>
              <w:t>and</w:t>
              <w:br/>
              <w:t>Perquisites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 In Connection With a</w:t>
              <w:br/>
              <w:t>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for Cause / By Executive</w:t>
              <w:br/>
              <w:t>   without Good Reason / Disability / Death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Control (without termination</w:t>
              <w:br/>
              <w:t>   of employment)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cash severance payments payable pursuant to the CFO Agreement. See “Potential Payments Upon Termination or Change in Control”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25, 2026, the Compensation Committee determined that the vesting percentage of the 2023 TSR PSUs and 2025 Financial PSUs is 0%. Accordingly, the 2023 TSR PSUs and 2025 Financial PSUs were forfeited in their entirety. However, this column does not reflect such forfeiture because it occurred in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Ms. Park’s outstanding RSUs and PSUs that remain eligible to vest as of December 31, 2025. More specifically, she would remain eligible to vest in her outstanding RSUs and PSUs in each category as follows: 100% of her 2023 TSR PSUs, one-third of her 2025 Financial PSUs, 64% of her 2024 Stock Price PSUs, and 31% of her 2025 Stock Price PSUs. This scenario assumes vesting at the target performance level for her 2023 TSR PSUs and 2025 Financial PSUs, and at the performance level associated with a 100% vesting of her 2024 and 2025 Stock Price PSUs; accordingly, the amounts presented are calculated based on such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value of Ms. Park’s outstanding RSUs and PSUs that remain eligible to vest as of December 31, 2025. This scenario assumes vesting at the target performance level for her 2023 TSR PSUs and 2025 Financial PSUs, and at the performance level associated with a 100% vesting of her 2024 and 2025 Stock Price PSUs; here, all outstanding RSUs and PSUs vest based on achievement at 100% of target performance, and the amounts presented are calculated on that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Assumes that the Compensation Committee exercised its discretion to fully accelerate all outstanding RSUs and PSUs that remain eligible to vest at the time of Change in Control (without termination of employment). Represents the value of accelerated vesting of outstanding RSUs, 2023 TSR PSUs, 2025 Financial PSUs, 2024 Stock Price PSUs and 2025 Stock Price PSUs (assuming the TSR PSUs and Financial PSUs vest at target performance level, and the Stock Price PSUs vest at the performance level associated with a 100% vesting).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Seunghoon Lee</w:t>
      </w:r>
    </w:p>
    <w:p>
      <w:pPr>
        <w:pStyle w:val="TextBody"/>
        <w:bidi w:val="0"/>
        <w:jc w:val="left"/>
        <w:rPr/>
      </w:pPr>
      <w:r>
        <w:rPr/>
        <w:t> </w:t>
      </w:r>
    </w:p>
    <w:tbl>
      <w:tblPr>
        <w:tblW w:w="9461" w:type="dxa"/>
        <w:jc w:val="left"/>
        <w:tblInd w:w="0" w:type="dxa"/>
        <w:tblLayout w:type="fixed"/>
        <w:tblCellMar>
          <w:top w:w="28" w:type="dxa"/>
          <w:left w:w="28" w:type="dxa"/>
          <w:bottom w:w="28" w:type="dxa"/>
          <w:right w:w="28" w:type="dxa"/>
        </w:tblCellMar>
      </w:tblPr>
      <w:tblGrid>
        <w:gridCol w:w="4351"/>
        <w:gridCol w:w="146"/>
        <w:gridCol w:w="146"/>
        <w:gridCol w:w="695"/>
        <w:gridCol w:w="146"/>
        <w:gridCol w:w="146"/>
        <w:gridCol w:w="146"/>
        <w:gridCol w:w="691"/>
        <w:gridCol w:w="146"/>
        <w:gridCol w:w="316"/>
        <w:gridCol w:w="146"/>
        <w:gridCol w:w="316"/>
        <w:gridCol w:w="750"/>
        <w:gridCol w:w="146"/>
        <w:gridCol w:w="146"/>
        <w:gridCol w:w="146"/>
        <w:gridCol w:w="69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Severance</w:t>
              <w:br/>
              <w:t>Payment</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Equity</w:t>
              <w:br/>
              <w:t>Award</w:t>
              <w:br/>
              <w:t>Acceleration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Continuation</w:t>
              <w:br/>
              <w:t>of Benefits</w:t>
              <w:br/>
              <w:t>and</w:t>
              <w:br/>
              <w:t>Perquisites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Without Cause / By</w:t>
              <w:br/>
              <w:t>   Executive for Good Reason, In Connection With a</w:t>
              <w:br/>
              <w:t>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Termination By the Company for Cause / By Executive</w:t>
              <w:br/>
              <w:t>   without Good Reason / Disability / Death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Control (without termination</w:t>
              <w:br/>
              <w:t>    of employment)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6"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cash severance payments payable pursuant to the SH Lee Agreement. See “Potential Payments Upon Termination or Change in Control”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25, 2026, the Compensation Committee determined that the vesting percentage of the 2023 TSR PSUs and 2025 Financial PSUs is 0%. Accordingly, the 2023 TSR PSUs and 2025 Financial PSUs were forfeited in their entirety. However, this column does not reflect such forfeiture because it occurred in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value of Mr. Lee’s outstanding RSUs and PSUs that remain eligible to vest as of December 31, 2025. More specifically, he would be eligible to vest in his outstanding RSUs and PSUs in each category as follows: 100% of his 2023 TSR PSUs, one-third of his 2025 Financial PSUs, 64% of his 2024 Stock Price PSUs, and 31% of his 2025 Stock Price PSUs. This scenario assumes vesting at the target performance level for his 2023 TSR PSUs and 2025 Financial PSUs, and at the performance level associated with a 100% vesting of his 2024 and 2025 Stock Price PSUs; accordingly, the amounts presented are calculated based on such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value of Mr. Lee’s outstanding RSUs and PSUs that remain eligible to vest as of December 31, 2025. This scenario assumes vesting at the target performance level for his 2023 TSR PSUs, 2024 Financial PSUs and 2025 Financial PSUs, and at the performance level associated with 100% vesting for his 2024 and 2025 Stock Price PSUs; here, all outstanding RSUs and PSUs vest based on achievement at 100% of target performance, and the amounts presented are calculated on that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Assumes that the Compensation Committee exercised its discretion to fully accelerate all outstanding RSUs and PSUs that remain eligible to vest at the time of Change in Control (without termination of employment). Represents the value of accelerated vesting of outstanding RSUs, 2023 TSR PSUs, 2024 Financial PSUs, 2025 Financial PSUs, 2024 Stock Price PSUs and 2025 Stock Price PSUs (assuming the TSR PSUs and Financial PSUs vest at target performance level, and the Stock Price PSUs vest at the performance level associated with a 100% vesting).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Severance Agreement of Young-Joon Kim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11, 2025, Mr. Young-Joon Kim (“Mr. YJ Kim”) resigned from his position as Chief Executive Officer of the Company. Mr. YJ Kim also resigned as a member of the Board on August 8, 2025. Mr. YJ Kim further resigned from his position as Representative Director of MSK, the Korean operating subsidiary of the Company, and from all other positions with each direct and indirect subsidiary of the Company; provided, however, that Mr. Kim will remain as the liquidator of Magnachip Mixed-Signal, Ltd. (“MMS”), the Korean subsidiary that used to operate the Company’s display business, until its liquidation process is completed or until the Company otherwise determines that Mr. Kim will no longer serve as liquidator of MMS. In connection with Mr. YJ Kim’s resignation with the Company, Mr. YJ Kim and the Company entered into a separation agreement dated as of August 11, 2025 (the “YJ Kim’s Separation Agreement”), pursuant to which the Company agreed to the following: (i) the Company will pay Mr. YJ Kim a cash severance payment equal to twenty-four times his monthly base salary, payable ratably over a period of twenty-four months after the separation date (with the first payment being paid two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months after the separation date and to equal two times the monthly base salary and the remaining monthly base salary payments due on the twenty-fifth day of each month for a period of twenty-two months), together with any annual bonus earned for calendar year 2025, which shall be prorated on a daily basis, and (ii) any outstanding unvested equity awards held by Mr. YJ Kim will be treated in accordance with the terms set forth in the Company’s applicable equity incentive plan and the applicable award agreements, solely for the purpose of this clause (ii), as if Mr. YJ Kim’s separation was deemed to be “termination without Cause” rather than “resignation without Good Reason” under the applicable equity incentive plan and such award agreements, and (iii) Mr. YJ Kim will be entitled to a temporary continuation of certain expatriate benefits beyond the separation date (collectively, the “YJ Kim’s Separation Benefits”). YJ Kim’s Separation Benefits are contingent on the execution and non-revocation of the release of claims in favor of the Company, MSK, or their respective affiliates, subsidiaries, representatives and other related parties, and Mr. YJ Kim’s compliance with all other terms of his confidentiality agreement and proprietary information and invention assignment agreement, the YJ Kim’s Separation Agreement (including compliance with non-competition, non-solicitation, non-disparagement and other restrictive covenants). The following table quantifies the value of the foregoing payments and benefits: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Young-Joon Kim - Termination By the Company “Without Cause”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826"/>
        <w:gridCol w:w="146"/>
        <w:gridCol w:w="146"/>
        <w:gridCol w:w="146"/>
        <w:gridCol w:w="691"/>
        <w:gridCol w:w="146"/>
        <w:gridCol w:w="146"/>
        <w:gridCol w:w="146"/>
        <w:gridCol w:w="691"/>
        <w:gridCol w:w="146"/>
        <w:gridCol w:w="146"/>
        <w:gridCol w:w="146"/>
        <w:gridCol w:w="691"/>
        <w:gridCol w:w="146"/>
        <w:gridCol w:w="146"/>
        <w:gridCol w:w="146"/>
        <w:gridCol w:w="601"/>
        <w:gridCol w:w="146"/>
        <w:gridCol w:w="146"/>
        <w:gridCol w:w="166"/>
        <w:gridCol w:w="585"/>
        <w:gridCol w:w="146"/>
        <w:gridCol w:w="146"/>
        <w:gridCol w:w="170"/>
        <w:gridCol w:w="701"/>
        <w:gridCol w:w="146"/>
        <w:gridCol w:w="146"/>
        <w:gridCol w:w="146"/>
        <w:gridCol w:w="691"/>
        <w:gridCol w:w="146"/>
        <w:gridCol w:w="146"/>
        <w:gridCol w:w="146"/>
        <w:gridCol w:w="826"/>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Expatriate Benefits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w:t>
              <w:br/>
              <w:t>Severance(1)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Statutory Severance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RSUs(2)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 Stock Price PSUs(3)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Housing</w:t>
              <w:br/>
              <w:t>Support(4)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Insurance(5)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Repatriation Allowance(6)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expatriate assignment entitlements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2,566,386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a cash severance payment which is equal to twenty-four times his monthly 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the shares underlying the RSUs held by Mr. YJ Kim, which were treated in accordance with the terms set forth in the YJ Kim’s Separation Agreement under which Mr. YJ Kim’s separation was deemed to be “termination without Cause” for purposes of the applicable equity incentive plans and award agreements, based on the Company’s stock price of $2.68 on the August 11, 2025 vesting and settlement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the shares underlying the Stock Price PSUs held by Mr. YJ Kim, pursuant to the terms set forth in the YJ Kim’s Separation Agreement under which Mr. YJ Kim’s separation was deemed to be a “termination without Cause” solely for purposes of the applicable equity incentive plans and award agreements. More specifically, he would remain eligible to vest in 50% of his 2024 Stock Price PSUs and 17% of his 2025 Stock Price PSUs based on actual performance. This calculation assumes vesting at the performance level associated with a 100% vesting of his 2024 and 2025 Stock Price PSUs, with a share price of $2.55; however, the award will actually vest and settle in February 2027 and February 2028, respectively. On February 25, 2026, the Compensation Committee determined the vesting percentage of the 2023 TSR PSUs and 2025 Financial PSUs is 0%. Accordingly, his remaining 2023 TSR PSUs and 2025 Financial PSUs were forfeited in their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housing support including monthly rent and interest for deposit for a period of 90 days from the resignation date, as well as separate coverage for utilities, management fees, and other related expenses incurred during such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life/accident/travel insurance coverage for a period of 90 days from the resignation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cash payment equal to the monthly 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all other expatriate assignment entitlements including medical insurance coverage for a period of 12 months, transportation for a period of 90 days, and repatriation expenses. Separately, tax equalization and tax preparation/consulting services as required with respect to any and all compensation he receives from the Company (including the compensation and benefits he receives under this YJ Kim’s Separation Agreement) will be provided for the tax year(s) during which any portion of such compensation is paid and becomes taxable.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Severance Agreement of Theodore Kim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9, 2025, Mr. Theodore Kim ("T. Kim") resigned from the position of Chief Compliance Officer effective October 21, 2025. In connection with the departure of Mr. T. Kim, the Company’s Chief Compliance Officer, General Counsel and Secretary, the Company, MSK and Mr. T. Kim entered into a separation agreement dated as of September 9, 2025 (the “T. Kim’s Separation Agreement”), pursuant to which Mr. T. Kim will resign all of his positions with the Company and each of the Company’s subsidiaries, including MSK, on September 9, 2025 and will end his employment with the Company and such subsidiaries effective at the end of October 21, 2025, and the Company has agreed to the following: (i) the Company will pay Mr. T. Kim a cash severance payment equal to twelve times his monthly base salary, payable ratably over a period of twelve months after the separation date (with the first payment being paid two months after the separation date), together with any annual bonus earned for calendar year 2025, which shall be prorated on a daily basis, (ii) any outstanding unvested equity awards held by Mr. T. Kim will be treated in accordance with the terms set forth in the Company’s applicable equity incentive plan and the applicable award agreements, solely for the purpose of this clause (ii), as if Mr. T. Kim’s separation was deemed to be “termination without Cause”, and (iii) Mr. T. Kim will be entitled to a temporary continuation of certain expatriate benefits beyond the separation date (collectively, the “T. Kim’s Separation Benefits”). The T. Kim’s Separation Benefits are contingent on the execution and non-revocation of the release of claims in favor of the Company, MSK, or their respective affiliates, subsidiaries, representatives and other related parties, and Mr. T. Kim’s compliance with all other terms of his confidentiality agreement and proprietary information and invention assignment agreement, the T. Kim’s Separation Agreement (including compliance with non-competition, non-solicitation, non-disparagement and other restrictive covenants). The following table quantifies the value of the foregoing payments and benefits: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Theodore Kim - Termination By the Company “Without Cause”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691"/>
        <w:gridCol w:w="146"/>
        <w:gridCol w:w="146"/>
        <w:gridCol w:w="148"/>
        <w:gridCol w:w="703"/>
        <w:gridCol w:w="146"/>
        <w:gridCol w:w="146"/>
        <w:gridCol w:w="146"/>
        <w:gridCol w:w="691"/>
        <w:gridCol w:w="146"/>
        <w:gridCol w:w="146"/>
        <w:gridCol w:w="151"/>
        <w:gridCol w:w="716"/>
        <w:gridCol w:w="146"/>
        <w:gridCol w:w="146"/>
        <w:gridCol w:w="146"/>
        <w:gridCol w:w="601"/>
        <w:gridCol w:w="146"/>
        <w:gridCol w:w="146"/>
        <w:gridCol w:w="146"/>
        <w:gridCol w:w="608"/>
        <w:gridCol w:w="146"/>
        <w:gridCol w:w="146"/>
        <w:gridCol w:w="175"/>
        <w:gridCol w:w="722"/>
        <w:gridCol w:w="146"/>
        <w:gridCol w:w="146"/>
        <w:gridCol w:w="174"/>
        <w:gridCol w:w="720"/>
        <w:gridCol w:w="146"/>
        <w:gridCol w:w="146"/>
        <w:gridCol w:w="146"/>
        <w:gridCol w:w="826"/>
        <w:gridCol w:w="198"/>
      </w:tblGrid>
      <w:tr>
        <w:trPr/>
        <w:tc>
          <w:tcPr>
            <w:tcW w:w="1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Expatriate Benefits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w:t>
              <w:br/>
              <w:t>Severance(1)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Statutory Severance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RSUs(2)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 Stock Price PSUs(3)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Housing</w:t>
              <w:br/>
              <w:t>Support(4)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Insurance(5)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Repatriation Allowance(6)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expatriate assignment entitlements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1,030,447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sum of a cash severance payment in the amount of $350,000, which is equal to twelve times his monthly base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the shares underlying the RSUs held by Mr. T. Kim, which were treated in accordance with the terms set forth in the T. Kim’s Separation Agreement under which Mr. T. Kim’s separation was deemed to be “termination without Cause” for purposes of the applicable equity incentive plans and award agreements, based on the Company’s stock price of $3.02 on the October 21, 2025 vesting and settlement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the shares underlying the Stock Price PSUs held by Mr. T. Kim, pursuant to the terms set forth in the T. Kim’s Separation Agreement under which treated Mr. T. Kim’s separation was deemed to be a “termination without Cause” for purposes of the applicable equity incentive plans and award agreements. More specifically, he would remain eligible to vest in 56% of his 2024 Stock Price PSUs based on actual performance. This calculation assumes vesting at the performance level associated with a 100% vesting of his 2024 Stock Price PSUs, with a share price of $2.55; however, the award will actually vest and settle in February 2027. On February 25, 2026, the Compensation Committee determined the vesting percentage of the 2023 TSR PSUs is 0%. Accordingly, his remaining 2023 TSR PSUs were forfeited in their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housing support including interest for deposit from the resignation date to February 28, 2026 as well as separate coverage for utilities, management fees, and other related expenses incurred through December 31, 2025 and shall discontinue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medical insurance coverage for a period of 170 days and life/accident/travel insurance coverage for a period of 16 days from the resignation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cash payment equal to the monthly base salary.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value of all other expatriate assignment entitlements including transportation for a period of 90 days and repatriation expenses. Separately, tax equalization and tax preparation/consulting services as required with respect to any and all compensation he receives from the Company (including the compensation and benefits he receives under T. Kim’s Separation Agreement) will be provided for the tax year(s) during which any portion of such compensation is paid and becomes taxable.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CEO Pay Ratio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the 2025 fiscal year, the ratio of the annual total compensation of Camillo Martino, our Chairman and Interim Chief Executive Officer (“CEO Compensation”), to the median of the annual total compensation of all of our employees other than our Chairman and Interim Chief Executive Officer (“Median Annual Compensation”) was 10.60 to 1. 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2025 (the “Determination 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CEO Compensation for purposes of this disclosure represents the total compensation reported for Mr. Camillo Martino under “Summary Compensation Table”, which was $759,435 for the 2025 fiscal year. For purposes of this disclosure, Median Annual Compensation was $71,672, and was calculated by totaling for our Median Employee all applicable elements of compensation for the 2025 fiscal year in accordance with Item 402(c)(2)(x) of Regulation S-K.</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identify the Median Employee, we first determined our employee population as of the Determination Date. We had 711 employees, representing all full-time, part-time, seasonal and temporary employees of Magnachip and its consolidated subsidiaries as of the Determination Date, but excluding Mr. Camillo Martino, and, as permitted by applicable SEC rules, excluding (i) any independent contractors or “leased” workers and (ii) all of our employees located in China (14), Taiwan (5), Japan (2) and Germany (2). We then measured compensation for the period beginning on January 1, 2025 and ending on December 31, 2025 for these employees. This compensation measurement was calculated by totaling, for each employee, total cash compensation paid (including salary, wages, tips, cash bonuses and other cash compensation paid in 2025) as shown in our payroll and human resources records for 2025. A portion of our employee workforce (full-time and part-time) worked for less than the full fiscal year due to commencing employment after the beginning of the fiscal year. In determining the Median Employee, we annualized the compensation for such individuals.</w:t>
      </w:r>
    </w:p>
    <w:p>
      <w:pPr>
        <w:pStyle w:val="TextBody"/>
        <w:bidi w:val="0"/>
        <w:spacing w:before="360" w:after="283"/>
        <w:jc w:val="left"/>
        <w:rPr>
          <w:rFonts w:ascii="Times New Roman" w:hAnsi="Times New Roman"/>
          <w:b/>
          <w:color w:val="231F20"/>
          <w:sz w:val="20"/>
        </w:rPr>
      </w:pPr>
      <w:bookmarkStart w:id="28" w:name="equity_compensation_plan_information"/>
      <w:bookmarkEnd w:id="28"/>
      <w:r>
        <w:rPr>
          <w:rFonts w:ascii="Times New Roman" w:hAnsi="Times New Roman"/>
          <w:b/>
          <w:color w:val="231F20"/>
          <w:sz w:val="20"/>
        </w:rPr>
        <w:t>Equity Compensation Plan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provides information as of December 31, 2025, regarding securities authorized for issuance under the Company’s compensation plans. The Company’s compensation plans include the 2020 Plan, the 2011 Plan, and the Purchase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249"/>
        <w:gridCol w:w="1590"/>
        <w:gridCol w:w="249"/>
        <w:gridCol w:w="492"/>
        <w:gridCol w:w="146"/>
        <w:gridCol w:w="390"/>
        <w:gridCol w:w="863"/>
        <w:gridCol w:w="270"/>
        <w:gridCol w:w="537"/>
        <w:gridCol w:w="146"/>
        <w:gridCol w:w="313"/>
        <w:gridCol w:w="2000"/>
        <w:gridCol w:w="313"/>
        <w:gridCol w:w="733"/>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Number of securities to be issued upon exercise of outstanding options, warrants or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Weighted- average exercise price of outstanding options, warrants or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Number of securities remaining available for future issuance under equity compensation plans (excluding securities reflected in column (a))</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w:t>
              <w:br/>
              <w:t>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3,773,870</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1,748,942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w:t>
              <w:br/>
              <w:t>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3,773,870</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1,748,942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Comprised of (i) stock options to purchase 402,627 shares of Common Stock under the 2011 Plan, at a weighted average exercise price of $6.91 per share, (ii) 3,045,078 shares of Common Stock subject to RSUs and PSUs under the 2011 Plan and 2020 Plan, which are calculated at maximum performance levels (or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performance level associated with a 300% vesting in the case of Stock Price PSUs). There are no outstanding securities under the suspended Purchase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Excludes 1,163,880 shares of Common Stock that remain available as of December 31, 2025, for future issuance under the suspended Purchase Plan.</w:t>
      </w:r>
    </w:p>
    <w:p>
      <w:pPr>
        <w:pStyle w:val="TextBody"/>
        <w:bidi w:val="0"/>
        <w:spacing w:before="360" w:after="283"/>
        <w:jc w:val="left"/>
        <w:rPr>
          <w:rFonts w:ascii="Times New Roman" w:hAnsi="Times New Roman"/>
          <w:b/>
          <w:color w:val="231F20"/>
          <w:sz w:val="20"/>
        </w:rPr>
      </w:pPr>
      <w:bookmarkStart w:id="29" w:name="equity_compensation_plan_summary"/>
      <w:bookmarkEnd w:id="29"/>
      <w:r>
        <w:rPr>
          <w:rFonts w:ascii="Times New Roman" w:hAnsi="Times New Roman"/>
          <w:b/>
          <w:color w:val="231F20"/>
          <w:sz w:val="20"/>
        </w:rPr>
        <w:t>Equity Compensation Plan Summary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MagnaChip Semiconductor Corporation 2011 Equity Incentive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March 2011, our Board and our stockholders approved the MagnaChip Semiconductor Corporation 2011 Equity Incentive Plan (the “2011 Plan”). Following the approval of our 2020 Equity and Incentive Compensation Plan by stockholders at the 2020 Annual Meeting of Stockholders, no further awards are to be issued under the 2011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Magnachip Semiconductor Corporation 2020 Equity and Incentive Compensation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May 18, 2023, at the Annual Meeting of Stockholders, the Amended and Restated Magnachip Semiconductor Corporation 2020 Equity and Incentive Compensation Plan (the “2020 Plan”), was approved and adopted.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a change in control as described in the 2020 Plan, the Compensation Committee may provide in substitution for any or all outstanding awards under the 2020 Plan alternative consideration (including cash), if any, as it, in good faith, may determine to be equitable in the circumstances and shall require in connection therewith the surrender of all awards so replaced in a manner that complies with Section 409A. In addition, for each option or stock appreciation rights with an exercise price or base price, respectively, greater than the consideration offered in connection with any such transaction or event or change in control, the Compensation Committee may in its discretion elect to cancel such option or stock appreciation right without any payment to the person holding such awards.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MagnaChip Semiconductor Corporation 2011 Employee Stock Purchase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March 2010, our Board approved the MagnaChip Semiconductor Corporation 2011 Employee Stock Purchase Plan (the “Purchase Plan”).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However, in August 2012, the Compensation Committee suspended the Purchase Plan. The following summary describes the terms of the Purchase Plan that would be in effect if the Purchase Plan were to be removed from suspension and reinstated.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terms of the Purchase Plan provide that our employees and employees of any parent or subsidiary corporation designated by the Compensation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terms of the Purchase Plan provide that it is to be implemented through a series of sequential offering periods, generally three months in duration beginning on the first trading days of February, May, August, and November each year. The Compensation Committee is authorized to establish additional or alternative concurrent, sequential or overlapping offering periods and offering periods having a different duration or different starting or ending dates, provided that no offering period may have a duration exceeding 27 months. 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Compensation Committee is authorized to change the purchase price discount for that offering period, but the purchase price may not be less than 85% of the lower of the fair market value of our Common Stock at the beginning of the offering period or on the purchase 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Compensation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Compensation Committee will make a pro rata allocation of the available shares. Any amounts withheld from participants’ compensation in excess of the amounts used to purchase shares will be refunded, without interest.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Compensation Committee, but the number of shares subject to outstanding purchase rights shall not be adjusted.</w:t>
      </w:r>
    </w:p>
    <w:p>
      <w:pPr>
        <w:pStyle w:val="TextBody"/>
        <w:bidi w:val="0"/>
        <w:spacing w:before="360" w:after="283"/>
        <w:jc w:val="left"/>
        <w:rPr>
          <w:rFonts w:ascii="Times New Roman" w:hAnsi="Times New Roman"/>
          <w:b/>
          <w:color w:val="231F20"/>
          <w:sz w:val="20"/>
        </w:rPr>
      </w:pPr>
      <w:bookmarkStart w:id="30" w:name="pay_versus_performance"/>
      <w:bookmarkEnd w:id="30"/>
      <w:r>
        <w:rPr>
          <w:rFonts w:ascii="Times New Roman" w:hAnsi="Times New Roman"/>
          <w:b/>
          <w:color w:val="231F20"/>
          <w:sz w:val="20"/>
        </w:rPr>
        <w:t>Pay Versus Performance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required by Section 953(a) of the Dodd-Frank Act and Item 402(v) of Regulation S-K, we are providing information about the relationship between executive “Compensation Actually Paid” to our principal executive officer (“PEO”) and our other named executive officers (“NEOs”), as calculated in accordance with Item 402(v) of Regulation S-K, and certain financial performance measures. For a discussion of our compensation philosophy, how our Compensation Committee assessed “pay-for-performance,” and how our executive compensation program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designed to link executive compensation with the achievement of our financial and strategic objectives, as well as stockholder value creation each year, see the section titled “Compensation Discussion and Analysis” on page 18.</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Pay Versus Performance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
        <w:gridCol w:w="193"/>
        <w:gridCol w:w="685"/>
        <w:gridCol w:w="146"/>
        <w:gridCol w:w="192"/>
        <w:gridCol w:w="682"/>
        <w:gridCol w:w="146"/>
        <w:gridCol w:w="219"/>
        <w:gridCol w:w="659"/>
        <w:gridCol w:w="146"/>
        <w:gridCol w:w="218"/>
        <w:gridCol w:w="657"/>
        <w:gridCol w:w="146"/>
        <w:gridCol w:w="193"/>
        <w:gridCol w:w="687"/>
        <w:gridCol w:w="146"/>
        <w:gridCol w:w="219"/>
        <w:gridCol w:w="658"/>
        <w:gridCol w:w="146"/>
        <w:gridCol w:w="230"/>
        <w:gridCol w:w="522"/>
        <w:gridCol w:w="146"/>
        <w:gridCol w:w="208"/>
        <w:gridCol w:w="550"/>
        <w:gridCol w:w="146"/>
        <w:gridCol w:w="166"/>
        <w:gridCol w:w="693"/>
        <w:gridCol w:w="151"/>
        <w:gridCol w:w="173"/>
        <w:gridCol w:w="379"/>
        <w:gridCol w:w="266"/>
      </w:tblGrid>
      <w:tr>
        <w:trPr/>
        <w:tc>
          <w:tcPr>
            <w:tcW w:w="4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Fiscal</w:t>
              <w:br/>
              <w:t>Year(1)</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Summary Compensation Table Total for PEO Kim, Youngjoon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Compensation Actually Paid to PEO Kim, Youngjoon(2)(3)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Summary Compensation Table Total for PEO Martino, Camillo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Compensation Actually Paid to PEO Martino, Camillo(2)(3)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 Summary Compensation Table Total for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 Compensation Actually Paid to non-PEO NEOs(4)(5)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MX Total Shareholder Return(6)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Peer Group Total Shareholder Return(7)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Income ($)(8)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 Profit Margin(9)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3,509,979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776,439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(29,724,000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1,263,203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1,269,988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(54,308,000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3,073,819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1,268,903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(36,622,000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Company had two PEOs during fiscal 2025: Mr. Camillo Martino (Interim CEO) and Mr. Young-Joon Kim (“YJ Kim”)(Former CEO). Mr. YJ Kim was the sole PEO during fiscal 2024 and 2023. The Company’s other NEOs for the applicable years were as follows:</w:t>
      </w:r>
    </w:p>
    <w:p>
      <w:pPr>
        <w:pStyle w:val="TextBody"/>
        <w:bidi w:val="0"/>
        <w:spacing w:before="120" w:after="283"/>
        <w:jc w:val="left"/>
        <w:rPr>
          <w:color w:val="231F20"/>
        </w:rPr>
      </w:pPr>
      <w:r>
        <w:rPr>
          <w:color w:val="231F20"/>
        </w:rPr>
        <w:t xml:space="preserve">– </w:t>
      </w:r>
      <w:r>
        <w:rPr>
          <w:rFonts w:ascii="Times New Roman" w:hAnsi="Times New Roman"/>
          <w:color w:val="231F20"/>
          <w:sz w:val="20"/>
        </w:rPr>
        <w:t>2025: Shinyoung Park, Seunghoon Lee, Theodore Kim</w:t>
      </w:r>
    </w:p>
    <w:p>
      <w:pPr>
        <w:pStyle w:val="TextBody"/>
        <w:bidi w:val="0"/>
        <w:jc w:val="both"/>
        <w:rPr>
          <w:color w:val="231F20"/>
        </w:rPr>
      </w:pPr>
      <w:r>
        <w:rPr>
          <w:color w:val="231F20"/>
        </w:rPr>
        <w:t xml:space="preserve">– </w:t>
      </w:r>
      <w:r>
        <w:rPr>
          <w:rFonts w:ascii="Times New Roman" w:hAnsi="Times New Roman"/>
          <w:color w:val="231F20"/>
          <w:sz w:val="20"/>
        </w:rPr>
        <w:t>2024: Shinyoung Park, Theodore Kim</w:t>
      </w:r>
    </w:p>
    <w:p>
      <w:pPr>
        <w:pStyle w:val="TextBody"/>
        <w:bidi w:val="0"/>
        <w:jc w:val="both"/>
        <w:rPr>
          <w:color w:val="231F20"/>
        </w:rPr>
      </w:pPr>
      <w:r>
        <w:rPr>
          <w:color w:val="231F20"/>
        </w:rPr>
        <w:t xml:space="preserve">– </w:t>
      </w:r>
      <w:r>
        <w:rPr>
          <w:rFonts w:ascii="Times New Roman" w:hAnsi="Times New Roman"/>
          <w:color w:val="231F20"/>
          <w:sz w:val="20"/>
        </w:rPr>
        <w:t>2023: Shinyoung Park, Theodore Kim, Woung Moo Lee, Chan Ho Park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amounts reported represent the “Compensation Actually Paid” to our PEO, computed in accordance with Item 402(v) of Regulation S-K, but do not reflect the actual amount of compensation earned by or paid to our PEO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accordance with Item 402(v) of Regulation S-K, the table below describes the adjustments that were made to the 2025 amounts reported for our PEO in the “Total” column of the Summary Compensation Table to calculate the “Compensation Actually Paid”. No dividends or other earnings were paid on stock or option awards in the covered fiscal year. For information on the calculation of “compensation actually paid” for 2025, 2024, and 2023 please see the “Pay Versus Performance” disclosure in our 2025 definitive proxy statement which was filed with the SEC on April 29,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07"/>
        <w:gridCol w:w="146"/>
        <w:gridCol w:w="288"/>
        <w:gridCol w:w="1151"/>
        <w:gridCol w:w="213"/>
      </w:tblGrid>
      <w:tr>
        <w:trPr/>
        <w:tc>
          <w:tcPr>
            <w:tcW w:w="8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PEO: Martino, Camillo</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Pension Value in SCT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Pension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Above-Market Non-Qualified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Option Awards and Stock Awards Granted in Prior Fiscal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Vesting of Option Awards and Stock Awards Granted in Fiscal Year That Vested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Vesting Date of Option Awards and Stock Awards Granted in Prior Fiscal Years For Which Applicable Vesting Conditions Were Satisfied During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as of Prior Fiscal Year-End of Option Awards and Stock Awards Granted in Prior Fiscal Years That Failed to Meet Applicable Vesting Conditions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776,439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8358"/>
        <w:gridCol w:w="146"/>
        <w:gridCol w:w="261"/>
        <w:gridCol w:w="1228"/>
        <w:gridCol w:w="212"/>
      </w:tblGrid>
      <w:tr>
        <w:trPr/>
        <w:tc>
          <w:tcPr>
            <w:tcW w:w="8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PEO: Kim, Youngjoon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3,509,979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Pension Value in SCT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Pension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Above-Market Non-Qualified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(1,779,033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Option Awards and Stock Awards Granted in Prior Fiscal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Vesting of Option Awards and Stock Awards Granted in Fiscal Year That Vested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Vesting Date of Option Awards and Stock Awards Granted in Prior Fiscal Years For Which Applicable Vesting Conditions Were Satisfied During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(74,031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as of Prior Fiscal Year-End of Option Awards and Stock Awards Granted in Prior Fiscal Years That Failed to Meet Applicable Vesting Conditions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(336,860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1,148,257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u w:val="single"/>
        </w:rPr>
        <w:t>Equity Award Valuations</w:t>
      </w:r>
      <w:r>
        <w:rPr>
          <w:rFonts w:ascii="Times New Roman" w:hAnsi="Times New Roman"/>
          <w:color w:val="231F20"/>
          <w:sz w:val="20"/>
        </w:rPr>
        <w:t>: Equity values are computed in accordance with FASB ASC 718, and the valuation assumptions used to calculate fair values did not materially differ from those disclosed at the time of grant.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accordance with Item 402(v) of Regulation S-K, the table below describes the adjustments that were made to the 2025 average of the amounts reported in the “Total” column of the Summary Compensation Table for the NEOs as a group (excluding our PEO) to calculate the “Compensation Actually Paid”. No dividends or other earnings were paid on stock or option awards in the covered fiscal year. For information on the calculation of “compensation actually paid” for 2025, 2024, and 2023 please see the “Pay Versus Performance” disclosure in our 2025 definitive proxy statement which was filed with the SEC on April 29,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96"/>
        <w:gridCol w:w="146"/>
        <w:gridCol w:w="211"/>
        <w:gridCol w:w="841"/>
        <w:gridCol w:w="211"/>
      </w:tblGrid>
      <w:tr>
        <w:trPr/>
        <w:tc>
          <w:tcPr>
            <w:tcW w:w="8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Pension Value in SCT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Pension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Above-Market Non-Qualified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Option Awards and Stock Awards Granted in Prior Fiscal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Vesting of Option Awards and Stock Awards Granted in Fiscal Year That Vested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Vesting Date of Option Awards and Stock Awards Granted in Prior Fiscal Years For Which Applicable Vesting Conditions Were Satisfied During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as of Prior Fiscal Year-End of Option Awards and Stock Awards Granted in Prior Fiscal Years That Failed to Meet Applicable Vesting Conditions During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u w:val="single"/>
        </w:rPr>
        <w:t>Equity Award Valuations</w:t>
      </w:r>
      <w:r>
        <w:rPr>
          <w:rFonts w:ascii="Times New Roman" w:hAnsi="Times New Roman"/>
          <w:color w:val="231F20"/>
          <w:sz w:val="20"/>
        </w:rPr>
        <w:t>: Equity values are computed in accordance with FASB ASC 718, and the valuation assumptions used to calculate fair values did not materially differ from those disclosed at the time of grant.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Cumulative total shareholder return (“TSR”) is calculated by dividing the sum of the cumulative amount of dividends for the performance period, assuming dividend reinvestment, and the difference between our company’s share price at the end and the beginning of the performance period by our company’s share price at the beginning of the performance period. No dividends were paid on stock or option awards in 2025, 2024 or 2023.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(7)</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TSR peer group consists of the Philadelphia Semiconductor Index, an independently prepared index composed of the 30 largest U.S. companies primarily involved in the design, distribution, manufacture, and sale of semiconductors.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(8)</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Among various factors that can affect the Company’s net income year-over-year, a substantial portion of non-cash translation gain or loss recorded in the Company’s net income is associated with the intercompany long-term loans, which is denominated in U.S. dollars, to the Company’s Korean subsidiary (using Korean Won as its functional currency) by the Dutch Subsidiary. As of December 31, 2025, 2024 and 2023, the outstanding intercompany long-term loan balance including accrued interest was $75.1 million, $257.7 million and $285.1 million, respectively. Due to the foreign currency fluctuations year-over-year, it can be difficult to detect underlying trends in net income as a result of the Company’s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(9)</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noted in the section titled “Compensation Discussion and Analysis,” for 2025, the Compensation Committee determined that gross profit as a percentage of revenue (“Gross Profit Margin”) continues to be viewed as a core driver of the Company’s performance and stockholder value creation and, accordingly, was utilized as a component in the 2025 long term incentive program.</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Tabular List of Financial Performance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is a list of financial performance measures, which in the Company’s assessment represent the most important financial performance measures used by the Company to link compensation actually paid to the NEOs for 2025, for a discussion of the methodology used to calculate relative total shareholder return, please see the discussion of Long-Term Equity Incentives contained in our Compensation Discussion and Analysis: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Gross Profit Margin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Total Shareholder Return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Stock Price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Relationship Between Pay and Performance</w:t>
      </w:r>
    </w:p>
    <w:p>
      <w:pPr>
        <w:pStyle w:val="TextBody"/>
        <w:bidi w:val="0"/>
        <w:spacing w:before="120" w:after="283"/>
        <w:jc w:val="left"/>
        <w:rPr>
          <w:color w:val="231F20"/>
        </w:rPr>
      </w:pPr>
      <w:r>
        <w:rPr>
          <w:color w:val="231F20"/>
        </w:rPr>
        <w:t>“</w:t>
      </w:r>
      <w:r>
        <w:rPr>
          <w:rFonts w:ascii="Times New Roman" w:hAnsi="Times New Roman"/>
          <w:color w:val="231F20"/>
          <w:sz w:val="20"/>
        </w:rPr>
        <w:t>Compensation Actually Paid”, as calculated in accordance with Item 402(v) of Regulation S-K, reflects adjusted values to unvested and vested equity awards during the years shown in the Pay Versus Performance Table based on year-end stock prices, various accounting valuation assumptions, and projected performance modifiers, but does not reflect actual amounts paid out for those awards. “Compensation Actually Paid” generally fluctuates due to stock price achievement and varying levels of projected and actual achievement of performance goals.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graphs show the relationship between “Compensation Actually Paid” to our CEO and other NEOs in our fiscal years 2025, 2024 and 2023 and (1) TSR of both our Common Stock and the Philadelphia Semiconductor Index, (2) our Net Income, and (3) our Gross Profit Margin.</w:t>
      </w:r>
    </w:p>
    <w:p>
      <w:pPr>
        <w:pStyle w:val="TextBody"/>
        <w:bidi w:val="0"/>
        <w:spacing w:before="7"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3981450" cy="2295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81450" cy="2295525"/>
                    </a:xfrm>
                    <a:prstGeom prst="rect">
                      <a:avLst/>
                    </a:prstGeom>
                  </pic:spPr>
                </pic:pic>
              </a:graphicData>
            </a:graphic>
          </wp:inline>
        </w:drawing>
      </w:r>
    </w:p>
    <w:p>
      <w:pPr>
        <w:pStyle w:val="TextBody"/>
        <w:bidi w:val="0"/>
        <w:jc w:val="center"/>
        <w:rPr/>
      </w:pPr>
      <w:r>
        <w:rPr/>
        <w:drawing>
          <wp:inline distT="0" distB="0" distL="0" distR="0">
            <wp:extent cx="3981450" cy="2219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981450" cy="2219325"/>
                    </a:xfrm>
                    <a:prstGeom prst="rect">
                      <a:avLst/>
                    </a:prstGeom>
                  </pic:spPr>
                </pic:pic>
              </a:graphicData>
            </a:graphic>
          </wp:inline>
        </w:drawing>
      </w:r>
    </w:p>
    <w:p>
      <w:pPr>
        <w:pStyle w:val="TextBody"/>
        <w:bidi w:val="0"/>
        <w:jc w:val="center"/>
        <w:rPr/>
      </w:pPr>
      <w:r>
        <w:rPr/>
        <w:drawing>
          <wp:inline distT="0" distB="0" distL="0" distR="0">
            <wp:extent cx="4000500" cy="2181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00500" cy="21812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(1) We classified our Display business as a discontinued operation in 2025. The selected financial data included in this Proxy Statement presents three years of information. For comparability, we have recast the 2024 financial information to reflect the discontinued operation presentation, consistent with our current year presentation, as our comparative period is two years, consistent with Public Company Accounting Oversight Board (PCAOB) auditing standards. The 2023 financial information (22.4%) is presented on an audited basis as previously issued and includes the results of the Display business, which was not classified as a discontinued operation at that time. Accordingly, for comparability with the current presentation, it may be more meaningful to evaluate trends excluding the 2023 period (21.3%).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the “Compensation Actually Paid” in each of the years reported above and over the four-year cumulative period are reflective of the Compensation Committee’s emphasis on “pay-for-performance” as the “Compensation Actually Paid” fluctuated year-over-year, primarily as a result of variable compensation being tied to the performance of our stock and pre-established performance goals and/or criteria under our short-term incentive program and our performance-vesting equity awards. For further details on the terms of our short-term incentive program and our performance-vesting equity awards, see the section titled “Compensation Discussion and Analysis” on page 18.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31" w:name="certain_relationships_and_related"/>
      <w:bookmarkEnd w:id="31"/>
      <w:r>
        <w:rPr>
          <w:rFonts w:ascii="Times New Roman" w:hAnsi="Times New Roman"/>
          <w:b/>
          <w:color w:val="231F20"/>
          <w:sz w:val="20"/>
        </w:rPr>
        <w:t>CERTAIN RELATIONSHIPS AND RELATED TRANSACTIONS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than the compensation arrangements with directors and executive officers, there have been no transactions since January 1, 2025 (and there are no currently proposed transactions) in which:</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been or are to be a participant;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involved exceeds $120,000;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pStyle w:val="TextBody"/>
        <w:bidi w:val="0"/>
        <w:spacing w:before="360" w:after="283"/>
        <w:jc w:val="left"/>
        <w:rPr>
          <w:rFonts w:ascii="Times New Roman" w:hAnsi="Times New Roman"/>
          <w:b/>
          <w:color w:val="231F20"/>
          <w:sz w:val="20"/>
        </w:rPr>
      </w:pPr>
      <w:bookmarkStart w:id="32" w:name="related_person_transactions_policy"/>
      <w:bookmarkEnd w:id="32"/>
      <w:r>
        <w:rPr>
          <w:rFonts w:ascii="Times New Roman" w:hAnsi="Times New Roman"/>
          <w:b/>
          <w:color w:val="231F20"/>
          <w:sz w:val="20"/>
        </w:rPr>
        <w:t>Related Person Transactions Policy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sz w:val="20"/>
        </w:rPr>
      </w:pPr>
      <w:bookmarkStart w:id="33" w:name="security_ownership_of_certain"/>
      <w:bookmarkEnd w:id="33"/>
      <w:r>
        <w:rPr>
          <w:rFonts w:ascii="Times New Roman" w:hAnsi="Times New Roman"/>
          <w:b/>
          <w:color w:val="231F20"/>
          <w:sz w:val="20"/>
        </w:rPr>
        <w:t>SECURITY OWNERSHIP OF CERTAIN</w:t>
      </w:r>
      <w:r>
        <w:rPr>
          <w:rFonts w:ascii="Times New Roman" w:hAnsi="Times New Roman"/>
          <w:color w:val="231F20"/>
          <w:sz w:val="20"/>
        </w:rPr>
        <w:t xml:space="preserve"> </w:t>
      </w:r>
      <w:r>
        <w:rPr>
          <w:rFonts w:ascii="Times New Roman" w:hAnsi="Times New Roman"/>
          <w:b/>
          <w:color w:val="231F20"/>
          <w:sz w:val="20"/>
        </w:rPr>
        <w:t>BENEFICIAL OWNERS AND MANAGEMENT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on 36,219,100 shares of Common Stock outstanding as of April 21, 2026. 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 Except as indicated by footnote, the persons named in the table below have sole voting and investment power with respect to all shares of Common Stock shown as beneficially owned by them. Unless otherwise indicated, the address of each person listed in the table below is Magnachip Semiconductor Corporation c/o Magnachip Semiconductor, Ltd., 15F, 76 Jikji-daero 436beon-gil, Heungdeok-gu, Cheongju-si, Chungcheongbuk-do, Republic of Korea 28581.</w:t>
      </w:r>
    </w:p>
    <w:p>
      <w:pPr>
        <w:pStyle w:val="TextBody"/>
        <w:bidi w:val="0"/>
        <w:spacing w:before="10" w:after="283"/>
        <w:jc w:val="left"/>
        <w:rPr/>
      </w:pPr>
      <w:r>
        <w:rPr/>
        <w:t> </w:t>
      </w:r>
    </w:p>
    <w:tbl>
      <w:tblPr>
        <w:tblW w:w="8825" w:type="dxa"/>
        <w:jc w:val="left"/>
        <w:tblInd w:w="0" w:type="dxa"/>
        <w:tblLayout w:type="fixed"/>
        <w:tblCellMar>
          <w:top w:w="28" w:type="dxa"/>
          <w:left w:w="28" w:type="dxa"/>
          <w:bottom w:w="28" w:type="dxa"/>
          <w:right w:w="28" w:type="dxa"/>
        </w:tblCellMar>
      </w:tblPr>
      <w:tblGrid>
        <w:gridCol w:w="5491"/>
        <w:gridCol w:w="146"/>
        <w:gridCol w:w="148"/>
        <w:gridCol w:w="947"/>
        <w:gridCol w:w="146"/>
        <w:gridCol w:w="146"/>
        <w:gridCol w:w="352"/>
        <w:gridCol w:w="1133"/>
        <w:gridCol w:w="316"/>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and</w:t>
              <w:br/>
              <w:t>Nature of</w:t>
              <w:br/>
              <w:t>Beneficial</w:t>
              <w:br/>
              <w:t>Ownership(1)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Class(1)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Byreforge LLC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Oaktree Value Opportunities Fund Holdings, L.P.(3)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Cristiano Amoruso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Kyo-Hwa (Liz) Chung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Gilbert Nathan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 Young Park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Young-Joon Kim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Theodore Kim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current Executive Officers as a group (6 persons)(11)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Less than one percent.</w:t>
      </w:r>
    </w:p>
    <w:p>
      <w:pPr>
        <w:pStyle w:val="TextBody"/>
        <w:bidi w:val="0"/>
        <w:spacing w:before="40" w:after="283"/>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(1)</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Includes any outstanding Common Stock held and, to the extent applicable, shares issuable upon the exercise or conversion of any securities that are exercisable or convertible within 60 days of April 21,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pPr>
      <w:r>
        <w:rPr>
          <w:rFonts w:ascii="Times New Roman" w:hAnsi="Times New Roman"/>
          <w:color w:val="231F20"/>
          <w:sz w:val="20"/>
        </w:rPr>
        <w:t>Based on information contained in a Schedule 13D filed with the SEC on November 20, 2025, as amended on January 20, 2026, by Byreforge LLC (“Byreforge”) and Cristiano Amoruso. Byreforge owns directly the 3,072,779 shares of Common Stock listed in the table above (the “Byreforge Shares”). As Managing Partner of Byreforge, Mr. Amoruso may be deemed to beneficially own the Byreforge Shares owned directly by Byreforge. Byreforge disclaims beneficial ownership of the Byreforge Shares that are owned directly by Mr. Amoruso, if any, and Mr. Amoruso disclaims beneficial ownership of the Byreforge Shares that are owned directly by Byreforge.</w:t>
      </w:r>
      <w:r>
        <w:rPr>
          <w:color w:val="000000"/>
        </w:rPr>
        <w:t xml:space="preserve"> </w:t>
      </w:r>
      <w:r>
        <w:rPr>
          <w:rFonts w:ascii="Times New Roman" w:hAnsi="Times New Roman"/>
          <w:color w:val="231F20"/>
          <w:sz w:val="20"/>
        </w:rPr>
        <w:t>Byreforge and Mr. Amoruso may be deemed to have shared power to vote and dispose of the Byreforge Shares that are owned directly by Byreforge. The business address of Byreforge and Mr. Amoruso is 853 Broadway, New York, New York 10003.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Based on information contained in a Schedule 13G filed with the SEC on May 15, 2023 by each of the following entities (each an “Oaktree Entity”): Oaktree Value Opportunities Fund Holdings, L.P., a Delaware limited partnership (“VOF Holdings”), in its capacity as the direct owner of 2,849,858 shares of Common Stock; Oaktree Value Opportunities Fund GP, L.P., a Cayman Islands limited partnership (“VOF GP”), in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pPr>
      <w:r>
        <w:rPr>
          <w:rFonts w:ascii="Times New Roman" w:hAnsi="Times New Roman"/>
          <w:color w:val="231F20"/>
          <w:sz w:val="20"/>
        </w:rPr>
        <w:t>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Oaktree Capital Group Holdings GP, LLC, a Delaware limited liability company (“OCGH GP”), in its capacity as the indirect owner of the class B units of each of OCG and Atlas; Brookfield Corporation, a Canadian corporation (“Brookfield”), in its capacity as the indirect owner of the class A units of each of OCG and Atlas; Brookfield Asset Management ULC, a British Columbia corporation (“Brookfield ULC”), in its capacity as the indirect owner of class A units of Atlas OCM, in its capacity as such; and BAM Partners Trust, a trust formed under the laws of Ontario (“BAM Partnership”), in its capacity as the sole owner of the Class B Limited Voting Shares of Brookfield. VOF Holdings directly holds 2,849,858 shares of Common Stock. VOF GP, in its capacity as the general partner of VOF Holdings, has the ability to direct the management of VOF Holdings’ business, including the power to vote and dispose of securities held by VOF Holdings; therefore, VOF GP may be deemed to beneficially own the shares of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Common Stock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w:t>
      </w:r>
      <w:r>
        <w:rPr>
          <w:color w:val="231F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shares of Common Stock deemed held by VOF Holdings. OCGH GP, in its capacity as the indirect owner of the class B units of each of OCG and Atlas, has the ability to appoint and remove certain directors of CG and Atlas and, as such, may indirectly control the decisions of OCG and Atlas regarding the vote and disposition of securities held by VOF Holdings; therefore, OCGH GP may be deemed to have indirect beneficial ownership of the shares of Common Stock held by VOF Holdings. On December 9, 2022, Brookfield Corporation (f/k/a Brookfield Asset Management Inc.) completed a plan of arrangement pursuant to the Business Corporations Act (Ontario) (the “Arrangement”) pursuant to which, among other things, Brookfield’s historical asset management business was transferred to Brookfield Asset Management ULC (“Brookfield ULC”). Following the Brookfield Arrangement, Brookfield ULC is deemed a beneficial owner of the shares directly or indirectly held by Atlas OCM Holdings. Brookfield is deemed a beneficial owner of the reported shares directly or indirectly held by OCG and Holdings, and as a result of its 75% interest in Brookfield ULC, Brookfield is also deemed a beneficial owner of the reported shares beneficially owned by Brookfield ULC. Brookfield,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Brookfield may be deemed to have indirect beneficial ownership of the shares of Common Stock held by VOF Holdings. BAM Partnership, in its capacity as the sole owner of Class B Limited Voting Shares of Brookfield, has the ability to appoint and remove certain directors of Brookfield and, as such, may indirectly control the decisions of Brookfield regarding the vote and disposition of securities held by VOF Holdings; therefore BAM Partnership may be deemed to have indirect beneficial ownership of the shares of Common Stock held by VOF Holdings. The business address of each Oaktree Entity is 333 S. Grand Avenue, 28th Floor, Los Angeles, CA 90071.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100,789 shares of Common Stock subject to RSUs that will be vested and may be settled as of June 20,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88,000 shares of Common Stock (of which 40,000 are held by Mr. Martino’s family trust of which he is a trustee and beneficiary with his spouse), options to purchase 49,737 shares of Common Stock and 157,880 shares of Common Stock subject to RSUs that will be vested and may be exercised or settled, as applicable, as of June 20,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261,515 shares of Common Stock (of which 7,130 are held by Mr. Nathan’s spouse and children and 158,200 of which are held by GT Investments II Corp) and 59,858 shares of Common Stock subject to RSUs that will be vested and may be settled, as applicable, as of June 20,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(7)</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116,980 shares of Common Stock and 25,000 shares of Common Stock subject to RSUs that will be vested and may be settled as of June 20,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(8)</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97,701 shares of Common Stock and 10,000 shares of Common Stock subject to RSUs that will be vested and may be settled as of June 20,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(9)</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Young-Joon Kim resigned his position as our Chief Executive Officer and from all other positions with us and our subsidiaries, effective as of August 11, 2025. Represents 344,328 shares of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(10)</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Theodore Kim resigned his position as our Chief Compliance Officer and from all other positions with us and our subsidiaries, effective as of October 21, 2025. Represents 241,845 shares of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directors and executive officers as of April 21, 2026 as a group beneficially own 3,988,678 shares of Common Stock or 10.9%, which represents 3,636,975 shares of Common Stock (including the 3,072,779 Byreforge Shares that may be deemed to be beneficially owned by Mr. Amoruso), options to purchase 49,737 shares of Common Stock and 301,966 shares of Common Stock subject to RSUs that will be vested and may be exercised or settled, as applicable, as of June 20,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34" w:name="proposal_two"/>
      <w:bookmarkEnd w:id="34"/>
      <w:r>
        <w:rPr>
          <w:rFonts w:ascii="Times New Roman" w:hAnsi="Times New Roman"/>
          <w:b/>
          <w:color w:val="231F20"/>
          <w:sz w:val="20"/>
        </w:rPr>
        <w:t>PROPOSAL TWO</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ADVISORY VOTE ON</w:t>
      </w:r>
    </w:p>
    <w:p>
      <w:pPr>
        <w:pStyle w:val="TextBody"/>
        <w:bidi w:val="0"/>
        <w:spacing w:before="10" w:after="283"/>
        <w:jc w:val="center"/>
        <w:rPr>
          <w:rFonts w:ascii="Times New Roman" w:hAnsi="Times New Roman"/>
          <w:b/>
          <w:color w:val="231F20"/>
          <w:sz w:val="20"/>
        </w:rPr>
      </w:pPr>
      <w:r>
        <w:rPr>
          <w:rFonts w:ascii="Times New Roman" w:hAnsi="Times New Roman"/>
          <w:b/>
          <w:color w:val="231F20"/>
          <w:sz w:val="20"/>
        </w:rPr>
        <w:t>COMPENSATION OF OUR NAMED EXECUTIVE OFFICERS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accordance with the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RESOLVED, that the stockholders of Magnachip Semiconductor Corporation approve, on an advisory basis, the compensation of the Company’s named executive officers as disclosed in the proxy statement for the Company’s 2026 Annual Meeting of Stockholders pursuant to the compensation disclosure rules of the Securities Exchange Act of 1934, as amended (which disclosure includes the Compensation Discussion and Analysis section, the Summary Compensation Table for 2025 and the related compensation tables and narrative disclosure within the executive compensation sections of the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urges you to read the disclosure under “Compensation Discussion and Analysis,” in this Proxy Statement, which discusses how our compensation policies and procedures implement our pay-for- performance compensation philosophy. You should also read the Summary Compensation Table and other related compensation tables and narrative disclosure which provide additional details about the compensation of our named executive officers for fiscal year 2025.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no voting specification is made on a properly returned or voted proxy card, the proxies named on the proxy card will vote “FOR” the approval of the compensation of the named executive officers as disclosed in this Proxy Statement and described above.</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The Board recommends that you vote “FOR” the approval of our named executive officer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35" w:name="proposal_three"/>
      <w:bookmarkEnd w:id="35"/>
      <w:r>
        <w:rPr>
          <w:rFonts w:ascii="Times New Roman" w:hAnsi="Times New Roman"/>
          <w:b/>
          <w:color w:val="231F20"/>
          <w:sz w:val="20"/>
        </w:rPr>
        <w:t>PROPOSAL THREE</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RATIFICATION OF APPOINTMENT OF OUR INDEPENDENT REGISTERED PUBLIC ACCOUNTING FIRM FOR THE FISCAL YEAR ENDING DECEMBER 31, 2026</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Ernst &amp; Young Han Young has been selected by the Audit Committee as the principal independent registered public accounting firm for the fiscal year ending December 31, 2026 for us and our subsidiaries. Our Board recommends a vote for ratification of the appointment of Ernst &amp; Young Han Young as the independent registered public accounting firm to audit the books and accounts for us and our subsidiaries for the fiscal year ending December 31, 2026. It is expected that representatives of Ernst &amp; Young Han Young will attend the Annual Meeting, with the opportunity to make a statement if they so desire, and, if a representative is in attendance, the representative will be available to answer appropriate questions.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appointment of Ernst &amp; Young Han Young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Ernst &amp; Young Han Young, the Audit Committee will take such actions as it deems necessary as a result of such stockholder vote.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Information about Change of Independent Registered Public Accounting Firm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March 14, 2025, we changed our independent registered public accounting firm from Samil PricewaterhouseCoopers to Ernst &amp; Young Han Young. The decision to change our independent registered public accounting firms was approved by the Audit Committee on March 11,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the fiscal years ended December 31, 2024 and December 31, 2023 and the subsequent period through March 14, 2025, (i) there were no “disagreements” (as defined in Item 304(a)(1)(iv) of Regulation S-K) with Samil PWC on any matter of accounting principles or practices, financial statement disclosure, or auditing scope or procedure, any of which, if not resolved to the satisfaction of Samil PWC, would have caused Samil PWC to make reference thereto in its reports on the consolidated financial statements for such fiscal years; and (ii) there were no “reportable events” (as defined in Item 304(a)(1)(v) of Regulation S-K).</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provided Samil PricewaterhouseCoopers with a copy of the foregoing disclosures and requested that Samil PricewaterhouseCoopers furnish us with a letter addressed to the SEC stating whether it agrees with the statements made by us as set forth above. A copy of Samil PricewaterhouseCoopers letter, dated March 14, 2025 was filed as Exhibit 16.1 with our Current Report on Form 8-K/A filed with the SEC on March 14,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the fiscal years ended December 31, 2024 and December 31, 2023 and through the appointment of Ernst &amp; Young Han Young effective as of March 14, 2025, neither the Company nor anyone on its behalf consulted with Ernst &amp; Young Han Young regarding any of the matters set forth in Item 304(a)(2)(i) or (ii) of Regulations S-K.</w:t>
      </w:r>
    </w:p>
    <w:p>
      <w:pPr>
        <w:pStyle w:val="TextBody"/>
        <w:bidi w:val="0"/>
        <w:spacing w:before="240" w:after="283"/>
        <w:jc w:val="left"/>
        <w:rPr>
          <w:rFonts w:ascii="Times New Roman" w:hAnsi="Times New Roman"/>
          <w:b/>
          <w:color w:val="231F20"/>
          <w:sz w:val="20"/>
        </w:rPr>
      </w:pPr>
      <w:bookmarkStart w:id="36" w:name="fees_paid_to_independent_registered"/>
      <w:bookmarkEnd w:id="36"/>
      <w:r>
        <w:rPr>
          <w:rFonts w:ascii="Times New Roman" w:hAnsi="Times New Roman"/>
          <w:b/>
          <w:color w:val="231F20"/>
          <w:sz w:val="20"/>
        </w:rPr>
        <w:t>Fees Paid to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fees billed for professional services rendered by Ernst &amp; Young Han Young for the year ended December 31, 2025.</w:t>
      </w:r>
    </w:p>
    <w:p>
      <w:pPr>
        <w:pStyle w:val="TextBody"/>
        <w:bidi w:val="0"/>
        <w:jc w:val="left"/>
        <w:rPr/>
      </w:pPr>
      <w:r>
        <w:rPr/>
        <w:t> </w:t>
      </w:r>
    </w:p>
    <w:tbl>
      <w:tblPr>
        <w:tblW w:w="3908" w:type="dxa"/>
        <w:jc w:val="left"/>
        <w:tblInd w:w="0" w:type="dxa"/>
        <w:tblLayout w:type="fixed"/>
        <w:tblCellMar>
          <w:top w:w="28" w:type="dxa"/>
          <w:left w:w="28" w:type="dxa"/>
          <w:bottom w:w="28" w:type="dxa"/>
          <w:right w:w="28" w:type="dxa"/>
        </w:tblCellMar>
      </w:tblPr>
      <w:tblGrid>
        <w:gridCol w:w="1621"/>
        <w:gridCol w:w="146"/>
        <w:gridCol w:w="718"/>
        <w:gridCol w:w="1232"/>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br/>
              <w:t>2025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following table presents fees billed for professional services rendered by our former independent registered public accounting firm Samil PricewaterhouseCoopers and its affiliates for the year ended December 31, 2024.</w:t>
      </w:r>
    </w:p>
    <w:p>
      <w:pPr>
        <w:pStyle w:val="TextBody"/>
        <w:bidi w:val="0"/>
        <w:jc w:val="left"/>
        <w:rPr/>
      </w:pPr>
      <w:r>
        <w:rPr/>
        <w:t> </w:t>
      </w:r>
    </w:p>
    <w:tbl>
      <w:tblPr>
        <w:tblW w:w="3908" w:type="dxa"/>
        <w:jc w:val="left"/>
        <w:tblInd w:w="0" w:type="dxa"/>
        <w:tblLayout w:type="fixed"/>
        <w:tblCellMar>
          <w:top w:w="28" w:type="dxa"/>
          <w:left w:w="28" w:type="dxa"/>
          <w:bottom w:w="28" w:type="dxa"/>
          <w:right w:w="28" w:type="dxa"/>
        </w:tblCellMar>
      </w:tblPr>
      <w:tblGrid>
        <w:gridCol w:w="1621"/>
        <w:gridCol w:w="146"/>
        <w:gridCol w:w="718"/>
        <w:gridCol w:w="1232"/>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br/>
              <w:t>2024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bookmarkStart w:id="37" w:name="policy_and_procedure_for_approval"/>
      <w:bookmarkEnd w:id="37"/>
      <w:r>
        <w:rPr>
          <w:rFonts w:ascii="Times New Roman" w:hAnsi="Times New Roman"/>
          <w:b/>
          <w:color w:val="231F20"/>
          <w:sz w:val="20"/>
        </w:rPr>
        <w:t>Policy and Procedure for</w:t>
      </w:r>
      <w:r>
        <w:rPr>
          <w:rFonts w:ascii="Times New Roman" w:hAnsi="Times New Roman"/>
          <w:color w:val="231F20"/>
          <w:sz w:val="20"/>
        </w:rPr>
        <w:t xml:space="preserve"> </w:t>
      </w:r>
      <w:r>
        <w:rPr>
          <w:rFonts w:ascii="Times New Roman" w:hAnsi="Times New Roman"/>
          <w:b/>
          <w:color w:val="231F20"/>
          <w:sz w:val="20"/>
        </w:rPr>
        <w:t>Approval of Audit and Permitted Non-Audit Services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audit fees were pre-approved by the Company’s Audit Committee, which concluded that the provision of such services by our independent registered public accounting firm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our independent registered accounting firm and its affiliates.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The Board recommends that you vote “FOR” the ratification of the appointment of Ernst &amp; Young Han Young as our independent registered public accounting firm for the fiscal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bookmarkStart w:id="38" w:name="proposal_four"/>
      <w:bookmarkEnd w:id="38"/>
      <w:r>
        <w:rPr>
          <w:rFonts w:ascii="Times New Roman" w:hAnsi="Times New Roman"/>
          <w:b/>
          <w:color w:val="000000"/>
          <w:sz w:val="20"/>
        </w:rPr>
        <w:t>PROPOSAL FOUR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APPROVAL OF OUR AMENDED AND RESTATED 2020 EQUITY AND INCENTIVE COMPENSATION PLAN</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27, 2026, upon the recommendation of the Compensation Committee, the Board amended and restated our 2020 Equity and Incentive Compensation Plan (the “Plan”), subject to the approval of the Company’s stockholders at the Annual Meeting, in order to increase the aggregate number of shares of the Company’s Common Stock, available for issuance thereunder by 3,000,000 shares (as amended, the “Amended Plan”). As of April 21, 2026, 2,304,168 shares remained available for future grants under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recommends that you vote to approve the Amended Plan, so that the Company has a sufficient reserve of Common Stock to incentivize, attract and retain talent in the highly competitive market and industry in which we operate, and to align the interests of our employees and non-employee directors essential to the Company’s long-term growth and success with those of our stockholders. We expect that the total number of shares available under the Amended Plan, if approved, would meet our equity compensation needs for approximately the next two to three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Amended Plan is approved by stockholders at the Annual Meeting, the share reserve increase will be effective as of the day of the Annual Meeting. If the Amended Plan is not approved by our stockholders, the Amended Plan will not become effective and the Plan, as in effect prior to the amendment and restatement, will continue in effect without giving effect to the proposed share increase.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21, 2026, there were stock options to acquire 172,711 shares of Common Stock outstanding under the Plan, with a weighted average exercise price of $8.00 and a weighted average remaining term of 0.4 years. In addition, as of April 21, 2026, there were 944,232 unvested full value awards with time-based vesting and 428,296 unvested full value awards with performance-based vesting outstanding under the Plan. If the performance-based vesting awards are counted at maximum level of achievement, then there are 708,829 unvested full value awards outstanding under the Plan. The weighted average grant value of the unvested full value awards is $4.71. Other than the foregoing, no awards were outstanding under our equity compensation plans as of April 21,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Plan is attached to this Proxy Statement as Appendix A. The following description of the Amended Plan is only a summary of its principal terms and provisions and is qualified by reference to the actual text as set forth in Appendix A.</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Rationale for the Proposed Share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authorizes the Board and the Compensation Committee to provide cash awards and equity-based compensation for the purpose of providing incentives and rewards for service and/or performance to our non-employee directors, officers and other employees of the Company and its subsidiaries, and certain consultants to the Company and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future success depends in part on our ability to attract, motivate and retain high quality employees and directors and that the ability to provide equity-based and incentive-based awards under the Plan is critical to achieving this success. We would be at a severe competitive disadvantage if we could not use stock-based awards to recruit and compensate our employees and directors. The use of Common Stock as part of our compensation program is important because equity-based awards are an essential component of our compensation program for key employees, as they help link compensation with long-term stockholder value creation and reward participants based on service and/or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21, 2026, 2,304,168 shares of Common Stock remained available for new awards under the Plan. This amount does not reflect the additional 3,000,000 shares reserved under the Amended Plan, as set forth in this proposal. There is no fungible ratio in our Plan. Accordingly, if the Amended Plan is not approved, we may be compelled to significantly increase the cash component of our employee and director compensation. This approach may not necessarily align employee and director compensation interests with the investment interests of our stockholders. Replacing equity awards with cash also would increase cash compensation expense and use cash that could be better utilized in other ways.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includes information regarding our view of the overhang and dilution associated with the Amended Plan. This information is as of April 21, 2026. As of that date, there were approximately 36,218,138 shares of Common Stock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Proposed shares of Common Stock available for awards under the Amended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3,000,000 new shares (approximately 8.28% of our outstanding Common Stock, which percentage reflects the simple dilution of our stockholders that would occur if the Amended Plan is approved) plus 2,304,168 shares that were available as of April 21, 2026 under the Plan, or an aggregate of 5,304,168 shares (approximately 14.6% of our outstanding Common Stock) all subject to adjustment, including under the share counting rules of the Amended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subject to outstanding awards under the Plan as of April 21, 2026 (1,825,772 shares), plus the 5,304,168 of shares of Common Stock available for future awards under the Amended Plan, represent a total overhang of 7,129,940 shares (19.69%) under the Amended Plan. The 3,000,000 new shares represent an increase in the overhang percentage from approximately 11.40% to approximately 19.69%.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closing price on the New York Stock Exchange for our Common Stock on April 21, 2026 of $3.54 per share, the aggregate market value as of April 21, 2026 of the new 3,000,000 shares of Common Stock requested under the Amended Plan was $10,620,000.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fiscal years 2023, 2024 and 2025, we granted awards (including stock options, RSUs and PSUs) under the Plan covering 1,495,293 shares, 2,634,865 shares and 1,497,586 shares, respectively. Based on our basic weighted average shares of Common Stock outstanding for those three fiscal years of 41,013,069, 37,774,280 and 36,218,138 respectively, for the three-fiscal-year period 2023-2025, our average burn rate, not taking into account forfeitures, was 4.9%. (Our individual years’ burn rates were 3.6% for fiscal 2023, 7.0% for fiscal 2024 and and 4.1% for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size of the requested share increase under the Amended Plan, our Board and Compensation Committee worked with management and the Compensation Committee’s independent compensation consultant to evaluate a number of factors, including our corporate strategy and compensation needs, our recent and projected share usage, share usage at companies in our compensation peer group, the total potential dilution level, and criteria expected to be utilized by institutional proxy advisory firms in evaluating our proposal for the Amended Plan. The Board and Compensation Committee believe that approving an additional 3,000,000 shares for issuance under the Amended Plan is appropriate and in the best interests of stockholders given the current expectations on hiring, the highly competitive environment in which we recruit and retain employees, the Company’s current stock price and our projected share usage.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Amended Plan is approved, we intend to utilize the additional shares authorized under the Amended Plan to continue our practice of incentivizing key individuals through equity grants. We currently anticipate that the shares requested in connection with the approval of the Amended Plan will last for about two to three years, including based on our historic grant rates, new hiring and the approximate current share price, but could last for a different period of time if actual practice does not match recent rates or our share price changes materially.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benefits that may be received by our non-employee directors in 2026 under the Amended Plan are set forth below in the New Plan Benefits table. Any other benefits to be granted in the future under the Amended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cannot be determined at this time, as the actual awards will be made at the discretion of 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have demonstrated a commitment to sound equity compensation practices in recent years. We recognize that equity compensation awards dilute stockholders’ equity, so we have carefully managed our equity incentive compensation program. Our equity compensation practices are intended to be competitive and consistent with market practices, and we believe our historical share usage has been responsible and mindful of stockholder interests, as described above.</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 Approved by the Stockholders in 2020, the Plan Already Contains Good Compensation and Governance Practices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 evergreen; reasonable award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the Plan nor the Amended Plan contains an evergreen provision that automatically adds additional shares of Common Stock to the available pool of stock available for grant under the plan every year without additional stockholder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Plan provides that, subject as applicable to adjustment and the applicable Common Stock counting provisions as described in the Amended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shares of Common Stock actually issued or transferred upon the exercise of incentive stock options (as defined below) will not exceed 5,304,168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non-employee director will be granted, in any one calendar year, compensation for such service having an aggregate maximum value (measured at the date of grant as applicable, and calculating the value of any awards based on the grant date fair value for financial reporting purposes) in excess of $650,000. This number is unchanged from the maximum value number in the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Limited share recycling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certain exceptions described in the Amended Plan, if any award granted under the Amended Plan (in whole or in part) is canceled or forfeited, expires, is settled for cash or is unearned, the Common Stock subject to such award, to the extent of such cancellation, forfeiture, expiration, cash settlement or unearned amount, will again be available under the Amended Plan. Additionally, if after the effective date of the Amended Plan, any Common Stock subject to an award granted under the “Predecessor Plans” (the Company’s 2011 Equity Incentive Plan and 2009 Common Unit Plan) is forfeited, or an award granted under the Predecessor Plans (in whole or in part) is cancelled or forfeited, expires, is settled for cash or is unearned, the Common Stock subject to such award will, to the extent of such cancellation, forfeiture, expiration, cash settlement or unearned amount, be available for awards under the Amended Plan. The following Common Stock will not be added (or added back, as applicable) to the aggregate share limit under the Amended Plan: (1) Common Stock withheld by us, tendered or otherwise used in payment of the exercise price of a stock option granted under the Amended Plan; and (2) Common Stock reacquired by the Company on the open market or otherwise using cash proceeds from the exercise of stock options granted under the Amended Plan. Further, Common Stock covered by share-settled SARs that is exercised and settled in shares, but that is not actually issued to the participant upon exercise, will not be added back to the aggregate number of shares available under the Amended Plan. In addition, Common Stock withheld by us, tendered or otherwise used to satisfy tax withholding will not be added (or added back, as applicable) to the aggregate share limit under the Amended Plan. If a participant elects to give up the right to receive compensation in exchange for Common Stock based on fair market value, such Common Stock will not count against the aggregate number of shares available under the Amended Plan. The share recycling provisions in the Amended Plan are unchanged from the provisions in the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 repricing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certain corporate transactions or adjustment events described in the Amended Plan or in connection with a “change in control,” the exercise or base price of outstanding stock options and SARs cannot be reduced, and outstanding “underwater” stock options or SARs cannot be cancelled in exchange for cash or replaced with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stock options or SARs with a lower exercise or base price, as applicable, without stockholder approval under the Amended Plan. The repricing provision in the Amended Plan is unchanged from the provision in the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Non-liberal change in control definition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and the Plan both include the same non-liberal definition of “change in control,” which is described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Exercise or base price limitation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and the Plan both provide that, except with respect to certain converted, assumed or substituted awards as described in the Amended Plan or the Plan, as the case may be, no stock options or SARs will be granted with an exercise or base price less than the fair market value of a share of Common Stock on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 dividends paid on unvested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Plan and the Plan both provide that any dividends or dividend equivalent rights on restricted stock, RSUs, performance shares and performance units will be deferred until, and paid contingent upon, the vesting of the underlying award.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Summary of Other Material Terms of the Amended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authorizes the Board and the Compensation Committee to provide cash awards and equity-based compensation in the form of stock options, SARs, restricted stock, RSUs, performance shares, performance units, dividend equivalents and certain other awards, including those denominated or payable in, or otherwise based on, Common Stock, for the purpose of providing incentives and rewards for service and/or performance to our non-employee directors, officers and other employees of the Company and its subsidiaries, and certain consultants to the Company and its subsidiaries.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is generally administered by the Compensation Committee (or its successor), or any other committee of the Board designated by the Board to administer the Amended Plan; provided, however, that notwithstanding anything in the Amended Plan to the contrary, the Board may grant awards under the Amended Plan to non-employee directors and administer the Amended Plan with respect to such awards. References to the “Committee” in this proposal generally refer to the Compensation Committee or such other committee designated by the Board, or the Board, as applicable. The Committee may from time to time delegate all or any part of its authority under the Amended Plan to a subcommittee. Any interpretation, construction and determination by the Committee of any provision of the Amended Plan, or of any agreement, notification or document evidencing the grant of awards under the Amended Plan, will be final and conclusive. To the extent permitted by applicable law, the Committee may delegate to one or more of its members or to one or more officers, or to one or more agents or advisors, such administrative duties or powers as it deems advisable, and the Committee, the subcommittee or any other such person to whom duties or powers have been delegated may employ persons to render advice with respect to a responsibility of the Committee, subcommittee or other such person. In addition, the Committee may by resolution, subject to certain restrictions set forth in the Amended Plan, authorize one or more officers of the Company to (1) designate employees to be recipients of awards under the Amended Plan and (2) determine the size of such awards. The Committee may not, however, delegate such responsibilities to officers for awards granted to non-employee directors or certain officers who are subject to the reporting requirements of Section 16 of the Securities Exchange Act of 1934, as amended (the “Exchange Act”). The Committee is authorized to take any other action it determines to be appropriate subject to the express limitations contained in the Amended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Eligibility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who is selected by the Committee to receive benefits under the Amended Plan and who is at that time an officer or other employee of the Company or any of its subsidiaries is eligible to participate in the Amended Plan. In addition, non-employee directors of the Company and certain consultants who provide services to the Company or any of its subsidiaries that are equivalent to those typically provided by an employee (provided that such persons satisfy the Form S-8 definition of “employee”) may also be selected by the Committee to participate in the Amended Plan. As of April 21, 2026, there were approximately 711 employees of the Company and its subsidiaries and 3 non-employee directors of the Company eligible to participate in the Amended Plan. The basis for participation in the Amended Plan by eligible persons is the selection of such persons for participation by the Committee (or its proper delegate) in its discretion.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Shares available for awards under the Amended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adjustment as described in the Amended Plan share counting rules, the number of shares of Common Stock available under the Amended Plan for awards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or SARs;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shares or performance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stock-based awards under the Amended Plan;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 equivalents paid with respect to awards under the Amended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will not exceed, in the aggregate, 5,304,168 shares of Common Stock </w:t>
      </w:r>
      <w:r>
        <w:rPr>
          <w:rFonts w:ascii="Times New Roman" w:hAnsi="Times New Roman"/>
          <w:color w:val="000000"/>
          <w:sz w:val="20"/>
          <w:u w:val="single"/>
        </w:rPr>
        <w:t>plus</w:t>
      </w:r>
      <w:r>
        <w:rPr>
          <w:rFonts w:ascii="Times New Roman" w:hAnsi="Times New Roman"/>
          <w:color w:val="000000"/>
          <w:sz w:val="20"/>
        </w:rPr>
        <w:t xml:space="preserve"> Common Stock that becomes available under the Amended Plan as a result of cancellation, forfeiture, expiration, cash settlement or less-than-maximum earning of Amended Plan awards (or, as described, awards under the Predecessor Plans), after the effective date of the Amended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the aggregate number of shares of Common Stock available under the Amended Plan will be reduced by one share of Common Stock for every one share of Common Stock subject to an award granted under the Amended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Types of awards under the Amended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Amended Plan, the Company may grant cash incentive awards and stock options (including stock options intended to be “incentive stock options” as defined in Section 422 of the Code or any successor provision), SARs, restricted stock, RSUs, performance shares, performance units and certain other awards based on or related to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each grant of an award under the Amended Plan will be evidenced by an award agreement, certificate, resolution or other type or form of writing or other evidence approved by the Committee (an “Evidence of Award”), which will contain such terms and provisions as the Committee may determine, consistent with the Amended Plan. A brief description of the types of awards which may be granted under the Amended Plan is set forth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stock option is a right to purchase Common Stock upon exercise of the stock option. Stock options granted to an employee under the Amended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subsidiaries, stock options must have an exercise price per share of Common Stock that is not less than the fair market value of a share of Common Stock on the date of grant. The term of a stock option may not extend more than 10 years from the date of grant. The Committee may provide in an Evidence of Award for the automatic exercise of a stock option upon such terms and conditions as established by the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exercisable. Stock options may provide for continued vesting or the earlier vesting of the stock options, including in the event of retirement, death, disability or termination of employment or service of the participant or in the event of a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Common Stock owned by the participant with a value at the time of exercise that is equal to the total exercise price; (3) subject to any conditions or limitations established by the Committee, by a net exercise arrangement pursuant to which the Company will withhold Common Stock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Amended Plan may not provide for dividends or dividend equivalents.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Committee may, from time to time and upon such terms and conditions as it may determine, authorize the granting of SARs. A SAR is a right to receive from us an amount equal to 100%, or such lesser percentage as the Committee may determine, of the spread between the base price and the fair market value of a share of Common Stock on the date of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grant of SARs will specify the period or periods of continuous service, if any, by the participant with the Company or any subsidiary that is necessary before the SARs or installments of such SARs will vest. SARs may provide for continued vesting or earlier vesting, including in the case of retirement, death, disability or termination of employment or service of the participant or in the event of a change in control. Any grant of SARs may specify management objectives regarding the vesting of such SARs. A SAR may be paid in cash, Common Stock or any combination of the two.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upon such terms and conditions as established by the Committee. SARs granted under the Amended Plan may not provide for dividends or dividend equivalents.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grant or sale of restricted stock constitutes an immediate transfer of the ownership of Common Stock to the participant in consideration of the performance of services, entitling such participant to voting, dividend and other ownership rights (subject in particular to certain dividend provisions in the Amended Plan, as described below), but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grant of restricted stock may specify management objectives regarding the vesting of the restricted stock. Any grant of restricted stock may require that any and all dividends or other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 Restricted shares may provide for continued vesting or the earlier vesting of such restricted stock, including in the event of retirement, death, disability or termination of employment or service of the participant or in the event of a change in control. Each grant of restricted stock will be evidenced by an Evidence of Award. Each Evidence of Award will be subject to the Amended Plan and will contain such terms and provisions, consistent with the Amended Plan, as the Committee may approve.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grant or sale of RSUs awarded under the Amended Plan will be evidenced by an Evidence of Award and constitutes an agreement by the Company to deliver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in the Evidence of Award. Each grant or sale of RSUs may be made without additional consideration or in consideration of a payment by the participant that is less than the fair market value per share of Common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RSUs may provide for continued vesting or the earlier lapse or other modification of the restriction period, including in the event of retirement, death, disability or termination of employment or service of the participant or in the event of a change in control. During the restriction period applicable to RSUs, the participant will have no right to transfer any rights under the award and will have no rights of ownership in the Common Stock deliverable upon payment of the RSUs and no right to vote them. Rights to dividend equivalents may be extended to and made part of any RSU award at the discretion of the Committee, on a deferred and contingent basis, based upon the vesting of such RSUs. Each grant or sale of RSUs will specify the time and manner of payment of the RSUs that have been earned and that the amount payable with respect thereto will be paid in cash, Common Stock or any combination of the two.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shares, performance units and cash incentive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shares, performance units and cash incentive awards may also be granted to participants under the Amended Plan, and will be evidenced by an Evidence of Award.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grant of a cash incentive award, performance shares or performance units will specify management objectives regarding the earning of the award. Each grant will specify the time and manner of payment of performance shares, performance units or a cash incentive award that have been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discretion of the Committee, any grant of performance shares or performance units may provide for the payment of dividend equivalents in cash or in additional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performance period with respect to each grant of performance shares or performance units or cash incentive award will be a period of time determined by the Committee and within which the management objectives relating to such award are to be achieved. The performance period may be subject to continued vesting or earlier lapse or other modification, including in the event of retirement, death, disability or termination of employment or service of the participant or in the event of a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applicable law and applicable share limits under the Amended Plan, the Committee may grant to any participant Common Stock or such other awards (“Other Awards”) that may be denominated or payable in, valued in whole or in part by reference to, or otherwise based on, or related to, Common Stock or factors that may influence the value of such Common Stock, including, without limitation: convertible or exchangeable debt securities; other rights convertible or exchangeable into Common Stock; purchase rights for Common Stock; awards with value and payment contingent upon performance of the Company or specified subsidiaries or affiliates or other business units or any other factors designated by the Committee; and awards valued by reference to the book value of the Common Stock or the value of securities of, or the performance of, the Company or specified subsidiaries or affiliates or other business units of the Company. The terms and conditions of any such awards will be determined by the Committee. Common Stock delivered under such an award in the nature of a purchase right granted under the Amended Plan will be purchased for such consideration, paid for at such time, by such methods, and in such forms, including, without limitation, Common Stock, other awards, notes or other property, as the Committee determines.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Committee may grant cash awards, as an element of or supplement to any other awards granted under the Amended Plan. The Committee may also authorize the grant of Common Stock as a bonus or may authorize the grant of Other Awards in lieu of obligations of the Company or a subsidiary to pay cash or deliver other property under the Amended Plan or under other plans or compensatory arrangements, subject to terms determined by the Committee in a manner that complies with Section 409A of the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Awards may provide for the earning or vesting of, or earlier elimination of restrictions applicable to, such award, including in the event of the retirement, death, disability or termination of employment or service of the participant or in the event of a change in control. The Committee may provide for the payment of dividends or dividend equivalents on Other Awards on a deferred and contingent basis, in cash or in additional Common Stock, based upon the earning and vesting of such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includes a definition of “change in control.” In general, except as may be otherwise prescribed by the Committee in an Evidence of Award, a change in control shall be deemed to have occurred upon the occurrence of any one or a combination of the following events (subject to certain exceptions and limitations and as further described in the Amended Plan): (1) any individual, entity or group is or becomes the beneficial owner, directly or indirectly, of 50% or more of the total fair market value or the total combined voting power of the then-outstanding Common Stock or voting shares of the Company (subject to certain exceptions); (2) a transaction in which the stockholders immediately before the transaction do not retain ownership of more than 50% of the total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 (2) above shall not constitute a change in control if a majority of the members of the board of directors of the continuing, surviving or successor entity (or parent thereof) immediately after such transaction is comprised of incumbent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generally provides that any of the awards set forth above may be granted subject to the achievement of specified management objectives. Management objectives are defined as the measurable performance objective or objectives established pursuant to the Amended Plan for participants who have received grants of performance shares, performance units or cash incentive awards or, when so determined by the Committee, stock options, SARs, restricted stock, RSUs, dividend equivalents or Other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Transferability of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provided by the Committee, and subject to the terms of the Amended Plan with respect to Section 409A of the Code, no stock option, SAR, restricted stock, RSU, performance share, performance unit, cash incentive award, Other Award or dividend equivalents paid with respect to awards made under the Amended Plan will be transferable by a participant except by will or the laws of descent and distribution. In no event will any such award granted under the Amended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Committee may specify on the grant date that all or part of certain types of the Common Stock that is subject to awards under the Amended Plan will be subject to further restrictions on transfer, including minimum holding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Committee will make or provide for such adjustments in: (1) the number and kind of shares of Common Stock covered by outstanding stock options, SARs, restricted stock, RSUs, performance shares and performance units granted under the Amended Plan; (2) if applicable, the number and kind of shares of Common Stock covered by Other Awards granted pursuant to the Amended Plan; (3) the exercise price or base price provided in outstanding stock options and SARs, respectively; (4) cash incentive awards; and (5) other award terms, as the Committee in its sole discretion, exercised in good faith determines to be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any such transaction or event, or in the event of a change in control of the Company, the Committee may provide in substitution for any or all outstanding awards under the Amended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numbers of shares of Common Stock available under the Amended Plan and the share limits of the Amended Plan as the Committee in its sole discretion may in good faith determine to be appropriate to reflect such transaction or event. Any adjustment to the limit on the number of shares of Common Stock that may be issued upon exercise of incentive stock options, however, will be made only if and to the extent such adjustment would not cause any stock option intended to qualify as an incentive stock option to fail to so qualify.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Prohibition on repricing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in connection with certain corporate transactions or changes in the 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Amended Plan specifically provides that this provision is intended to prohibit the repricing of “underwater” stock options and SARs and that it may not be amended without approval by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Detrimental activity and recapture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Evidence of Award may reference a compensation recovery policy of the Company or provide for the cancellation or forfeiture of an award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compensation recovery policy. In addition, any Evidence of Award or such compensation recovery policy may provide for cancellation or forfeiture of an award or the forfeiture and repayment of any Common Stock issued under and/or any other benefit related to an award, or other provisions intended to have a similar effect, including upon such terms and conditions as may be required by the Committee or under Section 10D of the Exchange Act and any applicable rules and regulations promulgated by the Securities and Exchange Commission or any national securities exchange or national securities association on which the Common Stock may be traded.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Accommodations for participants of different nationalities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facilitate the making of any grant or combination of grants under the Amended Plan, the Committee may provide for such special terms for awards to participants as the Committee may consider necessary or appropriate to accommodate differences in local law, tax policy or custom given that participants are expected to be nationals of the United States and other countries, or to be employed by us or one of our subsidiaries within and outside of the United States. The Committee may approve such supplements to, or amendments, restatements or alternative versions of, the Amended Plan (including sub-plans) (to be considered part of the Amended Plan) as it may consider necessary or appropriate for such purposes, without thereby affecting the terms of the Amended Plan as in effect for any other purpose, provided that no such special terms, supplements, amendments or restatements will include any provisions that are inconsistent with the terms of the Amended Plan as then in effect unless the Amended Plan could have been amended to eliminate such inconsistency without further approval by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the Company is required to withhold federal, state, local or foreign taxes or other amounts in connection with any payment made or benefit realized by a participant or other person under the Amended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If a participant’s benefit is to be received in the form of Common Stock, then, (i) for participants who are “officers” subject to Section 16 of the Exchange Act, unless otherwise determined by the Committee, we will withhold Common Stock having a value equal to the amount required to be withheld under applicable income and employment tax laws and (ii) for participants who are not “officers” subject to Section 16 of the Exchange Act, we may withhold Common Stock having a value equal to the amount required to be withheld under applicable income and employment tax laws.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the Amended Plan exceed the minimum amount required to be withheld, unless (1) an additional amount can be withheld and not result in adverse accounting consequences, (2) such additional withholding amount is authorized by the Committee, and (3)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Common Stock acquired upon the exercise of stock options.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 right to continued employment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Plan does not confer upon any participant any right with respect to continuance of employment or service with the Company or any of its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Effective date of the Amended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Plan will become effective on the date it is approved by the Company’s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Amendment and termination of the Amended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generally may amend the Amended Plan from time to time in whole or in part. If any amendment, however, for purposes of applicable stock exchange rules (and except as permitted under the adjustment provisions of the Amended Plan) (1) would materially increase the benefits accruing to participants under the Amended Plan, (2) would materially increase the number of securities which may be issued under the Amended Plan, (3) would materially modify the requirements for participation in the Amended Plan, or (4) must otherwise be approved by our stockholders in order to comply with applicable law or the rules of the New York Stock Exchange, or, if the Common Stock is not traded on the New York Stock Exchange, the principal national securities exchange upon which the Common Stock is traded or quoted, all as determined by the Board, then such amendment will be subject to stockholder approval and will not be effective unless and until such approval has been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subject to the Amended Plan’s prohibition on repricing, the Committee generally may amend the terms of any award prospectively or retroactively. Except in the case of certain adjustments permitted under the Amended Plan, no such amendment may be made that would materially impair the rights of any participant without his or her consent. If permitted by Section 409A of the Code and subject to certain other limitations set forth in the Amended Plan, including in the case of termination of employment or service, or in the case of unforeseeable emergency or other circumstances or in the event of a change in control, the Committee may provide for continued vesting or accelerate the vesting of certain awards granted under the Amended Plan or waive any other limitation or requirement under any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may, in its discretion, terminate the Amended Plan at any time. Termination of the Amended Plan will not affect the rights of participants or their successors under any awards outstanding and not exercised in full on the date of termination. No grant will be made under the Amended Plan on or after the tenth (10th) anniversary of the effective date of the Amended Plan, but all grants made prior to such date will continue in effect thereafter subject to their terms and the terms of the Amended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Allowances for conversion awards and assumed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issued or transferred under awards granted under the Amended Plan in substitution for or conversion of, or in connection with an assumption of, stock options, SARs, restricted stock, RSUs or other share or share-based awards held by awardees of an entity engaging in a corporate acquisition or merger transaction with us or any of our subsidiaries will not count against (or be added to) the aggregate share limit or other Amended Plan limits described above. Additionally, shares available under certain plans that we or our subsidiaries may assume in connection with corporate transactions from another entity may be available for certain awards under the Amended Plan, under circumstances further described in the Amended Plan, but will not count against the aggregate share limit or other Amended Plan limits described above.</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New Plan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annual grant of RSUs to our non-employee directors under our director compensation policy (the amounts of which are set forth in the table below for 2026), any equity- or cash-based compensation awards to be granted in the future under the Amended Plan to eligible individuals, including employees, officers and non-employee directors, cannot be determined at this time because the grants are made in the discretion of the Committee.</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Our Compensation Committee grants awards under the Plan on a discretionary basis, and it is not possible as of the date of this proxy statement to determine future awards (including, without limitation, options and RSUs) that will be received by our executive officers or others under the Amended Plan. Please see the section entitled “Equity Compensation Plan Information” for more information.</w:t>
      </w:r>
    </w:p>
    <w:p>
      <w:pPr>
        <w:pStyle w:val="TextBody"/>
        <w:bidi w:val="0"/>
        <w:spacing w:before="200" w:after="283"/>
        <w:jc w:val="left"/>
        <w:rPr>
          <w:rFonts w:ascii="Times New Roman" w:hAnsi="Times New Roman"/>
          <w:b/>
          <w:color w:val="000000"/>
          <w:sz w:val="20"/>
          <w:u w:val="single"/>
        </w:rPr>
      </w:pPr>
      <w:r>
        <w:rPr>
          <w:rFonts w:ascii="Times New Roman" w:hAnsi="Times New Roman"/>
          <w:b/>
          <w:color w:val="000000"/>
          <w:sz w:val="20"/>
          <w:u w:val="single"/>
        </w:rPr>
        <w:t>U.S. Federal Income Tax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brief summary of certain of the federal income tax consequences of certain transactions under the Amended Plan based on federal income tax laws in effect. This summary, which is presented for the information of stockholders considering how to vote on this proposal and not for Amended Plan participants, is not intended to be complete and does not describe federal taxes other than income taxes (such as Medicare and social security taxes), or state, local or foreign tax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 consequences to participants</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Restricted shares</w:t>
      </w:r>
      <w:r>
        <w:rPr>
          <w:rFonts w:ascii="Times New Roman" w:hAnsi="Times New Roman"/>
          <w:color w:val="000000"/>
          <w:sz w:val="20"/>
        </w:rPr>
        <w:t>: The recipient of restricted stock generally will be subject to tax at ordinary income rates on the fair market value of the restricted stock (reduced by any amount paid by the recipient for such restricted stock) at such time as the restricted stock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restricted shares equal to the excess (if any)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Performance shares, performance units and cash incentive awards</w:t>
      </w:r>
      <w:r>
        <w:rPr>
          <w:rFonts w:ascii="Times New Roman" w:hAnsi="Times New Roman"/>
          <w:color w:val="000000"/>
          <w:sz w:val="20"/>
        </w:rPr>
        <w:t>: No taxable income generally will be recognized upon the grant of performance 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Common Stock received.</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Nonqualified stock options</w:t>
      </w:r>
      <w:r>
        <w:rPr>
          <w:rFonts w:ascii="Times New Roman" w:hAnsi="Times New Roman"/>
          <w:color w:val="000000"/>
          <w:sz w:val="20"/>
        </w:rPr>
        <w:t>: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taxable income will be recognized by an optionee at the time a non-qualified stock option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Incentive stock options</w:t>
      </w:r>
      <w:r>
        <w:rPr>
          <w:rFonts w:ascii="Times New Roman" w:hAnsi="Times New Roman"/>
          <w:color w:val="000000"/>
          <w:sz w:val="20"/>
        </w:rPr>
        <w:t>: No taxable income generally will be recognized by an optionee upon the grant or exercise of an “incentive stock option” as defined in Section 422 of the Code, except for purpose of the alternative minimum tax. If Common Stock is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Common Stock acquired upon the exercise of an incentive stock option is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recognized by the participant generally will be taxed as short-term or long-term capital gain (or loss) depending on the holding period.</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SARs</w:t>
      </w:r>
      <w:r>
        <w:rPr>
          <w:rFonts w:ascii="Times New Roman" w:hAnsi="Times New Roman"/>
          <w:color w:val="000000"/>
          <w:sz w:val="20"/>
        </w:rPr>
        <w:t>: No taxable income will be recognized by a participant in connection with the grant of a SAR. When the SAR is exercised, the participant normally will be required to include as taxable ordinary income in the year of exercise an amount equal to the amount of cash received and the fair market value of any unrestricted shares of Common Stock received on the exercise. Any further gain (or loss) recognized by the participant upon any later disposition will be taxed as short-term or long-term capital gain (or loss) depending on the holding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RSUs</w:t>
      </w:r>
      <w:r>
        <w:rPr>
          <w:rFonts w:ascii="Times New Roman" w:hAnsi="Times New Roman"/>
          <w:color w:val="000000"/>
          <w:sz w:val="20"/>
        </w:rPr>
        <w:t>: No taxable income generally will be recognized upon the award of RSUs. The recipient of an RSU award generally will be subject to tax at 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 In addition, Federal Insurance Contributions Act (“FICA”) taxes are imposed in the year of vesting.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 consequences to the Company or its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a participant recognizes ordinary income in the circumstances described above, the Company or the subsidiary for which the participant performs services will be entitled to a corresponding deduction from any applicable federal income tax; provided that, among other things, the income meets the test of reasonableness, is an ordinary and necessary business expense, is not an “excess parachute payment” within the meaning of Section 280G of the Code and is not disallowed by the $1.0 million limitation on certain executive compensation under Section 162(m) of the Code.</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Registration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file a Registration Statement on Form S-8 relating to the issuance of shares of Common Stock under the Amended Plan with the Securities and Exchange Commission pursuant to the Securities Act of 1933, as amended, as soon as practicable after approval of the Amended Plan by our stockholders.</w:t>
      </w:r>
    </w:p>
    <w:p>
      <w:pPr>
        <w:pStyle w:val="TextBody"/>
        <w:bidi w:val="0"/>
        <w:spacing w:before="360" w:after="283"/>
        <w:jc w:val="left"/>
        <w:rPr>
          <w:rFonts w:ascii="Times New Roman" w:hAnsi="Times New Roman"/>
          <w:sz w:val="20"/>
        </w:rPr>
      </w:pPr>
      <w:r>
        <w:rPr>
          <w:rFonts w:ascii="Times New Roman" w:hAnsi="Times New Roman"/>
          <w:b/>
          <w:color w:val="000000"/>
          <w:sz w:val="20"/>
        </w:rPr>
        <w:t>The Board recommends that you vote “FOR” the approval of the Amended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Please see “Equity Compensation Plan Information” table above for information as of December 31, 2025 regarding securities authorized for issuance under the Company’s equity compensation plans.</w:t>
      </w:r>
    </w:p>
    <w:p>
      <w:pPr>
        <w:pStyle w:val="TextBody"/>
        <w:bidi w:val="0"/>
        <w:spacing w:before="73"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39" w:name="stockholder_proposals_for_2027_annual"/>
      <w:bookmarkEnd w:id="39"/>
      <w:r>
        <w:rPr>
          <w:rFonts w:ascii="Times New Roman" w:hAnsi="Times New Roman"/>
          <w:b/>
          <w:color w:val="231F20"/>
          <w:sz w:val="20"/>
        </w:rPr>
        <w:t>STOCKHOLDER PROPOSALS FOR 2027 ANNUAL MEETING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stockholder who would like a proposal considered for inclusion in our proxy statement relating to our 2027 annual meeting pursuant to Rule 14a-8 (“Rule 14a-8”) under the Exchange Act must be received by the Corporate Secretary of the Company no later than December 31, 2026 and must otherwise comply with Rule 14a-8.</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stockholder proposals received outside of the Rule 14a-8 procedure for consideration at our 2027 annual meeting must be received by the Corporate Secretary of the Company between February 11, 2027 and March 13, 2027. If, however, the date of the 2027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Ltd., 15F, 76 Jikji-daero 436beon-gil, Heungdeok-gu, Cheongju-si, Chungcheongbuk-do, Republic of Korea 28581, Attention: Secretary. We also encourage you to also submit any such proposal via email to investors@magnachip.com. If we do not receive such notice within the timeframe described above, the notice will be considered untimely and the proposal may not be brought.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 In addition, shareholders who intend to solicit proxies in support of director nominees other than the company’s nominees must also comply with the additional requirements of Rule 14a-19(b) under the Exchange Act.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proxy for the 2027 annual meeting will grant authority to the persons named therein to exercise their voting discretion with respect to any matter of which we did not receive notice between February 11, 2027 and March 13, 2027. Notices should be submitted to the address set forth above.</w:t>
      </w:r>
    </w:p>
    <w:p>
      <w:pPr>
        <w:pStyle w:val="TextBody"/>
        <w:bidi w:val="0"/>
        <w:spacing w:before="240" w:after="283"/>
        <w:jc w:val="center"/>
        <w:rPr>
          <w:rFonts w:ascii="Times New Roman" w:hAnsi="Times New Roman"/>
          <w:b/>
          <w:color w:val="231F20"/>
          <w:sz w:val="20"/>
        </w:rPr>
      </w:pPr>
      <w:bookmarkStart w:id="40" w:name="solicitation_of_proxies"/>
      <w:bookmarkEnd w:id="40"/>
      <w:r>
        <w:rPr>
          <w:rFonts w:ascii="Times New Roman" w:hAnsi="Times New Roman"/>
          <w:b/>
          <w:color w:val="231F20"/>
          <w:sz w:val="20"/>
        </w:rPr>
        <w:t>SOLICITATION OF PROXIES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231F20"/>
          <w:sz w:val="20"/>
        </w:rPr>
      </w:pPr>
      <w:bookmarkStart w:id="41" w:name="other_matters"/>
      <w:bookmarkEnd w:id="41"/>
      <w:r>
        <w:rPr>
          <w:rFonts w:ascii="Times New Roman" w:hAnsi="Times New Roman"/>
          <w:b/>
          <w:color w:val="231F20"/>
          <w:sz w:val="20"/>
        </w:rPr>
        <w:t>OTHER MATTERS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pStyle w:val="TextBody"/>
        <w:bidi w:val="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By Order of the Board of Directors</w:t>
            </w:r>
          </w:p>
        </w:tc>
      </w:tr>
      <w:tr>
        <w:trPr/>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 Shinyoung Park</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Financial Officer and Secretary</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April 30,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Appendix A</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MAGNACHIP SEMICONDUCTOR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2020 EQUITY AND INCENTIVE COMPENSATION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As Amended and Restated as of June 11, 2026</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1.</w:t>
      </w:r>
    </w:p>
    <w:p>
      <w:pPr>
        <w:pStyle w:val="TextBody"/>
        <w:bidi w:val="0"/>
        <w:spacing w:before="288" w:after="288"/>
        <w:jc w:val="left"/>
        <w:rPr/>
      </w:pPr>
      <w:r>
        <w:rPr>
          <w:rFonts w:ascii="Times New Roman" w:hAnsi="Times New Roman"/>
          <w:b/>
          <w:color w:val="000000"/>
          <w:sz w:val="20"/>
        </w:rPr>
        <w:t xml:space="preserve">Purpose. </w:t>
      </w:r>
      <w:r>
        <w:rPr>
          <w:rFonts w:ascii="Times New Roman" w:hAnsi="Times New Roman"/>
          <w:color w:val="000000"/>
          <w:sz w:val="20"/>
        </w:rPr>
        <w:t>The purpose of this Plan is to permit award grants to non-employee Directors, Officers, other Employees, and Consultants of the Participating Company Group, and to provide to such persons incentives and rewards for Service and/or performance.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88"/>
        <w:jc w:val="left"/>
        <w:rPr/>
      </w:pPr>
      <w:r>
        <w:rPr>
          <w:rFonts w:ascii="Times New Roman" w:hAnsi="Times New Roman"/>
          <w:b/>
          <w:color w:val="000000"/>
          <w:sz w:val="20"/>
        </w:rPr>
        <w:t xml:space="preserve">Definitions. </w:t>
      </w:r>
      <w:r>
        <w:rPr>
          <w:rFonts w:ascii="Times New Roman" w:hAnsi="Times New Roman"/>
          <w:color w:val="000000"/>
          <w:sz w:val="20"/>
        </w:rPr>
        <w:t xml:space="preserve">As used in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color w:val="000000"/>
        </w:rPr>
        <w:t>“</w:t>
      </w:r>
      <w:r>
        <w:rPr>
          <w:rFonts w:ascii="Times New Roman" w:hAnsi="Times New Roman"/>
          <w:color w:val="000000"/>
          <w:sz w:val="20"/>
          <w:u w:val="single"/>
        </w:rPr>
        <w:t>Appreciation Right</w:t>
      </w:r>
      <w:r>
        <w:rPr>
          <w:color w:val="000000"/>
        </w:rPr>
        <w:t xml:space="preserve">” </w:t>
      </w:r>
      <w:r>
        <w:rPr>
          <w:rFonts w:ascii="Times New Roman" w:hAnsi="Times New Roman"/>
          <w:color w:val="000000"/>
          <w:sz w:val="20"/>
        </w:rPr>
        <w:t xml:space="preserve">means a right granted pursuant to </w:t>
      </w:r>
      <w:r>
        <w:rPr>
          <w:rFonts w:ascii="Times New Roman" w:hAnsi="Times New Roman"/>
          <w:b/>
          <w:color w:val="000000"/>
          <w:sz w:val="20"/>
          <w:u w:val="single"/>
        </w:rPr>
        <w:t>Section 5</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color w:val="000000"/>
        </w:rPr>
        <w:t>“</w:t>
      </w:r>
      <w:r>
        <w:rPr>
          <w:rFonts w:ascii="Times New Roman" w:hAnsi="Times New Roman"/>
          <w:color w:val="000000"/>
          <w:sz w:val="20"/>
          <w:u w:val="single"/>
        </w:rPr>
        <w:t>Award</w:t>
      </w:r>
      <w:r>
        <w:rPr>
          <w:color w:val="000000"/>
        </w:rPr>
        <w:t xml:space="preserve">” </w:t>
      </w:r>
      <w:r>
        <w:rPr>
          <w:rFonts w:ascii="Times New Roman" w:hAnsi="Times New Roman"/>
          <w:color w:val="000000"/>
          <w:sz w:val="20"/>
        </w:rPr>
        <w:t xml:space="preserve">means any Option, Appreciation Right, Restricted Stock, Restricted Stock Unit, Performance Share, Performance Unit, Cash Incentive Award or other award granted under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color w:val="000000"/>
        </w:rPr>
        <w:t>“</w:t>
      </w:r>
      <w:r>
        <w:rPr>
          <w:rFonts w:ascii="Times New Roman" w:hAnsi="Times New Roman"/>
          <w:color w:val="000000"/>
          <w:sz w:val="20"/>
          <w:u w:val="single"/>
        </w:rPr>
        <w:t>Base Price</w:t>
      </w:r>
      <w:r>
        <w:rPr>
          <w:color w:val="000000"/>
        </w:rPr>
        <w:t xml:space="preserve">” </w:t>
      </w:r>
      <w:r>
        <w:rPr>
          <w:rFonts w:ascii="Times New Roman" w:hAnsi="Times New Roman"/>
          <w:color w:val="000000"/>
          <w:sz w:val="20"/>
        </w:rPr>
        <w:t xml:space="preserve">means the price to be used as the basis for determining the Spread upon the exercise of an Appreciation Right.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pPr>
      <w:r>
        <w:rPr>
          <w:color w:val="000000"/>
        </w:rPr>
        <w:t>“</w:t>
      </w:r>
      <w:r>
        <w:rPr>
          <w:rFonts w:ascii="Times New Roman" w:hAnsi="Times New Roman"/>
          <w:color w:val="000000"/>
          <w:sz w:val="20"/>
          <w:u w:val="single"/>
        </w:rPr>
        <w:t>Board</w:t>
      </w:r>
      <w:r>
        <w:rPr>
          <w:color w:val="000000"/>
        </w:rPr>
        <w:t xml:space="preserve">” </w:t>
      </w:r>
      <w:r>
        <w:rPr>
          <w:rFonts w:ascii="Times New Roman" w:hAnsi="Times New Roman"/>
          <w:color w:val="000000"/>
          <w:sz w:val="20"/>
        </w:rPr>
        <w:t xml:space="preserve">means the Board of Directors of the Company.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pPr>
      <w:r>
        <w:rPr>
          <w:color w:val="000000"/>
        </w:rPr>
        <w:t>“</w:t>
      </w:r>
      <w:r>
        <w:rPr>
          <w:rFonts w:ascii="Times New Roman" w:hAnsi="Times New Roman"/>
          <w:color w:val="000000"/>
          <w:sz w:val="20"/>
          <w:u w:val="single"/>
        </w:rPr>
        <w:t>Cash Incentive Award</w:t>
      </w:r>
      <w:r>
        <w:rPr>
          <w:color w:val="000000"/>
        </w:rPr>
        <w:t xml:space="preserve">” </w:t>
      </w:r>
      <w:r>
        <w:rPr>
          <w:rFonts w:ascii="Times New Roman" w:hAnsi="Times New Roman"/>
          <w:color w:val="000000"/>
          <w:sz w:val="20"/>
        </w:rPr>
        <w:t xml:space="preserve">means a cash award granted pursuant to </w:t>
      </w:r>
      <w:r>
        <w:rPr>
          <w:rFonts w:ascii="Times New Roman" w:hAnsi="Times New Roman"/>
          <w:b/>
          <w:color w:val="000000"/>
          <w:sz w:val="20"/>
          <w:u w:val="single"/>
        </w:rPr>
        <w:t>Section 8</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pPr>
      <w:r>
        <w:rPr>
          <w:color w:val="000000"/>
        </w:rPr>
        <w:t>“</w:t>
      </w:r>
      <w:r>
        <w:rPr>
          <w:rFonts w:ascii="Times New Roman" w:hAnsi="Times New Roman"/>
          <w:color w:val="000000"/>
          <w:sz w:val="20"/>
          <w:u w:val="single"/>
        </w:rPr>
        <w:t>Cause</w:t>
      </w:r>
      <w:r>
        <w:rPr>
          <w:color w:val="000000"/>
        </w:rPr>
        <w:t xml:space="preserve">” </w:t>
      </w:r>
      <w:r>
        <w:rPr>
          <w:rFonts w:ascii="Times New Roman" w:hAnsi="Times New Roman"/>
          <w:color w:val="000000"/>
          <w:sz w:val="20"/>
        </w:rPr>
        <w:t xml:space="preserve">means, unless such term or an equivalent term is otherwise defined by the applicable Evidence of Award or other written 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such entity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88"/>
        <w:jc w:val="left"/>
        <w:rPr/>
      </w:pPr>
      <w:r>
        <w:rPr>
          <w:color w:val="000000"/>
        </w:rPr>
        <w:t>“</w:t>
      </w:r>
      <w:r>
        <w:rPr>
          <w:rFonts w:ascii="Times New Roman" w:hAnsi="Times New Roman"/>
          <w:color w:val="000000"/>
          <w:sz w:val="20"/>
          <w:u w:val="single"/>
        </w:rPr>
        <w:t>Change in Control</w:t>
      </w:r>
      <w:r>
        <w:rPr>
          <w:color w:val="000000"/>
        </w:rPr>
        <w:t xml:space="preserve">” </w:t>
      </w:r>
      <w:r>
        <w:rPr>
          <w:rFonts w:ascii="Times New Roman" w:hAnsi="Times New Roman"/>
          <w:color w:val="000000"/>
          <w:sz w:val="20"/>
        </w:rPr>
        <w:t xml:space="preserve">has the meaning set forth in </w:t>
      </w:r>
      <w:r>
        <w:rPr>
          <w:rFonts w:ascii="Times New Roman" w:hAnsi="Times New Roman"/>
          <w:b/>
          <w:color w:val="000000"/>
          <w:sz w:val="20"/>
          <w:u w:val="single"/>
        </w:rPr>
        <w:t>Section 12</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88"/>
        <w:jc w:val="left"/>
        <w:rPr/>
      </w:pPr>
      <w:r>
        <w:rPr>
          <w:color w:val="000000"/>
        </w:rPr>
        <w:t>“</w:t>
      </w:r>
      <w:r>
        <w:rPr>
          <w:rFonts w:ascii="Times New Roman" w:hAnsi="Times New Roman"/>
          <w:color w:val="000000"/>
          <w:sz w:val="20"/>
          <w:u w:val="single"/>
        </w:rPr>
        <w:t>Code</w:t>
      </w:r>
      <w:r>
        <w:rPr>
          <w:color w:val="000000"/>
        </w:rPr>
        <w:t xml:space="preserve">” </w:t>
      </w:r>
      <w:r>
        <w:rPr>
          <w:rFonts w:ascii="Times New Roman" w:hAnsi="Times New Roman"/>
          <w:color w:val="000000"/>
          <w:sz w:val="20"/>
        </w:rPr>
        <w:t xml:space="preserve">means the Internal Revenue Code of 1986 and the regulations thereunder, as such law and regulations may be amended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288" w:after="288"/>
        <w:jc w:val="left"/>
        <w:rPr/>
      </w:pPr>
      <w:r>
        <w:rPr>
          <w:color w:val="000000"/>
        </w:rPr>
        <w:t>“</w:t>
      </w:r>
      <w:r>
        <w:rPr>
          <w:rFonts w:ascii="Times New Roman" w:hAnsi="Times New Roman"/>
          <w:color w:val="000000"/>
          <w:sz w:val="20"/>
          <w:u w:val="single"/>
        </w:rPr>
        <w:t>Committee</w:t>
      </w:r>
      <w:r>
        <w:rPr>
          <w:color w:val="000000"/>
        </w:rPr>
        <w:t xml:space="preserve">” </w:t>
      </w:r>
      <w:r>
        <w:rPr>
          <w:rFonts w:ascii="Times New Roman" w:hAnsi="Times New Roman"/>
          <w:color w:val="000000"/>
          <w:sz w:val="20"/>
        </w:rPr>
        <w:t>means the Compensation Committee</w:t>
      </w:r>
      <w:r>
        <w:rPr>
          <w:color w:val="000000"/>
        </w:rPr>
        <w:t xml:space="preserve"> </w:t>
      </w:r>
      <w:r>
        <w:rPr>
          <w:rFonts w:ascii="Times New Roman" w:hAnsi="Times New Roman"/>
          <w:color w:val="000000"/>
          <w:sz w:val="20"/>
        </w:rPr>
        <w:t xml:space="preserve">of the Board (or its successor(s)), or any other committee of the Board designated by the Board to administer this Plan pursuant to </w:t>
      </w:r>
      <w:r>
        <w:rPr>
          <w:rFonts w:ascii="Times New Roman" w:hAnsi="Times New Roman"/>
          <w:b/>
          <w:color w:val="000000"/>
          <w:sz w:val="20"/>
          <w:u w:val="single"/>
        </w:rPr>
        <w:t>Section 10</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88"/>
        <w:jc w:val="left"/>
        <w:rPr/>
      </w:pPr>
      <w:r>
        <w:rPr>
          <w:color w:val="000000"/>
        </w:rPr>
        <w:t>“</w:t>
      </w:r>
      <w:r>
        <w:rPr>
          <w:rFonts w:ascii="Times New Roman" w:hAnsi="Times New Roman"/>
          <w:color w:val="000000"/>
          <w:sz w:val="20"/>
          <w:u w:val="single"/>
        </w:rPr>
        <w:t>Company</w:t>
      </w:r>
      <w:r>
        <w:rPr>
          <w:color w:val="000000"/>
        </w:rPr>
        <w:t xml:space="preserve">” </w:t>
      </w:r>
      <w:r>
        <w:rPr>
          <w:rFonts w:ascii="Times New Roman" w:hAnsi="Times New Roman"/>
          <w:color w:val="000000"/>
          <w:sz w:val="20"/>
        </w:rPr>
        <w:t xml:space="preserve">means MagnaChip Semiconductor Corporation, a Delaware corporation, and its successors.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88"/>
        <w:jc w:val="left"/>
        <w:rPr/>
      </w:pPr>
      <w:r>
        <w:rPr>
          <w:color w:val="000000"/>
        </w:rPr>
        <w:t>“</w:t>
      </w:r>
      <w:r>
        <w:rPr>
          <w:rFonts w:ascii="Times New Roman" w:hAnsi="Times New Roman"/>
          <w:color w:val="000000"/>
          <w:sz w:val="20"/>
          <w:u w:val="single"/>
        </w:rPr>
        <w:t>Consultant</w:t>
      </w:r>
      <w:r>
        <w:rPr>
          <w:color w:val="000000"/>
        </w:rPr>
        <w:t xml:space="preserve">” </w:t>
      </w:r>
      <w:r>
        <w:rPr>
          <w:rFonts w:ascii="Times New Roman" w:hAnsi="Times New Roman"/>
          <w:color w:val="000000"/>
          <w:sz w:val="20"/>
        </w:rPr>
        <w:t xml:space="preserve">means a person engaged to provide consulting or advisory services (other than as an Employee or a member of the Board) to a Participating Company, provided that the identity of such person, the nature of such services or the entity to which such services are provided would not preclude the Company from offering or selling securities to such person pursuant to this Plan in reliance on registration on Form S-8 under the Securities Act.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288"/>
        <w:jc w:val="left"/>
        <w:rPr/>
      </w:pPr>
      <w:r>
        <w:rPr>
          <w:color w:val="000000"/>
        </w:rPr>
        <w:t>“</w:t>
      </w:r>
      <w:r>
        <w:rPr>
          <w:rFonts w:ascii="Times New Roman" w:hAnsi="Times New Roman"/>
          <w:color w:val="000000"/>
          <w:sz w:val="20"/>
          <w:u w:val="single"/>
        </w:rPr>
        <w:t>Date of Grant</w:t>
      </w:r>
      <w:r>
        <w:rPr>
          <w:color w:val="000000"/>
        </w:rPr>
        <w:t xml:space="preserve">” </w:t>
      </w:r>
      <w:r>
        <w:rPr>
          <w:rFonts w:ascii="Times New Roman" w:hAnsi="Times New Roman"/>
          <w:color w:val="000000"/>
          <w:sz w:val="20"/>
        </w:rPr>
        <w:t xml:space="preserve">means the date provided for by the Committee on which a grant of Options, Appreciation Rights, Performance Shares, Performance Units, Cash Incentive Awards, or other awards contemplated by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or a grant or sale of Restricted Stock, Restricted Stock Units, or other awards contemplated by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will become effective (which date will not be earlier than the date on which the Committee takes action with respect thereto).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288"/>
        <w:jc w:val="left"/>
        <w:rPr/>
      </w:pPr>
      <w:r>
        <w:rPr>
          <w:color w:val="000000"/>
        </w:rPr>
        <w:t>“</w:t>
      </w:r>
      <w:r>
        <w:rPr>
          <w:rFonts w:ascii="Times New Roman" w:hAnsi="Times New Roman"/>
          <w:color w:val="000000"/>
          <w:sz w:val="20"/>
          <w:u w:val="single"/>
        </w:rPr>
        <w:t>Director</w:t>
      </w:r>
      <w:r>
        <w:rPr>
          <w:color w:val="000000"/>
        </w:rPr>
        <w:t xml:space="preserve">” </w:t>
      </w:r>
      <w:r>
        <w:rPr>
          <w:rFonts w:ascii="Times New Roman" w:hAnsi="Times New Roman"/>
          <w:color w:val="000000"/>
          <w:sz w:val="20"/>
        </w:rPr>
        <w:t xml:space="preserve">means a member of the Board.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(n)</w:t>
      </w:r>
    </w:p>
    <w:p>
      <w:pPr>
        <w:pStyle w:val="TextBody"/>
        <w:bidi w:val="0"/>
        <w:spacing w:before="0" w:after="288"/>
        <w:jc w:val="left"/>
        <w:rPr/>
      </w:pPr>
      <w:r>
        <w:rPr>
          <w:color w:val="000000"/>
        </w:rPr>
        <w:t>“</w:t>
      </w:r>
      <w:r>
        <w:rPr>
          <w:rFonts w:ascii="Times New Roman" w:hAnsi="Times New Roman"/>
          <w:color w:val="000000"/>
          <w:sz w:val="20"/>
          <w:u w:val="single"/>
        </w:rPr>
        <w:t>Disability</w:t>
      </w:r>
      <w:r>
        <w:rPr>
          <w:color w:val="000000"/>
        </w:rPr>
        <w:t xml:space="preserve">” </w:t>
      </w:r>
      <w:r>
        <w:rPr>
          <w:rFonts w:ascii="Times New Roman" w:hAnsi="Times New Roman"/>
          <w:color w:val="000000"/>
          <w:sz w:val="20"/>
        </w:rPr>
        <w:t xml:space="preserve">means, unless such term or an equivalent term is otherwise defined by the applicable Evidence of Award or other written agreement between a Participant and a Participating Company applicable to an Award, the permanent and total disability of the Participant, within the meaning of Section 22(e)(3) of the Code.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88"/>
        <w:jc w:val="left"/>
        <w:rPr/>
      </w:pPr>
      <w:r>
        <w:rPr>
          <w:color w:val="000000"/>
        </w:rPr>
        <w:t>“</w:t>
      </w:r>
      <w:r>
        <w:rPr>
          <w:rFonts w:ascii="Times New Roman" w:hAnsi="Times New Roman"/>
          <w:color w:val="000000"/>
          <w:sz w:val="20"/>
          <w:u w:val="single"/>
        </w:rPr>
        <w:t>Dividend Equivalent Right</w:t>
      </w:r>
      <w:r>
        <w:rPr>
          <w:color w:val="000000"/>
        </w:rPr>
        <w:t xml:space="preserve">” </w:t>
      </w:r>
      <w:r>
        <w:rPr>
          <w:rFonts w:ascii="Times New Roman" w:hAnsi="Times New Roman"/>
          <w:color w:val="000000"/>
          <w:sz w:val="20"/>
        </w:rPr>
        <w:t xml:space="preserve">means the right of a Participant, granted at the discretion of the Committee or as otherwise provided by this Plan, to receive a credit for the account of such Participant in an amount equal to the cash dividends paid on one share of Stock for each share of Stock represented by an Award held by such Participant.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(p)</w:t>
      </w:r>
    </w:p>
    <w:p>
      <w:pPr>
        <w:pStyle w:val="TextBody"/>
        <w:bidi w:val="0"/>
        <w:spacing w:before="0" w:after="288"/>
        <w:jc w:val="left"/>
        <w:rPr/>
      </w:pPr>
      <w:r>
        <w:rPr>
          <w:color w:val="000000"/>
        </w:rPr>
        <w:t>“</w:t>
      </w:r>
      <w:r>
        <w:rPr>
          <w:rFonts w:ascii="Times New Roman" w:hAnsi="Times New Roman"/>
          <w:color w:val="000000"/>
          <w:sz w:val="20"/>
          <w:u w:val="single"/>
        </w:rPr>
        <w:t>Effective Date</w:t>
      </w:r>
      <w:r>
        <w:rPr>
          <w:color w:val="000000"/>
        </w:rPr>
        <w:t xml:space="preserve">” </w:t>
      </w:r>
      <w:r>
        <w:rPr>
          <w:rFonts w:ascii="Times New Roman" w:hAnsi="Times New Roman"/>
          <w:color w:val="000000"/>
          <w:sz w:val="20"/>
        </w:rPr>
        <w:t xml:space="preserve">means the date this Plan is approved by the Stockholders, which is June 11, 2020.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88"/>
        <w:jc w:val="left"/>
        <w:rPr/>
      </w:pPr>
      <w:r>
        <w:rPr>
          <w:color w:val="000000"/>
        </w:rPr>
        <w:t>“</w:t>
      </w:r>
      <w:r>
        <w:rPr>
          <w:rFonts w:ascii="Times New Roman" w:hAnsi="Times New Roman"/>
          <w:color w:val="000000"/>
          <w:sz w:val="20"/>
          <w:u w:val="single"/>
        </w:rPr>
        <w:t>Employee</w:t>
      </w:r>
      <w:r>
        <w:rPr>
          <w:color w:val="000000"/>
        </w:rPr>
        <w:t xml:space="preserve">” </w:t>
      </w:r>
      <w:r>
        <w:rPr>
          <w:rFonts w:ascii="Times New Roman" w:hAnsi="Times New Roman"/>
          <w:color w:val="000000"/>
          <w:sz w:val="20"/>
        </w:rPr>
        <w:t xml:space="preserve">means any person treated as an employee (including an Officer or a member of the Board who is also treated as an employee) in the records of a Participating Company and, with respect to any Incentive Stock Option granted to such person, who is an “employee” as defined under Section 3401(c) of the Code;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neither service as a member of the Board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88"/>
        <w:jc w:val="left"/>
        <w:rPr/>
      </w:pPr>
      <w:r>
        <w:rPr>
          <w:color w:val="000000"/>
        </w:rPr>
        <w:t>“</w:t>
      </w:r>
      <w:r>
        <w:rPr>
          <w:rFonts w:ascii="Times New Roman" w:hAnsi="Times New Roman"/>
          <w:color w:val="000000"/>
          <w:sz w:val="20"/>
          <w:u w:val="single"/>
        </w:rPr>
        <w:t>Evidence of Award</w:t>
      </w:r>
      <w:r>
        <w:rPr>
          <w:color w:val="000000"/>
        </w:rPr>
        <w:t xml:space="preserve">” </w:t>
      </w:r>
      <w:r>
        <w:rPr>
          <w:rFonts w:ascii="Times New Roman" w:hAnsi="Times New Roman"/>
          <w:color w:val="000000"/>
          <w:sz w:val="20"/>
        </w:rPr>
        <w:t xml:space="preserve">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(s)</w:t>
      </w:r>
    </w:p>
    <w:p>
      <w:pPr>
        <w:pStyle w:val="TextBody"/>
        <w:bidi w:val="0"/>
        <w:spacing w:before="0" w:after="288"/>
        <w:jc w:val="left"/>
        <w:rPr/>
      </w:pPr>
      <w:r>
        <w:rPr>
          <w:color w:val="000000"/>
        </w:rPr>
        <w:t>“</w:t>
      </w:r>
      <w:r>
        <w:rPr>
          <w:rFonts w:ascii="Times New Roman" w:hAnsi="Times New Roman"/>
          <w:color w:val="000000"/>
          <w:sz w:val="20"/>
          <w:u w:val="single"/>
        </w:rPr>
        <w:t>Exchange Act</w:t>
      </w:r>
      <w:r>
        <w:rPr>
          <w:color w:val="000000"/>
        </w:rPr>
        <w:t xml:space="preserve">” </w:t>
      </w:r>
      <w:r>
        <w:rPr>
          <w:rFonts w:ascii="Times New Roman" w:hAnsi="Times New Roman"/>
          <w:color w:val="000000"/>
          <w:sz w:val="20"/>
        </w:rPr>
        <w:t xml:space="preserve">means the Securities Exchange Act of 1934, as amended from time to time, and the rules and regulations thereunder, as such law, rules and regulations may be amended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(t)</w:t>
      </w:r>
    </w:p>
    <w:p>
      <w:pPr>
        <w:pStyle w:val="TextBody"/>
        <w:bidi w:val="0"/>
        <w:spacing w:before="288" w:after="288"/>
        <w:jc w:val="left"/>
        <w:rPr/>
      </w:pPr>
      <w:r>
        <w:rPr>
          <w:color w:val="000000"/>
        </w:rPr>
        <w:t>“</w:t>
      </w:r>
      <w:r>
        <w:rPr>
          <w:rFonts w:ascii="Times New Roman" w:hAnsi="Times New Roman"/>
          <w:color w:val="000000"/>
          <w:sz w:val="20"/>
          <w:u w:val="single"/>
        </w:rPr>
        <w:t>Exercise Price</w:t>
      </w:r>
      <w:r>
        <w:rPr>
          <w:color w:val="000000"/>
        </w:rPr>
        <w:t xml:space="preserve">” </w:t>
      </w:r>
      <w:r>
        <w:rPr>
          <w:rFonts w:ascii="Times New Roman" w:hAnsi="Times New Roman"/>
          <w:color w:val="000000"/>
          <w:sz w:val="20"/>
        </w:rPr>
        <w:t xml:space="preserve">means the purchase price payable on exercise of an Option.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(u)</w:t>
      </w:r>
    </w:p>
    <w:p>
      <w:pPr>
        <w:pStyle w:val="TextBody"/>
        <w:bidi w:val="0"/>
        <w:spacing w:before="0" w:after="288"/>
        <w:jc w:val="left"/>
        <w:rPr/>
      </w:pPr>
      <w:r>
        <w:rPr>
          <w:color w:val="000000"/>
        </w:rPr>
        <w:t>“</w:t>
      </w:r>
      <w:r>
        <w:rPr>
          <w:rFonts w:ascii="Times New Roman" w:hAnsi="Times New Roman"/>
          <w:color w:val="000000"/>
          <w:sz w:val="20"/>
          <w:u w:val="single"/>
        </w:rPr>
        <w:t>Fair Market Value</w:t>
      </w:r>
      <w:r>
        <w:rPr>
          <w:color w:val="000000"/>
        </w:rPr>
        <w:t xml:space="preserve">” </w:t>
      </w:r>
      <w:r>
        <w:rPr>
          <w:rFonts w:ascii="Times New Roman" w:hAnsi="Times New Roman"/>
          <w:color w:val="000000"/>
          <w:sz w:val="20"/>
        </w:rPr>
        <w:t xml:space="preserve">means, as of any particular date, the closing price of a share of Stock as reported for that date on the New York Stock Exchange or, if the Stock is not then listed on the New York Stock Exchange, on any other national securities exchange on which the Stock is listed, or if there are no sales on such date, on the next preceding trading day during which a sale occurred. If there is no regular public trading market for the Stock, then the Fair Market Value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88"/>
        <w:jc w:val="left"/>
        <w:rPr/>
      </w:pPr>
      <w:r>
        <w:rPr>
          <w:color w:val="000000"/>
        </w:rPr>
        <w:t>“</w:t>
      </w:r>
      <w:r>
        <w:rPr>
          <w:rFonts w:ascii="Times New Roman" w:hAnsi="Times New Roman"/>
          <w:color w:val="000000"/>
          <w:sz w:val="20"/>
          <w:u w:val="single"/>
        </w:rPr>
        <w:t>Incentive Stock Option</w:t>
      </w:r>
      <w:r>
        <w:rPr>
          <w:color w:val="000000"/>
        </w:rPr>
        <w:t xml:space="preserve">” </w:t>
      </w:r>
      <w:r>
        <w:rPr>
          <w:rFonts w:ascii="Times New Roman" w:hAnsi="Times New Roman"/>
          <w:color w:val="000000"/>
          <w:sz w:val="20"/>
        </w:rPr>
        <w:t xml:space="preserve">means an Option that is intended to qualify as an “incentive stock option” under Section 422 of the Code or any successor provision.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(w)</w:t>
      </w:r>
    </w:p>
    <w:p>
      <w:pPr>
        <w:pStyle w:val="TextBody"/>
        <w:bidi w:val="0"/>
        <w:spacing w:before="0" w:after="288"/>
        <w:jc w:val="left"/>
        <w:rPr/>
      </w:pPr>
      <w:r>
        <w:rPr>
          <w:color w:val="000000"/>
        </w:rPr>
        <w:t>“</w:t>
      </w:r>
      <w:r>
        <w:rPr>
          <w:rFonts w:ascii="Times New Roman" w:hAnsi="Times New Roman"/>
          <w:color w:val="000000"/>
          <w:sz w:val="20"/>
          <w:u w:val="single"/>
        </w:rPr>
        <w:t>Incumbent Director</w:t>
      </w:r>
      <w:r>
        <w:rPr>
          <w:color w:val="000000"/>
        </w:rPr>
        <w:t xml:space="preserve">” </w:t>
      </w:r>
      <w:r>
        <w:rPr>
          <w:rFonts w:ascii="Times New Roman" w:hAnsi="Times New Roman"/>
          <w:color w:val="000000"/>
          <w:sz w:val="20"/>
        </w:rPr>
        <w:t xml:space="preserve">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(x)</w:t>
      </w:r>
    </w:p>
    <w:p>
      <w:pPr>
        <w:pStyle w:val="TextBody"/>
        <w:bidi w:val="0"/>
        <w:spacing w:before="0" w:after="288"/>
        <w:jc w:val="left"/>
        <w:rPr/>
      </w:pPr>
      <w:r>
        <w:rPr>
          <w:color w:val="000000"/>
        </w:rPr>
        <w:t>“</w:t>
      </w:r>
      <w:r>
        <w:rPr>
          <w:rFonts w:ascii="Times New Roman" w:hAnsi="Times New Roman"/>
          <w:color w:val="000000"/>
          <w:sz w:val="20"/>
          <w:u w:val="single"/>
        </w:rPr>
        <w:t>Management Objectives</w:t>
      </w:r>
      <w:r>
        <w:rPr>
          <w:color w:val="000000"/>
        </w:rPr>
        <w:t xml:space="preserve">” </w:t>
      </w:r>
      <w:r>
        <w:rPr>
          <w:rFonts w:ascii="Times New Roman" w:hAnsi="Times New Roman"/>
          <w:color w:val="000000"/>
          <w:sz w:val="20"/>
        </w:rPr>
        <w:t xml:space="preserve">means the measurable performance objective or objectives established pursuant to this Plan for Participants who have received grants of Performance Shares, Performance Units or Cash Incentive Awards or, when so determined by the Committee, Options, Appreciation Rights, Restricted Stock, Restricted Stock Units, Dividend Equivalent Rights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to the extent permitted by applicable law.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(y)</w:t>
      </w:r>
    </w:p>
    <w:p>
      <w:pPr>
        <w:pStyle w:val="TextBody"/>
        <w:bidi w:val="0"/>
        <w:spacing w:before="0" w:after="288"/>
        <w:jc w:val="left"/>
        <w:rPr/>
      </w:pPr>
      <w:r>
        <w:rPr>
          <w:color w:val="000000"/>
        </w:rPr>
        <w:t>“</w:t>
      </w:r>
      <w:r>
        <w:rPr>
          <w:rFonts w:ascii="Times New Roman" w:hAnsi="Times New Roman"/>
          <w:color w:val="000000"/>
          <w:sz w:val="20"/>
          <w:u w:val="single"/>
        </w:rPr>
        <w:t>Nonstatutory Stock Option</w:t>
      </w:r>
      <w:r>
        <w:rPr>
          <w:color w:val="000000"/>
        </w:rPr>
        <w:t xml:space="preserve">” </w:t>
      </w:r>
      <w:r>
        <w:rPr>
          <w:rFonts w:ascii="Times New Roman" w:hAnsi="Times New Roman"/>
          <w:color w:val="000000"/>
          <w:sz w:val="20"/>
        </w:rPr>
        <w:t xml:space="preserve">means an Option not intended to be (as set forth in the Evidence of Award) or which does not qualify as an incentive stock option within the meaning of Section 422(b) of the Code.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(z)</w:t>
      </w:r>
    </w:p>
    <w:p>
      <w:pPr>
        <w:pStyle w:val="TextBody"/>
        <w:bidi w:val="0"/>
        <w:spacing w:before="0" w:after="288"/>
        <w:jc w:val="left"/>
        <w:rPr/>
      </w:pPr>
      <w:r>
        <w:rPr>
          <w:color w:val="000000"/>
        </w:rPr>
        <w:t>“</w:t>
      </w:r>
      <w:r>
        <w:rPr>
          <w:rFonts w:ascii="Times New Roman" w:hAnsi="Times New Roman"/>
          <w:color w:val="000000"/>
          <w:sz w:val="20"/>
          <w:u w:val="single"/>
        </w:rPr>
        <w:t>Officer</w:t>
      </w:r>
      <w:r>
        <w:rPr>
          <w:color w:val="000000"/>
        </w:rPr>
        <w:t xml:space="preserve">” </w:t>
      </w:r>
      <w:r>
        <w:rPr>
          <w:rFonts w:ascii="Times New Roman" w:hAnsi="Times New Roman"/>
          <w:color w:val="000000"/>
          <w:sz w:val="20"/>
        </w:rPr>
        <w:t xml:space="preserve">means any person designated by the Board as an officer of the Company.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(aa)</w:t>
      </w:r>
    </w:p>
    <w:p>
      <w:pPr>
        <w:pStyle w:val="TextBody"/>
        <w:bidi w:val="0"/>
        <w:spacing w:before="0" w:after="288"/>
        <w:jc w:val="left"/>
        <w:rPr/>
      </w:pPr>
      <w:r>
        <w:rPr>
          <w:color w:val="000000"/>
        </w:rPr>
        <w:t>“</w:t>
      </w:r>
      <w:r>
        <w:rPr>
          <w:rFonts w:ascii="Times New Roman" w:hAnsi="Times New Roman"/>
          <w:color w:val="000000"/>
          <w:sz w:val="20"/>
          <w:u w:val="single"/>
        </w:rPr>
        <w:t>Optionee</w:t>
      </w:r>
      <w:r>
        <w:rPr>
          <w:color w:val="000000"/>
        </w:rPr>
        <w:t xml:space="preserve">” </w:t>
      </w:r>
      <w:r>
        <w:rPr>
          <w:rFonts w:ascii="Times New Roman" w:hAnsi="Times New Roman"/>
          <w:color w:val="000000"/>
          <w:sz w:val="20"/>
        </w:rPr>
        <w:t xml:space="preserve">means the optionee named in an Evidence of Award evidencing an outstanding Option.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(bb)</w:t>
      </w:r>
    </w:p>
    <w:p>
      <w:pPr>
        <w:pStyle w:val="TextBody"/>
        <w:bidi w:val="0"/>
        <w:spacing w:before="0" w:after="288"/>
        <w:jc w:val="left"/>
        <w:rPr/>
      </w:pPr>
      <w:r>
        <w:rPr>
          <w:color w:val="000000"/>
        </w:rPr>
        <w:t>“</w:t>
      </w:r>
      <w:r>
        <w:rPr>
          <w:rFonts w:ascii="Times New Roman" w:hAnsi="Times New Roman"/>
          <w:color w:val="000000"/>
          <w:sz w:val="20"/>
          <w:u w:val="single"/>
        </w:rPr>
        <w:t>Option</w:t>
      </w:r>
      <w:r>
        <w:rPr>
          <w:color w:val="000000"/>
        </w:rPr>
        <w:t xml:space="preserve">” </w:t>
      </w:r>
      <w:r>
        <w:rPr>
          <w:rFonts w:ascii="Times New Roman" w:hAnsi="Times New Roman"/>
          <w:color w:val="000000"/>
          <w:sz w:val="20"/>
        </w:rPr>
        <w:t xml:space="preserve">means the right to purchase Stock upon exercise of an Award granted pursuant to </w:t>
      </w:r>
      <w:r>
        <w:rPr>
          <w:rFonts w:ascii="Times New Roman" w:hAnsi="Times New Roman"/>
          <w:b/>
          <w:color w:val="000000"/>
          <w:sz w:val="20"/>
          <w:u w:val="single"/>
        </w:rPr>
        <w:t>Section 4</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(cc)</w:t>
      </w:r>
    </w:p>
    <w:p>
      <w:pPr>
        <w:pStyle w:val="TextBody"/>
        <w:bidi w:val="0"/>
        <w:spacing w:before="0" w:after="288"/>
        <w:jc w:val="left"/>
        <w:rPr/>
      </w:pPr>
      <w:r>
        <w:rPr>
          <w:color w:val="000000"/>
        </w:rPr>
        <w:t>“</w:t>
      </w:r>
      <w:r>
        <w:rPr>
          <w:rFonts w:ascii="Times New Roman" w:hAnsi="Times New Roman"/>
          <w:color w:val="000000"/>
          <w:sz w:val="20"/>
          <w:u w:val="single"/>
        </w:rPr>
        <w:t>Ownership Change Event</w:t>
      </w:r>
      <w:r>
        <w:rPr>
          <w:color w:val="000000"/>
        </w:rPr>
        <w:t xml:space="preserve">” </w:t>
      </w:r>
      <w:r>
        <w:rPr>
          <w:rFonts w:ascii="Times New Roman" w:hAnsi="Times New Roman"/>
          <w:color w:val="000000"/>
          <w:sz w:val="20"/>
        </w:rPr>
        <w:t xml:space="preserve">means the occurrence of any of the following with respect to the Company: (i) the direct or indirect sale or exchange in a single or series of related transactions by the Stockholders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(dd)</w:t>
      </w:r>
    </w:p>
    <w:p>
      <w:pPr>
        <w:pStyle w:val="TextBody"/>
        <w:bidi w:val="0"/>
        <w:spacing w:before="288" w:after="288"/>
        <w:jc w:val="left"/>
        <w:rPr/>
      </w:pPr>
      <w:r>
        <w:rPr>
          <w:color w:val="000000"/>
        </w:rPr>
        <w:t>“</w:t>
      </w:r>
      <w:r>
        <w:rPr>
          <w:rFonts w:ascii="Times New Roman" w:hAnsi="Times New Roman"/>
          <w:color w:val="000000"/>
          <w:sz w:val="20"/>
          <w:u w:val="single"/>
        </w:rPr>
        <w:t>Participant</w:t>
      </w:r>
      <w:r>
        <w:rPr>
          <w:color w:val="000000"/>
        </w:rPr>
        <w:t xml:space="preserve">” </w:t>
      </w:r>
      <w:r>
        <w:rPr>
          <w:rFonts w:ascii="Times New Roman" w:hAnsi="Times New Roman"/>
          <w:color w:val="000000"/>
          <w:sz w:val="20"/>
        </w:rPr>
        <w:t xml:space="preserve">means a person who is selected by the Committee to receive benefits under this Plan and who is at the time (i) a non-employee Director, (ii) an Officer or other Employee, or (iii) a Consultant.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(ee)</w:t>
      </w:r>
    </w:p>
    <w:p>
      <w:pPr>
        <w:pStyle w:val="TextBody"/>
        <w:bidi w:val="0"/>
        <w:spacing w:before="0" w:after="288"/>
        <w:jc w:val="left"/>
        <w:rPr/>
      </w:pPr>
      <w:r>
        <w:rPr>
          <w:color w:val="000000"/>
        </w:rPr>
        <w:t>“</w:t>
      </w:r>
      <w:r>
        <w:rPr>
          <w:rFonts w:ascii="Times New Roman" w:hAnsi="Times New Roman"/>
          <w:color w:val="000000"/>
          <w:sz w:val="20"/>
          <w:u w:val="single"/>
        </w:rPr>
        <w:t>Participating Company</w:t>
      </w:r>
      <w:r>
        <w:rPr>
          <w:color w:val="000000"/>
        </w:rPr>
        <w:t xml:space="preserve">” </w:t>
      </w:r>
      <w:r>
        <w:rPr>
          <w:rFonts w:ascii="Times New Roman" w:hAnsi="Times New Roman"/>
          <w:color w:val="000000"/>
          <w:sz w:val="20"/>
        </w:rPr>
        <w:t xml:space="preserve">means the Company or any Subsidiary.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(ff)</w:t>
      </w:r>
    </w:p>
    <w:p>
      <w:pPr>
        <w:pStyle w:val="TextBody"/>
        <w:bidi w:val="0"/>
        <w:spacing w:before="0" w:after="288"/>
        <w:jc w:val="left"/>
        <w:rPr/>
      </w:pPr>
      <w:r>
        <w:rPr>
          <w:color w:val="000000"/>
        </w:rPr>
        <w:t>“</w:t>
      </w:r>
      <w:r>
        <w:rPr>
          <w:rFonts w:ascii="Times New Roman" w:hAnsi="Times New Roman"/>
          <w:color w:val="000000"/>
          <w:sz w:val="20"/>
          <w:u w:val="single"/>
        </w:rPr>
        <w:t>Participating Company Group</w:t>
      </w:r>
      <w:r>
        <w:rPr>
          <w:color w:val="000000"/>
        </w:rPr>
        <w:t xml:space="preserve">” </w:t>
      </w:r>
      <w:r>
        <w:rPr>
          <w:rFonts w:ascii="Times New Roman" w:hAnsi="Times New Roman"/>
          <w:color w:val="000000"/>
          <w:sz w:val="20"/>
        </w:rPr>
        <w:t xml:space="preserve">means, at any point in time, the Company and all other entities collectively which are then Participating Companies.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(gg)</w:t>
      </w:r>
    </w:p>
    <w:p>
      <w:pPr>
        <w:pStyle w:val="TextBody"/>
        <w:bidi w:val="0"/>
        <w:spacing w:before="0" w:after="288"/>
        <w:jc w:val="left"/>
        <w:rPr/>
      </w:pPr>
      <w:r>
        <w:rPr>
          <w:color w:val="000000"/>
        </w:rPr>
        <w:t>“</w:t>
      </w:r>
      <w:r>
        <w:rPr>
          <w:rFonts w:ascii="Times New Roman" w:hAnsi="Times New Roman"/>
          <w:color w:val="000000"/>
          <w:sz w:val="20"/>
          <w:u w:val="single"/>
        </w:rPr>
        <w:t>Performance Period</w:t>
      </w:r>
      <w:r>
        <w:rPr>
          <w:color w:val="000000"/>
        </w:rPr>
        <w:t xml:space="preserve">” </w:t>
      </w:r>
      <w:r>
        <w:rPr>
          <w:rFonts w:ascii="Times New Roman" w:hAnsi="Times New Roman"/>
          <w:color w:val="000000"/>
          <w:sz w:val="20"/>
        </w:rPr>
        <w:t xml:space="preserve">means, in respect of any Award with Management Objectives, a period of time established within which the Management Objectives relating to such Award are to be achieved.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(hh)</w:t>
      </w:r>
    </w:p>
    <w:p>
      <w:pPr>
        <w:pStyle w:val="TextBody"/>
        <w:bidi w:val="0"/>
        <w:spacing w:before="0" w:after="288"/>
        <w:jc w:val="left"/>
        <w:rPr/>
      </w:pPr>
      <w:r>
        <w:rPr>
          <w:color w:val="000000"/>
        </w:rPr>
        <w:t>“</w:t>
      </w:r>
      <w:r>
        <w:rPr>
          <w:rFonts w:ascii="Times New Roman" w:hAnsi="Times New Roman"/>
          <w:color w:val="000000"/>
          <w:sz w:val="20"/>
          <w:u w:val="single"/>
        </w:rPr>
        <w:t>Performance Share</w:t>
      </w:r>
      <w:r>
        <w:rPr>
          <w:color w:val="000000"/>
        </w:rPr>
        <w:t xml:space="preserve">” </w:t>
      </w:r>
      <w:r>
        <w:rPr>
          <w:rFonts w:ascii="Times New Roman" w:hAnsi="Times New Roman"/>
          <w:color w:val="000000"/>
          <w:sz w:val="20"/>
        </w:rPr>
        <w:t xml:space="preserve">means a bookkeeping entry that records the equivalent of one share of Stock awarded pursuant to </w:t>
      </w:r>
      <w:r>
        <w:rPr>
          <w:rFonts w:ascii="Times New Roman" w:hAnsi="Times New Roman"/>
          <w:b/>
          <w:color w:val="000000"/>
          <w:sz w:val="20"/>
          <w:u w:val="single"/>
        </w:rPr>
        <w:t>Section 8</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88"/>
        <w:jc w:val="left"/>
        <w:rPr/>
      </w:pPr>
      <w:r>
        <w:rPr>
          <w:color w:val="000000"/>
        </w:rPr>
        <w:t>“</w:t>
      </w:r>
      <w:r>
        <w:rPr>
          <w:rFonts w:ascii="Times New Roman" w:hAnsi="Times New Roman"/>
          <w:color w:val="000000"/>
          <w:sz w:val="20"/>
          <w:u w:val="single"/>
        </w:rPr>
        <w:t>Performance Unit</w:t>
      </w:r>
      <w:r>
        <w:rPr>
          <w:color w:val="000000"/>
        </w:rPr>
        <w:t xml:space="preserve">” </w:t>
      </w:r>
      <w:r>
        <w:rPr>
          <w:rFonts w:ascii="Times New Roman" w:hAnsi="Times New Roman"/>
          <w:color w:val="000000"/>
          <w:sz w:val="20"/>
        </w:rPr>
        <w:t xml:space="preserve">means a bookkeeping entry awarded pursuant to </w:t>
      </w:r>
      <w:r>
        <w:rPr>
          <w:rFonts w:ascii="Times New Roman" w:hAnsi="Times New Roman"/>
          <w:b/>
          <w:color w:val="000000"/>
          <w:sz w:val="20"/>
          <w:u w:val="single"/>
        </w:rPr>
        <w:t>Section 8</w:t>
      </w:r>
      <w:r>
        <w:rPr>
          <w:color w:val="000000"/>
        </w:rPr>
        <w:t xml:space="preserve"> </w:t>
      </w:r>
      <w:r>
        <w:rPr>
          <w:rFonts w:ascii="Times New Roman" w:hAnsi="Times New Roman"/>
          <w:color w:val="000000"/>
          <w:sz w:val="20"/>
        </w:rPr>
        <w:t>of this Plan that records a unit equivalent to $1.00 or such other value as is determined by the Committee.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(jj)</w:t>
      </w:r>
    </w:p>
    <w:p>
      <w:pPr>
        <w:pStyle w:val="TextBody"/>
        <w:bidi w:val="0"/>
        <w:spacing w:before="0" w:after="288"/>
        <w:jc w:val="left"/>
        <w:rPr/>
      </w:pPr>
      <w:r>
        <w:rPr>
          <w:color w:val="000000"/>
        </w:rPr>
        <w:t>“</w:t>
      </w:r>
      <w:r>
        <w:rPr>
          <w:rFonts w:ascii="Times New Roman" w:hAnsi="Times New Roman"/>
          <w:color w:val="000000"/>
          <w:sz w:val="20"/>
          <w:u w:val="single"/>
        </w:rPr>
        <w:t>Plan</w:t>
      </w:r>
      <w:r>
        <w:rPr>
          <w:color w:val="000000"/>
        </w:rPr>
        <w:t xml:space="preserve">” </w:t>
      </w:r>
      <w:r>
        <w:rPr>
          <w:rFonts w:ascii="Times New Roman" w:hAnsi="Times New Roman"/>
          <w:color w:val="000000"/>
          <w:sz w:val="20"/>
        </w:rPr>
        <w:t>means this MagnaChip Semiconductor Corporation 2020 Equity and Incentive Compensation Plan, as may be amended or amended and restated from time to time.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(kk)</w:t>
      </w:r>
    </w:p>
    <w:p>
      <w:pPr>
        <w:pStyle w:val="TextBody"/>
        <w:bidi w:val="0"/>
        <w:spacing w:before="0" w:after="288"/>
        <w:jc w:val="left"/>
        <w:rPr/>
      </w:pPr>
      <w:r>
        <w:rPr>
          <w:color w:val="000000"/>
          <w:u w:val="single"/>
        </w:rPr>
        <w:t>“</w:t>
      </w:r>
      <w:r>
        <w:rPr>
          <w:rFonts w:ascii="Times New Roman" w:hAnsi="Times New Roman"/>
          <w:color w:val="000000"/>
          <w:sz w:val="20"/>
          <w:u w:val="single"/>
        </w:rPr>
        <w:t>Predecessor Plans</w:t>
      </w:r>
      <w:r>
        <w:rPr>
          <w:color w:val="000000"/>
        </w:rPr>
        <w:t xml:space="preserve">” </w:t>
      </w:r>
      <w:r>
        <w:rPr>
          <w:rFonts w:ascii="Times New Roman" w:hAnsi="Times New Roman"/>
          <w:color w:val="000000"/>
          <w:sz w:val="20"/>
        </w:rPr>
        <w:t xml:space="preserve">means the MagnaChip Semiconductor Corporation 2011 Equity Incentive Plan, as amended or amended and restated from time to time, and the MagnaChip Semiconductor LLC 2009 Common Unit Plan, as amended or amended and restated from time to time.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(ll)</w:t>
      </w:r>
    </w:p>
    <w:p>
      <w:pPr>
        <w:pStyle w:val="TextBody"/>
        <w:bidi w:val="0"/>
        <w:spacing w:before="0" w:after="288"/>
        <w:jc w:val="left"/>
        <w:rPr/>
      </w:pPr>
      <w:r>
        <w:rPr>
          <w:color w:val="000000"/>
        </w:rPr>
        <w:t>“</w:t>
      </w:r>
      <w:r>
        <w:rPr>
          <w:rFonts w:ascii="Times New Roman" w:hAnsi="Times New Roman"/>
          <w:color w:val="000000"/>
          <w:sz w:val="20"/>
          <w:u w:val="single"/>
        </w:rPr>
        <w:t>Restricted Stock</w:t>
      </w:r>
      <w:r>
        <w:rPr>
          <w:color w:val="000000"/>
        </w:rPr>
        <w:t xml:space="preserve">” </w:t>
      </w:r>
      <w:r>
        <w:rPr>
          <w:rFonts w:ascii="Times New Roman" w:hAnsi="Times New Roman"/>
          <w:color w:val="000000"/>
          <w:sz w:val="20"/>
        </w:rPr>
        <w:t xml:space="preserve">means Stock granted or sold pursuant to </w:t>
      </w:r>
      <w:r>
        <w:rPr>
          <w:rFonts w:ascii="Times New Roman" w:hAnsi="Times New Roman"/>
          <w:b/>
          <w:color w:val="000000"/>
          <w:sz w:val="20"/>
          <w:u w:val="single"/>
        </w:rPr>
        <w:t>Section 6</w:t>
      </w:r>
      <w:r>
        <w:rPr>
          <w:color w:val="000000"/>
        </w:rPr>
        <w:t xml:space="preserve"> </w:t>
      </w:r>
      <w:r>
        <w:rPr>
          <w:rFonts w:ascii="Times New Roman" w:hAnsi="Times New Roman"/>
          <w:color w:val="000000"/>
          <w:sz w:val="20"/>
        </w:rPr>
        <w:t>of this Plan as to which neither the substantial risk of forfeiture nor the prohibition on transfers has expired.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(mm)</w:t>
      </w:r>
    </w:p>
    <w:p>
      <w:pPr>
        <w:pStyle w:val="TextBody"/>
        <w:bidi w:val="0"/>
        <w:spacing w:before="0" w:after="288"/>
        <w:jc w:val="left"/>
        <w:rPr/>
      </w:pPr>
      <w:r>
        <w:rPr>
          <w:color w:val="000000"/>
        </w:rPr>
        <w:t>“</w:t>
      </w:r>
      <w:r>
        <w:rPr>
          <w:rFonts w:ascii="Times New Roman" w:hAnsi="Times New Roman"/>
          <w:color w:val="000000"/>
          <w:sz w:val="20"/>
          <w:u w:val="single"/>
        </w:rPr>
        <w:t>Restricted Stock Units</w:t>
      </w:r>
      <w:r>
        <w:rPr>
          <w:color w:val="000000"/>
        </w:rPr>
        <w:t xml:space="preserve">” </w:t>
      </w:r>
      <w:r>
        <w:rPr>
          <w:rFonts w:ascii="Times New Roman" w:hAnsi="Times New Roman"/>
          <w:color w:val="000000"/>
          <w:sz w:val="20"/>
        </w:rPr>
        <w:t xml:space="preserve">means an Award made pursuant to </w:t>
      </w:r>
      <w:r>
        <w:rPr>
          <w:rFonts w:ascii="Times New Roman" w:hAnsi="Times New Roman"/>
          <w:b/>
          <w:color w:val="000000"/>
          <w:sz w:val="20"/>
          <w:u w:val="single"/>
        </w:rPr>
        <w:t>Section 7</w:t>
      </w:r>
      <w:r>
        <w:rPr>
          <w:color w:val="000000"/>
        </w:rPr>
        <w:t xml:space="preserve"> </w:t>
      </w:r>
      <w:r>
        <w:rPr>
          <w:rFonts w:ascii="Times New Roman" w:hAnsi="Times New Roman"/>
          <w:color w:val="000000"/>
          <w:sz w:val="20"/>
        </w:rPr>
        <w:t xml:space="preserve">of this Plan of the right to receive Stock, cash or a combination thereof at the end of the applicable Restriction Period.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(nn)</w:t>
      </w:r>
    </w:p>
    <w:p>
      <w:pPr>
        <w:pStyle w:val="TextBody"/>
        <w:bidi w:val="0"/>
        <w:spacing w:before="0" w:after="288"/>
        <w:jc w:val="left"/>
        <w:rPr/>
      </w:pPr>
      <w:r>
        <w:rPr>
          <w:color w:val="000000"/>
        </w:rPr>
        <w:t>“</w:t>
      </w:r>
      <w:r>
        <w:rPr>
          <w:rFonts w:ascii="Times New Roman" w:hAnsi="Times New Roman"/>
          <w:color w:val="000000"/>
          <w:sz w:val="20"/>
          <w:u w:val="single"/>
        </w:rPr>
        <w:t>Restriction Period</w:t>
      </w:r>
      <w:r>
        <w:rPr>
          <w:color w:val="000000"/>
        </w:rPr>
        <w:t xml:space="preserve">” </w:t>
      </w:r>
      <w:r>
        <w:rPr>
          <w:rFonts w:ascii="Times New Roman" w:hAnsi="Times New Roman"/>
          <w:color w:val="000000"/>
          <w:sz w:val="20"/>
        </w:rPr>
        <w:t xml:space="preserve">means the period of time during which Restricted Stock Units are subject to restrictions, as provided in </w:t>
      </w:r>
      <w:r>
        <w:rPr>
          <w:rFonts w:ascii="Times New Roman" w:hAnsi="Times New Roman"/>
          <w:b/>
          <w:color w:val="000000"/>
          <w:sz w:val="20"/>
          <w:u w:val="single"/>
        </w:rPr>
        <w:t>Section 7</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(oo)</w:t>
      </w:r>
    </w:p>
    <w:p>
      <w:pPr>
        <w:pStyle w:val="TextBody"/>
        <w:bidi w:val="0"/>
        <w:spacing w:before="0" w:after="288"/>
        <w:jc w:val="left"/>
        <w:rPr/>
      </w:pPr>
      <w:r>
        <w:rPr>
          <w:color w:val="000000"/>
        </w:rPr>
        <w:t>“</w:t>
      </w:r>
      <w:r>
        <w:rPr>
          <w:rFonts w:ascii="Times New Roman" w:hAnsi="Times New Roman"/>
          <w:color w:val="000000"/>
          <w:sz w:val="20"/>
          <w:u w:val="single"/>
        </w:rPr>
        <w:t>Section 409A</w:t>
      </w:r>
      <w:r>
        <w:rPr>
          <w:color w:val="000000"/>
        </w:rPr>
        <w:t xml:space="preserve">” </w:t>
      </w:r>
      <w:r>
        <w:rPr>
          <w:rFonts w:ascii="Times New Roman" w:hAnsi="Times New Roman"/>
          <w:color w:val="000000"/>
          <w:sz w:val="20"/>
        </w:rPr>
        <w:t xml:space="preserve">means Section 409A of the Code.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(pp)</w:t>
      </w:r>
    </w:p>
    <w:p>
      <w:pPr>
        <w:pStyle w:val="TextBody"/>
        <w:bidi w:val="0"/>
        <w:spacing w:before="0" w:after="288"/>
        <w:jc w:val="left"/>
        <w:rPr/>
      </w:pPr>
      <w:r>
        <w:rPr>
          <w:color w:val="000000"/>
        </w:rPr>
        <w:t>“</w:t>
      </w:r>
      <w:r>
        <w:rPr>
          <w:rFonts w:ascii="Times New Roman" w:hAnsi="Times New Roman"/>
          <w:color w:val="000000"/>
          <w:sz w:val="20"/>
          <w:u w:val="single"/>
        </w:rPr>
        <w:t>Section 409A Deferred Compensation</w:t>
      </w:r>
      <w:r>
        <w:rPr>
          <w:color w:val="000000"/>
        </w:rPr>
        <w:t xml:space="preserve">” </w:t>
      </w:r>
      <w:r>
        <w:rPr>
          <w:rFonts w:ascii="Times New Roman" w:hAnsi="Times New Roman"/>
          <w:color w:val="000000"/>
          <w:sz w:val="20"/>
        </w:rPr>
        <w:t xml:space="preserve">means compensation provided pursuant to an Award that constitutes nonqualified deferred compensation within the meaning of Section 409A.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(qq)</w:t>
      </w:r>
    </w:p>
    <w:p>
      <w:pPr>
        <w:pStyle w:val="TextBody"/>
        <w:bidi w:val="0"/>
        <w:spacing w:before="0" w:after="288"/>
        <w:jc w:val="left"/>
        <w:rPr/>
      </w:pPr>
      <w:r>
        <w:rPr>
          <w:color w:val="000000"/>
        </w:rPr>
        <w:t>“</w:t>
      </w:r>
      <w:r>
        <w:rPr>
          <w:rFonts w:ascii="Times New Roman" w:hAnsi="Times New Roman"/>
          <w:color w:val="000000"/>
          <w:sz w:val="20"/>
          <w:u w:val="single"/>
        </w:rPr>
        <w:t>Securities Act</w:t>
      </w:r>
      <w:r>
        <w:rPr>
          <w:color w:val="000000"/>
        </w:rPr>
        <w:t xml:space="preserve">” </w:t>
      </w:r>
      <w:r>
        <w:rPr>
          <w:rFonts w:ascii="Times New Roman" w:hAnsi="Times New Roman"/>
          <w:color w:val="000000"/>
          <w:sz w:val="20"/>
        </w:rPr>
        <w:t xml:space="preserve">means the Securities Act of 1933, as amended.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(rr)</w:t>
      </w:r>
    </w:p>
    <w:p>
      <w:pPr>
        <w:pStyle w:val="TextBody"/>
        <w:bidi w:val="0"/>
        <w:spacing w:before="0" w:after="288"/>
        <w:jc w:val="left"/>
        <w:rPr/>
      </w:pPr>
      <w:r>
        <w:rPr>
          <w:color w:val="000000"/>
        </w:rPr>
        <w:t>“</w:t>
      </w:r>
      <w:r>
        <w:rPr>
          <w:rFonts w:ascii="Times New Roman" w:hAnsi="Times New Roman"/>
          <w:color w:val="000000"/>
          <w:sz w:val="20"/>
          <w:u w:val="single"/>
        </w:rPr>
        <w:t>Service</w:t>
      </w:r>
      <w:r>
        <w:rPr>
          <w:color w:val="000000"/>
        </w:rPr>
        <w:t xml:space="preserve">” </w:t>
      </w:r>
      <w:r>
        <w:rPr>
          <w:rFonts w:ascii="Times New Roman" w:hAnsi="Times New Roman"/>
          <w:color w:val="000000"/>
          <w:sz w:val="20"/>
        </w:rPr>
        <w:t xml:space="preserve">means, unless such term or an equivalent term is otherwise defined by the applicable Evidence of Award or other written agreement between a Participant and a Participating Company applicable to an Award,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Company shall have discretion to determine the length of any such leave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the purposes of this definition.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(ss)</w:t>
      </w:r>
    </w:p>
    <w:p>
      <w:pPr>
        <w:pStyle w:val="TextBody"/>
        <w:bidi w:val="0"/>
        <w:spacing w:before="0" w:after="288"/>
        <w:jc w:val="left"/>
        <w:rPr/>
      </w:pPr>
      <w:r>
        <w:rPr>
          <w:color w:val="000000"/>
        </w:rPr>
        <w:t>“</w:t>
      </w:r>
      <w:r>
        <w:rPr>
          <w:rFonts w:ascii="Times New Roman" w:hAnsi="Times New Roman"/>
          <w:color w:val="000000"/>
          <w:sz w:val="20"/>
          <w:u w:val="single"/>
        </w:rPr>
        <w:t>Spread</w:t>
      </w:r>
      <w:r>
        <w:rPr>
          <w:color w:val="000000"/>
        </w:rPr>
        <w:t xml:space="preserve">” </w:t>
      </w:r>
      <w:r>
        <w:rPr>
          <w:rFonts w:ascii="Times New Roman" w:hAnsi="Times New Roman"/>
          <w:color w:val="000000"/>
          <w:sz w:val="20"/>
        </w:rPr>
        <w:t xml:space="preserve">means the excess of the Fair Market Value on the date when an Appreciation Right is exercised over the Base Price provided for with respect to the Appreciation Right.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(tt)</w:t>
      </w:r>
    </w:p>
    <w:p>
      <w:pPr>
        <w:pStyle w:val="TextBody"/>
        <w:bidi w:val="0"/>
        <w:spacing w:before="0" w:after="288"/>
        <w:jc w:val="left"/>
        <w:rPr/>
      </w:pPr>
      <w:r>
        <w:rPr>
          <w:color w:val="000000"/>
        </w:rPr>
        <w:t>“</w:t>
      </w:r>
      <w:r>
        <w:rPr>
          <w:rFonts w:ascii="Times New Roman" w:hAnsi="Times New Roman"/>
          <w:color w:val="000000"/>
          <w:sz w:val="20"/>
          <w:u w:val="single"/>
        </w:rPr>
        <w:t>Stock</w:t>
      </w:r>
      <w:r>
        <w:rPr>
          <w:color w:val="000000"/>
        </w:rPr>
        <w:t xml:space="preserve">” </w:t>
      </w:r>
      <w:r>
        <w:rPr>
          <w:rFonts w:ascii="Times New Roman" w:hAnsi="Times New Roman"/>
          <w:color w:val="000000"/>
          <w:sz w:val="20"/>
        </w:rPr>
        <w:t xml:space="preserve">means the common stock, par value $0.01 per share, of the Company or any security into which such common stock may be changed by reason of any transaction or event of the type referred to in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(uu)</w:t>
      </w:r>
    </w:p>
    <w:p>
      <w:pPr>
        <w:pStyle w:val="TextBody"/>
        <w:bidi w:val="0"/>
        <w:spacing w:before="0" w:after="288"/>
        <w:jc w:val="left"/>
        <w:rPr/>
      </w:pPr>
      <w:r>
        <w:rPr>
          <w:color w:val="000000"/>
        </w:rPr>
        <w:t>“</w:t>
      </w:r>
      <w:r>
        <w:rPr>
          <w:rFonts w:ascii="Times New Roman" w:hAnsi="Times New Roman"/>
          <w:color w:val="000000"/>
          <w:sz w:val="20"/>
          <w:u w:val="single"/>
        </w:rPr>
        <w:t>Stockholder</w:t>
      </w:r>
      <w:r>
        <w:rPr>
          <w:color w:val="000000"/>
        </w:rPr>
        <w:t xml:space="preserve">” </w:t>
      </w:r>
      <w:r>
        <w:rPr>
          <w:rFonts w:ascii="Times New Roman" w:hAnsi="Times New Roman"/>
          <w:color w:val="000000"/>
          <w:sz w:val="20"/>
        </w:rPr>
        <w:t xml:space="preserve">means an individual or entity that owns one or more shares of Stock.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(vv)</w:t>
      </w:r>
    </w:p>
    <w:p>
      <w:pPr>
        <w:pStyle w:val="TextBody"/>
        <w:bidi w:val="0"/>
        <w:spacing w:before="0" w:after="288"/>
        <w:jc w:val="left"/>
        <w:rPr/>
      </w:pPr>
      <w:r>
        <w:rPr>
          <w:color w:val="000000"/>
        </w:rPr>
        <w:t>“</w:t>
      </w:r>
      <w:r>
        <w:rPr>
          <w:rFonts w:ascii="Times New Roman" w:hAnsi="Times New Roman"/>
          <w:color w:val="000000"/>
          <w:sz w:val="20"/>
          <w:u w:val="single"/>
        </w:rPr>
        <w:t>Subsidiary</w:t>
      </w:r>
      <w:r>
        <w:rPr>
          <w:color w:val="000000"/>
        </w:rPr>
        <w:t xml:space="preserve">” </w:t>
      </w:r>
      <w:r>
        <w:rPr>
          <w:rFonts w:ascii="Times New Roman" w:hAnsi="Times New Roman"/>
          <w:color w:val="000000"/>
          <w:sz w:val="20"/>
        </w:rPr>
        <w:t xml:space="preserve">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of the then outstanding securities entitled to vote generally in the election of Directors in the case of the Company or members of the board of directors or similar body in the case of another entity represented by all classes of stock issued by such corporation.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88"/>
        <w:jc w:val="left"/>
        <w:rPr/>
      </w:pPr>
      <w:r>
        <w:rPr>
          <w:rFonts w:ascii="Times New Roman" w:hAnsi="Times New Roman"/>
          <w:b/>
          <w:color w:val="000000"/>
          <w:sz w:val="20"/>
        </w:rPr>
        <w:t>Shares Available Under this Plan.</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u w:val="single"/>
        </w:rPr>
        <w:t>Maximum Shares Available Under this Plan</w:t>
      </w:r>
      <w:r>
        <w:rPr>
          <w:rFonts w:ascii="Times New Roman" w:hAnsi="Times New Roman"/>
          <w:color w:val="000000"/>
          <w:sz w:val="2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88"/>
        <w:jc w:val="left"/>
        <w:rPr/>
      </w:pPr>
      <w:r>
        <w:rPr>
          <w:rFonts w:ascii="Times New Roman" w:hAnsi="Times New Roman"/>
          <w:color w:val="000000"/>
          <w:sz w:val="20"/>
        </w:rPr>
        <w:t xml:space="preserve">Subject to adjustment as provided in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and the share counting rules set forth in </w:t>
      </w:r>
      <w:r>
        <w:rPr>
          <w:rFonts w:ascii="Times New Roman" w:hAnsi="Times New Roman"/>
          <w:b/>
          <w:color w:val="000000"/>
          <w:sz w:val="20"/>
          <w:u w:val="single"/>
        </w:rPr>
        <w:t>Section 3(b)</w:t>
      </w:r>
      <w:r>
        <w:rPr>
          <w:color w:val="000000"/>
        </w:rPr>
        <w:t xml:space="preserve"> </w:t>
      </w:r>
      <w:r>
        <w:rPr>
          <w:rFonts w:ascii="Times New Roman" w:hAnsi="Times New Roman"/>
          <w:color w:val="000000"/>
          <w:sz w:val="20"/>
        </w:rPr>
        <w:t xml:space="preserve">of this Plan, the number of shares of Stock available under this Plan for Awards of (A) Options or Appreciation Rights, (B) Restricted Stock, (C) Restricted Stock Units, (D) Performance Shares or Performance Units, (E) Awards contemplated by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or (F) Dividend Equivalent Rights with respect to Awards made under this Plan will not exceed in the aggregate (x) 5,304,168 shares of Stock, which is inclusive of shares previously authorized for issuance under this Plan but does not include shares of Stock that are subject to Awards granted under this Plan or the Predecessor Plans as of the Effective Date, plus (y) the Stock that is subject to Awards granted under this Plan or the Predecessor Plans that is added (or added back, as applicable) to the aggregate number of shares of Stock available under subsection (x) pursuant to the share counting rules set forth in </w:t>
      </w:r>
      <w:r>
        <w:rPr>
          <w:rFonts w:ascii="Times New Roman" w:hAnsi="Times New Roman"/>
          <w:b/>
          <w:color w:val="000000"/>
          <w:sz w:val="20"/>
          <w:u w:val="single"/>
        </w:rPr>
        <w:t>Section 3(b)</w:t>
      </w:r>
      <w:r>
        <w:rPr>
          <w:color w:val="000000"/>
        </w:rPr>
        <w:t xml:space="preserve"> </w:t>
      </w:r>
      <w:r>
        <w:rPr>
          <w:rFonts w:ascii="Times New Roman" w:hAnsi="Times New Roman"/>
          <w:color w:val="000000"/>
          <w:sz w:val="20"/>
        </w:rPr>
        <w:t>of this Plan. Such shares may be shares of original issuance or treasury shares or a combination of the foregoing.</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88"/>
        <w:jc w:val="left"/>
        <w:rPr/>
      </w:pPr>
      <w:r>
        <w:rPr>
          <w:rFonts w:ascii="Times New Roman" w:hAnsi="Times New Roman"/>
          <w:color w:val="000000"/>
          <w:sz w:val="20"/>
        </w:rPr>
        <w:t xml:space="preserve">Subject to the share counting rules set forth in </w:t>
      </w:r>
      <w:r>
        <w:rPr>
          <w:rFonts w:ascii="Times New Roman" w:hAnsi="Times New Roman"/>
          <w:b/>
          <w:color w:val="000000"/>
          <w:sz w:val="20"/>
          <w:u w:val="single"/>
        </w:rPr>
        <w:t>Section 3(b)</w:t>
      </w:r>
      <w:r>
        <w:rPr>
          <w:color w:val="000000"/>
        </w:rPr>
        <w:t xml:space="preserve"> </w:t>
      </w:r>
      <w:r>
        <w:rPr>
          <w:rFonts w:ascii="Times New Roman" w:hAnsi="Times New Roman"/>
          <w:color w:val="000000"/>
          <w:sz w:val="20"/>
        </w:rPr>
        <w:t xml:space="preserve">of this Plan, the aggregate number of shares of Stock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of this Plan will be reduced by one share of Stock for every one share of Stock subject to an Award granted under this Plan.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u w:val="single"/>
        </w:rPr>
        <w:t>Share Counting Rules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288" w:after="288"/>
        <w:jc w:val="left"/>
        <w:rPr/>
      </w:pPr>
      <w:r>
        <w:rPr>
          <w:rFonts w:ascii="Times New Roman" w:hAnsi="Times New Roman"/>
          <w:color w:val="000000"/>
          <w:sz w:val="20"/>
        </w:rPr>
        <w:t xml:space="preserve">Except as provided in </w:t>
      </w:r>
      <w:r>
        <w:rPr>
          <w:rFonts w:ascii="Times New Roman" w:hAnsi="Times New Roman"/>
          <w:b/>
          <w:color w:val="000000"/>
          <w:sz w:val="20"/>
          <w:u w:val="single"/>
        </w:rPr>
        <w:t>Section 22</w:t>
      </w:r>
      <w:r>
        <w:rPr>
          <w:color w:val="000000"/>
        </w:rPr>
        <w:t xml:space="preserve"> </w:t>
      </w:r>
      <w:r>
        <w:rPr>
          <w:rFonts w:ascii="Times New Roman" w:hAnsi="Times New Roman"/>
          <w:color w:val="000000"/>
          <w:sz w:val="20"/>
        </w:rPr>
        <w:t xml:space="preserve">of this Plan, if any Award granted under this Plan (in whole or in part) is cancelled or forfeited, expires, is settled for cash, or is unearned, the Stock subject to such Award will, to the extent of such cancellation, forfeiture, expiration, cash settlement, or unearned amount, again be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above.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If, after the Effective Date, any Stock subject to an award granted under the Predecessor Plans is forfeited, or an award granted under the Predecessor Plans (in whole or in part) is cancelled or forfeited, expires, is settled for cash, or is unearned, the Stock subject to such award will, to the extent of such cancellation, forfeiture, expiration, cash settlement, or unearned amount, be available for Awards under this Plan.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88"/>
        <w:jc w:val="left"/>
        <w:rPr/>
      </w:pPr>
      <w:r>
        <w:rPr>
          <w:rFonts w:ascii="Times New Roman" w:hAnsi="Times New Roman"/>
          <w:color w:val="000000"/>
          <w:sz w:val="20"/>
        </w:rPr>
        <w:t xml:space="preserve">Notwithstanding anything to the contrary contained in this Plan: (A) Stock withheld by the Company, tendered or otherwise used in payment of the Exercise Price of an Option will not be added (or added back, as applicable) to the aggregate number of shares of Stock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 xml:space="preserve">of this Plan; (B) Stock withheld by the Company, tendered or otherwise used to satisfy tax withholding will not be added (or added back, as applicable) to the aggregate number of shares of Stock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 xml:space="preserve">of this Plan; (C) Stock subject to a share-settled Appreciation Right that is not actually issued in connection with the settlement of such Appreciation Right on the exercise thereof will not be added back to the aggregate number of shares of Stock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 xml:space="preserve">of this Plan; and (D) Stock reacquired by the Company on the open market or otherwise using cash proceeds from the exercise of Options will not be added (or added back, as applicable) to the aggregate number of shares of Stock available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of this Plan.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88"/>
        <w:jc w:val="left"/>
        <w:rPr/>
      </w:pPr>
      <w:r>
        <w:rPr>
          <w:rFonts w:ascii="Times New Roman" w:hAnsi="Times New Roman"/>
          <w:color w:val="000000"/>
          <w:sz w:val="20"/>
        </w:rPr>
        <w:t xml:space="preserve">If, under this Plan, a Participant has elected to give up the right to receive compensation in exchange for Stock based on Fair Market Value, such Stock will not count against the aggregate limit under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of this Plan.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u w:val="single"/>
        </w:rPr>
        <w:t>Limit on Incentive Stock Options</w:t>
      </w:r>
      <w:r>
        <w:rPr>
          <w:rFonts w:ascii="Times New Roman" w:hAnsi="Times New Roman"/>
          <w:color w:val="000000"/>
          <w:sz w:val="20"/>
        </w:rPr>
        <w:t xml:space="preserve">. Notwithstanding anything to the contrary contained in this Plan, and subject to adjustment as provided in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of this Plan, the aggregate number of shares of Stock actually issued or transferred by the Company upon the exercise of Incentive Stock Options will not exceed 5,304,168 shares of Stock.</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pPr>
      <w:r>
        <w:rPr>
          <w:rFonts w:ascii="Times New Roman" w:hAnsi="Times New Roman"/>
          <w:color w:val="000000"/>
          <w:sz w:val="20"/>
          <w:u w:val="single"/>
        </w:rPr>
        <w:t>Non-Employee Director Compensation Limit</w:t>
      </w:r>
      <w:r>
        <w:rPr>
          <w:rFonts w:ascii="Times New Roman" w:hAnsi="Times New Roman"/>
          <w:color w:val="000000"/>
          <w:sz w:val="20"/>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$650,000.</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88"/>
        <w:jc w:val="left"/>
        <w:rPr/>
      </w:pPr>
      <w:r>
        <w:rPr>
          <w:rFonts w:ascii="Times New Roman" w:hAnsi="Times New Roman"/>
          <w:b/>
          <w:color w:val="000000"/>
          <w:sz w:val="20"/>
        </w:rPr>
        <w:t xml:space="preserve">Options. </w:t>
      </w:r>
      <w:r>
        <w:rPr>
          <w:rFonts w:ascii="Times New Roman" w:hAnsi="Times New Roman"/>
          <w:color w:val="000000"/>
          <w:sz w:val="20"/>
        </w:rPr>
        <w:t xml:space="preserve">The Committee may, from time to time and upon such terms and conditions as it may determine, authorize the granting to Participants of Options. Each such grant may utilize any or all of the authorizations, and will be subject to all of the requirements, contained in the following provisions: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Each grant will specify the number of shares of Stock to which it pertains subject to the limitations set forth in </w:t>
      </w:r>
      <w:r>
        <w:rPr>
          <w:rFonts w:ascii="Times New Roman" w:hAnsi="Times New Roman"/>
          <w:b/>
          <w:color w:val="000000"/>
          <w:sz w:val="20"/>
          <w:u w:val="single"/>
        </w:rPr>
        <w:t>Section 3</w:t>
      </w:r>
      <w:r>
        <w:rPr>
          <w:color w:val="000000"/>
        </w:rPr>
        <w:t xml:space="preserve"> </w:t>
      </w:r>
      <w:r>
        <w:rPr>
          <w:rFonts w:ascii="Times New Roman" w:hAnsi="Times New Roman"/>
          <w:color w:val="000000"/>
          <w:sz w:val="20"/>
        </w:rPr>
        <w:t>of this Plan.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 xml:space="preserve">Each grant will specify an Exercise Price per share of Stock, which Exercise Price (except with respect to Awards under </w:t>
      </w:r>
      <w:r>
        <w:rPr>
          <w:rFonts w:ascii="Times New Roman" w:hAnsi="Times New Roman"/>
          <w:b/>
          <w:color w:val="000000"/>
          <w:sz w:val="20"/>
          <w:u w:val="single"/>
        </w:rPr>
        <w:t>Section 22</w:t>
      </w:r>
      <w:r>
        <w:rPr>
          <w:color w:val="000000"/>
        </w:rPr>
        <w:t xml:space="preserve"> </w:t>
      </w:r>
      <w:r>
        <w:rPr>
          <w:rFonts w:ascii="Times New Roman" w:hAnsi="Times New Roman"/>
          <w:color w:val="000000"/>
          <w:sz w:val="20"/>
        </w:rPr>
        <w:t xml:space="preserve">of this Plan) may not be less than the Fair Market Value on the Date of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 xml:space="preserve">Each grant will specify whether the Exercise Price will be payable (i) in cash, by check acceptable to the Company or by wire transfer of immediately available funds, (ii) by the actual or constructive transfer to the Company of Stock owned by the Optionee having a value at the time of exercise equal to the total Exercise Price, (iii) subject to any conditions or limitations established by the Committee, by the withholding of Stock otherwise issuable upon exercise of an Option pursuant to a “net exercise” arrangement (it being understood that, solely for purposes of determining the number of treasury shares held by the Company, the Stock so withheld will not be treated as issued and acquired by the Company upon such exercise), (iv) by a combination of such methods of payment, or (v) by such other methods as may be approved by the Committee.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To the extent permitted by law, any grant may provide for deferred payment of the Exercise Price from the proceeds of sale through a bank or broker on a date satisfactory to the Company of some or all of the Stock to which such exercise relates.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will specify the period or periods of continuous Service by the Optionee with the Participating Company Group, if any, that is necessary before any Options or installments thereof will vest. Options may provide for continued vesting or the earlier vesting of such Options, including in the event of the retirement, death, Disability or termination of Service of a Participant or in the event of a Change in Control.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Any grant of Options may specify Management Objectives regarding the vesting of such rights.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Options granted under this Plan may be (i) Incentive Stock Options (ii) Nonstatutory Stock Options or (iii) combinations of the foregoing.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No Option will be exercisable more than 10 years from the Date of Grant. The Committee may provide in any Evidence of Award for the automatic exercise of an Option upon such terms and conditions as established by the Committee.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Options granted under this Plan may not provide for any dividends or Dividend Equivalent Rights thereon.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of Options will be evidenced by an Evidence of Award. Each Evidence of Award will be subject to this Plan and will contain such terms and provisions, consistent with this Plan, as the Committee may approve.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88"/>
        <w:jc w:val="left"/>
        <w:rPr/>
      </w:pPr>
      <w:r>
        <w:rPr>
          <w:rFonts w:ascii="Times New Roman" w:hAnsi="Times New Roman"/>
          <w:b/>
          <w:color w:val="000000"/>
          <w:sz w:val="20"/>
        </w:rPr>
        <w:t>Appreciation Rights.</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of Appreciation Rights may utilize any or all of the authorizations, and will be subject to all of the requirements, contained in the following provisions: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Each grant may specify that the amount payable on exercise of an Appreciation Right will be paid by the Company in cash, Stock or any combination thereof.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will specify the period or periods of continuous Service by the Participant with the Participating Company Group, if any, that is necessary before the Appreciation Rights or installments thereof will vest. Appreciation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Rights may provide for continued vesting or the earlier vesting of such Appreciation Rights, including in the event of the retirement, death, Disability or termination of Service of a Participant or in the event of a Change in Control.</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Any grant of Appreciation Rights may specify Management Objectives regarding the vesting of such Appreciation Rights.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Appreciation Rights granted under this Plan may not provide for any dividends or Dividend Equivalent Rights thereon.</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88"/>
        <w:jc w:val="left"/>
        <w:rPr/>
      </w:pPr>
      <w:r>
        <w:rPr>
          <w:rFonts w:ascii="Times New Roman" w:hAnsi="Times New Roman"/>
          <w:color w:val="000000"/>
          <w:sz w:val="20"/>
        </w:rPr>
        <w:t xml:space="preserve">Each grant of Appreciation Rights will specify in respect of each Appreciation Right a Base Price, which (except with respect to Awards under </w:t>
      </w:r>
      <w:r>
        <w:rPr>
          <w:rFonts w:ascii="Times New Roman" w:hAnsi="Times New Roman"/>
          <w:b/>
          <w:color w:val="000000"/>
          <w:sz w:val="20"/>
          <w:u w:val="single"/>
        </w:rPr>
        <w:t>Section 22</w:t>
      </w:r>
      <w:r>
        <w:rPr>
          <w:color w:val="000000"/>
        </w:rPr>
        <w:t xml:space="preserve"> </w:t>
      </w:r>
      <w:r>
        <w:rPr>
          <w:rFonts w:ascii="Times New Roman" w:hAnsi="Times New Roman"/>
          <w:color w:val="000000"/>
          <w:sz w:val="20"/>
        </w:rPr>
        <w:t>of this Plan) may not be less than the Fair Market Value on the Date of Grant.</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288"/>
        <w:jc w:val="left"/>
        <w:rPr/>
      </w:pPr>
      <w:r>
        <w:rPr>
          <w:rFonts w:ascii="Times New Roman" w:hAnsi="Times New Roman"/>
          <w:b/>
          <w:color w:val="000000"/>
          <w:sz w:val="20"/>
        </w:rPr>
        <w:t>Restricted Stock.</w:t>
      </w:r>
      <w:r>
        <w:rPr>
          <w:color w:val="000000"/>
        </w:rPr>
        <w:t xml:space="preserve"> </w:t>
      </w:r>
      <w:r>
        <w:rPr>
          <w:rFonts w:ascii="Times New Roman" w:hAnsi="Times New Roman"/>
          <w:color w:val="000000"/>
          <w:sz w:val="20"/>
        </w:rPr>
        <w:t xml:space="preserve">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Each such grant or sale will constitute an immediate transfer of the ownership of Stock to the Participant in consideration of the performance of services, entitling such Participant to voting, dividend and other ownership rights (subject in particular to </w:t>
      </w:r>
      <w:r>
        <w:rPr>
          <w:rFonts w:ascii="Times New Roman" w:hAnsi="Times New Roman"/>
          <w:b/>
          <w:color w:val="000000"/>
          <w:sz w:val="20"/>
          <w:u w:val="single"/>
        </w:rPr>
        <w:t>Section 6(g)</w:t>
      </w:r>
      <w:r>
        <w:rPr>
          <w:color w:val="000000"/>
        </w:rPr>
        <w:t xml:space="preserve"> </w:t>
      </w:r>
      <w:r>
        <w:rPr>
          <w:rFonts w:ascii="Times New Roman" w:hAnsi="Times New Roman"/>
          <w:color w:val="000000"/>
          <w:sz w:val="20"/>
        </w:rPr>
        <w:t xml:space="preserve">of this Plan), but subject to the substantial risk of forfeiture and restrictions on transfer hereinafter described.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Each such grant or sale may be made without additional consideration or in consideration of a payment by such Participant that is less than the Fair Market Value on the Date of Grant.</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Times New Roman" w:hAnsi="Times New Roman"/>
          <w:b/>
          <w:color w:val="000000"/>
          <w:sz w:val="20"/>
          <w:u w:val="single"/>
        </w:rPr>
        <w:t>Section 6(e)</w:t>
      </w:r>
      <w:r>
        <w:rPr>
          <w:color w:val="000000"/>
        </w:rPr>
        <w:t xml:space="preserve"> </w:t>
      </w:r>
      <w:r>
        <w:rPr>
          <w:rFonts w:ascii="Times New Roman" w:hAnsi="Times New Roman"/>
          <w:color w:val="000000"/>
          <w:sz w:val="20"/>
        </w:rPr>
        <w:t xml:space="preserve">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Any grant of Restricted Stock may specify Management Objectives regarding the vesting of such Restricted Stock.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Notwithstanding anything to the contrary contained in this Plan, Restricted Stock may provide for continued vesting or the earlier vesting of such Restricted Stock, including in the event of the retirement, death, Disability or termination of Service of a Participant or in the event of a Change in Control.</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the avoidance of doubt, any such dividends or other distributions on Restricted Stock will be deferred until, and paid contingent upon, the vesting of such Restricted Stock.</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288"/>
        <w:jc w:val="left"/>
        <w:rPr/>
      </w:pPr>
      <w:r>
        <w:rPr>
          <w:rFonts w:ascii="Times New Roman" w:hAnsi="Times New Roman"/>
          <w:b/>
          <w:color w:val="000000"/>
          <w:sz w:val="20"/>
        </w:rPr>
        <w:t>Restricted Stock Units.</w:t>
      </w:r>
      <w:r>
        <w:rPr>
          <w:color w:val="000000"/>
        </w:rPr>
        <w:t xml:space="preserve"> </w:t>
      </w:r>
      <w:r>
        <w:rPr>
          <w:rFonts w:ascii="Times New Roman" w:hAnsi="Times New Roman"/>
          <w:color w:val="000000"/>
          <w:sz w:val="20"/>
        </w:rPr>
        <w:t xml:space="preserve">The Committee may, from time to time and upon such terms and conditions as it may determine, authorize the granting or sale of Restricted Stock Units to Participants. Each such grant or sale may utilize any or all of the authorizations, and will be subject to all of the requirements, contained in the following provisions: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Each such grant or sale will constitute the agreement by the Company to deliver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Each such grant or sale may be made without additional consideration or in consideration of a payment by such Participant that is less than the Fair Market Value on the Date of Grant.</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Notwithstanding anything to the contrary contained in this Plan, Restricted Stock Units may provide for continued vesting or the earlier lapse or other modification of the Restriction Period, including in the event of the retirement, death, Disability or termination of Service of a Participant or in the event of a Change in Control.</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pPr>
      <w:r>
        <w:rPr>
          <w:rFonts w:ascii="Times New Roman" w:hAnsi="Times New Roman"/>
          <w:color w:val="000000"/>
          <w:sz w:val="20"/>
        </w:rPr>
        <w:t xml:space="preserve">During the Restriction Period, the Participant will have no right to transfer any rights under his or her Award and will have no rights of ownership in the Stock deliverable upon payment of the Restricted Stock Units and will have no right to vote them, but the Committee may, at or after the Date of Grant, authorize the payment of Dividend Equivalent Rights on such Restricted Stock Units on a deferred and contingent basis, either in cash or in additional Stock;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Dividend Equivalent Rights or other distributions on Stock underlying Restricted Stock Units shall be deferred until and paid contingent upon the vesting of such Restricted Stock Units.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or sale of Restricted Stock Units will specify the time and manner of payment of the Restricted Stock Units that have been earned. Each grant or sale will specify that the amount payable with respect thereto will be paid by the Company in Stock or cash, or a combination thereof.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or sale of Restricted Stock Units will be evidenced by an Evidence of Award. Each Evidence of Award will be subject to this Plan and will contain such terms and provisions, consistent with this Plan, as the Committee may approve.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88"/>
        <w:jc w:val="left"/>
        <w:rPr/>
      </w:pPr>
      <w:r>
        <w:rPr>
          <w:rFonts w:ascii="Times New Roman" w:hAnsi="Times New Roman"/>
          <w:b/>
          <w:color w:val="000000"/>
          <w:sz w:val="20"/>
        </w:rPr>
        <w:t>Cash Incentive Awards, Performance Shares and Performance Units.</w:t>
      </w:r>
      <w:r>
        <w:rPr>
          <w:color w:val="000000"/>
        </w:rPr>
        <w:t xml:space="preserve"> </w:t>
      </w:r>
      <w:r>
        <w:rPr>
          <w:rFonts w:ascii="Times New Roman" w:hAnsi="Times New Roman"/>
          <w:color w:val="000000"/>
          <w:sz w:val="20"/>
        </w:rPr>
        <w:t xml:space="preserve">The Committee may, from 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 xml:space="preserve">Each grant will specify the number or amount of Performance Shares or Performance Units, or amount payable with respect to a Cash Incentive Award, to which it pertains, which number or amount may be subject to adjustment to reflect changes in compensation or other factors.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of a Cash Incentive Award, Performance Shares or Performance Units will specify Management Objectives regarding the earning of the Award.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Service of a Participant or in the event of a Change in Control.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will specify the time and manner of payment of a Cash Incentive Award, Performance Shares or Performance Units that have been earned.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Committee may, on the Date of Grant of Performance Shares or Performance Units, provide for the payment of Dividend Equivalent Rights to the holder thereof either in cash or in additional Stock, which Dividend Equivalent Rights will be subject to deferral and payment on a contingent basis based on the Participant’s earning and vesting of the Performance Shares or Performance Units, as applicable, with respect to which such Dividend Equivalent Rights are paid.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Each grant of a Cash Incentive Award, Performance Shares or Performance Units will be evidenced by an Evidence of Award. Each Evidence of Award will be subject to this Plan and will contain such terms and provisions, consistent with this Plan, as the Committee may approve.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288"/>
        <w:jc w:val="left"/>
        <w:rPr/>
      </w:pPr>
      <w:r>
        <w:rPr>
          <w:rFonts w:ascii="Times New Roman" w:hAnsi="Times New Roman"/>
          <w:b/>
          <w:color w:val="000000"/>
          <w:sz w:val="20"/>
        </w:rPr>
        <w:t>Other Awards.</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Subject to applicable law and the applicable limits set forth in </w:t>
      </w:r>
      <w:r>
        <w:rPr>
          <w:rFonts w:ascii="Times New Roman" w:hAnsi="Times New Roman"/>
          <w:b/>
          <w:color w:val="000000"/>
          <w:sz w:val="20"/>
          <w:u w:val="single"/>
        </w:rPr>
        <w:t>Section 3</w:t>
      </w:r>
      <w:r>
        <w:rPr>
          <w:color w:val="000000"/>
        </w:rPr>
        <w:t xml:space="preserve"> </w:t>
      </w:r>
      <w:r>
        <w:rPr>
          <w:rFonts w:ascii="Times New Roman" w:hAnsi="Times New Roman"/>
          <w:color w:val="000000"/>
          <w:sz w:val="20"/>
        </w:rPr>
        <w:t xml:space="preserve">of this Plan, the Committee may authorize the grant to any Participant of Stock or such other awards that may be denominated or payable in, valued in whole or in part by reference to, or otherwise based on, or related to, Stock or factors that may influence the value of such shares, including, without limitation, convertible or exchangeable debt securities, other rights convertible or exchangeable into Stock, purchase rights for Stock, awards with value and payment contingent upon performance of any specified Participating Company, affiliates or business units thereof or any other factors designated by the Committee, and awards valued by reference to the book value of the Stock or the value of securities of, or the performance of specified Participating Companies, affiliates or business units of Participating Companies. The Committee will determine the terms and conditions of such awards. Stock delivered pursuant to an award in the nature of a purchase right granted under this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will be purchased for such consideration, paid for at such time, by such methods, and in such forms, including, without limitation, Stock, other awards, notes or other property, as the Committee determines.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 xml:space="preserve">Cash awards, as an element of or supplement to any other award granted under this Plan, may also be granted pursuant to this </w:t>
      </w:r>
      <w:r>
        <w:rPr>
          <w:rFonts w:ascii="Times New Roman" w:hAnsi="Times New Roman"/>
          <w:b/>
          <w:color w:val="000000"/>
          <w:sz w:val="20"/>
          <w:u w:val="single"/>
        </w:rPr>
        <w:t>Section 9</w:t>
      </w:r>
      <w:r>
        <w:rPr>
          <w:rFonts w:ascii="Times New Roman" w:hAnsi="Times New Roman"/>
          <w:color w:val="000000"/>
          <w:sz w:val="2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Committee may authorize the grant of Stock as a bonus, or may authorize the grant of other awards in lieu of obligations of the Participating Company to pay cash or deliver other property under this Plan or under other plans or compensatory arrangements, subject to such terms as will be determined by the Committee in a manner that complies with Section 409A.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pPr>
      <w:r>
        <w:rPr>
          <w:rFonts w:ascii="Times New Roman" w:hAnsi="Times New Roman"/>
          <w:color w:val="000000"/>
          <w:sz w:val="20"/>
        </w:rPr>
        <w:t xml:space="preserve">The Committee may, at or after the Date of Grant, authorize the payment of dividends or Dividend Equivalent Rights on awards granted under this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on a deferred and contingent basis, either in cash or in additional Stock, based upon the earning and vesting of such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288" w:after="288"/>
        <w:jc w:val="left"/>
        <w:rPr/>
      </w:pPr>
      <w:r>
        <w:rPr>
          <w:rFonts w:ascii="Times New Roman" w:hAnsi="Times New Roman"/>
          <w:color w:val="000000"/>
          <w:sz w:val="20"/>
        </w:rPr>
        <w:t xml:space="preserve">Each grant of an award under this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will be evidenced by an Evidence of Award. Each such Evidence of Award will be subject to this Plan and will contain such terms and provisions, consistent with this Plan, as the Committee may approve, and will specify the time and terms of delivery of the applicable award.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pPr>
      <w:r>
        <w:rPr>
          <w:rFonts w:ascii="Times New Roman" w:hAnsi="Times New Roman"/>
          <w:color w:val="000000"/>
          <w:sz w:val="20"/>
        </w:rPr>
        <w:t xml:space="preserve">Notwithstanding anything to the contrary contained in this Plan, awards under this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may provide for the earning or vesting of, or earlier elimination of restrictions applicable to, such award, including in the event of the retirement, death, Disability or termination of Service of a Participant or in the event of a Change in Control.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288"/>
        <w:jc w:val="left"/>
        <w:rPr/>
      </w:pPr>
      <w:r>
        <w:rPr>
          <w:rFonts w:ascii="Times New Roman" w:hAnsi="Times New Roman"/>
          <w:b/>
          <w:color w:val="000000"/>
          <w:sz w:val="20"/>
        </w:rPr>
        <w:t>Administration of this Plan.</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This Plan will be administered by the Committee;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Stock such Officer(s) may grant; and (C) the Officer(s) will report periodically to the Committee regarding the nature and scope of the Awards granted pursuant to the authority delegated.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88"/>
        <w:jc w:val="left"/>
        <w:rPr/>
      </w:pPr>
      <w:r>
        <w:rPr>
          <w:rFonts w:ascii="Times New Roman" w:hAnsi="Times New Roman"/>
          <w:b/>
          <w:color w:val="000000"/>
          <w:sz w:val="20"/>
        </w:rPr>
        <w:t>Adjustments.</w:t>
      </w:r>
      <w:r>
        <w:rPr>
          <w:color w:val="000000"/>
        </w:rPr>
        <w:t xml:space="preserve"> </w:t>
      </w:r>
      <w:r>
        <w:rPr>
          <w:rFonts w:ascii="Times New Roman" w:hAnsi="Times New Roman"/>
          <w:color w:val="000000"/>
          <w:sz w:val="20"/>
        </w:rPr>
        <w:t xml:space="preserve">The Committee shall make or provide for such adjustments in the number of and kind of shares of Stock covered by outstanding Options, Appreciation Rights, Restricted Stock, Restricted Stock Units, Performance Shares and Performance Units granted hereunder and, if applicable, in the number of and kind of shares of Stock covered by other awards granted pursuant to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in the Exercise Price and Base Price provided in outstanding Options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pPr>
      <w:r>
        <w:rPr>
          <w:rFonts w:ascii="Times New Roman" w:hAnsi="Times New Roman"/>
          <w:color w:val="000000"/>
          <w:sz w:val="20"/>
        </w:rPr>
        <w:t>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w:t>
      </w:r>
      <w:r>
        <w:rPr>
          <w:color w:val="000000"/>
        </w:rPr>
        <w:t xml:space="preserve"> </w:t>
      </w:r>
      <w:r>
        <w:rPr>
          <w:rFonts w:ascii="Times New Roman" w:hAnsi="Times New Roman"/>
          <w:color w:val="000000"/>
          <w:sz w:val="20"/>
        </w:rPr>
        <w:t xml:space="preserve">require in connection therewith the surrender of all Awards so replaced in a manner that complies with Section 409A. In addition, for each Option or Appreciation Right with an Exercise Price or Base Price, respectively, greater than the consideration offered in connection with any such transaction or event or Change in Control, the Committee may in its discretion elect to cancel such Option or Appreciation Right without any payment to the person holding such Option or Appreciation Right. The Committee shall also make or provide for such adjustments in the number of shares of Stock specified in </w:t>
      </w:r>
      <w:r>
        <w:rPr>
          <w:rFonts w:ascii="Times New Roman" w:hAnsi="Times New Roman"/>
          <w:b/>
          <w:color w:val="000000"/>
          <w:sz w:val="20"/>
          <w:u w:val="single"/>
        </w:rPr>
        <w:t>Section 3</w:t>
      </w:r>
      <w:r>
        <w:rPr>
          <w:color w:val="000000"/>
        </w:rPr>
        <w:t xml:space="preserve"> </w:t>
      </w:r>
      <w:r>
        <w:rPr>
          <w:rFonts w:ascii="Times New Roman" w:hAnsi="Times New Roman"/>
          <w:color w:val="000000"/>
          <w:sz w:val="20"/>
        </w:rPr>
        <w:t xml:space="preserve">of this Plan as the Committee in its sole discretion, exercised in good faith, determines is appropriate to reflect any transaction or event described in this </w:t>
      </w:r>
      <w:r>
        <w:rPr>
          <w:rFonts w:ascii="Times New Roman" w:hAnsi="Times New Roman"/>
          <w:b/>
          <w:color w:val="000000"/>
          <w:sz w:val="20"/>
          <w:u w:val="single"/>
        </w:rPr>
        <w:t>Section 11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adjustment to the number specified in </w:t>
      </w:r>
      <w:r>
        <w:rPr>
          <w:rFonts w:ascii="Times New Roman" w:hAnsi="Times New Roman"/>
          <w:b/>
          <w:color w:val="000000"/>
          <w:sz w:val="20"/>
          <w:u w:val="single"/>
        </w:rPr>
        <w:t>Section 3(c)</w:t>
      </w:r>
      <w:r>
        <w:rPr>
          <w:color w:val="000000"/>
        </w:rPr>
        <w:t xml:space="preserve"> </w:t>
      </w:r>
      <w:r>
        <w:rPr>
          <w:rFonts w:ascii="Times New Roman" w:hAnsi="Times New Roman"/>
          <w:color w:val="000000"/>
          <w:sz w:val="20"/>
        </w:rPr>
        <w:t>of this Plan will be made only if and to the extent that such adjustment would not cause any Option intended to qualify as an Incentive Stock Option to fail to so qualify.</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88"/>
        <w:jc w:val="left"/>
        <w:rPr/>
      </w:pPr>
      <w:r>
        <w:rPr>
          <w:rFonts w:ascii="Times New Roman" w:hAnsi="Times New Roman"/>
          <w:b/>
          <w:color w:val="000000"/>
          <w:sz w:val="20"/>
        </w:rPr>
        <w:t>Change in Control</w:t>
      </w:r>
      <w:r>
        <w:rPr>
          <w:rFonts w:ascii="Times New Roman" w:hAnsi="Times New Roman"/>
          <w:color w:val="000000"/>
          <w:sz w:val="20"/>
        </w:rPr>
        <w:t>. For purposes of this Plan, except as may be otherwise prescribed by the Committee in an Evidence of Award made under this Plan, a “Change in Control” will be deemed to have occurred upon the occurrence (after the Effective Date) of any one or a combination of the following events: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Change in Control shall not be deemed to have occurred if such degree of beneficial ownership results from any of the following: (i) an acquisition by any person who on the Effective Date is the beneficial owner of more than fifty percent (50%) of such voting power, (ii) any acquisition directly from the Company, including, without limitation, pursuant to or in connection with a public offering of securities, (iii) any acquisition by the Company, (iv) any acquisition by a trustee or other fiduciary under an employee benefit plan of the Participating Company Group or (v) any acquisition by an entity owned directly or indirectly by the Stockholders in substantially the same proportions as their ownership of the voting securities of the Company; or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an Ownership Change Event or series of related Ownership Change Events (collectively, a “</w:t>
      </w:r>
      <w:r>
        <w:rPr>
          <w:rFonts w:ascii="Times New Roman" w:hAnsi="Times New Roman"/>
          <w:color w:val="000000"/>
          <w:sz w:val="20"/>
          <w:u w:val="single"/>
        </w:rPr>
        <w:t>Transaction</w:t>
      </w:r>
      <w:r>
        <w:rPr>
          <w:color w:val="000000"/>
        </w:rPr>
        <w:t>”</w:t>
      </w:r>
      <w:r>
        <w:rPr>
          <w:rFonts w:ascii="Times New Roman" w:hAnsi="Times New Roman"/>
          <w:color w:val="000000"/>
          <w:sz w:val="20"/>
        </w:rPr>
        <w:t xml:space="preserve">) in which the Stockholders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 w:hAnsi="Times New Roman"/>
          <w:b/>
          <w:color w:val="000000"/>
          <w:sz w:val="20"/>
          <w:u w:val="single"/>
        </w:rPr>
        <w:t>Section 2(cc)(iii)</w:t>
      </w:r>
      <w:r>
        <w:rPr>
          <w:rFonts w:ascii="Times New Roman" w:hAnsi="Times New Roman"/>
          <w:color w:val="000000"/>
          <w:sz w:val="20"/>
        </w:rPr>
        <w:t>, the entity to which the assets of the Company were transferred (the “</w:t>
      </w:r>
      <w:r>
        <w:rPr>
          <w:rFonts w:ascii="Times New Roman" w:hAnsi="Times New Roman"/>
          <w:color w:val="000000"/>
          <w:sz w:val="20"/>
          <w:u w:val="single"/>
        </w:rPr>
        <w:t>Transferee</w:t>
      </w:r>
      <w:r>
        <w:rPr>
          <w:color w:val="000000"/>
        </w:rPr>
        <w:t>”</w:t>
      </w:r>
      <w:r>
        <w:rPr>
          <w:rFonts w:ascii="Times New Roman" w:hAnsi="Times New Roman"/>
          <w:color w:val="000000"/>
          <w:sz w:val="20"/>
        </w:rPr>
        <w:t xml:space="preserve">), as the case may be; or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consummation of a complete liquidation or dissolution of the Company after approval of the same by the stockholders of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Change in Control shall be deemed not to include a transaction described in subsections (a) or (b) of this </w:t>
      </w:r>
      <w:r>
        <w:rPr>
          <w:rFonts w:ascii="Times New Roman" w:hAnsi="Times New Roman"/>
          <w:b/>
          <w:color w:val="000000"/>
          <w:sz w:val="20"/>
          <w:u w:val="single"/>
        </w:rPr>
        <w:t>Section 12</w:t>
      </w:r>
      <w:r>
        <w:rPr>
          <w:color w:val="000000"/>
        </w:rPr>
        <w:t xml:space="preserve"> </w:t>
      </w:r>
      <w:r>
        <w:rPr>
          <w:rFonts w:ascii="Times New Roman" w:hAnsi="Times New Roman"/>
          <w:color w:val="000000"/>
          <w:sz w:val="20"/>
        </w:rPr>
        <w:t xml:space="preserve">in which a majority of the members of the board of directors of the continuing, surviving or successor entity, or parent thereof, immediately after such transaction is comprised of Incumbent Directors.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88"/>
        <w:jc w:val="left"/>
        <w:rPr/>
      </w:pPr>
      <w:r>
        <w:rPr>
          <w:rFonts w:ascii="Times New Roman" w:hAnsi="Times New Roman"/>
          <w:b/>
          <w:color w:val="000000"/>
          <w:sz w:val="20"/>
        </w:rPr>
        <w:t>Detrimental Activity and Recapture Provisions</w:t>
      </w:r>
      <w:r>
        <w:rPr>
          <w:rFonts w:ascii="Times New Roman" w:hAnsi="Times New Roman"/>
          <w:color w:val="000000"/>
          <w:sz w:val="20"/>
        </w:rPr>
        <w:t xml:space="preserve">. Any Evidence of Award may reference a clawback policy of the Company or provide for the cancellation or forfeiture of an Award or the forfeiture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pPr>
      <w:r>
        <w:rPr>
          <w:rFonts w:ascii="Times New Roman" w:hAnsi="Times New Roman"/>
          <w:color w:val="000000"/>
          <w:sz w:val="20"/>
        </w:rPr>
        <w:t>repayment to the Company of any gain related to an Award, or other provisions intended to have a similar effect, upon such terms and conditions as may be determined by the Committee from time to time, if a Participant, either (a) during the Participant’s Service with the Participating Company Group, or (b) within a specified period after termination of such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Stock may be traded.</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288"/>
        <w:jc w:val="left"/>
        <w:rPr/>
      </w:pPr>
      <w:r>
        <w:rPr>
          <w:rFonts w:ascii="Times New Roman" w:hAnsi="Times New Roman"/>
          <w:b/>
          <w:color w:val="000000"/>
          <w:sz w:val="20"/>
        </w:rPr>
        <w:t>Accommodations for Participants of Different Nationalities.</w:t>
      </w:r>
      <w:r>
        <w:rPr>
          <w:color w:val="000000"/>
        </w:rPr>
        <w:t xml:space="preserve"> </w:t>
      </w:r>
      <w:r>
        <w:rPr>
          <w:rFonts w:ascii="Times New Roman" w:hAnsi="Times New Roman"/>
          <w:color w:val="000000"/>
          <w:sz w:val="20"/>
        </w:rPr>
        <w:t>In order to facilitate the making of any grant or combination of grants under this Plan, the Committee may provide for such special terms for Awards to Participants as the Committee may consider necessary or appropriate to accommodate differences in local law, tax policy or custom given that Participants are expected to be nationals of the United States of America and other countries, or to provide Services to the Participating Company Group both within and outside of the United States of America.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288"/>
        <w:jc w:val="left"/>
        <w:rPr/>
      </w:pPr>
      <w:r>
        <w:rPr>
          <w:rFonts w:ascii="Times New Roman" w:hAnsi="Times New Roman"/>
          <w:b/>
          <w:color w:val="000000"/>
          <w:sz w:val="20"/>
        </w:rPr>
        <w:t>Transferability.</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Except as otherwise determined by the Committee, and subject to compliance with </w:t>
      </w:r>
      <w:r>
        <w:rPr>
          <w:rFonts w:ascii="Times New Roman" w:hAnsi="Times New Roman"/>
          <w:b/>
          <w:color w:val="000000"/>
          <w:sz w:val="20"/>
          <w:u w:val="single"/>
        </w:rPr>
        <w:t>Section 17(b)</w:t>
      </w:r>
      <w:r>
        <w:rPr>
          <w:color w:val="000000"/>
        </w:rPr>
        <w:t xml:space="preserve"> </w:t>
      </w:r>
      <w:r>
        <w:rPr>
          <w:rFonts w:ascii="Times New Roman" w:hAnsi="Times New Roman"/>
          <w:color w:val="000000"/>
          <w:sz w:val="20"/>
        </w:rPr>
        <w:t xml:space="preserve">of this Plan and Section 409A, no Option, Appreciation Right, Restricted Stock, Restricted Stock Unit, Performance Share, Performance Unit, Cash Incentive Award, award contemplated by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or Dividend Equivalent Rights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 xml:space="preserve">The Committee may specify on the Date of Grant that part or all of the Stock that is (i) to be issued or transferred by the Company upon the exercise of Options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Times New Roman" w:hAnsi="Times New Roman"/>
          <w:b/>
          <w:color w:val="000000"/>
          <w:sz w:val="20"/>
          <w:u w:val="single"/>
        </w:rPr>
        <w:t>Section 6</w:t>
      </w:r>
      <w:r>
        <w:rPr>
          <w:color w:val="000000"/>
        </w:rPr>
        <w:t xml:space="preserve"> </w:t>
      </w:r>
      <w:r>
        <w:rPr>
          <w:rFonts w:ascii="Times New Roman" w:hAnsi="Times New Roman"/>
          <w:color w:val="000000"/>
          <w:sz w:val="20"/>
        </w:rPr>
        <w:t xml:space="preserve">of this Plan, will be subject to further restrictions on transfer, including minimum holding periods.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288"/>
        <w:jc w:val="left"/>
        <w:rPr/>
      </w:pPr>
      <w:r>
        <w:rPr>
          <w:rFonts w:ascii="Times New Roman" w:hAnsi="Times New Roman"/>
          <w:b/>
          <w:color w:val="000000"/>
          <w:sz w:val="20"/>
        </w:rPr>
        <w:t>Withholding Taxes.</w:t>
      </w:r>
      <w:r>
        <w:rPr>
          <w:color w:val="000000"/>
        </w:rPr>
        <w:t xml:space="preserve"> </w:t>
      </w:r>
      <w:r>
        <w:rPr>
          <w:rFonts w:ascii="Times New Roman" w:hAnsi="Times New Roman"/>
          <w:color w:val="000000"/>
          <w:sz w:val="20"/>
        </w:rPr>
        <w:t xml:space="preserve">To the extent that the Company is required to withhold federal, state, local or foreign taxes 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Stock, then, unless otherwise determined by the Committee, the Company will withhold from the Stock required to be delivered to the Participant, shares of Stock having a value equal to the amount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pPr>
      <w:r>
        <w:rPr>
          <w:rFonts w:ascii="Times New Roman" w:hAnsi="Times New Roman"/>
          <w:color w:val="000000"/>
          <w:sz w:val="20"/>
        </w:rPr>
        <w:t xml:space="preserve">required to be withheld under applicable income and employment tax laws. With respect to Participants who are not “officers” subject to Section 16 of the Exchange Act, if the Participant’s benefit is to be received in the form of Stock, then, the Company may withhold from the Stock required to be delivered to the Participant, shares of Stock having a value equal to the amount required to be withheld under applicable income and employment tax laws. The Stock used for tax or other withholding will be valued at an amount equal to the Fair Market Value of such Stock on the date the benefit is to be included in Participant’s income. In no event will the Fair Market Value of the Stock to be withheld and delivered pursuant to this </w:t>
      </w:r>
      <w:r>
        <w:rPr>
          <w:rFonts w:ascii="Times New Roman" w:hAnsi="Times New Roman"/>
          <w:b/>
          <w:color w:val="000000"/>
          <w:sz w:val="20"/>
          <w:u w:val="single"/>
        </w:rPr>
        <w:t>Section 16</w:t>
      </w:r>
      <w:r>
        <w:rPr>
          <w:color w:val="000000"/>
        </w:rPr>
        <w:t xml:space="preserve"> </w:t>
      </w:r>
      <w:r>
        <w:rPr>
          <w:rFonts w:ascii="Times New Roman" w:hAnsi="Times New Roman"/>
          <w:color w:val="000000"/>
          <w:sz w:val="20"/>
        </w:rPr>
        <w:t>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Stock acquired upon the exercise of Options.</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288"/>
        <w:jc w:val="left"/>
        <w:rPr/>
      </w:pPr>
      <w:r>
        <w:rPr>
          <w:rFonts w:ascii="Times New Roman" w:hAnsi="Times New Roman"/>
          <w:b/>
          <w:color w:val="000000"/>
          <w:sz w:val="20"/>
        </w:rPr>
        <w:t>Compliance with Section 409A.</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To the extent applicable, it is intended that this Plan and any grants made hereunder comply with the provisions of Section 409A, so that the income inclusion provisions of Section 409A(a)(1) of the Code do not apply to the Participants. This Plan and any grants made hereunder will be administered in a manner consistent with this intent. Any reference in this Plan to Section 409A will also include any regulations or any other formal guidance promulgated with respect to such section by the U.S. Department of the Treasury or the Internal Revenue Service.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Neither a Participant nor any of a Participant’s creditors or beneficiaries will have the right to subject any Section 409A Deferred Compensation payable under this Plan and grants hereunder to any anticipation, alienation, sale, transfer, assignment, pledge, encumbrance, attachment or garnishment. Except as permitted under Section 409A, any Section 409A Deferred Compensation payable to a Participant or for a Participant’s benefit under this Plan and grants hereunder may not be reduced by, or offset against, any amount owed by a Participant to the Company or any of its Subsidiaries.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If, at the time of a Participant’s separation from service (within the meaning of Section 409A), (i) the Participant will be a specified employee (within the meaning of Section 409A and using the identification methodology selected by the Company from time to time) and (ii) the Company makes a good faith determination that an amount payable hereunder constitutes Section 409A Deferred Compensation the payment of which is required to be delayed pursuant to the six-month delay rule set forth in Section 409A in order to avoid taxes or penalties under Section 409A, then the Company will not pay such amount on the otherwise scheduled payment date but will instead pay it, without interest, on the tenth business day of the seventh month after such separation from service.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Solely with respect to any Award that constitutes Section 409A Deferred Compensation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without altering the definition of Change in Control for any purpose in respect of such Award.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Notwithstanding any provision of this Plan and grants hereunder to the contrary, in light of the uncertainty with respect to the proper application of Section 409A, the Company reserves the right to make amendments to this Plan and grants hereunder as the Company deems necessary or desirable to avoid the imposition of taxes or penalties under Section 409A. In any case, a Participant will be solely responsible and liable for the satisfaction of all taxes and penalties that may be imposed on a Participant or for a Participant’s account in connection with this Plan and grants hereunder (including any taxes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penalties under Section 409A), and neither the Company nor any of its affiliates will have any obligation to indemnify or otherwise hold a Participant harmless from any or all of such taxes or penalties.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288"/>
        <w:jc w:val="left"/>
        <w:rPr/>
      </w:pPr>
      <w:r>
        <w:rPr>
          <w:rFonts w:ascii="Times New Roman" w:hAnsi="Times New Roman"/>
          <w:b/>
          <w:color w:val="000000"/>
          <w:sz w:val="20"/>
        </w:rPr>
        <w:t>Amendments.</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pPr>
      <w:r>
        <w:rPr>
          <w:rFonts w:ascii="Times New Roman" w:hAnsi="Times New Roman"/>
          <w:color w:val="000000"/>
          <w:sz w:val="20"/>
        </w:rPr>
        <w:t xml:space="preserve">The Board may at any time and from time to time amend this Plan in whole or in part;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 amendment to this Plan, for purposes of applicable stock exchange rules and except as permitted under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New York Stock Exchange or, if the Stock is not traded on the New York Stock Exchange, the principal national securities exchange upon which the Stock is traded or quoted, all as determined by the Board, then, such amendment will be subject to Stockholder approval and will not be effective unless and until such approval has been obtained.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 xml:space="preserve">Except in connection with a corporate transaction or event described in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or in connection with a Change in Control, the terms of outstanding Awards may not be amended to reduce the Exercise Price of outstanding Options or the Base Price of outstanding Appreciation Rights, or cancel outstanding “underwater” Options or Appreciation Rights (including following a Participant’s voluntary surrender of “underwater” Options or Appreciation Rights) in exchange for cash, other awards or Options or Appreciation Rights with an Exercise Price or Base Price, as applicable, that is less than the Exercise Price of the original Options or Base Price of the original Appreciation Rights, as applicable, without Stockholder approval. This </w:t>
      </w:r>
      <w:r>
        <w:rPr>
          <w:rFonts w:ascii="Times New Roman" w:hAnsi="Times New Roman"/>
          <w:b/>
          <w:color w:val="000000"/>
          <w:sz w:val="20"/>
          <w:u w:val="single"/>
        </w:rPr>
        <w:t>Section 18(b)</w:t>
      </w:r>
      <w:r>
        <w:rPr>
          <w:color w:val="000000"/>
        </w:rPr>
        <w:t xml:space="preserve"> </w:t>
      </w:r>
      <w:r>
        <w:rPr>
          <w:rFonts w:ascii="Times New Roman" w:hAnsi="Times New Roman"/>
          <w:color w:val="000000"/>
          <w:sz w:val="20"/>
        </w:rPr>
        <w:t xml:space="preserve">is intended to prohibit the repricing of “underwater” Options and Appreciation Rights and will not be construed to prohibit the adjustments provided for in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Notwithstanding any provision of this Plan to the contrary, this </w:t>
      </w:r>
      <w:r>
        <w:rPr>
          <w:rFonts w:ascii="Times New Roman" w:hAnsi="Times New Roman"/>
          <w:b/>
          <w:color w:val="000000"/>
          <w:sz w:val="20"/>
          <w:u w:val="single"/>
        </w:rPr>
        <w:t>Section 18(b)</w:t>
      </w:r>
      <w:r>
        <w:rPr>
          <w:color w:val="000000"/>
        </w:rPr>
        <w:t xml:space="preserve"> </w:t>
      </w:r>
      <w:r>
        <w:rPr>
          <w:rFonts w:ascii="Times New Roman" w:hAnsi="Times New Roman"/>
          <w:color w:val="000000"/>
          <w:sz w:val="20"/>
        </w:rPr>
        <w:t xml:space="preserve">may not be amended without approval by the Stockholders.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If permitted by Section 409A, but subject to the paragraph that follows, including in the case of termination of employment or service, or in the case of unforeseeable emergency or other circumstances or in the event of a Change in Control, to the extent a Participant holds an Option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 Rights or other awards made pursuant to </w:t>
      </w:r>
      <w:r>
        <w:rPr>
          <w:rFonts w:ascii="Times New Roman" w:hAnsi="Times New Roman"/>
          <w:b/>
          <w:color w:val="000000"/>
          <w:sz w:val="20"/>
          <w:u w:val="single"/>
        </w:rPr>
        <w:t>Section 9</w:t>
      </w:r>
      <w:r>
        <w:rPr>
          <w:color w:val="000000"/>
        </w:rPr>
        <w:t xml:space="preserve"> </w:t>
      </w:r>
      <w:r>
        <w:rPr>
          <w:rFonts w:ascii="Times New Roman" w:hAnsi="Times New Roman"/>
          <w:color w:val="000000"/>
          <w:sz w:val="20"/>
        </w:rPr>
        <w:t xml:space="preserve">of this Plan subject to any vesting schedule or transfer restriction, or who holds Stock subject to any transfer restriction imposed pursuant to </w:t>
      </w:r>
      <w:r>
        <w:rPr>
          <w:rFonts w:ascii="Times New Roman" w:hAnsi="Times New Roman"/>
          <w:b/>
          <w:color w:val="000000"/>
          <w:sz w:val="20"/>
          <w:u w:val="single"/>
        </w:rPr>
        <w:t>Section 15(b)</w:t>
      </w:r>
      <w:r>
        <w:rPr>
          <w:color w:val="000000"/>
        </w:rPr>
        <w:t xml:space="preserve"> </w:t>
      </w:r>
      <w:r>
        <w:rPr>
          <w:rFonts w:ascii="Times New Roman" w:hAnsi="Times New Roman"/>
          <w:color w:val="000000"/>
          <w:sz w:val="20"/>
        </w:rPr>
        <w:t xml:space="preserve">of this Plan, the Committee may, in its sole discretion, provide for continued vesting or accelerate the time at which such Option,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pPr>
      <w:r>
        <w:rPr>
          <w:rFonts w:ascii="Times New Roman" w:hAnsi="Times New Roman"/>
          <w:color w:val="000000"/>
          <w:sz w:val="20"/>
        </w:rPr>
        <w:t xml:space="preserve">Subject to </w:t>
      </w:r>
      <w:r>
        <w:rPr>
          <w:rFonts w:ascii="Times New Roman" w:hAnsi="Times New Roman"/>
          <w:b/>
          <w:color w:val="000000"/>
          <w:sz w:val="20"/>
          <w:u w:val="single"/>
        </w:rPr>
        <w:t>Section 18(b)</w:t>
      </w:r>
      <w:r>
        <w:rPr>
          <w:color w:val="000000"/>
        </w:rPr>
        <w:t xml:space="preserve"> </w:t>
      </w:r>
      <w:r>
        <w:rPr>
          <w:rFonts w:ascii="Times New Roman" w:hAnsi="Times New Roman"/>
          <w:color w:val="000000"/>
          <w:sz w:val="20"/>
        </w:rPr>
        <w:t xml:space="preserve">of this Plan, the Committee may amend the terms of any Award theretofore granted under this Plan prospectively or retroactively. Except for adjustments made pursuant to </w:t>
      </w:r>
      <w:r>
        <w:rPr>
          <w:rFonts w:ascii="Times New Roman" w:hAnsi="Times New Roman"/>
          <w:b/>
          <w:color w:val="000000"/>
          <w:sz w:val="20"/>
          <w:u w:val="single"/>
        </w:rPr>
        <w:t>Section 11</w:t>
      </w:r>
      <w:r>
        <w:rPr>
          <w:color w:val="000000"/>
        </w:rPr>
        <w:t xml:space="preserve"> </w:t>
      </w:r>
      <w:r>
        <w:rPr>
          <w:rFonts w:ascii="Times New Roman" w:hAnsi="Times New Roman"/>
          <w:color w:val="000000"/>
          <w:sz w:val="20"/>
        </w:rPr>
        <w:t xml:space="preserve">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288"/>
        <w:jc w:val="left"/>
        <w:rPr/>
      </w:pPr>
      <w:r>
        <w:rPr>
          <w:rFonts w:ascii="Times New Roman" w:hAnsi="Times New Roman"/>
          <w:b/>
          <w:color w:val="000000"/>
          <w:sz w:val="20"/>
        </w:rPr>
        <w:t>Choice of Law</w:t>
      </w:r>
      <w:r>
        <w:rPr>
          <w:rFonts w:ascii="Times New Roman" w:hAnsi="Times New Roman"/>
          <w:color w:val="000000"/>
          <w:sz w:val="20"/>
        </w:rPr>
        <w:t xml:space="preserve">. Except to the extent governed by applicable federal law, the validity, interpretation, construction and performance of the Plan and each Evidence of Award shall be governed by the laws of the State of Delaware, without regard to its conflict of law rules.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88" w:after="288"/>
        <w:jc w:val="left"/>
        <w:rPr>
          <w:rFonts w:ascii="Times New Roman" w:hAnsi="Times New Roman"/>
          <w:color w:val="000000"/>
          <w:sz w:val="20"/>
        </w:rPr>
      </w:pPr>
      <w:r>
        <w:rPr>
          <w:rFonts w:ascii="Times New Roman" w:hAnsi="Times New Roman"/>
          <w:color w:val="000000"/>
          <w:sz w:val="20"/>
        </w:rPr>
        <w:t>20.</w:t>
      </w:r>
    </w:p>
    <w:p>
      <w:pPr>
        <w:pStyle w:val="TextBody"/>
        <w:bidi w:val="0"/>
        <w:spacing w:before="288" w:after="288"/>
        <w:jc w:val="left"/>
        <w:rPr/>
      </w:pPr>
      <w:r>
        <w:rPr>
          <w:rFonts w:ascii="Times New Roman" w:hAnsi="Times New Roman"/>
          <w:b/>
          <w:color w:val="000000"/>
          <w:sz w:val="20"/>
        </w:rPr>
        <w:t>Effective Date/Termination.</w:t>
      </w:r>
      <w:r>
        <w:rPr>
          <w:color w:val="000000"/>
        </w:rPr>
        <w:t xml:space="preserve"> </w:t>
      </w:r>
      <w:r>
        <w:rPr>
          <w:rFonts w:ascii="Times New Roman" w:hAnsi="Times New Roman"/>
          <w:color w:val="000000"/>
          <w:sz w:val="20"/>
        </w:rPr>
        <w:t xml:space="preserve">This Plan became effective as of the Effective Date. No grants will be made on or after the Effective Date under the Predecessor Plans,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outstanding awards granted under the Predecessor Plans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The Plan was amended and restated effective as of June 11, 2026 in order to increase the number of shares available for issuance under the Plan by 3,000,000 shares.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288"/>
        <w:jc w:val="left"/>
        <w:rPr/>
      </w:pPr>
      <w:r>
        <w:rPr>
          <w:rFonts w:ascii="Times New Roman" w:hAnsi="Times New Roman"/>
          <w:b/>
          <w:color w:val="000000"/>
          <w:sz w:val="20"/>
        </w:rPr>
        <w:t>Miscellaneous Provisions.</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Company will not be required to issue any fractional Stock pursuant to this Plan. The Committee may provide for the elimination of fractions or for the settlement of fractions in cash.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This Plan will not confer upon any Participant any right with respect to continuance of employment or other service with Participating Company Group, nor will it interfere in any way with any right any Participating Company would otherwise have to terminate such Participant’s employment or other service at any time.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Except with respect to </w:t>
      </w:r>
      <w:r>
        <w:rPr>
          <w:rFonts w:ascii="Times New Roman" w:hAnsi="Times New Roman"/>
          <w:b/>
          <w:color w:val="000000"/>
          <w:sz w:val="20"/>
          <w:u w:val="single"/>
        </w:rPr>
        <w:t>Section 21(e)</w:t>
      </w:r>
      <w:r>
        <w:rPr>
          <w:color w:val="000000"/>
        </w:rPr>
        <w:t xml:space="preserve"> </w:t>
      </w:r>
      <w:r>
        <w:rPr>
          <w:rFonts w:ascii="Times New Roman" w:hAnsi="Times New Roman"/>
          <w:color w:val="000000"/>
          <w:sz w:val="20"/>
        </w:rPr>
        <w:t xml:space="preserve">of this Plan, to the extent that any provision of this Plan would prevent any Option that was intended to qualify as an Incentive Stock Option from qualifying as such, that provision will be null and void with respect to such Option. Such provision, however, will remain in effect for other Options and there will be no further effect on any provision of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Absence on leave approved by a duly constituted Officer of the Company or any of its Subsidiaries will not be considered interruption or termination of service of any Employee for any purposes of this Plan or Awards granted hereunder.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No Participant will have any rights as a Stockholder with respect to any Stock subject to Awards granted to him or her under this Plan prior to the date as of which he or she is actually recorded as the holder of such Stock upon the share records of the Company.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The Committee may condition the grant of any Award or combination of Awards authorized under this Plan on the surrender or deferral by the Participant of his or her right to receive a cash bonus or other compensation otherwise payable by the Participating Company Group to the Participant.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Except with respect to Options and Appreciation Rights, the Committee may permit Participants to elect to defer the issuance of Stock under this Plan pursuant to such rules, procedures or programs as it may establish for purposes of this Plan and which are intended to comply with the requirements of Section 409A. The Committee also may provide that deferred issuances and settlements include the crediting of Dividend Equivalent Rights or interest on the deferral amounts.</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88"/>
        <w:jc w:val="left"/>
        <w:rPr/>
      </w:pPr>
      <w:r>
        <w:rPr>
          <w:rFonts w:ascii="Times New Roman" w:hAnsi="Times New Roman"/>
          <w:color w:val="000000"/>
          <w:sz w:val="20"/>
        </w:rPr>
        <w:t>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r>
        <w:rPr>
          <w:color w:val="000000"/>
        </w:rPr>
        <w:t xml:space="preserve">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22.</w:t>
      </w:r>
    </w:p>
    <w:p>
      <w:pPr>
        <w:pStyle w:val="TextBody"/>
        <w:bidi w:val="0"/>
        <w:spacing w:before="0" w:after="288"/>
        <w:jc w:val="left"/>
        <w:rPr/>
      </w:pPr>
      <w:r>
        <w:rPr>
          <w:rFonts w:ascii="Times New Roman" w:hAnsi="Times New Roman"/>
          <w:b/>
          <w:color w:val="000000"/>
          <w:sz w:val="20"/>
        </w:rPr>
        <w:t>Share-Based Awards in Substitution for Awards Granted by Another Company.</w:t>
      </w:r>
      <w:r>
        <w:rPr>
          <w:color w:val="000000"/>
        </w:rPr>
        <w:t xml:space="preserve"> </w:t>
      </w:r>
      <w:r>
        <w:rPr>
          <w:rFonts w:ascii="Times New Roman" w:hAnsi="Times New Roman"/>
          <w:color w:val="000000"/>
          <w:sz w:val="20"/>
        </w:rPr>
        <w:t xml:space="preserve">Notwithstanding anything in this Plan to the contrary: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 xml:space="preserve">Awards may be granted under this Plan in substitution for or in conversion of, or in connection with an assumption of, stock options, SARs, restricted stock, restricted stock units or other share or share-based awards held by awardees of an entity engaging in a corporate acquisition or merger transaction with the Participating Company Group. Any conversion, substitution or assumption will be effective as of the close of the merger or acquisition, and, to the extent applicable, will be conducted in a manner that complies with Section 409A. The Awards so granted may reflect the original terms of the awards being assumed or substituted or converted for and need not comply with other specific terms of this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88"/>
        <w:jc w:val="left"/>
        <w:rPr/>
      </w:pPr>
      <w:r>
        <w:rPr>
          <w:rFonts w:ascii="Times New Roman" w:hAnsi="Times New Roman"/>
          <w:color w:val="000000"/>
          <w:sz w:val="20"/>
        </w:rPr>
        <w:t xml:space="preserve">In the event that a company acquired by the any Participating Company or with which any Participating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awards using such available shares may not be made after the date awards or grants could have been made under the terms of the pre-existing plan absent the acquisition or merger, and may only be made to individuals who were not Employees or Directors of the Participating Company Group prior to such acquisition or merger. </w:t>
      </w:r>
    </w:p>
    <w:p>
      <w:pPr>
        <w:pStyle w:val="TextBody"/>
        <w:bidi w:val="0"/>
        <w:spacing w:before="0" w:after="288"/>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88"/>
        <w:jc w:val="left"/>
        <w:rPr/>
      </w:pPr>
      <w:r>
        <w:rPr>
          <w:rFonts w:ascii="Times New Roman" w:hAnsi="Times New Roman"/>
          <w:color w:val="000000"/>
          <w:sz w:val="20"/>
        </w:rPr>
        <w:t xml:space="preserve">Any Stock that is issued or transferred by, or that are subject to any awards that are granted by, or become obligations of, the Company under </w:t>
      </w:r>
      <w:r>
        <w:rPr>
          <w:rFonts w:ascii="Times New Roman" w:hAnsi="Times New Roman"/>
          <w:b/>
          <w:color w:val="000000"/>
          <w:sz w:val="20"/>
          <w:u w:val="single"/>
        </w:rPr>
        <w:t>Sections 22(a)</w:t>
      </w:r>
      <w:r>
        <w:rPr>
          <w:color w:val="000000"/>
        </w:rPr>
        <w:t xml:space="preserve"> </w:t>
      </w:r>
      <w:r>
        <w:rPr>
          <w:rFonts w:ascii="Times New Roman" w:hAnsi="Times New Roman"/>
          <w:color w:val="000000"/>
          <w:sz w:val="20"/>
        </w:rPr>
        <w:t>or</w:t>
      </w:r>
      <w:r>
        <w:rPr>
          <w:color w:val="000000"/>
          <w:u w:val="single"/>
        </w:rPr>
        <w:t xml:space="preserve"> </w:t>
      </w:r>
      <w:r>
        <w:rPr>
          <w:rFonts w:ascii="Times New Roman" w:hAnsi="Times New Roman"/>
          <w:b/>
          <w:color w:val="000000"/>
          <w:sz w:val="20"/>
          <w:u w:val="single"/>
        </w:rPr>
        <w:t>22(b)</w:t>
      </w:r>
      <w:r>
        <w:rPr>
          <w:color w:val="000000"/>
        </w:rPr>
        <w:t xml:space="preserve"> </w:t>
      </w:r>
      <w:r>
        <w:rPr>
          <w:rFonts w:ascii="Times New Roman" w:hAnsi="Times New Roman"/>
          <w:color w:val="000000"/>
          <w:sz w:val="20"/>
        </w:rPr>
        <w:t xml:space="preserve">of this Plan will not reduce the Stock available for issuance or transfer under this Plan or otherwise count against the limits contained in </w:t>
      </w:r>
      <w:r>
        <w:rPr>
          <w:rFonts w:ascii="Times New Roman" w:hAnsi="Times New Roman"/>
          <w:b/>
          <w:color w:val="000000"/>
          <w:sz w:val="20"/>
          <w:u w:val="single"/>
        </w:rPr>
        <w:t>Section 3</w:t>
      </w:r>
      <w:r>
        <w:rPr>
          <w:color w:val="000000"/>
        </w:rPr>
        <w:t xml:space="preserve"> </w:t>
      </w:r>
      <w:r>
        <w:rPr>
          <w:rFonts w:ascii="Times New Roman" w:hAnsi="Times New Roman"/>
          <w:color w:val="000000"/>
          <w:sz w:val="20"/>
        </w:rPr>
        <w:t xml:space="preserve">of this Plan. In addition, no Stock subject to an award that is granted by, or becomes an obligation of, the Company under </w:t>
      </w:r>
      <w:r>
        <w:rPr>
          <w:rFonts w:ascii="Times New Roman" w:hAnsi="Times New Roman"/>
          <w:b/>
          <w:color w:val="000000"/>
          <w:sz w:val="20"/>
          <w:u w:val="single"/>
        </w:rPr>
        <w:t>Sections 22(a)</w:t>
      </w:r>
      <w:r>
        <w:rPr>
          <w:color w:val="000000"/>
        </w:rPr>
        <w:t xml:space="preserve"> </w:t>
      </w:r>
      <w:r>
        <w:rPr>
          <w:rFonts w:ascii="Times New Roman" w:hAnsi="Times New Roman"/>
          <w:color w:val="000000"/>
          <w:sz w:val="20"/>
        </w:rPr>
        <w:t xml:space="preserve">or </w:t>
      </w:r>
      <w:r>
        <w:rPr>
          <w:rFonts w:ascii="Times New Roman" w:hAnsi="Times New Roman"/>
          <w:b/>
          <w:color w:val="000000"/>
          <w:sz w:val="20"/>
          <w:u w:val="single"/>
        </w:rPr>
        <w:t>22(b)</w:t>
      </w:r>
      <w:r>
        <w:rPr>
          <w:color w:val="000000"/>
        </w:rPr>
        <w:t xml:space="preserve"> </w:t>
      </w:r>
      <w:r>
        <w:rPr>
          <w:rFonts w:ascii="Times New Roman" w:hAnsi="Times New Roman"/>
          <w:color w:val="000000"/>
          <w:sz w:val="20"/>
        </w:rPr>
        <w:t xml:space="preserve">of this Plan, will be added to the aggregate limit contained in </w:t>
      </w:r>
      <w:r>
        <w:rPr>
          <w:rFonts w:ascii="Times New Roman" w:hAnsi="Times New Roman"/>
          <w:b/>
          <w:color w:val="000000"/>
          <w:sz w:val="20"/>
          <w:u w:val="single"/>
        </w:rPr>
        <w:t>Section 3(a)(i)</w:t>
      </w:r>
      <w:r>
        <w:rPr>
          <w:color w:val="000000"/>
        </w:rPr>
        <w:t xml:space="preserve"> </w:t>
      </w:r>
      <w:r>
        <w:rPr>
          <w:rFonts w:ascii="Times New Roman" w:hAnsi="Times New Roman"/>
          <w:color w:val="000000"/>
          <w:sz w:val="20"/>
        </w:rPr>
        <w:t xml:space="preserve">of this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FFFFFF"/>
          <w:sz w:val="2"/>
        </w:rPr>
      </w:pPr>
      <w:r>
        <w:rPr>
          <w:rFonts w:ascii="Times New Roman" w:hAnsi="Times New Roman"/>
          <w:color w:val="FFFFFF"/>
          <w:sz w:val="2"/>
        </w:rPr>
        <w:t>MAGNACHIP SEMICONDUCTOR CORPORATION C/O MAGNACHIP SEMICONDUCTOR, LTD. 15F, 76 JIKJI-DAERO 436BEON-GIL, HEUNGDEOK-GU CHEONGJU-SI, CHUNGCHEONGBUK-DO, REPUBLIC OF KOREA 28581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www.virtualshareholdermeeting.com/MX2026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T00065-P51731 KEEP THIS PORTION FOR YOUR RECORDS THIS PROXY CARD IS VALID ONLY WHEN SIGNED AND DATED. DETACH AND RETURN THIS PORTION ONLY MAGNACHIP SEMICONDUCTOR CORPORATION For All Withhold All For All Except To withhold authority to vote for any individual nominee(s), mark "For All Except" and write the number(s) of the nominee(s) on the line below. The Board of Directors recommends you vote FOR the following nominees: 1. Election of Directors Nominees: 01) Camillo Martino 02) Gilbert Nathan 03) Cristiano Amoruso 04) Kyo-Hwa (Liz) Chung The Board of Directors recommends you vote FOR proposals 2, 3 and 4. For Against Abstain 2. Advisory (non-binding) vote to approve the compensation of our named executive officers as set forth in the "Executive Compensation" section in the proxy statement. 3. Ratification of the Board’s election of Ernst &amp; Young Han Young as our independent registered public accounting firm for 2026. 4. Approval of the Company's Amended and Restated 2020 Equity and Incentive Compensation Plan.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FFFFFF"/>
          <w:sz w:val="2"/>
        </w:rPr>
      </w:pPr>
      <w:r>
        <w:rPr>
          <w:rFonts w:ascii="Times New Roman" w:hAnsi="Times New Roman"/>
          <w:color w:val="FFFFFF"/>
          <w:sz w:val="2"/>
        </w:rPr>
        <w:t>Important Notice Regarding the Availability of Proxy Materials for the Annual Meeting: The Notice and Proxy Statement and Annual Report are available at www.proxyvote.com. T00066-P51731 MAGNACHIP SEMICONDUCTOR CORPORATION Annual Meeting of Stockholders June 11, 2026 8:00 p.m. EDT This proxy is solicited by the Board of Directors The stockholder(s) hereby appoint(s) Camillo Martino and Shinyoung Park, or either of them, as proxies, each with the power to appoint his or her substitute, and hereby authorize(s) them to represent and to vote, as designated on the reverse side of this ballot, all of the shares of common stock of MAGNACHIP SEMICONDUCTOR CORPORATION that the stockholder(s) is/are entitled to vote at the 2026 Annual Meeting of Stockholders to be held at 8:00 p.m., EDT, on Thursday, June 11, 2026, via live interactive webcast on the Internet at www.virtualshareholdermeeting.com/MX2026, and any adjournment or postponement thereof. This proxy, when properly executed, will be voted in the manner directed herein. If this proxy is properly executed and no such direction is made, this proxy will be voted in accordance with the Board of Directors’ recommendations. This proxy authorizes Camillo Martino and Shinyoung Park to vote at each of their discretion on any other matter that may properly come before the meeting or any adjournment or postponement of the meeting.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56244</Words>
  <Characters>299007</Characters>
  <CharactersWithSpaces>355284</CharactersWithSpaces>
  <Paragraphs>5130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