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May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79"/>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001-34791</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83-0406195</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80" w:space="720"/>
            <w:col w:w="3000"/>
          </w:cols>
          <w:pgMar w:left="320" w:top="535" w:right="499" w:bottom="1440" w:gutter="0" w:footer="0" w:header="0"/>
          <w:type w:val="continuous"/>
        </w:sectPr>
      </w:pPr>
    </w:p>
    <w:p>
      <w:pPr>
        <w:spacing w:after="0" w:line="30" w:lineRule="exact"/>
        <w:rPr>
          <w:sz w:val="24"/>
          <w:szCs w:val="24"/>
          <w:color w:val="auto"/>
        </w:rPr>
      </w:pPr>
    </w:p>
    <w:p>
      <w:pPr>
        <w:jc w:val="center"/>
        <w:ind w:left="1440" w:right="2000"/>
        <w:spacing w:after="0" w:line="261"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(Zip Code)</w:t>
      </w:r>
    </w:p>
    <w:p>
      <w:pPr>
        <w:spacing w:after="0" w:line="227" w:lineRule="exact"/>
        <w:rPr>
          <w:sz w:val="24"/>
          <w:szCs w:val="24"/>
          <w:color w:val="auto"/>
        </w:rPr>
      </w:pPr>
    </w:p>
    <w:p>
      <w:pPr>
        <w:sectPr>
          <w:pgSz w:w="11900" w:h="16838" w:orient="portrait"/>
          <w:cols w:equalWidth="0" w:num="2">
            <w:col w:w="8100" w:space="720"/>
            <w:col w:w="2260"/>
          </w:cols>
          <w:pgMar w:left="320" w:top="535" w:right="499" w:bottom="1440" w:gutter="0" w:footer="0" w:header="0"/>
          <w:type w:val="continuous"/>
        </w:sectPr>
      </w:pP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600" w:firstLine="8"/>
        <w:spacing w:after="0" w:line="514" w:lineRule="auto"/>
        <w:tabs>
          <w:tab w:leader="none" w:pos="4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2960" w:type="dxa"/>
            <w:vAlign w:val="bottom"/>
            <w:gridSpan w:val="2"/>
          </w:tcPr>
          <w:p>
            <w:pPr>
              <w:jc w:val="center"/>
              <w:ind w:right="1600"/>
              <w:spacing w:after="0" w:line="195" w:lineRule="exact"/>
              <w:rPr>
                <w:sz w:val="20"/>
                <w:szCs w:val="20"/>
                <w:color w:val="auto"/>
              </w:rPr>
            </w:pPr>
            <w:r>
              <w:rPr>
                <w:rFonts w:ascii="Arial" w:cs="Arial" w:eastAsia="Arial" w:hAnsi="Arial"/>
                <w:sz w:val="18"/>
                <w:szCs w:val="18"/>
                <w:b w:val="1"/>
                <w:bCs w:val="1"/>
                <w:color w:val="auto"/>
                <w:w w:val="87"/>
              </w:rPr>
              <w:t>Title of each class</w:t>
            </w:r>
          </w:p>
        </w:tc>
        <w:tc>
          <w:tcPr>
            <w:tcW w:w="1820" w:type="dxa"/>
            <w:vAlign w:val="bottom"/>
            <w:gridSpan w:val="2"/>
          </w:tcPr>
          <w:p>
            <w:pPr>
              <w:jc w:val="center"/>
              <w:ind w:left="570"/>
              <w:spacing w:after="0" w:line="195" w:lineRule="exact"/>
              <w:rPr>
                <w:sz w:val="20"/>
                <w:szCs w:val="20"/>
                <w:color w:val="auto"/>
              </w:rPr>
            </w:pPr>
            <w:r>
              <w:rPr>
                <w:rFonts w:ascii="Arial" w:cs="Arial" w:eastAsia="Arial" w:hAnsi="Arial"/>
                <w:sz w:val="18"/>
                <w:szCs w:val="18"/>
                <w:color w:val="auto"/>
                <w:w w:val="91"/>
              </w:rPr>
              <w:t>Trading Symbol</w:t>
            </w:r>
          </w:p>
        </w:tc>
        <w:tc>
          <w:tcPr>
            <w:tcW w:w="1340" w:type="dxa"/>
            <w:vAlign w:val="bottom"/>
          </w:tcPr>
          <w:p>
            <w:pPr>
              <w:spacing w:after="0"/>
              <w:rPr>
                <w:sz w:val="16"/>
                <w:szCs w:val="16"/>
                <w:color w:val="auto"/>
              </w:rPr>
            </w:pPr>
          </w:p>
        </w:tc>
        <w:tc>
          <w:tcPr>
            <w:tcW w:w="3200" w:type="dxa"/>
            <w:vAlign w:val="bottom"/>
          </w:tcPr>
          <w:p>
            <w:pPr>
              <w:jc w:val="center"/>
              <w:spacing w:after="0" w:line="195"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38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MX</w:t>
            </w:r>
          </w:p>
        </w:tc>
        <w:tc>
          <w:tcPr>
            <w:tcW w:w="134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29" w:lineRule="exact"/>
        <w:rPr>
          <w:sz w:val="24"/>
          <w:szCs w:val="24"/>
          <w:color w:val="auto"/>
        </w:rPr>
      </w:pPr>
    </w:p>
    <w:p>
      <w:pPr>
        <w:jc w:val="both"/>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53"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ind w:left="980" w:right="1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May 19, 2023, the Board of Directors (the “Board”) of Magnachip Semiconductor Corporation (the “Company”) increased the size of the Board to seven members and appointed Gilbert Nathan as a director of the Company to serve until the 2024 Annual Meeting of Stockholders or until his successor has been duly elected and qualified, or until his earlier death, resignation, retirement, disqualification or removal. Mr. Nathan has been named to the Strategic Review Committee of the Board.</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Nathan will participate in the Company’s independent director compensation program. He will receive the following compensation in connection with his service on the Board:</w:t>
      </w:r>
    </w:p>
    <w:p>
      <w:pPr>
        <w:spacing w:after="0" w:line="224" w:lineRule="exact"/>
        <w:rPr>
          <w:sz w:val="20"/>
          <w:szCs w:val="20"/>
          <w:color w:val="auto"/>
        </w:rPr>
      </w:pPr>
    </w:p>
    <w:p>
      <w:pPr>
        <w:ind w:right="120" w:firstLine="548"/>
        <w:spacing w:after="0" w:line="277" w:lineRule="auto"/>
        <w:tabs>
          <w:tab w:leader="none" w:pos="11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RSU grant valued at $165,000 for service on the Board with such grant to vest in full on the earlier of the first anniversary of the date of grant and the date of the Company’s next Annual Meeting of Stockholders; and</w:t>
      </w:r>
    </w:p>
    <w:p>
      <w:pPr>
        <w:spacing w:after="0" w:line="224" w:lineRule="exact"/>
        <w:rPr>
          <w:rFonts w:ascii="Arial" w:cs="Arial" w:eastAsia="Arial" w:hAnsi="Arial"/>
          <w:sz w:val="18"/>
          <w:szCs w:val="18"/>
          <w:color w:val="auto"/>
        </w:rPr>
      </w:pPr>
    </w:p>
    <w:p>
      <w:pPr>
        <w:ind w:left="1140" w:hanging="59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quarterly cash retainer of $18,750 for service on the Board.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entered into its standard form of indemnification agreement with Mr. Nathan in connection with his appointment to the Board.</w:t>
      </w:r>
    </w:p>
    <w:p>
      <w:pPr>
        <w:spacing w:after="0" w:line="2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the beginning of the Company’s last fiscal year through the present, there have been no transactions with the Company, and there are currently no proposed transactions with the Company, in which the amount involved exceeds $120,000 and in which Mr. Nathan had or will have a direct or indirect material interest within the meaning of Item 404(a) of Regulation S-K of the Securities Act of 1933, as amended. No arrangement or understanding exists between Mr. Nathan and any other person pursuant to which Mr. Nathan was selected as a director of the Company, other than the agreement by and among the Company, Jackson Square Advisors LLC, GT Investments II Corp, and Mr. Nathan, which was previously disclosed and summarized under Item 1.01 in our Current Report on Form 8-K filed on April 13, 2023, which summary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Dated: May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35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358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Compliance Officer,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20"/>
      </w:cols>
      <w:pgMar w:left="320" w:top="29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2023-05-23T08:09:33Z</dcterms:created>
  <dcterms:modified xsi:type="dcterms:W3CDTF">2023-05-23T08:09:33Z</dcterms:modified>
</cp:coreProperties>
</file>