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 Grand Duchy of Luxembourg</w:t>
      </w:r>
    </w:p>
    <w:p>
      <w:pPr>
        <w:spacing w:after="0" w:line="2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(Zip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(352) 45-62-62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left="4"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As previously disclosed, on March 25, 2021, Magnachip Semiconductor Corporation, a Delaware corporation (the “Company”), South Dearborn Limited, an exempted company incorporated in the Cayman Islands with limited liability (“Parent”) formed by an affiliate of Wise Road Capital LTD (“Wise Road”), and Michigan Merger Sub, Inc., a Delaware corporation and a wholly owned subsidiary of Parent (“Merger Sub”), entered into an Agreement and Plan of Merger (the “Merger Agreement”). The Merger Agreement provides that, among other things, Merger Sub will be merged with and into the Company (the “Merger”), with the Company continuing its corporate existence under the General Corporation Law of the State of Delaware as the surviving corporation in the Merger and becoming a wholly owned subsidiary of Parent. In connection with the Merger, the Company filed its definitive proxy statement on Schedule 14A with the U.S. Securities and Exchange Commission (the “SEC”) on May 7, 2021 (as amended and supplemented, the “Proxy Statement”).</w:t>
      </w:r>
    </w:p>
    <w:p>
      <w:pPr>
        <w:spacing w:after="0" w:line="19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On June 11, 2021, the Company, Parent and Merger Sub entered into a letter agreement (the “Letter Agreement”), pursuant to which, among other things, the parties agreed that, notwithstanding the provisions of the Merger Agreement, the Company may, from the time that the press release discussed in Item 8.01 has been issued through 5:00 p.m. New York City time on June 16, 2021, participate in discussions with Cornucopia Investment Partners (“Cornucopia”) regarding the Proposal (as defined below) for the sole purpose of making the determination as to whether the Proposal constitutes or could reasonably be expected to lead to a Superior Proposal (as defined in the Merger Agreement).</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description of the Letter Agreement is qualified in its entirety by the full text of the Letter Agreement, which is attached hereto as Exhibit 2.1 and is incorporated by reference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200" w:firstLine="440"/>
        <w:spacing w:after="0" w:line="293" w:lineRule="auto"/>
        <w:rPr>
          <w:sz w:val="20"/>
          <w:szCs w:val="20"/>
          <w:color w:val="auto"/>
        </w:rPr>
      </w:pPr>
      <w:r>
        <w:rPr>
          <w:rFonts w:ascii="Arial" w:cs="Arial" w:eastAsia="Arial" w:hAnsi="Arial"/>
          <w:sz w:val="16"/>
          <w:szCs w:val="16"/>
          <w:color w:val="auto"/>
        </w:rPr>
        <w:t>On June 11, 2021, the Company confirmed by press release receipt of a proposal from Cornucopia on behalf of itself and a group of investors to acquire all of the outstanding shares of common stock of the Company for $35.00 per share in cash (assuming the number of shares on a fully diluted basis at closing of the transaction will be 47,470,416, as shown in the Company’s Form 10-Q filed on May 10, 2021) (the “Proposal”) and that the Company, Parent and Merger Sub have agreed to the terms in the Letter Agreement. The press release also announces that in light of the Proposal, the Company expects to adjourn the special meeting of stockholders scheduled for 8:00 p.m. Eastern time on June 15, 2021 to June 17, 2021. On June 15, 2021, the Company will announce the time that the special meeting of stockholders will reconvene on June 17, 2021.</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the Company and Wise Road. In connection with the proposed transaction, the Company has filed relevant materials with the SEC, including the Proxy Statement. Promptly after filing the Proxy Statement with the SEC, the Company mailed the Proxy Statement and a proxy card to each shareholder of the Company entitled to vote at the special meeting relating to the proposed transaction. This communication is not a substitute for the Proxy Statement or any other document that the Company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the Company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does not constitute a solicitation of proxy, an offer to purchase, or a solicitation of an offer to sell any securities. The Board and the Company’s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Additional information regarding these individuals is set forth in the Company’s Annual Report on Form 10-K for the fiscal year ended December 31, 2020, filed with the SEC on March 9, 2021, and Annual Report Amendment No. 1 on Form 10-K/A for the year ended December 31, 2020, filed with the SEC on April 30, 2021. To the extent the Company’s directors and executive officers or their holdings of the Company’s securities have changed from the amounts disclosed in those filings, to the Company’s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the Company’s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communication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Merger Agreement with respect to the proposed transaction with Wise Road; the diversion of and attention of management of the Company on transaction-related issues; legal proceedings, judgments or settlements, including those that may be instituted against the Company, the Board and the Company’s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ectPr>
          <w:pgSz w:w="11900" w:h="16838" w:orient="portrait"/>
          <w:cols w:equalWidth="0" w:num="1">
            <w:col w:w="11020"/>
          </w:cols>
          <w:pgMar w:left="440" w:top="297"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furnished as part of this report:</w:t>
      </w:r>
    </w:p>
    <w:p>
      <w:pPr>
        <w:sectPr>
          <w:pgSz w:w="11900" w:h="16838" w:orient="portrait"/>
          <w:cols w:equalWidth="0" w:num="1">
            <w:col w:w="10960"/>
          </w:cols>
          <w:pgMar w:left="440" w:top="297" w:right="499" w:bottom="1440" w:gutter="0" w:footer="0" w:header="0"/>
        </w:sectPr>
      </w:pPr>
    </w:p>
    <w:p>
      <w:pPr>
        <w:spacing w:after="0" w:line="267" w:lineRule="exact"/>
        <w:rPr>
          <w:sz w:val="20"/>
          <w:szCs w:val="20"/>
          <w:color w:val="auto"/>
        </w:rPr>
      </w:pPr>
    </w:p>
    <w:p>
      <w:pPr>
        <w:jc w:val="center"/>
        <w:ind w:right="44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4660"/>
        <w:spacing w:after="0"/>
        <w:rPr>
          <w:sz w:val="20"/>
          <w:szCs w:val="20"/>
          <w:color w:val="auto"/>
        </w:rPr>
      </w:pPr>
      <w:r>
        <w:rPr>
          <w:rFonts w:ascii="Arial" w:cs="Arial" w:eastAsia="Arial" w:hAnsi="Arial"/>
          <w:sz w:val="13"/>
          <w:szCs w:val="13"/>
          <w:b w:val="1"/>
          <w:bCs w:val="1"/>
          <w:color w:val="auto"/>
        </w:rPr>
        <w:t>Description</w:t>
      </w:r>
    </w:p>
    <w:p>
      <w:pPr>
        <w:spacing w:after="0" w:line="114" w:lineRule="exact"/>
        <w:rPr>
          <w:sz w:val="20"/>
          <w:szCs w:val="20"/>
          <w:color w:val="auto"/>
        </w:rPr>
      </w:pPr>
    </w:p>
    <w:p>
      <w:pPr>
        <w:sectPr>
          <w:pgSz w:w="11900" w:h="16838" w:orient="portrait"/>
          <w:cols w:equalWidth="0" w:num="2">
            <w:col w:w="4860" w:space="720"/>
            <w:col w:w="5380"/>
          </w:cols>
          <w:pgMar w:left="440" w:top="297" w:right="499" w:bottom="1440" w:gutter="0" w:footer="0" w:header="0"/>
          <w:type w:val="continuous"/>
        </w:sectPr>
      </w:pPr>
    </w:p>
    <w:p>
      <w:pPr>
        <w:ind w:left="880" w:hanging="786"/>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w:anchor="page6">
        <w:r>
          <w:rPr>
            <w:rFonts w:ascii="Arial" w:cs="Arial" w:eastAsia="Arial" w:hAnsi="Arial"/>
            <w:sz w:val="18"/>
            <w:szCs w:val="18"/>
            <w:u w:val="single" w:color="auto"/>
            <w:color w:val="0000EE"/>
          </w:rPr>
          <w:t>Letter Agreement, dated as of June 11, 2021, by and among Magnachip Semiconductor Corporation, South Dearborn Limited and Michigan</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Merger Sub, Inc.</w:t>
        </w:r>
      </w:hyperlink>
    </w:p>
    <w:p>
      <w:pPr>
        <w:spacing w:after="0" w:line="62"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11">
        <w:r>
          <w:rPr>
            <w:rFonts w:ascii="Arial" w:cs="Arial" w:eastAsia="Arial" w:hAnsi="Arial"/>
            <w:sz w:val="16"/>
            <w:szCs w:val="16"/>
            <w:u w:val="single" w:color="auto"/>
            <w:color w:val="0000EE"/>
          </w:rPr>
          <w:t>Press Release, dated June 11, 2021, relating to the proposal from Cornucopia Investment Partners</w:t>
        </w:r>
      </w:hyperlink>
    </w:p>
    <w:p>
      <w:pPr>
        <w:spacing w:after="0" w:line="117"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0"/>
          </w:cols>
          <w:pgMar w:left="440" w:top="297" w:right="4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2021</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280"/>
        <w:spacing w:after="0"/>
        <w:tabs>
          <w:tab w:leader="none" w:pos="6800" w:val="left"/>
        </w:tabs>
        <w:rPr>
          <w:sz w:val="20"/>
          <w:szCs w:val="20"/>
          <w:color w:val="auto"/>
        </w:rPr>
      </w:pPr>
      <w:r>
        <w:rPr>
          <w:rFonts w:ascii="Arial" w:cs="Arial" w:eastAsia="Arial" w:hAnsi="Arial"/>
          <w:sz w:val="18"/>
          <w:szCs w:val="18"/>
          <w:color w:val="auto"/>
        </w:rPr>
        <w:t>By:</w:t>
        <w:tab/>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14605</wp:posOffset>
            </wp:positionV>
            <wp:extent cx="2665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right"/>
        <w:spacing w:after="0"/>
        <w:tabs>
          <w:tab w:leader="none" w:pos="4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p>
      <w:pPr>
        <w:sectPr>
          <w:pgSz w:w="11900" w:h="16838" w:orient="portrait"/>
          <w:cols w:equalWidth="0" w:num="1">
            <w:col w:w="11000"/>
          </w:cols>
          <w:pgMar w:left="440" w:top="297"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LETTER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11, 2021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EMAIL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VPLEX Bldg., 15F</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Seoul 06168, Republic of Korea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Theodore S. Kim, General Counsel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theodore.kim@magnachip.com</w:t>
      </w:r>
    </w:p>
    <w:p>
      <w:pPr>
        <w:spacing w:after="0" w:line="238" w:lineRule="exact"/>
        <w:rPr>
          <w:sz w:val="20"/>
          <w:szCs w:val="20"/>
          <w:color w:val="auto"/>
        </w:rPr>
      </w:pPr>
    </w:p>
    <w:p>
      <w:pPr>
        <w:ind w:left="444" w:right="7180" w:hanging="444"/>
        <w:spacing w:after="0" w:line="258"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Weiss, Rifkind, Wharton &amp; Garrison LLP 1285 Avenue of the Americas</w:t>
      </w:r>
    </w:p>
    <w:p>
      <w:pPr>
        <w:spacing w:after="0" w:line="1" w:lineRule="exact"/>
        <w:rPr>
          <w:rFonts w:ascii="Arial" w:cs="Arial" w:eastAsia="Arial" w:hAnsi="Arial"/>
          <w:sz w:val="18"/>
          <w:szCs w:val="18"/>
          <w:color w:val="auto"/>
        </w:rPr>
      </w:pPr>
    </w:p>
    <w:p>
      <w:pPr>
        <w:ind w:left="444" w:right="8120"/>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10019-6064 Attention: Ross A. Fieldston</w:t>
      </w:r>
    </w:p>
    <w:p>
      <w:pPr>
        <w:spacing w:after="0" w:line="1" w:lineRule="exact"/>
        <w:rPr>
          <w:rFonts w:ascii="Arial" w:cs="Arial" w:eastAsia="Arial" w:hAnsi="Arial"/>
          <w:sz w:val="18"/>
          <w:szCs w:val="18"/>
          <w:color w:val="auto"/>
        </w:rPr>
      </w:pPr>
    </w:p>
    <w:p>
      <w:pPr>
        <w:ind w:left="1204"/>
        <w:spacing w:after="0"/>
        <w:rPr>
          <w:rFonts w:ascii="Arial" w:cs="Arial" w:eastAsia="Arial" w:hAnsi="Arial"/>
          <w:sz w:val="18"/>
          <w:szCs w:val="18"/>
          <w:color w:val="auto"/>
        </w:rPr>
      </w:pPr>
      <w:r>
        <w:rPr>
          <w:rFonts w:ascii="Arial" w:cs="Arial" w:eastAsia="Arial" w:hAnsi="Arial"/>
          <w:sz w:val="18"/>
          <w:szCs w:val="18"/>
          <w:color w:val="auto"/>
        </w:rPr>
        <w:t>Jeffrey D. Marell</w:t>
      </w:r>
    </w:p>
    <w:p>
      <w:pPr>
        <w:spacing w:after="0" w:line="9" w:lineRule="exact"/>
        <w:rPr>
          <w:rFonts w:ascii="Arial" w:cs="Arial" w:eastAsia="Arial" w:hAnsi="Arial"/>
          <w:sz w:val="18"/>
          <w:szCs w:val="18"/>
          <w:color w:val="auto"/>
        </w:rPr>
      </w:pPr>
    </w:p>
    <w:p>
      <w:pPr>
        <w:ind w:left="1204" w:right="8080" w:hanging="771"/>
        <w:spacing w:after="0" w:line="361" w:lineRule="auto"/>
        <w:rPr>
          <w:rFonts w:ascii="Arial" w:cs="Arial" w:eastAsia="Arial" w:hAnsi="Arial"/>
          <w:sz w:val="18"/>
          <w:szCs w:val="18"/>
          <w:color w:val="auto"/>
        </w:rPr>
      </w:pPr>
      <w:r>
        <w:rPr>
          <w:rFonts w:ascii="Arial" w:cs="Arial" w:eastAsia="Arial" w:hAnsi="Arial"/>
          <w:sz w:val="15"/>
          <w:szCs w:val="15"/>
          <w:color w:val="auto"/>
        </w:rPr>
        <w:t>Email: rfieldston@paulweiss.com jmarell@paulweiss.com</w:t>
      </w:r>
    </w:p>
    <w:p>
      <w:pPr>
        <w:spacing w:after="0" w:line="1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Cornucopia Investment Partners Proposal</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w:t>
      </w:r>
    </w:p>
    <w:p>
      <w:pPr>
        <w:spacing w:after="0" w:line="117"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Letter Agreement</w:t>
      </w:r>
      <w:r>
        <w:rPr>
          <w:rFonts w:ascii="Arial" w:cs="Arial" w:eastAsia="Arial" w:hAnsi="Arial"/>
          <w:sz w:val="18"/>
          <w:szCs w:val="18"/>
          <w:color w:val="auto"/>
        </w:rPr>
        <w:t>”) makes reference to that certain Agreement and Plan of Merger, dated as of March 25, 2021 (as may be amended, supplemented or modified,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South Dearborn Limited, an exempted company incorporated in the Cayman Islands with limited liability (“</w:t>
      </w:r>
      <w:r>
        <w:rPr>
          <w:rFonts w:ascii="Arial" w:cs="Arial" w:eastAsia="Arial" w:hAnsi="Arial"/>
          <w:sz w:val="18"/>
          <w:szCs w:val="18"/>
          <w:u w:val="single" w:color="auto"/>
          <w:color w:val="auto"/>
        </w:rPr>
        <w:t>Parent</w:t>
      </w:r>
      <w:r>
        <w:rPr>
          <w:rFonts w:ascii="Arial" w:cs="Arial" w:eastAsia="Arial" w:hAnsi="Arial"/>
          <w:sz w:val="18"/>
          <w:szCs w:val="18"/>
          <w:color w:val="auto"/>
        </w:rPr>
        <w:t>”), Michigan Merger Sub, Inc.,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Magnachip Semiconductor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but not defined herein shall have the meanings ascribed to such terms in the Merger Agreement.</w:t>
      </w:r>
    </w:p>
    <w:p>
      <w:pPr>
        <w:spacing w:after="0" w:line="188"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WHEREAS, the Company received a proposal (such proposal, the “</w:t>
      </w:r>
      <w:r>
        <w:rPr>
          <w:rFonts w:ascii="Arial" w:cs="Arial" w:eastAsia="Arial" w:hAnsi="Arial"/>
          <w:sz w:val="18"/>
          <w:szCs w:val="18"/>
          <w:u w:val="single" w:color="auto"/>
          <w:color w:val="auto"/>
        </w:rPr>
        <w:t>Cornucopia Proposal</w:t>
      </w:r>
      <w:r>
        <w:rPr>
          <w:rFonts w:ascii="Arial" w:cs="Arial" w:eastAsia="Arial" w:hAnsi="Arial"/>
          <w:sz w:val="18"/>
          <w:szCs w:val="18"/>
          <w:color w:val="auto"/>
        </w:rPr>
        <w:t>”), dated June 9, 2021, from Cornucopia Investment Partners (“</w:t>
      </w:r>
      <w:r>
        <w:rPr>
          <w:rFonts w:ascii="Arial" w:cs="Arial" w:eastAsia="Arial" w:hAnsi="Arial"/>
          <w:sz w:val="18"/>
          <w:szCs w:val="18"/>
          <w:u w:val="single" w:color="auto"/>
          <w:color w:val="auto"/>
        </w:rPr>
        <w:t>Cornucopia</w:t>
      </w:r>
      <w:r>
        <w:rPr>
          <w:rFonts w:ascii="Arial" w:cs="Arial" w:eastAsia="Arial" w:hAnsi="Arial"/>
          <w:sz w:val="18"/>
          <w:szCs w:val="18"/>
          <w:color w:val="auto"/>
        </w:rPr>
        <w:t>”); and</w:t>
      </w:r>
    </w:p>
    <w:p>
      <w:pPr>
        <w:spacing w:after="0" w:line="170"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WHEREAS, pursuant to and in accordance with Section 5.3(c) of the Merger Agreement, on June 9, 2021, the Company notified Parent of the receipt of the Cornucopia Proposal;</w:t>
      </w:r>
    </w:p>
    <w:p>
      <w:pPr>
        <w:sectPr>
          <w:pgSz w:w="11900" w:h="16838" w:orient="portrait"/>
          <w:cols w:equalWidth="0" w:num="1">
            <w:col w:w="11024"/>
          </w:cols>
          <w:pgMar w:left="436" w:top="121" w:right="439" w:bottom="1440" w:gutter="0" w:footer="0" w:header="0"/>
        </w:sectPr>
      </w:pPr>
    </w:p>
    <w:bookmarkStart w:id="6" w:name="page7"/>
    <w:bookmarkEnd w:id="6"/>
    <w:p>
      <w:pPr>
        <w:ind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rights and obligations contained herein, and for other good and valuable consideration, the adequacy of which is hereby acknowledged, the parties agree as follows:</w:t>
      </w:r>
    </w:p>
    <w:p>
      <w:pPr>
        <w:spacing w:after="0" w:line="170" w:lineRule="exact"/>
        <w:rPr>
          <w:sz w:val="20"/>
          <w:szCs w:val="20"/>
          <w:color w:val="auto"/>
        </w:rPr>
      </w:pPr>
    </w:p>
    <w:p>
      <w:pPr>
        <w:ind w:right="340" w:firstLine="436"/>
        <w:spacing w:after="0" w:line="291"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Participation in Discussions</w:t>
      </w:r>
      <w:r>
        <w:rPr>
          <w:rFonts w:ascii="Arial" w:cs="Arial" w:eastAsia="Arial" w:hAnsi="Arial"/>
          <w:sz w:val="16"/>
          <w:szCs w:val="16"/>
          <w:color w:val="auto"/>
        </w:rPr>
        <w:t xml:space="preserve">. Parent and Merger Sub hereby acknowledge and agree that, notwithstanding any provisions in the Merger Agreement, from the time that the press release, in the form attached hereto as </w:t>
      </w:r>
      <w:r>
        <w:rPr>
          <w:rFonts w:ascii="Arial" w:cs="Arial" w:eastAsia="Arial" w:hAnsi="Arial"/>
          <w:sz w:val="16"/>
          <w:szCs w:val="16"/>
          <w:b w:val="1"/>
          <w:bCs w:val="1"/>
          <w:u w:val="single" w:color="auto"/>
          <w:color w:val="auto"/>
        </w:rPr>
        <w:t>Annex A</w:t>
      </w:r>
      <w:r>
        <w:rPr>
          <w:rFonts w:ascii="Arial" w:cs="Arial" w:eastAsia="Arial" w:hAnsi="Arial"/>
          <w:sz w:val="16"/>
          <w:szCs w:val="16"/>
          <w:b w:val="1"/>
          <w:bCs w:val="1"/>
          <w:color w:val="auto"/>
        </w:rPr>
        <w:t>,</w:t>
      </w:r>
      <w:r>
        <w:rPr>
          <w:rFonts w:ascii="Arial" w:cs="Arial" w:eastAsia="Arial" w:hAnsi="Arial"/>
          <w:sz w:val="16"/>
          <w:szCs w:val="16"/>
          <w:color w:val="auto"/>
        </w:rPr>
        <w:t xml:space="preserve"> is issued by the Company (the “</w:t>
      </w:r>
      <w:r>
        <w:rPr>
          <w:rFonts w:ascii="Arial" w:cs="Arial" w:eastAsia="Arial" w:hAnsi="Arial"/>
          <w:sz w:val="16"/>
          <w:szCs w:val="16"/>
          <w:u w:val="single" w:color="auto"/>
          <w:color w:val="auto"/>
        </w:rPr>
        <w:t>Effective Date</w:t>
      </w:r>
      <w:r>
        <w:rPr>
          <w:rFonts w:ascii="Arial" w:cs="Arial" w:eastAsia="Arial" w:hAnsi="Arial"/>
          <w:sz w:val="16"/>
          <w:szCs w:val="16"/>
          <w:color w:val="auto"/>
        </w:rPr>
        <w:t>”) until</w:t>
      </w:r>
    </w:p>
    <w:p>
      <w:pPr>
        <w:spacing w:after="0" w:line="253" w:lineRule="auto"/>
        <w:rPr>
          <w:rFonts w:ascii="Arial" w:cs="Arial" w:eastAsia="Arial" w:hAnsi="Arial"/>
          <w:sz w:val="16"/>
          <w:szCs w:val="16"/>
          <w:color w:val="auto"/>
        </w:rPr>
      </w:pPr>
      <w:r>
        <w:rPr>
          <w:rFonts w:ascii="Arial" w:cs="Arial" w:eastAsia="Arial" w:hAnsi="Arial"/>
          <w:sz w:val="18"/>
          <w:szCs w:val="18"/>
          <w:color w:val="auto"/>
        </w:rPr>
        <w:t>5:00 p.m. New York City time on June 16, 2021 (the “</w:t>
      </w:r>
      <w:r>
        <w:rPr>
          <w:rFonts w:ascii="Arial" w:cs="Arial" w:eastAsia="Arial" w:hAnsi="Arial"/>
          <w:sz w:val="18"/>
          <w:szCs w:val="18"/>
          <w:u w:val="single" w:color="auto"/>
          <w:color w:val="auto"/>
        </w:rPr>
        <w:t>Engagement Period</w:t>
      </w:r>
      <w:r>
        <w:rPr>
          <w:rFonts w:ascii="Arial" w:cs="Arial" w:eastAsia="Arial" w:hAnsi="Arial"/>
          <w:sz w:val="18"/>
          <w:szCs w:val="18"/>
          <w:color w:val="auto"/>
        </w:rPr>
        <w:t xml:space="preserve">”), the Company may participate in discussions with Cornucopia regarding the Cornucopia Proposal for the sole purpose of making the determination as to whether the Cornucopia Proposal constitutes or could reasonably be expected to lead to a Superior Proposal;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such determination shall be made during the Engagement Period. Parent, Merger Sub and the Company hereby further acknowledge and agree that upon the expiration of the Engagement Period, this Letter Agreement shall cease to have any further force or effect.</w:t>
      </w:r>
    </w:p>
    <w:p>
      <w:pPr>
        <w:spacing w:after="0" w:line="190" w:lineRule="exact"/>
        <w:rPr>
          <w:rFonts w:ascii="Arial" w:cs="Arial" w:eastAsia="Arial" w:hAnsi="Arial"/>
          <w:sz w:val="16"/>
          <w:szCs w:val="16"/>
          <w:color w:val="auto"/>
        </w:rPr>
      </w:pPr>
    </w:p>
    <w:p>
      <w:pPr>
        <w:ind w:right="200" w:firstLine="436"/>
        <w:spacing w:after="0" w:line="259"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Parent and Merger Sub hereby acknowledge that the Company expects to adjourn the Company Stockholders Meeting, currently scheduled for 8:00 p.m. Eastern Time on June 15, 2021, to June 17, 2021 at a time to be determined by the Company and announced on June 15, 2021, and the Company reserves its right to further adjourn the Company Stockholders Meeting in accordance with the terms of the Merger Agreement.</w:t>
      </w:r>
    </w:p>
    <w:p>
      <w:pPr>
        <w:spacing w:after="0" w:line="186" w:lineRule="exact"/>
        <w:rPr>
          <w:rFonts w:ascii="Arial" w:cs="Arial" w:eastAsia="Arial" w:hAnsi="Arial"/>
          <w:sz w:val="18"/>
          <w:szCs w:val="18"/>
          <w:color w:val="auto"/>
        </w:rPr>
      </w:pPr>
    </w:p>
    <w:p>
      <w:pPr>
        <w:jc w:val="both"/>
        <w:ind w:right="580" w:firstLine="436"/>
        <w:spacing w:after="0" w:line="263"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Ratification of the Merger Agreement</w:t>
      </w:r>
      <w:r>
        <w:rPr>
          <w:rFonts w:ascii="Arial" w:cs="Arial" w:eastAsia="Arial" w:hAnsi="Arial"/>
          <w:sz w:val="18"/>
          <w:szCs w:val="18"/>
          <w:color w:val="auto"/>
        </w:rPr>
        <w:t>. Except as otherwise expressly provided herein, all of the terms and conditions of the Merger Agreement (including the terms and conditions set forth in Section 5.3(c) of the Merger Agreement) are ratified and shall remain unchanged and continue in full force and effect.</w:t>
      </w:r>
    </w:p>
    <w:p>
      <w:pPr>
        <w:spacing w:after="0" w:line="183" w:lineRule="exact"/>
        <w:rPr>
          <w:rFonts w:ascii="Arial" w:cs="Arial" w:eastAsia="Arial" w:hAnsi="Arial"/>
          <w:sz w:val="18"/>
          <w:szCs w:val="18"/>
          <w:color w:val="auto"/>
        </w:rPr>
      </w:pPr>
    </w:p>
    <w:p>
      <w:pPr>
        <w:ind w:right="280" w:firstLine="436"/>
        <w:spacing w:after="0" w:line="277" w:lineRule="auto"/>
        <w:tabs>
          <w:tab w:leader="none" w:pos="93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Agreement may be executed in counterparts, each of which shall constitute an original and all of which, when taken together, shall constitute one and the same agreement.</w:t>
      </w:r>
    </w:p>
    <w:p>
      <w:pPr>
        <w:spacing w:after="0" w:line="170" w:lineRule="exact"/>
        <w:rPr>
          <w:rFonts w:ascii="Arial" w:cs="Arial" w:eastAsia="Arial" w:hAnsi="Arial"/>
          <w:sz w:val="18"/>
          <w:szCs w:val="18"/>
          <w:color w:val="auto"/>
        </w:rPr>
      </w:pPr>
    </w:p>
    <w:p>
      <w:pPr>
        <w:ind w:right="140" w:firstLine="436"/>
        <w:spacing w:after="0" w:line="311"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Letter Agreement, and any dispute, claim, legal action, suit, proceeding or controversy arising out of or relating hereto, shall be governed by, and construed in accordance with, the Law of the State of Delaware, without regard to conflict of law principles (whether of the State of Delaware or any other jurisdiction) that would cause the application of the Laws of any jurisdiction other than the State of Delaware.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Letter Agreement has been executed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DEARBORN LIMITED</w:t>
      </w:r>
    </w:p>
    <w:p>
      <w:pPr>
        <w:spacing w:after="0" w:line="229"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tab/>
        <w:t>/s/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MERGER SUB</w:t>
      </w:r>
      <w:r>
        <w:rPr>
          <w:rFonts w:ascii="Arial" w:cs="Arial" w:eastAsia="Arial" w:hAnsi="Arial"/>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MICHIGAN MERGER SUB, INC.</w:t>
      </w:r>
    </w:p>
    <w:p>
      <w:pPr>
        <w:spacing w:after="0" w:line="229"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tab/>
        <w:t>/s/ Yuanjie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Yuanjie Zhang</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9039"/>
          </w:cols>
          <w:pgMar w:left="142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ACKNOWLEDGED AND AGREED: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6657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 General Counsel and Secretary</w:t>
      </w:r>
    </w:p>
    <w:p>
      <w:pPr>
        <w:spacing w:after="0" w:line="211" w:lineRule="exact"/>
        <w:rPr>
          <w:sz w:val="20"/>
          <w:szCs w:val="20"/>
          <w:color w:val="auto"/>
        </w:rPr>
      </w:pPr>
    </w:p>
    <w:p>
      <w:pPr>
        <w:jc w:val="right"/>
        <w:ind w:right="3159"/>
        <w:spacing w:after="0"/>
        <w:rPr>
          <w:sz w:val="20"/>
          <w:szCs w:val="20"/>
          <w:color w:val="auto"/>
        </w:rPr>
      </w:pPr>
      <w:r>
        <w:rPr>
          <w:rFonts w:ascii="Arial" w:cs="Arial" w:eastAsia="Arial" w:hAnsi="Arial"/>
          <w:sz w:val="18"/>
          <w:szCs w:val="18"/>
          <w:color w:val="auto"/>
        </w:rPr>
        <w:t>[Signature Page to Letter Agreement]</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Press Release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27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4571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57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699516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Confirms Receipt of Unsolicited Proposal</w:t>
      </w:r>
    </w:p>
    <w:p>
      <w:pPr>
        <w:spacing w:after="0" w:line="22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SEOUL, South Korea, June 11, 2021 </w:t>
      </w:r>
      <w:r>
        <w:rPr>
          <w:rFonts w:ascii="Arial" w:cs="Arial" w:eastAsia="Arial" w:hAnsi="Arial"/>
          <w:sz w:val="17"/>
          <w:szCs w:val="17"/>
          <w:color w:val="auto"/>
        </w:rPr>
        <w:t>— Magnachip Semiconductor Corporation (“Magnachip” or the “Company”) (NYSE: MX), the South Korean</w:t>
      </w:r>
      <w:r>
        <w:rPr>
          <w:rFonts w:ascii="Arial" w:cs="Arial" w:eastAsia="Arial" w:hAnsi="Arial"/>
          <w:sz w:val="17"/>
          <w:szCs w:val="17"/>
          <w:b w:val="1"/>
          <w:bCs w:val="1"/>
          <w:color w:val="auto"/>
        </w:rPr>
        <w:t xml:space="preserve"> </w:t>
      </w:r>
      <w:r>
        <w:rPr>
          <w:rFonts w:ascii="Arial" w:cs="Arial" w:eastAsia="Arial" w:hAnsi="Arial"/>
          <w:sz w:val="17"/>
          <w:szCs w:val="17"/>
          <w:color w:val="auto"/>
        </w:rPr>
        <w:t>leader in display and power solutions, today confirmed receipt of an unsolicited proposal from Cornucopia Investment Partners on behalf of itself and a group of investors, including financial sponsors led by Mr. Tim Crown, Yango financial holdings, Sino-Rock Investment Management Company Limited and Lombarda China Fund, to acquire all of the outstanding shares of Magnachip common stock, par value $0.01 per share (the “Common Stock”), for $35.00 per share in cash (assuming the number of shares on a fully diluted basis at closing of the transaction will be 47,470,416, as shown in the Magnachip’s Form 10-Q filed on May 10, 2021) (the “Proposal”).</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previously announced, on March 25, 2021, Magnachip entered into an Agreement and Plan of Merger (the “Merger Agreement”) with South Dearborn Limited, an exempted company incorporated in the Cayman Islands with limited liability (“Parent”) formed by an affiliate of Wise Road Capital LTD (“Wise Road”), and Michigan Merger Sub, Inc., a Delaware corporation and a wholly owned subsidiary of Parent (“Merger Sub”), pursuant to which Merger Sub will be merged with and into Magnachip (the “Merger”), with Magnachip continuing its corporate existence under the General Corporation Law of the State of Delaware as the surviving corporation in the Merger and becoming a wholly owned subsidiary of Parent. Under and subject to the terms of the Merger Agreement, each share of Common Stock issued and outstanding immediately before the effective time of the Merger (other than Excluded Shares and Dissenting Shares (as defined in the Merger Agreement)) will be cancelled and will cease to exist and will be automatically converted into the right to receive $29.00 in cash, without interest, subject to applicable withholding taxes. In connection with the Merger, the Company filed its definitive proxy statement on Schedule 14A with the U.S. Securities and Exchange Commission (the “SEC”) on May 7, 2021 (the “Proxy Statement”).</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Magnachip’s Board of Directors, in consultation with its legal and financial advisors, will carefully review and consider the Proposal. Magnachip, Parent and Merger Sub have reached an agreement whereby, through June 16, 2021, Magnachip will have the right to participate in discussions with Cornucopia in connection with the Proposal for the sole purpose of determining whether the Proposal constitutes or could reasonably be expected to lead to a superior proposal. Magnachip’s Board of Directors has not yet made such a determination. In light of the Proposal, Magnachip expects to adjourn the special meeting of stockholders scheduled for 8:00 p.m. Eastern time on June 15, 2021 to June 17, 2021. The time of the adjourned meeting will be announced on June 15, 2021.</w:t>
      </w:r>
    </w:p>
    <w:p>
      <w:pPr>
        <w:sectPr>
          <w:pgSz w:w="11900" w:h="16838" w:orient="portrait"/>
          <w:cols w:equalWidth="0" w:num="1">
            <w:col w:w="11020"/>
          </w:cols>
          <w:pgMar w:left="440" w:top="121" w:right="439" w:bottom="1440" w:gutter="0" w:footer="0" w:header="0"/>
        </w:sectPr>
      </w:pPr>
    </w:p>
    <w:bookmarkStart w:id="11" w:name="page12"/>
    <w:bookmarkEnd w:id="11"/>
    <w:p>
      <w:pPr>
        <w:ind w:right="8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Magnachip remains subject to the Merger Agreement. Magnachip’s Board of Directors has not changed its recommendation that Magnachip stockholders vote “FOR” the proposal to adopt the Merger Agreement and approve the Merger.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communication is being made in respect of the proposed transaction involving Magnachip and Wise Road Capital. In connection with the proposed transaction, Magnachip has filed relevant materials with the SEC, including the Proxy Statement. Promptly after filing the Proxy Statement with the SEC, Magnachip mailed the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 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Proxy Statement and other relevant materials in connection with the proposed transaction, and any other documents filed by Magnachip with the SEC, may be obtained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Proxy Statement filed with the SEC on May 7, 2021. Additional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908" w:right="499" w:bottom="1440" w:gutter="0" w:footer="0" w:header="0"/>
        </w:sectPr>
      </w:pPr>
    </w:p>
    <w:bookmarkStart w:id="12" w:name="page13"/>
    <w:bookmarkEnd w:id="12"/>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 xml:space="preserve">information regarding these individuals is set forth in Magnachip’s Annual Report on Form 10-K for the fiscal year ended December 31, 2020, filed with the SEC on March 9, 2021, and Annual Report Amendment No. 1 on Form 10-K/A for the year ended December 31, 2020, filed with the SEC on April 30, 2021.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at Magnachip’s website at </w:t>
      </w:r>
      <w:r>
        <w:rPr>
          <w:rFonts w:ascii="Arial" w:cs="Arial" w:eastAsia="Arial" w:hAnsi="Arial"/>
          <w:sz w:val="17"/>
          <w:szCs w:val="17"/>
          <w:u w:val="single" w:color="auto"/>
          <w:color w:val="auto"/>
        </w:rPr>
        <w:t>www.magnachip.com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definitive agreement with respect to the proposed transaction with Wise Road Capital;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908" w:right="45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5737225</wp:posOffset>
            </wp:positionH>
            <wp:positionV relativeFrom="page">
              <wp:posOffset>183515</wp:posOffset>
            </wp:positionV>
            <wp:extent cx="153479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34795" cy="308610"/>
                    </a:xfrm>
                    <a:prstGeom prst="rect">
                      <a:avLst/>
                    </a:prstGeom>
                    <a:noFill/>
                  </pic:spPr>
                </pic:pic>
              </a:graphicData>
            </a:graphic>
          </wp:anchor>
        </w:drawing>
        <w:t>CONTACTS: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 # #</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9"/>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2021-06-14T05:09:24Z</dcterms:created>
  <dcterms:modified xsi:type="dcterms:W3CDTF">2021-06-14T05:09:24Z</dcterms:modified>
</cp:coreProperties>
</file>