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227330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259080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236220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236220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3620" w:type="dxa"/>
            <w:vAlign w:val="bottom"/>
          </w:tcPr>
          <w:p>
            <w:pPr>
              <w:jc w:val="center"/>
              <w:ind w:right="18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rPr>
              <w:t>83-0406195</w:t>
            </w:r>
          </w:p>
        </w:tc>
        <w:tc>
          <w:tcPr>
            <w:tcW w:w="0" w:type="dxa"/>
            <w:vAlign w:val="bottom"/>
          </w:tcPr>
          <w:p>
            <w:pPr>
              <w:spacing w:after="0"/>
              <w:rPr>
                <w:sz w:val="1"/>
                <w:szCs w:val="1"/>
                <w:color w:val="auto"/>
              </w:rPr>
            </w:pPr>
          </w:p>
        </w:tc>
      </w:tr>
      <w:tr>
        <w:trPr>
          <w:trHeight w:val="148"/>
        </w:trPr>
        <w:tc>
          <w:tcPr>
            <w:tcW w:w="3620" w:type="dxa"/>
            <w:vAlign w:val="bottom"/>
          </w:tcPr>
          <w:p>
            <w:pPr>
              <w:jc w:val="center"/>
              <w:ind w:right="18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20" w:type="dxa"/>
            <w:vAlign w:val="bottom"/>
          </w:tcPr>
          <w:p>
            <w:pPr>
              <w:jc w:val="center"/>
              <w:ind w:right="182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4"/>
        </w:trPr>
        <w:tc>
          <w:tcPr>
            <w:tcW w:w="3620" w:type="dxa"/>
            <w:vAlign w:val="bottom"/>
          </w:tcPr>
          <w:p>
            <w:pPr>
              <w:jc w:val="center"/>
              <w:ind w:left="1225"/>
              <w:spacing w:after="0"/>
              <w:rPr>
                <w:sz w:val="20"/>
                <w:szCs w:val="20"/>
                <w:color w:val="auto"/>
              </w:rPr>
            </w:pPr>
            <w:r>
              <w:rPr>
                <w:rFonts w:ascii="Times New Roman" w:cs="Times New Roman" w:eastAsia="Times New Roman" w:hAnsi="Times New Roman"/>
                <w:sz w:val="14"/>
                <w:szCs w:val="14"/>
                <w:b w:val="1"/>
                <w:bCs w:val="1"/>
                <w:color w:val="auto"/>
              </w:rPr>
              <w:t>c/o Magnachip Semiconductor, Ltd.</w:t>
            </w:r>
          </w:p>
        </w:tc>
        <w:tc>
          <w:tcPr>
            <w:tcW w:w="2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40" w:type="dxa"/>
            <w:vAlign w:val="bottom"/>
            <w:gridSpan w:val="2"/>
          </w:tcPr>
          <w:p>
            <w:pPr>
              <w:jc w:val="center"/>
              <w:ind w:right="602"/>
              <w:spacing w:after="0" w:line="149" w:lineRule="exact"/>
              <w:rPr>
                <w:sz w:val="20"/>
                <w:szCs w:val="20"/>
                <w:color w:val="auto"/>
              </w:rPr>
            </w:pPr>
            <w:r>
              <w:rPr>
                <w:rFonts w:ascii="Times New Roman" w:cs="Times New Roman" w:eastAsia="Times New Roman" w:hAnsi="Times New Roman"/>
                <w:sz w:val="14"/>
                <w:szCs w:val="14"/>
                <w:b w:val="1"/>
                <w:bCs w:val="1"/>
                <w:color w:val="auto"/>
              </w:rPr>
              <w:t>15F, 76 Jikji-daero 436beon-gil, Heungdeok-gu</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Cheongju-si, Chungcheongbuk-do, 28581, Republic of Korea</w:t>
            </w:r>
          </w:p>
        </w:tc>
        <w:tc>
          <w:tcPr>
            <w:tcW w:w="2280" w:type="dxa"/>
            <w:vAlign w:val="bottom"/>
            <w:vMerge w:val="restart"/>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93"/>
        </w:trPr>
        <w:tc>
          <w:tcPr>
            <w:tcW w:w="36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251460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20" w:type="dxa"/>
        <w:tblCellMar>
          <w:top w:w="0" w:type="dxa"/>
          <w:left w:w="0" w:type="dxa"/>
          <w:bottom w:w="0" w:type="dxa"/>
          <w:right w:w="0" w:type="dxa"/>
        </w:tblCellMar>
      </w:tblPr>
      <w:tr>
        <w:trPr>
          <w:trHeight w:val="162"/>
        </w:trPr>
        <w:tc>
          <w:tcPr>
            <w:tcW w:w="376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12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16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37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540" w:type="dxa"/>
            <w:vAlign w:val="bottom"/>
          </w:tcPr>
          <w:p>
            <w:pPr>
              <w:spacing w:after="0"/>
              <w:rPr>
                <w:sz w:val="24"/>
                <w:szCs w:val="24"/>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MX</w:t>
            </w:r>
          </w:p>
        </w:tc>
        <w:tc>
          <w:tcPr>
            <w:tcW w:w="680" w:type="dxa"/>
            <w:vAlign w:val="bottom"/>
          </w:tcPr>
          <w:p>
            <w:pPr>
              <w:spacing w:after="0"/>
              <w:rPr>
                <w:sz w:val="24"/>
                <w:szCs w:val="24"/>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916" w:right="117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herein is financial information for Magnachip Semiconductor Corporation and its consolidated subsidiaries for the first quarter ended March 31, 2026, as presented in a press release dated April 28, 2026.</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4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8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6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color w:val="auto"/>
              </w:rPr>
              <w:t>No.</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2" w:lineRule="exact"/>
        <w:rPr>
          <w:sz w:val="20"/>
          <w:szCs w:val="20"/>
          <w:color w:val="auto"/>
        </w:rPr>
      </w:pPr>
    </w:p>
    <w:p>
      <w:pPr>
        <w:ind w:left="920" w:right="40" w:hanging="790"/>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for Magnachip Semiconductor Corporation dated April 28, 2026, announcing the results for the first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-185420</wp:posOffset>
            </wp:positionV>
            <wp:extent cx="5574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66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-48260</wp:posOffset>
            </wp:positionV>
            <wp:extent cx="1056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74" w:lineRule="exact"/>
        <w:rPr>
          <w:sz w:val="20"/>
          <w:szCs w:val="20"/>
          <w:color w:val="auto"/>
        </w:rPr>
      </w:pPr>
    </w:p>
    <w:p>
      <w:pPr>
        <w:ind w:left="14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827405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5" w:right="11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380" w:val="left"/>
          <w:tab w:leader="none" w:pos="5920" w:val="left"/>
        </w:tabs>
        <w:rPr>
          <w:sz w:val="20"/>
          <w:szCs w:val="20"/>
          <w:color w:val="auto"/>
        </w:rPr>
      </w:pPr>
      <w:r>
        <w:rPr>
          <w:rFonts w:ascii="Times New Roman" w:cs="Times New Roman" w:eastAsia="Times New Roman" w:hAnsi="Times New Roman"/>
          <w:sz w:val="18"/>
          <w:szCs w:val="18"/>
          <w:color w:val="auto"/>
        </w:rPr>
        <w:t>Dated: April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Shinyoung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26035</wp:posOffset>
            </wp:positionV>
            <wp:extent cx="2408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Shinyoung Park</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824865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765" w:right="11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593725</wp:posOffset>
            </wp:positionH>
            <wp:positionV relativeFrom="page">
              <wp:posOffset>406400</wp:posOffset>
            </wp:positionV>
            <wp:extent cx="220281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202815" cy="445770"/>
                    </a:xfrm>
                    <a:prstGeom prst="rect">
                      <a:avLst/>
                    </a:prstGeom>
                    <a:noFill/>
                  </pic:spPr>
                </pic:pic>
              </a:graphicData>
            </a:graphic>
          </wp:anchor>
        </w:drawing>
        <w:t>Exhibit 99.1</w:t>
      </w:r>
    </w:p>
    <w:p>
      <w:pPr>
        <w:spacing w:after="0" w:line="21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Magnachip Reports Results for First Quarter 2026</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Results Summary</w:t>
      </w:r>
    </w:p>
    <w:p>
      <w:pPr>
        <w:spacing w:after="0" w:line="31" w:lineRule="exact"/>
        <w:rPr>
          <w:sz w:val="20"/>
          <w:szCs w:val="20"/>
          <w:color w:val="auto"/>
        </w:rPr>
      </w:pPr>
    </w:p>
    <w:p>
      <w:pPr>
        <w:ind w:left="500" w:hanging="330"/>
        <w:spacing w:after="0" w:line="250"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Power Analog Solutions (“PAS”) and Power IC (“PIC”) businesses) was $46.2 million, approximately at the mid-point of our guidance range of $44.0 to $48.0 million.</w:t>
      </w:r>
    </w:p>
    <w:p>
      <w:pPr>
        <w:ind w:left="500" w:hanging="330"/>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grew by 3.3% year over year and 13.9% quarter over quarter.</w:t>
      </w:r>
    </w:p>
    <w:p>
      <w:pPr>
        <w:spacing w:after="0" w:line="9" w:lineRule="exact"/>
        <w:rPr>
          <w:rFonts w:ascii="Times New Roman" w:cs="Times New Roman" w:eastAsia="Times New Roman" w:hAnsi="Times New Roman"/>
          <w:sz w:val="18"/>
          <w:szCs w:val="18"/>
          <w:color w:val="auto"/>
        </w:rPr>
      </w:pPr>
    </w:p>
    <w:p>
      <w:pPr>
        <w:ind w:left="500" w:hanging="330"/>
        <w:spacing w:after="0" w:line="260"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of 15.6% was above the mid-point of our guidance range of 14.0% to 16.0%.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8th-generation ultra low-R</w:t>
      </w:r>
      <w:r>
        <w:rPr>
          <w:rFonts w:ascii="Times New Roman" w:cs="Times New Roman" w:eastAsia="Times New Roman" w:hAnsi="Times New Roman"/>
          <w:sz w:val="24"/>
          <w:szCs w:val="24"/>
          <w:color w:val="auto"/>
          <w:vertAlign w:val="subscript"/>
        </w:rPr>
        <w:t>ss(on)</w:t>
      </w:r>
      <w:r>
        <w:rPr>
          <w:rFonts w:ascii="Times New Roman" w:cs="Times New Roman" w:eastAsia="Times New Roman" w:hAnsi="Times New Roman"/>
          <w:sz w:val="18"/>
          <w:szCs w:val="18"/>
          <w:color w:val="auto"/>
        </w:rPr>
        <w:t xml:space="preserve"> 12V BatteryFET designed for smartphone battery power efficiency</w:t>
      </w: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8th-generation 40V and 60V MV MOSFETs for servers and high-performance PCs</w:t>
      </w:r>
    </w:p>
    <w:p>
      <w:pPr>
        <w:spacing w:after="0" w:line="7"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launch 55 new-generation products in 2026</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Apr. 28, 2026 </w:t>
      </w:r>
      <w:r>
        <w:rPr>
          <w:rFonts w:ascii="Times New Roman" w:cs="Times New Roman" w:eastAsia="Times New Roman" w:hAnsi="Times New Roman"/>
          <w:sz w:val="18"/>
          <w:szCs w:val="18"/>
          <w:color w:val="auto"/>
        </w:rPr>
        <w:t>– Magnachip Semiconductor Corporation (NYSE: MX) (“Magnachip” or the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first quarter 2026.</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Camillo Martino, Magnachip’s CEO said, “We delivered better-than-seasonal revenue growth in the quarter, reflecting both solid execution and also the impact of the previously communicated inventory and channel actions. We are comfortable with our progress toward our multi-year transformation, and we are showing some good early signs, particularly with the 55 new-generation products launched in 2025. Our focus remains on improving product competitiveness through an accelerated pace of new-generation product launches, which we believe will drive sustainable revenue growth, margin expansion, and improved utilization over time. We believe disciplined execution of our six-pillar strategy will deliver long-term shareholder value.”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Shinyoung Park, Magnachip’s CFO, commented, “We remain committed to financial discipline to significantly improve our financial performance during this multi-year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1507490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311" w:right="9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5626100</wp:posOffset>
            </wp:positionH>
            <wp:positionV relativeFrom="page">
              <wp:posOffset>406400</wp:posOffset>
            </wp:positionV>
            <wp:extent cx="132842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Q1 2026 Financial Highlights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20" w:type="dxa"/>
            <w:vAlign w:val="bottom"/>
            <w:gridSpan w:val="7"/>
          </w:tcPr>
          <w:p>
            <w:pPr>
              <w:jc w:val="right"/>
              <w:ind w:right="420"/>
              <w:spacing w:after="0"/>
              <w:rPr>
                <w:sz w:val="20"/>
                <w:szCs w:val="20"/>
                <w:color w:val="auto"/>
              </w:rPr>
            </w:pPr>
            <w:r>
              <w:rPr>
                <w:rFonts w:ascii="Times New Roman" w:cs="Times New Roman" w:eastAsia="Times New Roman" w:hAnsi="Times New Roman"/>
                <w:sz w:val="13"/>
                <w:szCs w:val="13"/>
                <w:color w:val="auto"/>
              </w:rPr>
              <w:t>In thousands of U.S. dollars, except share data</w:t>
            </w:r>
          </w:p>
        </w:tc>
      </w:tr>
      <w:tr>
        <w:trPr>
          <w:trHeight w:val="125"/>
        </w:trPr>
        <w:tc>
          <w:tcPr>
            <w:tcW w:w="37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left="242"/>
              <w:spacing w:after="0" w:line="126" w:lineRule="exact"/>
              <w:rPr>
                <w:sz w:val="20"/>
                <w:szCs w:val="20"/>
                <w:color w:val="auto"/>
              </w:rPr>
            </w:pPr>
            <w:r>
              <w:rPr>
                <w:rFonts w:ascii="Times New Roman" w:cs="Times New Roman" w:eastAsia="Times New Roman" w:hAnsi="Times New Roman"/>
                <w:sz w:val="13"/>
                <w:szCs w:val="13"/>
                <w:b w:val="1"/>
                <w:bCs w:val="1"/>
                <w:color w:val="auto"/>
              </w:rPr>
              <w:t>GAAP</w:t>
            </w:r>
          </w:p>
        </w:tc>
        <w:tc>
          <w:tcPr>
            <w:tcW w:w="3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r>
      <w:tr>
        <w:trPr>
          <w:trHeight w:val="165"/>
        </w:trPr>
        <w:tc>
          <w:tcPr>
            <w:tcW w:w="3740" w:type="dxa"/>
            <w:vAlign w:val="bottom"/>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Q4 2025</w:t>
            </w:r>
          </w:p>
        </w:tc>
        <w:tc>
          <w:tcPr>
            <w:tcW w:w="320" w:type="dxa"/>
            <w:vAlign w:val="bottom"/>
            <w:gridSpan w:val="2"/>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Q/Q change</w:t>
            </w:r>
          </w:p>
        </w:tc>
        <w:tc>
          <w:tcPr>
            <w:tcW w:w="420" w:type="dxa"/>
            <w:vAlign w:val="bottom"/>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Q1 2025</w:t>
            </w:r>
          </w:p>
        </w:tc>
        <w:tc>
          <w:tcPr>
            <w:tcW w:w="240" w:type="dxa"/>
            <w:vAlign w:val="bottom"/>
          </w:tcPr>
          <w:p>
            <w:pPr>
              <w:spacing w:after="0"/>
              <w:rPr>
                <w:sz w:val="14"/>
                <w:szCs w:val="14"/>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Y/Y change</w:t>
            </w:r>
          </w:p>
        </w:tc>
        <w:tc>
          <w:tcPr>
            <w:tcW w:w="440" w:type="dxa"/>
            <w:vAlign w:val="bottom"/>
          </w:tcPr>
          <w:p>
            <w:pPr>
              <w:spacing w:after="0"/>
              <w:rPr>
                <w:sz w:val="14"/>
                <w:szCs w:val="14"/>
                <w:color w:val="auto"/>
              </w:rPr>
            </w:pPr>
          </w:p>
        </w:tc>
      </w:tr>
      <w:tr>
        <w:trPr>
          <w:trHeight w:val="19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46,208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44,722</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Power Analog Solutions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41,647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39,857</w:t>
            </w:r>
          </w:p>
        </w:tc>
        <w:tc>
          <w:tcPr>
            <w:tcW w:w="2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4.5%</w:t>
            </w:r>
          </w:p>
        </w:tc>
      </w:tr>
      <w:tr>
        <w:trPr>
          <w:trHeight w:val="203"/>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Power IC</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4,561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 Margin</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6.3%pts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20.9%</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5.3%pts</w:t>
            </w:r>
          </w:p>
        </w:tc>
      </w:tr>
      <w:tr>
        <w:trPr>
          <w:trHeight w:val="203"/>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Power Analog Solutions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6.3%pts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17.8%</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5.0%pts</w:t>
            </w:r>
          </w:p>
        </w:tc>
      </w:tr>
      <w:tr>
        <w:trPr>
          <w:trHeight w:val="203"/>
        </w:trPr>
        <w:tc>
          <w:tcPr>
            <w:tcW w:w="3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Power IC</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3.7%pts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46.5%</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6.1%pts</w:t>
            </w: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(7,170)</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(12,446)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42.4%</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(5,278)</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35.8%</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from continuing operations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(4,697)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(8,792)</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46.6%</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(4,051)</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15.9%</w:t>
            </w:r>
          </w:p>
        </w:tc>
      </w:tr>
      <w:tr>
        <w:trPr>
          <w:trHeight w:val="20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Loss per Common Share</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45.8%</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(0.11)</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18.2%</w:t>
            </w: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Loss per Common Share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45.8%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(0.11)</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18.2%</w:t>
            </w:r>
          </w:p>
        </w:tc>
      </w:tr>
      <w:tr>
        <w:trPr>
          <w:trHeight w:val="357"/>
        </w:trPr>
        <w:tc>
          <w:tcPr>
            <w:tcW w:w="3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20" w:type="dxa"/>
            <w:vAlign w:val="bottom"/>
            <w:gridSpan w:val="7"/>
          </w:tcPr>
          <w:p>
            <w:pPr>
              <w:jc w:val="right"/>
              <w:ind w:right="420"/>
              <w:spacing w:after="0"/>
              <w:rPr>
                <w:sz w:val="20"/>
                <w:szCs w:val="20"/>
                <w:color w:val="auto"/>
              </w:rPr>
            </w:pPr>
            <w:r>
              <w:rPr>
                <w:rFonts w:ascii="Times New Roman" w:cs="Times New Roman" w:eastAsia="Times New Roman" w:hAnsi="Times New Roman"/>
                <w:sz w:val="13"/>
                <w:szCs w:val="13"/>
                <w:color w:val="auto"/>
              </w:rPr>
              <w:t>In thousands of U.S. dollars, except share data</w:t>
            </w:r>
          </w:p>
        </w:tc>
      </w:tr>
      <w:tr>
        <w:trPr>
          <w:trHeight w:val="170"/>
        </w:trPr>
        <w:tc>
          <w:tcPr>
            <w:tcW w:w="3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420"/>
              <w:spacing w:after="0" w:line="170" w:lineRule="exact"/>
              <w:rPr>
                <w:sz w:val="20"/>
                <w:szCs w:val="20"/>
                <w:color w:val="auto"/>
              </w:rPr>
            </w:pPr>
            <w:r>
              <w:rPr>
                <w:rFonts w:ascii="Times New Roman" w:cs="Times New Roman" w:eastAsia="Times New Roman" w:hAnsi="Times New Roman"/>
                <w:sz w:val="13"/>
                <w:szCs w:val="13"/>
                <w:b w:val="1"/>
                <w:bCs w:val="1"/>
                <w:color w:val="auto"/>
                <w:w w:val="99"/>
              </w:rPr>
              <w:t>Non-GAAP</w:t>
            </w:r>
            <w:r>
              <w:rPr>
                <w:rFonts w:ascii="Times New Roman" w:cs="Times New Roman" w:eastAsia="Times New Roman" w:hAnsi="Times New Roman"/>
                <w:sz w:val="18"/>
                <w:szCs w:val="18"/>
                <w:b w:val="1"/>
                <w:bCs w:val="1"/>
                <w:color w:val="auto"/>
                <w:w w:val="99"/>
                <w:vertAlign w:val="superscript"/>
              </w:rPr>
              <w:t>(1)</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5"/>
        </w:trPr>
        <w:tc>
          <w:tcPr>
            <w:tcW w:w="3740" w:type="dxa"/>
            <w:vAlign w:val="bottom"/>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Q1 2026</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Q4 2025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Q/Q change</w:t>
            </w:r>
          </w:p>
        </w:tc>
        <w:tc>
          <w:tcPr>
            <w:tcW w:w="420" w:type="dxa"/>
            <w:vAlign w:val="bottom"/>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Q1 2025</w:t>
            </w:r>
          </w:p>
        </w:tc>
        <w:tc>
          <w:tcPr>
            <w:tcW w:w="240" w:type="dxa"/>
            <w:vAlign w:val="bottom"/>
          </w:tcPr>
          <w:p>
            <w:pPr>
              <w:spacing w:after="0"/>
              <w:rPr>
                <w:sz w:val="14"/>
                <w:szCs w:val="14"/>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Y/Y change</w:t>
            </w:r>
          </w:p>
        </w:tc>
        <w:tc>
          <w:tcPr>
            <w:tcW w:w="440" w:type="dxa"/>
            <w:vAlign w:val="bottom"/>
          </w:tcPr>
          <w:p>
            <w:pPr>
              <w:spacing w:after="0"/>
              <w:rPr>
                <w:sz w:val="14"/>
                <w:szCs w:val="14"/>
                <w:color w:val="auto"/>
              </w:rPr>
            </w:pPr>
          </w:p>
        </w:tc>
      </w:tr>
      <w:tr>
        <w:trPr>
          <w:trHeight w:val="19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Operating Loss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(6,527)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(11,881)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45.1%</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(4,410)</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48.0%</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(3,640)</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(8,856)</w:t>
            </w:r>
          </w:p>
        </w:tc>
        <w:tc>
          <w:tcPr>
            <w:tcW w:w="10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up</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58.9%</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(1,205)</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202.1%</w:t>
            </w:r>
          </w:p>
        </w:tc>
      </w:tr>
      <w:tr>
        <w:trPr>
          <w:trHeight w:val="20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Loss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(4,073)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50.1%</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(2,784)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46.3%</w:t>
            </w: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Loss per Common Share—Diluted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down</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37.5%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(0.08)</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down</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-725805</wp:posOffset>
            </wp:positionV>
            <wp:extent cx="3694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370" w:lineRule="exact"/>
        <w:rPr>
          <w:sz w:val="20"/>
          <w:szCs w:val="20"/>
          <w:color w:val="auto"/>
        </w:rPr>
      </w:pPr>
    </w:p>
    <w:p>
      <w:pPr>
        <w:ind w:left="320" w:right="60" w:hanging="319"/>
        <w:spacing w:after="0" w:line="258" w:lineRule="auto"/>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is included in this press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2026 Financial Guidance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actual results may vary, Magnachip currently expects the following:</w:t>
      </w:r>
    </w:p>
    <w:p>
      <w:pPr>
        <w:spacing w:after="0" w:line="207" w:lineRule="exact"/>
        <w:rPr>
          <w:sz w:val="20"/>
          <w:szCs w:val="20"/>
          <w:color w:val="auto"/>
        </w:rPr>
      </w:pPr>
    </w:p>
    <w:p>
      <w:pPr>
        <w:ind w:left="640" w:right="40" w:hanging="315"/>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Power Analog Solutions and Power IC businesses) to be in the range of $44.5 million to $48.5 million, roughly flat sequentially and a decrease of 2.3% year-over-year at the mid-point. This compares with $46.2 million in Q1 2026 and $47.6 million in Q2 2025.</w:t>
      </w:r>
    </w:p>
    <w:p>
      <w:pPr>
        <w:spacing w:after="0" w:line="202" w:lineRule="exact"/>
        <w:rPr>
          <w:rFonts w:ascii="Times New Roman" w:cs="Times New Roman" w:eastAsia="Times New Roman" w:hAnsi="Times New Roman"/>
          <w:sz w:val="18"/>
          <w:szCs w:val="18"/>
          <w:color w:val="auto"/>
        </w:rPr>
      </w:pPr>
    </w:p>
    <w:p>
      <w:pPr>
        <w:ind w:left="640" w:right="240" w:hanging="31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to be in the range of 17% to 19%, up from 15.6% in Q1 2026 but down from 20.4% in Q2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 Earnings Conference Call</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Magnachip will host a corresponding conference call at 2:00 p.m. PT / 5:00 p.m. ET on Tuesday, April 28, 2026,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the earnings release will be accessible from the ‘Investors’ section of the Company’s website at www.magnachip.com.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 registration: https://register-conf.media-server.com/register/BId9ff896cba6d4bf6bc5204e0fd2d7a6b</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701675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143" w:right="959" w:bottom="1440" w:gutter="0" w:footer="0" w:header="0"/>
        </w:sectPr>
      </w:pPr>
    </w:p>
    <w:bookmarkStart w:id="5" w:name="page6"/>
    <w:bookmarkEnd w:id="5"/>
    <w:p>
      <w:pPr>
        <w:jc w:val="both"/>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quarter 2026 revenue and gross profit margin expectations, future growth and revenue opportunities from new and existing products and customers, and the timing and extent of future revenue contributions by our products and businesses.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recent trade and tariff actions announced by the U.S. globally and the related retaliatory tariffs and disruptions in supply chains and global trade as a result thereof, inflation, potential recessions or other deteriorations, economic instability or civil unrest; geopolitical conflicts, including between Russia and Ukraine and between Israel, the United States and Iran and sustained military action and conflict in the Red Sea, including fuel supply disruptions and rising energy costs related thereto; disruptions or economic impact resulting from United States government shutdowns; manufacturing capacity constraints or supply chain disruptions that may impact our ability to deliver our products or affect the price of components and impact demand for our products from customers; the impact of competitive products and pricing; timely acceptance of our designs by customers; timely introduction of new products and technologies; the potential impact of emerging technologies such as artificial intelligence on industry dynamics, customer demand, supply chain operations, and regulatory environments;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SEC, including our Form 10-K filed on March 16, 2026,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substantial number of registered patents and pending applications, and has extensive engineering, design and manufacturing process expertise. For more information, please visit www.magnachip.com.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Bishop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Bishop IR,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(415) 891-9633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mike@bishopir.com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1124585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000"/>
          </w:cols>
          <w:pgMar w:left="940" w:top="1147" w:right="959" w:bottom="1440" w:gutter="0" w:footer="0" w:header="0"/>
        </w:sectPr>
      </w:pPr>
    </w:p>
    <w:bookmarkStart w:id="6" w:name="page7"/>
    <w:bookmarkEnd w:id="6"/>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MAGNACHIP SEMICONDUCTOR CORPORATION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17"/>
        </w:trPr>
        <w:tc>
          <w:tcPr>
            <w:tcW w:w="5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980" w:type="dxa"/>
            <w:vAlign w:val="bottom"/>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620" w:type="dxa"/>
            <w:vAlign w:val="bottom"/>
            <w:gridSpan w:val="2"/>
          </w:tcPr>
          <w:p>
            <w:pPr>
              <w:spacing w:after="0"/>
              <w:rPr>
                <w:sz w:val="10"/>
                <w:szCs w:val="10"/>
                <w:color w:val="auto"/>
              </w:rPr>
            </w:pPr>
          </w:p>
        </w:tc>
      </w:tr>
      <w:tr>
        <w:trPr>
          <w:trHeight w:val="173"/>
        </w:trPr>
        <w:tc>
          <w:tcPr>
            <w:tcW w:w="5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6"/>
        </w:trPr>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46,208</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40,570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44,722</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39,014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36,792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35,360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9,362</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 as a percentage of net sales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8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7,666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8,625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9,203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6,698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5,437</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8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14,364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16,224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14,640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(5,278)</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income (loss), net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 before income tax benefit, net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2"/>
        </w:trPr>
        <w:tc>
          <w:tcPr>
            <w:tcW w:w="5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net</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(4,051)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(4,827)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(4,647)</w:t>
            </w:r>
          </w:p>
        </w:tc>
        <w:tc>
          <w:tcPr>
            <w:tcW w:w="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(8,079)</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(8,878)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Discontinuing operations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Discontinuing operations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36,407,581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35,979,697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36,887,841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5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36,407,581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35,979,697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36,887,841</w:t>
            </w: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573"/>
        </w:trPr>
        <w:tc>
          <w:tcPr>
            <w:tcW w:w="5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-3912235</wp:posOffset>
            </wp:positionV>
            <wp:extent cx="85725" cy="170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5715000</wp:posOffset>
            </wp:positionH>
            <wp:positionV relativeFrom="paragraph">
              <wp:posOffset>-3912235</wp:posOffset>
            </wp:positionV>
            <wp:extent cx="85725" cy="170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0815"/>
                    </a:xfrm>
                    <a:prstGeom prst="rect">
                      <a:avLst/>
                    </a:prstGeom>
                    <a:noFill/>
                  </pic:spPr>
                </pic:pic>
              </a:graphicData>
            </a:graphic>
          </wp:anchor>
        </w:drawing>
        <w:drawing>
          <wp:anchor simplePos="0" relativeHeight="251657728" behindDoc="1" locked="0" layoutInCell="0" allowOverlap="1">
            <wp:simplePos x="0" y="0"/>
            <wp:positionH relativeFrom="column">
              <wp:posOffset>6598285</wp:posOffset>
            </wp:positionH>
            <wp:positionV relativeFrom="paragraph">
              <wp:posOffset>-3912235</wp:posOffset>
            </wp:positionV>
            <wp:extent cx="93980" cy="170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-3110865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-3110865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6610985</wp:posOffset>
            </wp:positionH>
            <wp:positionV relativeFrom="paragraph">
              <wp:posOffset>-3110865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-2845435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-2845435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6610985</wp:posOffset>
            </wp:positionH>
            <wp:positionV relativeFrom="paragraph">
              <wp:posOffset>-2845435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4853305</wp:posOffset>
            </wp:positionH>
            <wp:positionV relativeFrom="paragraph">
              <wp:posOffset>-2579370</wp:posOffset>
            </wp:positionV>
            <wp:extent cx="60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-2579370</wp:posOffset>
            </wp:positionV>
            <wp:extent cx="60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6610985</wp:posOffset>
            </wp:positionH>
            <wp:positionV relativeFrom="paragraph">
              <wp:posOffset>-2579370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7" w:name="page8"/>
    <w:bookmarkEnd w:id="7"/>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MAGNACHIP SEMICONDUCTOR CORPORATION AND SUBSIDIARIES</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2"/>
                <w:szCs w:val="12"/>
                <w:color w:val="auto"/>
              </w:rPr>
            </w:pPr>
          </w:p>
        </w:tc>
        <w:tc>
          <w:tcPr>
            <w:tcW w:w="17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6"/>
        </w:trPr>
        <w:tc>
          <w:tcPr>
            <w:tcW w:w="52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94,554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103,756</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24,176</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26,022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32,848</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34,151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receivables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4,203</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5,591</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5,062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Hedge collateral</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4,970</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1,200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3,681</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3,782</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7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170,023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176,855</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95,072</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100,204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1,797</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2,070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404</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Long-term prepaid expenses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531</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61,222</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64,248</w:t>
            </w:r>
          </w:p>
        </w:tc>
        <w:tc>
          <w:tcPr>
            <w:tcW w:w="1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6,416</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7,114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Borders>
              <w:top w:val="single" w:sz="8" w:color="CCEEFF"/>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335,465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21,330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20,848</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accounts payable</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10,813</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11,444</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5,490</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6,929</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1,344</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1,427</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26,431</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6,264</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2,681</w:t>
            </w: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43,410</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44,599</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severance benefits, net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11,660</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11,502</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509</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690</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2,921</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520" w:type="dxa"/>
            <w:vAlign w:val="bottom"/>
          </w:tcPr>
          <w:p>
            <w:pPr>
              <w:spacing w:after="0"/>
              <w:rPr>
                <w:sz w:val="17"/>
                <w:szCs w:val="17"/>
                <w:color w:val="auto"/>
              </w:rPr>
            </w:pPr>
          </w:p>
        </w:tc>
        <w:tc>
          <w:tcPr>
            <w:tcW w:w="7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102,662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103,279</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9"/>
        </w:trPr>
        <w:tc>
          <w:tcPr>
            <w:tcW w:w="5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Common stock, $0.01 par value, 150,000,000 shares authorized, 58,249,450 shares issued and</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36,440,854 outstanding at March 31, 2026 and 58,027,696 shares issued and 36,219,100</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520" w:type="dxa"/>
            <w:vAlign w:val="bottom"/>
          </w:tcPr>
          <w:p>
            <w:pPr>
              <w:spacing w:after="0"/>
              <w:rPr>
                <w:sz w:val="18"/>
                <w:szCs w:val="18"/>
                <w:color w:val="auto"/>
              </w:rPr>
            </w:pPr>
          </w:p>
        </w:tc>
        <w:tc>
          <w:tcPr>
            <w:tcW w:w="7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579</w:t>
            </w:r>
          </w:p>
        </w:tc>
        <w:tc>
          <w:tcPr>
            <w:tcW w:w="520" w:type="dxa"/>
            <w:vAlign w:val="bottom"/>
          </w:tcPr>
          <w:p>
            <w:pPr>
              <w:spacing w:after="0"/>
              <w:rPr>
                <w:sz w:val="18"/>
                <w:szCs w:val="18"/>
                <w:color w:val="auto"/>
              </w:rPr>
            </w:pPr>
          </w:p>
        </w:tc>
      </w:tr>
      <w:tr>
        <w:trPr>
          <w:trHeight w:val="203"/>
        </w:trPr>
        <w:tc>
          <w:tcPr>
            <w:tcW w:w="520" w:type="dxa"/>
            <w:vAlign w:val="bottom"/>
          </w:tcPr>
          <w:p>
            <w:pPr>
              <w:spacing w:after="0"/>
              <w:rPr>
                <w:sz w:val="17"/>
                <w:szCs w:val="17"/>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282,178</w:t>
            </w: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281,537</w:t>
            </w:r>
          </w:p>
        </w:tc>
        <w:tc>
          <w:tcPr>
            <w:tcW w:w="52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7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210,205</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214,852</w:t>
            </w:r>
          </w:p>
        </w:tc>
        <w:tc>
          <w:tcPr>
            <w:tcW w:w="14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89"/>
        </w:trPr>
        <w:tc>
          <w:tcPr>
            <w:tcW w:w="520" w:type="dxa"/>
            <w:vAlign w:val="bottom"/>
          </w:tcPr>
          <w:p>
            <w:pPr>
              <w:spacing w:after="0"/>
              <w:rPr>
                <w:sz w:val="16"/>
                <w:szCs w:val="16"/>
                <w:color w:val="auto"/>
              </w:rPr>
            </w:pPr>
          </w:p>
        </w:tc>
        <w:tc>
          <w:tcPr>
            <w:tcW w:w="71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Treasury stock, 21,808,596 shares at March 31, 2026 and 21,808,596 shares at December 31, 2025,</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3"/>
        </w:trPr>
        <w:tc>
          <w:tcPr>
            <w:tcW w:w="520" w:type="dxa"/>
            <w:vAlign w:val="bottom"/>
          </w:tcPr>
          <w:p>
            <w:pPr>
              <w:spacing w:after="0"/>
              <w:rPr>
                <w:sz w:val="18"/>
                <w:szCs w:val="18"/>
                <w:color w:val="auto"/>
              </w:rPr>
            </w:pPr>
          </w:p>
        </w:tc>
        <w:tc>
          <w:tcPr>
            <w:tcW w:w="7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(229,910)</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(229,910)</w:t>
            </w:r>
          </w:p>
        </w:tc>
        <w:tc>
          <w:tcPr>
            <w:tcW w:w="520" w:type="dxa"/>
            <w:vAlign w:val="bottom"/>
          </w:tcPr>
          <w:p>
            <w:pPr>
              <w:spacing w:after="0"/>
              <w:rPr>
                <w:sz w:val="18"/>
                <w:szCs w:val="18"/>
                <w:color w:val="auto"/>
              </w:rPr>
            </w:pPr>
          </w:p>
        </w:tc>
      </w:tr>
      <w:tr>
        <w:trPr>
          <w:trHeight w:val="205"/>
        </w:trPr>
        <w:tc>
          <w:tcPr>
            <w:tcW w:w="520" w:type="dxa"/>
            <w:vAlign w:val="bottom"/>
          </w:tcPr>
          <w:p>
            <w:pPr>
              <w:spacing w:after="0"/>
              <w:rPr>
                <w:sz w:val="17"/>
                <w:szCs w:val="17"/>
                <w:color w:val="auto"/>
              </w:rPr>
            </w:pPr>
          </w:p>
        </w:tc>
        <w:tc>
          <w:tcPr>
            <w:tcW w:w="71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(18,808)</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714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248,250</w:t>
            </w:r>
          </w:p>
        </w:tc>
        <w:tc>
          <w:tcPr>
            <w:tcW w:w="5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6"/>
        </w:trPr>
        <w:tc>
          <w:tcPr>
            <w:tcW w:w="5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351,529</w:t>
            </w:r>
          </w:p>
        </w:tc>
        <w:tc>
          <w:tcPr>
            <w:tcW w:w="520" w:type="dxa"/>
            <w:vAlign w:val="bottom"/>
          </w:tcPr>
          <w:p>
            <w:pPr>
              <w:spacing w:after="0"/>
              <w:rPr>
                <w:sz w:val="18"/>
                <w:szCs w:val="18"/>
                <w:color w:val="auto"/>
              </w:rPr>
            </w:pPr>
          </w:p>
        </w:tc>
      </w:tr>
      <w:tr>
        <w:trPr>
          <w:trHeight w:val="1559"/>
        </w:trPr>
        <w:tc>
          <w:tcPr>
            <w:tcW w:w="520" w:type="dxa"/>
            <w:vAlign w:val="bottom"/>
            <w:tcBorders>
              <w:bottom w:val="single" w:sz="8" w:color="9A9A9A"/>
            </w:tcBorders>
          </w:tcPr>
          <w:p>
            <w:pPr>
              <w:spacing w:after="0"/>
              <w:rPr>
                <w:sz w:val="24"/>
                <w:szCs w:val="24"/>
                <w:color w:val="auto"/>
              </w:rPr>
            </w:pPr>
          </w:p>
        </w:tc>
        <w:tc>
          <w:tcPr>
            <w:tcW w:w="71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-4726940</wp:posOffset>
            </wp:positionV>
            <wp:extent cx="111125"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-4726940</wp:posOffset>
            </wp:positionV>
            <wp:extent cx="11112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-3402330</wp:posOffset>
            </wp:positionV>
            <wp:extent cx="85725"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6593840</wp:posOffset>
            </wp:positionH>
            <wp:positionV relativeFrom="paragraph">
              <wp:posOffset>-3402330</wp:posOffset>
            </wp:positionV>
            <wp:extent cx="8572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5672455</wp:posOffset>
            </wp:positionH>
            <wp:positionV relativeFrom="paragraph">
              <wp:posOffset>-2755265</wp:posOffset>
            </wp:positionV>
            <wp:extent cx="11112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-2755265</wp:posOffset>
            </wp:positionV>
            <wp:extent cx="111125"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-1304925</wp:posOffset>
            </wp:positionV>
            <wp:extent cx="85725"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6593840</wp:posOffset>
            </wp:positionH>
            <wp:positionV relativeFrom="paragraph">
              <wp:posOffset>-1304925</wp:posOffset>
            </wp:positionV>
            <wp:extent cx="8572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-1167765</wp:posOffset>
            </wp:positionV>
            <wp:extent cx="85725"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6593840</wp:posOffset>
            </wp:positionH>
            <wp:positionV relativeFrom="paragraph">
              <wp:posOffset>-1167765</wp:posOffset>
            </wp:positionV>
            <wp:extent cx="8572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-1019175</wp:posOffset>
            </wp:positionV>
            <wp:extent cx="857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7145"/>
                    </a:xfrm>
                    <a:prstGeom prst="rect">
                      <a:avLst/>
                    </a:prstGeom>
                    <a:noFill/>
                  </pic:spPr>
                </pic:pic>
              </a:graphicData>
            </a:graphic>
          </wp:anchor>
        </w:drawing>
        <w:drawing>
          <wp:anchor simplePos="0" relativeHeight="251657728" behindDoc="1" locked="0" layoutInCell="0" allowOverlap="1">
            <wp:simplePos x="0" y="0"/>
            <wp:positionH relativeFrom="column">
              <wp:posOffset>6593840</wp:posOffset>
            </wp:positionH>
            <wp:positionV relativeFrom="paragraph">
              <wp:posOffset>-1019175</wp:posOffset>
            </wp:positionV>
            <wp:extent cx="857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1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20" w:type="dxa"/>
            <w:vAlign w:val="bottom"/>
            <w:gridSpan w:val="2"/>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4"/>
                <w:szCs w:val="14"/>
                <w:color w:val="auto"/>
              </w:rPr>
            </w:pPr>
          </w:p>
        </w:tc>
        <w:tc>
          <w:tcPr>
            <w:tcW w:w="1580" w:type="dxa"/>
            <w:vAlign w:val="bottom"/>
            <w:gridSpan w:val="3"/>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March 31,</w:t>
            </w:r>
          </w:p>
        </w:tc>
      </w:tr>
      <w:tr>
        <w:trPr>
          <w:trHeight w:val="165"/>
        </w:trPr>
        <w:tc>
          <w:tcPr>
            <w:tcW w:w="5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
        </w:trPr>
        <w:tc>
          <w:tcPr>
            <w:tcW w:w="5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5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3"/>
        </w:trPr>
        <w:tc>
          <w:tcPr>
            <w:tcW w:w="5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(4,647)</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(8,878)</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2,882</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3,273</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for severance benefits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1,514</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Loss (gain) on foreign currency, net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4,262</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(reversal) for inventory reserves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1,208</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643</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1,030</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(415)</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Others, net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225</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1,611</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635</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(3,259)</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(1,547)</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(811)</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1,233</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(1,725)</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970</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2,542</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accounts payable</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(254)</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(2,622)</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Accrued income taxes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(901)</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Payment of severance benefits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(325)</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Others, net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(290)</w:t>
            </w:r>
          </w:p>
        </w:tc>
        <w:tc>
          <w:tcPr>
            <w:tcW w:w="52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2"/>
        </w:trPr>
        <w:tc>
          <w:tcPr>
            <w:tcW w:w="5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(4,669)</w:t>
            </w:r>
          </w:p>
        </w:tc>
        <w:tc>
          <w:tcPr>
            <w:tcW w:w="520" w:type="dxa"/>
            <w:vAlign w:val="bottom"/>
          </w:tcPr>
          <w:p>
            <w:pPr>
              <w:spacing w:after="0"/>
              <w:rPr>
                <w:sz w:val="18"/>
                <w:szCs w:val="18"/>
                <w:color w:val="auto"/>
              </w:rPr>
            </w:pPr>
          </w:p>
        </w:tc>
      </w:tr>
      <w:tr>
        <w:trPr>
          <w:trHeight w:val="212"/>
        </w:trPr>
        <w:tc>
          <w:tcPr>
            <w:tcW w:w="5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0"/>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Payment of hedge collateral</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(3,785)</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Proceeds from disposal of plant, property and equipment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(3,915)</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(208)</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 for intellectual property registration</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Collection of guarantee deposits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1,891</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Payment of guarantee deposits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52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2"/>
        </w:trPr>
        <w:tc>
          <w:tcPr>
            <w:tcW w:w="5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w:t>
            </w:r>
          </w:p>
        </w:tc>
        <w:tc>
          <w:tcPr>
            <w:tcW w:w="520" w:type="dxa"/>
            <w:vAlign w:val="bottom"/>
          </w:tcPr>
          <w:p>
            <w:pPr>
              <w:spacing w:after="0"/>
              <w:rPr>
                <w:sz w:val="18"/>
                <w:szCs w:val="18"/>
                <w:color w:val="auto"/>
              </w:rPr>
            </w:pPr>
          </w:p>
        </w:tc>
      </w:tr>
      <w:tr>
        <w:trPr>
          <w:trHeight w:val="214"/>
        </w:trPr>
        <w:tc>
          <w:tcPr>
            <w:tcW w:w="5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8"/>
        </w:trPr>
        <w:tc>
          <w:tcPr>
            <w:tcW w:w="520" w:type="dxa"/>
            <w:vAlign w:val="bottom"/>
          </w:tcPr>
          <w:p>
            <w:pPr>
              <w:spacing w:after="0"/>
              <w:rPr>
                <w:sz w:val="18"/>
                <w:szCs w:val="18"/>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(1,306)</w:t>
            </w:r>
          </w:p>
        </w:tc>
        <w:tc>
          <w:tcPr>
            <w:tcW w:w="520" w:type="dxa"/>
            <w:vAlign w:val="bottom"/>
          </w:tcPr>
          <w:p>
            <w:pPr>
              <w:spacing w:after="0"/>
              <w:rPr>
                <w:sz w:val="18"/>
                <w:szCs w:val="18"/>
                <w:color w:val="auto"/>
              </w:rPr>
            </w:pPr>
          </w:p>
        </w:tc>
      </w:tr>
      <w:tr>
        <w:trPr>
          <w:trHeight w:val="213"/>
        </w:trPr>
        <w:tc>
          <w:tcPr>
            <w:tcW w:w="520" w:type="dxa"/>
            <w:vAlign w:val="bottom"/>
          </w:tcPr>
          <w:p>
            <w:pPr>
              <w:spacing w:after="0"/>
              <w:rPr>
                <w:sz w:val="18"/>
                <w:szCs w:val="18"/>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Repayment of financing related to water treatment facility arrangement</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5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Repayment of principal portion of finance lease liabilities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52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(320)</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(1,455)</w:t>
            </w:r>
          </w:p>
        </w:tc>
        <w:tc>
          <w:tcPr>
            <w:tcW w:w="5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(4,496)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557</w:t>
            </w:r>
          </w:p>
        </w:tc>
        <w:tc>
          <w:tcPr>
            <w:tcW w:w="52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(9,202)</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(5,956)</w:t>
            </w:r>
          </w:p>
        </w:tc>
        <w:tc>
          <w:tcPr>
            <w:tcW w:w="520" w:type="dxa"/>
            <w:vAlign w:val="bottom"/>
          </w:tcPr>
          <w:p>
            <w:pPr>
              <w:spacing w:after="0"/>
              <w:rPr>
                <w:sz w:val="18"/>
                <w:szCs w:val="18"/>
                <w:color w:val="auto"/>
              </w:rPr>
            </w:pPr>
          </w:p>
        </w:tc>
      </w:tr>
      <w:tr>
        <w:trPr>
          <w:trHeight w:val="219"/>
        </w:trPr>
        <w:tc>
          <w:tcPr>
            <w:tcW w:w="52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r>
      <w:tr>
        <w:trPr>
          <w:trHeight w:val="213"/>
        </w:trPr>
        <w:tc>
          <w:tcPr>
            <w:tcW w:w="5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the period</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103,756</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138,610</w:t>
            </w:r>
          </w:p>
        </w:tc>
        <w:tc>
          <w:tcPr>
            <w:tcW w:w="520" w:type="dxa"/>
            <w:vAlign w:val="bottom"/>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6"/>
        </w:trPr>
        <w:tc>
          <w:tcPr>
            <w:tcW w:w="520" w:type="dxa"/>
            <w:vAlign w:val="bottom"/>
          </w:tcPr>
          <w:p>
            <w:pPr>
              <w:spacing w:after="0"/>
              <w:rPr>
                <w:sz w:val="17"/>
                <w:szCs w:val="17"/>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the period</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94,554</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132,654</w:t>
            </w:r>
          </w:p>
        </w:tc>
        <w:tc>
          <w:tcPr>
            <w:tcW w:w="520" w:type="dxa"/>
            <w:vAlign w:val="bottom"/>
          </w:tcPr>
          <w:p>
            <w:pPr>
              <w:spacing w:after="0"/>
              <w:rPr>
                <w:sz w:val="17"/>
                <w:szCs w:val="17"/>
                <w:color w:val="auto"/>
              </w:rPr>
            </w:pPr>
          </w:p>
        </w:tc>
      </w:tr>
      <w:tr>
        <w:trPr>
          <w:trHeight w:val="1370"/>
        </w:trPr>
        <w:tc>
          <w:tcPr>
            <w:tcW w:w="520" w:type="dxa"/>
            <w:vAlign w:val="bottom"/>
            <w:tcBorders>
              <w:bottom w:val="single" w:sz="8" w:color="9A9A9A"/>
            </w:tcBorders>
          </w:tcPr>
          <w:p>
            <w:pPr>
              <w:spacing w:after="0"/>
              <w:rPr>
                <w:sz w:val="24"/>
                <w:szCs w:val="24"/>
                <w:color w:val="auto"/>
              </w:rPr>
            </w:pPr>
          </w:p>
        </w:tc>
        <w:tc>
          <w:tcPr>
            <w:tcW w:w="75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-1739265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6619240</wp:posOffset>
            </wp:positionH>
            <wp:positionV relativeFrom="paragraph">
              <wp:posOffset>-1739265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-1456690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6619240</wp:posOffset>
            </wp:positionH>
            <wp:positionV relativeFrom="paragraph">
              <wp:posOffset>-1456690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5830570</wp:posOffset>
            </wp:positionH>
            <wp:positionV relativeFrom="paragraph">
              <wp:posOffset>-899160</wp:posOffset>
            </wp:positionV>
            <wp:extent cx="603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17145"/>
                    </a:xfrm>
                    <a:prstGeom prst="rect">
                      <a:avLst/>
                    </a:prstGeom>
                    <a:noFill/>
                  </pic:spPr>
                </pic:pic>
              </a:graphicData>
            </a:graphic>
          </wp:anchor>
        </w:drawing>
        <w:drawing>
          <wp:anchor simplePos="0" relativeHeight="251657728" behindDoc="1" locked="0" layoutInCell="0" allowOverlap="1">
            <wp:simplePos x="0" y="0"/>
            <wp:positionH relativeFrom="column">
              <wp:posOffset>6619240</wp:posOffset>
            </wp:positionH>
            <wp:positionV relativeFrom="paragraph">
              <wp:posOffset>-899160</wp:posOffset>
            </wp:positionV>
            <wp:extent cx="603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17145"/>
                    </a:xfrm>
                    <a:prstGeom prst="rect">
                      <a:avLst/>
                    </a:prstGeom>
                    <a:noFill/>
                  </pic:spPr>
                </pic:pic>
              </a:graphicData>
            </a:graphic>
          </wp:anchor>
        </w:drawing>
      </w:r>
    </w:p>
    <w:p>
      <w:pPr>
        <w:sectPr>
          <w:pgSz w:w="11900" w:h="16838" w:orient="portrait"/>
          <w:cols w:equalWidth="0" w:num="1">
            <w:col w:w="11040"/>
          </w:cols>
          <w:pgMar w:left="420" w:top="1150" w:right="4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405765</wp:posOffset>
            </wp:positionV>
            <wp:extent cx="13284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RECONCILIATION OF OPERATING LOSS FROM CONTINUING OPERATIONS TO ADJUSTED OPERATING LOSS FROM</w:t>
      </w:r>
    </w:p>
    <w:p>
      <w:pPr>
        <w:spacing w:after="0" w:line="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CONTINUING OPERATIONS</w:t>
      </w:r>
    </w:p>
    <w:p>
      <w:pPr>
        <w:spacing w:after="0" w:line="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12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90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73"/>
        </w:trPr>
        <w:tc>
          <w:tcPr>
            <w:tcW w:w="5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23"/>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(12,446)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(5,278)</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r>
      <w:tr>
        <w:trPr>
          <w:trHeight w:val="217"/>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(11,881)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-582295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4527550</wp:posOffset>
            </wp:positionH>
            <wp:positionV relativeFrom="paragraph">
              <wp:posOffset>-175260</wp:posOffset>
            </wp:positionV>
            <wp:extent cx="8572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-175260</wp:posOffset>
            </wp:positionV>
            <wp:extent cx="8572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6130925</wp:posOffset>
            </wp:positionH>
            <wp:positionV relativeFrom="paragraph">
              <wp:posOffset>-175260</wp:posOffset>
            </wp:positionV>
            <wp:extent cx="10287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69"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6"/>
          <w:szCs w:val="16"/>
          <w:color w:val="auto"/>
        </w:rPr>
        <w:t>We present Adjusted Operating Loss from continuing operations as a supplemental measure of our performance. We define Adjusted Operating Loss from continuing operations for the periods indicated as operating loss from continuing operations adjusted to exclude (i) Equity-based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1085850</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800"/>
          </w:cols>
          <w:pgMar w:left="940" w:top="1150" w:right="115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5626100</wp:posOffset>
            </wp:positionH>
            <wp:positionV relativeFrom="page">
              <wp:posOffset>406400</wp:posOffset>
            </wp:positionV>
            <wp:extent cx="13284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265430"/>
                    </a:xfrm>
                    <a:prstGeom prst="rect">
                      <a:avLst/>
                    </a:prstGeom>
                    <a:noFill/>
                  </pic:spPr>
                </pic:pic>
              </a:graphicData>
            </a:graphic>
          </wp:anchor>
        </w:drawing>
        <w:t>MAGNACHIP SEMICONDUCTOR CORPORATION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LOSS FROM CONTINUING OPERATIONS TO ADJUSTED EBITDA FROM CONTINUING OPERATIONS AND</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ADJUSTED LOSS FROM CONTINUING OPERATIONS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data)</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right"/>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78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r>
      <w:tr>
        <w:trPr>
          <w:trHeight w:val="193"/>
        </w:trPr>
        <w:tc>
          <w:tcPr>
            <w:tcW w:w="6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r>
      <w:tr>
        <w:trPr>
          <w:trHeight w:val="189"/>
        </w:trPr>
        <w:tc>
          <w:tcPr>
            <w:tcW w:w="6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(4,697)</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20" w:type="dxa"/>
            <w:vAlign w:val="bottom"/>
            <w:tcBorders>
              <w:top w:val="single" w:sz="8" w:color="CCEEFF"/>
            </w:tcBorders>
            <w:shd w:val="clear" w:color="auto" w:fill="CCEEFF"/>
          </w:tcPr>
          <w:p>
            <w:pPr>
              <w:spacing w:after="0"/>
              <w:rPr>
                <w:sz w:val="16"/>
                <w:szCs w:val="16"/>
                <w:color w:val="auto"/>
              </w:rPr>
            </w:pPr>
          </w:p>
        </w:tc>
      </w:tr>
      <w:tr>
        <w:trPr>
          <w:trHeight w:val="20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(1,063)</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(1,540)</w:t>
            </w:r>
          </w:p>
        </w:tc>
      </w:tr>
      <w:tr>
        <w:trPr>
          <w:trHeight w:val="203"/>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7"/>
                <w:szCs w:val="17"/>
                <w:color w:val="auto"/>
              </w:rPr>
            </w:pP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373</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423</w:t>
            </w:r>
          </w:p>
        </w:tc>
      </w:tr>
      <w:tr>
        <w:trPr>
          <w:trHeight w:val="203"/>
        </w:trPr>
        <w:tc>
          <w:tcPr>
            <w:tcW w:w="6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Income tax benefit, net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(1,908)</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(9,180)</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(401)</w:t>
            </w:r>
          </w:p>
        </w:tc>
      </w:tr>
      <w:tr>
        <w:trPr>
          <w:trHeight w:val="203"/>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2,877</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3,019</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3,120</w:t>
            </w:r>
          </w:p>
        </w:tc>
      </w:tr>
      <w:tr>
        <w:trPr>
          <w:trHeight w:val="20"/>
        </w:trPr>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 – continuing operations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(4,418)</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(15,806)</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(2,449)</w:t>
            </w:r>
          </w:p>
        </w:tc>
      </w:tr>
      <w:tr>
        <w:trPr>
          <w:trHeight w:val="203"/>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00" w:type="dxa"/>
            <w:vAlign w:val="bottom"/>
          </w:tcPr>
          <w:p>
            <w:pPr>
              <w:spacing w:after="0"/>
              <w:rPr>
                <w:sz w:val="17"/>
                <w:szCs w:val="17"/>
                <w:color w:val="auto"/>
              </w:rPr>
            </w:pP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643</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868</w:t>
            </w:r>
          </w:p>
        </w:tc>
      </w:tr>
      <w:tr>
        <w:trPr>
          <w:trHeight w:val="203"/>
        </w:trPr>
        <w:tc>
          <w:tcPr>
            <w:tcW w:w="6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115</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6,393</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405</w:t>
            </w:r>
          </w:p>
        </w:tc>
      </w:tr>
      <w:tr>
        <w:trPr>
          <w:trHeight w:val="203"/>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Derivative valuation loss (gain), net</w:t>
            </w:r>
          </w:p>
        </w:tc>
        <w:tc>
          <w:tcPr>
            <w:tcW w:w="100" w:type="dxa"/>
            <w:vAlign w:val="bottom"/>
          </w:tcPr>
          <w:p>
            <w:pPr>
              <w:spacing w:after="0"/>
              <w:rPr>
                <w:sz w:val="17"/>
                <w:szCs w:val="17"/>
                <w:color w:val="auto"/>
              </w:rPr>
            </w:pP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 – continuing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69"/>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(4,697)</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(8,792)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(4,051)</w:t>
            </w:r>
          </w:p>
        </w:tc>
      </w:tr>
      <w:tr>
        <w:trPr>
          <w:trHeight w:val="204"/>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00" w:type="dxa"/>
            <w:vAlign w:val="bottom"/>
          </w:tcPr>
          <w:p>
            <w:pPr>
              <w:spacing w:after="0"/>
              <w:rPr>
                <w:sz w:val="17"/>
                <w:szCs w:val="17"/>
                <w:color w:val="auto"/>
              </w:rPr>
            </w:pP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643</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868</w:t>
            </w:r>
          </w:p>
        </w:tc>
      </w:tr>
      <w:tr>
        <w:trPr>
          <w:trHeight w:val="203"/>
        </w:trPr>
        <w:tc>
          <w:tcPr>
            <w:tcW w:w="6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115</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6,393</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405</w:t>
            </w:r>
          </w:p>
        </w:tc>
      </w:tr>
      <w:tr>
        <w:trPr>
          <w:trHeight w:val="203"/>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Derivative valuation loss (gain), net</w:t>
            </w:r>
          </w:p>
        </w:tc>
        <w:tc>
          <w:tcPr>
            <w:tcW w:w="100" w:type="dxa"/>
            <w:vAlign w:val="bottom"/>
          </w:tcPr>
          <w:p>
            <w:pPr>
              <w:spacing w:after="0"/>
              <w:rPr>
                <w:sz w:val="17"/>
                <w:szCs w:val="17"/>
                <w:color w:val="auto"/>
              </w:rPr>
            </w:pP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6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Income tax effect on non-GAAP adjustments</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6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Loss –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(4,073)</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(2,784)</w:t>
            </w:r>
          </w:p>
        </w:tc>
      </w:tr>
      <w:tr>
        <w:trPr>
          <w:trHeight w:val="203"/>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Loss – continuing operations per common share—</w:t>
            </w: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3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(0.08)</w:t>
            </w:r>
          </w:p>
        </w:tc>
      </w:tr>
      <w:tr>
        <w:trPr>
          <w:trHeight w:val="203"/>
        </w:trPr>
        <w:tc>
          <w:tcPr>
            <w:tcW w:w="6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(0.11)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(0.08)</w:t>
            </w:r>
          </w:p>
        </w:tc>
      </w:tr>
      <w:tr>
        <w:trPr>
          <w:trHeight w:val="203"/>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 basic</w:t>
            </w:r>
          </w:p>
        </w:tc>
        <w:tc>
          <w:tcPr>
            <w:tcW w:w="100" w:type="dxa"/>
            <w:vAlign w:val="bottom"/>
          </w:tcPr>
          <w:p>
            <w:pPr>
              <w:spacing w:after="0"/>
              <w:rPr>
                <w:sz w:val="17"/>
                <w:szCs w:val="17"/>
                <w:color w:val="auto"/>
              </w:rPr>
            </w:pPr>
          </w:p>
        </w:tc>
        <w:tc>
          <w:tcPr>
            <w:tcW w:w="10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36,407,581</w:t>
            </w: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35,979,697</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36,887,841</w:t>
            </w:r>
          </w:p>
        </w:tc>
      </w:tr>
      <w:tr>
        <w:trPr>
          <w:trHeight w:val="202"/>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36,407,581</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35,979,697</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36,887,841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-3068320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-3068320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6139180</wp:posOffset>
            </wp:positionH>
            <wp:positionV relativeFrom="paragraph">
              <wp:posOffset>-1778000</wp:posOffset>
            </wp:positionV>
            <wp:extent cx="939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-796290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-796290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-796290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6"/>
          <w:szCs w:val="16"/>
          <w:color w:val="auto"/>
        </w:rPr>
        <w:t>We present Adjusted EBITDA from continuing operations and Adjusted Loss from continuing operations as supplemental measures of our performance. We define Adjusted EBITDA from continuing operations for the periods indicated as EBITDA – continuing operations (as defined below), adjusted to exclude (i) Equity-based compensation expense, (ii) Foreign currency loss, net and (iii) Derivative valuation loss (gain), net. EBITDA – continuing operations for the periods indicated is defined as loss from continuing operations before interest income, interest expense, income tax benefit, net and depreciation and amortization.</w:t>
      </w:r>
    </w:p>
    <w:p>
      <w:pPr>
        <w:spacing w:after="0" w:line="172" w:lineRule="exact"/>
        <w:rPr>
          <w:sz w:val="20"/>
          <w:szCs w:val="20"/>
          <w:color w:val="auto"/>
        </w:rPr>
      </w:pPr>
    </w:p>
    <w:p>
      <w:pPr>
        <w:ind w:right="100" w:firstLine="689"/>
        <w:spacing w:after="0" w:line="271" w:lineRule="auto"/>
        <w:rPr>
          <w:sz w:val="20"/>
          <w:szCs w:val="20"/>
          <w:color w:val="auto"/>
        </w:rPr>
      </w:pPr>
      <w:r>
        <w:rPr>
          <w:rFonts w:ascii="Times New Roman" w:cs="Times New Roman" w:eastAsia="Times New Roman" w:hAnsi="Times New Roman"/>
          <w:sz w:val="16"/>
          <w:szCs w:val="16"/>
          <w:color w:val="auto"/>
        </w:rPr>
        <w:t>We prepare Adjusted Loss from continuing operations by adjusting loss from continuing operations to eliminate the impact of a number of non-cash expenses and other items that may be either one time or recurring that we do not consider to be indicative of our core ongoing operating performance. We believe that Adjusted Loss from continuing operations is particularly useful because it reflects the impact of our asset base and capital structure on our operating performance. We define Adjusted Loss from continuing operations for the periods as net loss, adjusted to exclude (i) Equity-based compensation expense, (ii) Foreign currency loss, net, (iii) Derivative valuation loss (gain), net and (iv) Income tax effect on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962025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940"/>
          </w:cols>
          <w:pgMar w:left="940" w:top="1150" w:right="101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2026-04-28T16:43:36Z</dcterms:created>
  <dcterms:modified xsi:type="dcterms:W3CDTF">2026-04-28T16:43:36Z</dcterms:modified>
</cp:coreProperties>
</file>