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50430" cy="298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40" w:lineRule="exact"/>
        <w:rPr>
          <w:sz w:val="24"/>
          <w:szCs w:val="24"/>
          <w:color w:val="auto"/>
        </w:rPr>
      </w:pPr>
    </w:p>
    <w:p>
      <w:pPr>
        <w:jc w:val="center"/>
        <w:ind w:right="-239"/>
        <w:spacing w:after="0"/>
        <w:rPr>
          <w:sz w:val="20"/>
          <w:szCs w:val="20"/>
          <w:color w:val="auto"/>
        </w:rPr>
      </w:pPr>
      <w:r>
        <w:rPr>
          <w:rFonts w:ascii="Arial" w:cs="Arial" w:eastAsia="Arial" w:hAnsi="Arial"/>
          <w:sz w:val="24"/>
          <w:szCs w:val="24"/>
          <w:b w:val="1"/>
          <w:bCs w:val="1"/>
          <w:color w:val="auto"/>
        </w:rPr>
        <w:t>UNITED STATES</w:t>
      </w:r>
    </w:p>
    <w:p>
      <w:pPr>
        <w:spacing w:after="0" w:line="36" w:lineRule="exact"/>
        <w:rPr>
          <w:sz w:val="24"/>
          <w:szCs w:val="24"/>
          <w:color w:val="auto"/>
        </w:rPr>
      </w:pPr>
    </w:p>
    <w:p>
      <w:pPr>
        <w:jc w:val="center"/>
        <w:ind w:right="-239"/>
        <w:spacing w:after="0"/>
        <w:rPr>
          <w:sz w:val="20"/>
          <w:szCs w:val="20"/>
          <w:color w:val="auto"/>
        </w:rPr>
      </w:pPr>
      <w:r>
        <w:rPr>
          <w:rFonts w:ascii="Arial" w:cs="Arial" w:eastAsia="Arial" w:hAnsi="Arial"/>
          <w:sz w:val="24"/>
          <w:szCs w:val="24"/>
          <w:b w:val="1"/>
          <w:bCs w:val="1"/>
          <w:color w:val="auto"/>
        </w:rPr>
        <w:t>SECURITIES AND EXCHANGE COMMISSION</w:t>
      </w:r>
    </w:p>
    <w:p>
      <w:pPr>
        <w:spacing w:after="0" w:line="5" w:lineRule="exact"/>
        <w:rPr>
          <w:sz w:val="24"/>
          <w:szCs w:val="24"/>
          <w:color w:val="auto"/>
        </w:rPr>
      </w:pPr>
    </w:p>
    <w:p>
      <w:pPr>
        <w:jc w:val="center"/>
        <w:ind w:right="-239"/>
        <w:spacing w:after="0"/>
        <w:rPr>
          <w:sz w:val="20"/>
          <w:szCs w:val="20"/>
          <w:color w:val="auto"/>
        </w:rPr>
      </w:pPr>
      <w:r>
        <w:rPr>
          <w:rFonts w:ascii="Arial" w:cs="Arial" w:eastAsia="Arial" w:hAnsi="Arial"/>
          <w:sz w:val="22"/>
          <w:szCs w:val="22"/>
          <w:b w:val="1"/>
          <w:bCs w:val="1"/>
          <w:color w:val="auto"/>
        </w:rPr>
        <w:t>Washington, D.C. 20549</w:t>
      </w:r>
    </w:p>
    <w:p>
      <w:pPr>
        <w:spacing w:after="0" w:line="114" w:lineRule="exact"/>
        <w:rPr>
          <w:sz w:val="24"/>
          <w:szCs w:val="24"/>
          <w:color w:val="auto"/>
        </w:rPr>
      </w:pPr>
    </w:p>
    <w:p>
      <w:pPr>
        <w:jc w:val="center"/>
        <w:ind w:right="-239"/>
        <w:spacing w:after="0"/>
        <w:rPr>
          <w:sz w:val="20"/>
          <w:szCs w:val="20"/>
          <w:color w:val="auto"/>
        </w:rPr>
      </w:pPr>
      <w:r>
        <w:rPr>
          <w:rFonts w:ascii="Arial" w:cs="Arial" w:eastAsia="Arial" w:hAnsi="Arial"/>
          <w:sz w:val="32"/>
          <w:szCs w:val="32"/>
          <w:b w:val="1"/>
          <w:bCs w:val="1"/>
          <w:color w:val="auto"/>
        </w:rPr>
        <w:t>FORM 10-Q</w:t>
      </w:r>
    </w:p>
    <w:p>
      <w:pPr>
        <w:spacing w:after="0" w:line="187" w:lineRule="exact"/>
        <w:rPr>
          <w:sz w:val="24"/>
          <w:szCs w:val="24"/>
          <w:color w:val="auto"/>
        </w:rPr>
      </w:pPr>
    </w:p>
    <w:p>
      <w:pPr>
        <w:spacing w:after="0"/>
        <w:rPr>
          <w:sz w:val="20"/>
          <w:szCs w:val="20"/>
          <w:color w:val="auto"/>
        </w:rPr>
      </w:pPr>
      <w:r>
        <w:rPr>
          <w:rFonts w:ascii="Arial" w:cs="Arial" w:eastAsia="Arial" w:hAnsi="Arial"/>
          <w:sz w:val="14"/>
          <w:szCs w:val="14"/>
          <w:color w:val="auto"/>
        </w:rPr>
        <w:t>(Mark one)</w:t>
      </w:r>
    </w:p>
    <w:p>
      <w:pPr>
        <w:ind w:left="4200" w:right="3940" w:hanging="4192"/>
        <w:spacing w:after="0" w:line="520" w:lineRule="auto"/>
        <w:tabs>
          <w:tab w:leader="none" w:pos="461" w:val="left"/>
        </w:tabs>
        <w:numPr>
          <w:ilvl w:val="0"/>
          <w:numId w:val="1"/>
        </w:numPr>
        <w:rPr>
          <w:rFonts w:ascii="MS PGothic" w:cs="MS PGothic" w:eastAsia="MS PGothic" w:hAnsi="MS PGothic"/>
          <w:sz w:val="15"/>
          <w:szCs w:val="15"/>
          <w:color w:val="auto"/>
          <w:highlight w:val="black"/>
        </w:rPr>
      </w:pPr>
      <w:r>
        <w:rPr>
          <w:rFonts w:ascii="Arial" w:cs="Arial" w:eastAsia="Arial" w:hAnsi="Arial"/>
          <w:sz w:val="15"/>
          <w:szCs w:val="15"/>
          <w:b w:val="1"/>
          <w:bCs w:val="1"/>
          <w:color w:val="auto"/>
        </w:rPr>
        <w:t xml:space="preserve">Quarterly Report Pursuant to Section 13 or 15(d) of the Securities Exchange Act of 1934 </w:t>
      </w:r>
      <w:r>
        <w:rPr>
          <w:rFonts w:ascii="Arial" w:cs="Arial" w:eastAsia="Arial" w:hAnsi="Arial"/>
          <w:sz w:val="15"/>
          <w:szCs w:val="15"/>
          <w:color w:val="auto"/>
        </w:rPr>
        <w:t>For the quarterly period ended July 2, 2006</w:t>
      </w:r>
    </w:p>
    <w:p>
      <w:pPr>
        <w:spacing w:after="0" w:line="1" w:lineRule="exact"/>
        <w:rPr>
          <w:rFonts w:ascii="MS PGothic" w:cs="MS PGothic" w:eastAsia="MS PGothic" w:hAnsi="MS PGothic"/>
          <w:sz w:val="15"/>
          <w:szCs w:val="15"/>
          <w:color w:val="auto"/>
          <w:highlight w:val="black"/>
        </w:rPr>
      </w:pPr>
    </w:p>
    <w:p>
      <w:pPr>
        <w:ind w:left="5640"/>
        <w:spacing w:after="0"/>
        <w:rPr>
          <w:rFonts w:ascii="MS PGothic" w:cs="MS PGothic" w:eastAsia="MS PGothic" w:hAnsi="MS PGothic"/>
          <w:sz w:val="15"/>
          <w:szCs w:val="15"/>
          <w:color w:val="auto"/>
          <w:highlight w:val="black"/>
        </w:rPr>
      </w:pPr>
      <w:r>
        <w:rPr>
          <w:rFonts w:ascii="Arial" w:cs="Arial" w:eastAsia="Arial" w:hAnsi="Arial"/>
          <w:sz w:val="18"/>
          <w:szCs w:val="18"/>
          <w:color w:val="auto"/>
        </w:rPr>
        <w:t>or</w:t>
      </w:r>
    </w:p>
    <w:p>
      <w:pPr>
        <w:spacing w:after="0" w:line="206" w:lineRule="exact"/>
        <w:rPr>
          <w:sz w:val="24"/>
          <w:szCs w:val="24"/>
          <w:color w:val="auto"/>
        </w:rPr>
      </w:pPr>
    </w:p>
    <w:p>
      <w:pPr>
        <w:ind w:left="460" w:hanging="452"/>
        <w:spacing w:after="0"/>
        <w:tabs>
          <w:tab w:leader="none" w:pos="460" w:val="left"/>
        </w:tabs>
        <w:numPr>
          <w:ilvl w:val="0"/>
          <w:numId w:val="2"/>
        </w:numPr>
        <w:rPr>
          <w:rFonts w:ascii="MS PGothic" w:cs="MS PGothic" w:eastAsia="MS PGothic" w:hAnsi="MS PGothic"/>
          <w:sz w:val="18"/>
          <w:szCs w:val="18"/>
          <w:color w:val="auto"/>
        </w:rPr>
      </w:pPr>
      <w:r>
        <w:rPr>
          <w:rFonts w:ascii="Arial" w:cs="Arial" w:eastAsia="Arial" w:hAnsi="Arial"/>
          <w:sz w:val="18"/>
          <w:szCs w:val="18"/>
          <w:b w:val="1"/>
          <w:bCs w:val="1"/>
          <w:color w:val="auto"/>
        </w:rPr>
        <w:t>Transition Report Pursuant to Section 13 or 15(d) of the Securities Exchange Act of 1934</w:t>
      </w:r>
    </w:p>
    <w:p>
      <w:pPr>
        <w:spacing w:after="0" w:line="177" w:lineRule="exact"/>
        <w:rPr>
          <w:sz w:val="24"/>
          <w:szCs w:val="24"/>
          <w:color w:val="auto"/>
        </w:rPr>
      </w:pPr>
    </w:p>
    <w:p>
      <w:pPr>
        <w:ind w:left="3640"/>
        <w:spacing w:after="0"/>
        <w:tabs>
          <w:tab w:leader="none" w:pos="6660" w:val="left"/>
          <w:tab w:leader="none" w:pos="7720" w:val="left"/>
        </w:tabs>
        <w:rPr>
          <w:sz w:val="20"/>
          <w:szCs w:val="20"/>
          <w:color w:val="auto"/>
        </w:rPr>
      </w:pPr>
      <w:r>
        <w:rPr>
          <w:rFonts w:ascii="Arial" w:cs="Arial" w:eastAsia="Arial" w:hAnsi="Arial"/>
          <w:sz w:val="18"/>
          <w:szCs w:val="18"/>
          <w:color w:val="auto"/>
        </w:rPr>
        <w:t>For the transition period from</w:t>
      </w:r>
      <w:r>
        <w:rPr>
          <w:sz w:val="20"/>
          <w:szCs w:val="20"/>
          <w:color w:val="auto"/>
        </w:rPr>
        <w:tab/>
      </w:r>
      <w:r>
        <w:rPr>
          <w:rFonts w:ascii="Arial" w:cs="Arial" w:eastAsia="Arial" w:hAnsi="Arial"/>
          <w:sz w:val="18"/>
          <w:szCs w:val="18"/>
          <w:color w:val="auto"/>
        </w:rPr>
        <w:t>to</w:t>
      </w:r>
      <w:r>
        <w:rPr>
          <w:sz w:val="20"/>
          <w:szCs w:val="20"/>
          <w:color w:val="auto"/>
        </w:rPr>
        <w:tab/>
      </w:r>
      <w:r>
        <w:rPr>
          <w:rFonts w:ascii="Arial" w:cs="Arial" w:eastAsia="Arial" w:hAnsi="Arial"/>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3662045</wp:posOffset>
            </wp:positionH>
            <wp:positionV relativeFrom="paragraph">
              <wp:posOffset>-13970</wp:posOffset>
            </wp:positionV>
            <wp:extent cx="125730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57300" cy="8890"/>
                    </a:xfrm>
                    <a:prstGeom prst="rect">
                      <a:avLst/>
                    </a:prstGeom>
                    <a:noFill/>
                  </pic:spPr>
                </pic:pic>
              </a:graphicData>
            </a:graphic>
          </wp:anchor>
        </w:drawing>
      </w:r>
    </w:p>
    <w:p>
      <w:pPr>
        <w:spacing w:after="0" w:line="151" w:lineRule="exact"/>
        <w:rPr>
          <w:sz w:val="24"/>
          <w:szCs w:val="24"/>
          <w:color w:val="auto"/>
        </w:rPr>
      </w:pPr>
    </w:p>
    <w:p>
      <w:pPr>
        <w:jc w:val="center"/>
        <w:ind w:right="-239"/>
        <w:spacing w:after="0"/>
        <w:rPr>
          <w:sz w:val="20"/>
          <w:szCs w:val="20"/>
          <w:color w:val="auto"/>
        </w:rPr>
      </w:pPr>
      <w:r>
        <w:rPr>
          <w:rFonts w:ascii="Arial" w:cs="Arial" w:eastAsia="Arial" w:hAnsi="Arial"/>
          <w:sz w:val="18"/>
          <w:szCs w:val="18"/>
          <w:color w:val="auto"/>
        </w:rPr>
        <w:t>Commission file number 333-126019-09</w:t>
      </w:r>
    </w:p>
    <w:p>
      <w:pPr>
        <w:spacing w:after="0" w:line="136" w:lineRule="exact"/>
        <w:rPr>
          <w:sz w:val="24"/>
          <w:szCs w:val="24"/>
          <w:color w:val="auto"/>
        </w:rPr>
      </w:pPr>
    </w:p>
    <w:p>
      <w:pPr>
        <w:jc w:val="center"/>
        <w:ind w:right="-239"/>
        <w:spacing w:after="0"/>
        <w:rPr>
          <w:sz w:val="20"/>
          <w:szCs w:val="20"/>
          <w:color w:val="auto"/>
        </w:rPr>
      </w:pPr>
      <w:r>
        <w:rPr>
          <w:rFonts w:ascii="Arial" w:cs="Arial" w:eastAsia="Arial" w:hAnsi="Arial"/>
          <w:sz w:val="43"/>
          <w:szCs w:val="43"/>
          <w:b w:val="1"/>
          <w:bCs w:val="1"/>
          <w:color w:val="auto"/>
        </w:rPr>
        <w:t>MAGNACHIP SEMICONDUCTOR LLC</w:t>
      </w:r>
    </w:p>
    <w:p>
      <w:pPr>
        <w:spacing w:after="0" w:line="54" w:lineRule="exact"/>
        <w:rPr>
          <w:sz w:val="24"/>
          <w:szCs w:val="24"/>
          <w:color w:val="auto"/>
        </w:rPr>
      </w:pPr>
    </w:p>
    <w:p>
      <w:pPr>
        <w:jc w:val="center"/>
        <w:ind w:right="-23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192" w:lineRule="exact"/>
        <w:rPr>
          <w:sz w:val="24"/>
          <w:szCs w:val="24"/>
          <w:color w:val="auto"/>
        </w:rPr>
      </w:pPr>
    </w:p>
    <w:tbl>
      <w:tblPr>
        <w:tblLayout w:type="fixed"/>
        <w:tblInd w:w="1220" w:type="dxa"/>
        <w:tblCellMar>
          <w:top w:w="0" w:type="dxa"/>
          <w:left w:w="0" w:type="dxa"/>
          <w:bottom w:w="0" w:type="dxa"/>
          <w:right w:w="0" w:type="dxa"/>
        </w:tblCellMar>
      </w:tblPr>
      <w:tr>
        <w:trPr>
          <w:trHeight w:val="218"/>
        </w:trPr>
        <w:tc>
          <w:tcPr>
            <w:tcW w:w="4860" w:type="dxa"/>
            <w:vAlign w:val="bottom"/>
          </w:tcPr>
          <w:p>
            <w:pPr>
              <w:jc w:val="center"/>
              <w:ind w:right="1481"/>
              <w:spacing w:after="0"/>
              <w:rPr>
                <w:sz w:val="20"/>
                <w:szCs w:val="20"/>
                <w:color w:val="auto"/>
              </w:rPr>
            </w:pPr>
            <w:r>
              <w:rPr>
                <w:rFonts w:ascii="Arial" w:cs="Arial" w:eastAsia="Arial" w:hAnsi="Arial"/>
                <w:sz w:val="18"/>
                <w:szCs w:val="18"/>
                <w:b w:val="1"/>
                <w:bCs w:val="1"/>
                <w:color w:val="auto"/>
                <w:w w:val="88"/>
              </w:rPr>
              <w:t>Delaware</w:t>
            </w:r>
          </w:p>
        </w:tc>
        <w:tc>
          <w:tcPr>
            <w:tcW w:w="3640" w:type="dxa"/>
            <w:vAlign w:val="bottom"/>
          </w:tcPr>
          <w:p>
            <w:pPr>
              <w:jc w:val="center"/>
              <w:ind w:left="1482"/>
              <w:spacing w:after="0"/>
              <w:rPr>
                <w:sz w:val="20"/>
                <w:szCs w:val="20"/>
                <w:color w:val="auto"/>
              </w:rPr>
            </w:pPr>
            <w:r>
              <w:rPr>
                <w:rFonts w:ascii="Arial" w:cs="Arial" w:eastAsia="Arial" w:hAnsi="Arial"/>
                <w:sz w:val="18"/>
                <w:szCs w:val="18"/>
                <w:b w:val="1"/>
                <w:bCs w:val="1"/>
                <w:color w:val="auto"/>
                <w:w w:val="87"/>
              </w:rPr>
              <w:t>83-0406195</w:t>
            </w:r>
          </w:p>
        </w:tc>
      </w:tr>
      <w:tr>
        <w:trPr>
          <w:trHeight w:val="149"/>
        </w:trPr>
        <w:tc>
          <w:tcPr>
            <w:tcW w:w="4860" w:type="dxa"/>
            <w:vAlign w:val="bottom"/>
          </w:tcPr>
          <w:p>
            <w:pPr>
              <w:jc w:val="center"/>
              <w:ind w:right="1501"/>
              <w:spacing w:after="0" w:line="149" w:lineRule="exact"/>
              <w:rPr>
                <w:sz w:val="20"/>
                <w:szCs w:val="20"/>
                <w:color w:val="auto"/>
              </w:rPr>
            </w:pPr>
            <w:r>
              <w:rPr>
                <w:rFonts w:ascii="Arial" w:cs="Arial" w:eastAsia="Arial" w:hAnsi="Arial"/>
                <w:sz w:val="14"/>
                <w:szCs w:val="14"/>
                <w:b w:val="1"/>
                <w:bCs w:val="1"/>
                <w:color w:val="auto"/>
                <w:w w:val="87"/>
              </w:rPr>
              <w:t>(State or other jurisdiction of</w:t>
            </w:r>
          </w:p>
        </w:tc>
        <w:tc>
          <w:tcPr>
            <w:tcW w:w="3640" w:type="dxa"/>
            <w:vAlign w:val="bottom"/>
          </w:tcPr>
          <w:p>
            <w:pPr>
              <w:jc w:val="center"/>
              <w:ind w:left="1502"/>
              <w:spacing w:after="0" w:line="149" w:lineRule="exact"/>
              <w:rPr>
                <w:sz w:val="20"/>
                <w:szCs w:val="20"/>
                <w:color w:val="auto"/>
              </w:rPr>
            </w:pPr>
            <w:r>
              <w:rPr>
                <w:rFonts w:ascii="Arial" w:cs="Arial" w:eastAsia="Arial" w:hAnsi="Arial"/>
                <w:sz w:val="14"/>
                <w:szCs w:val="14"/>
                <w:b w:val="1"/>
                <w:bCs w:val="1"/>
                <w:color w:val="auto"/>
                <w:w w:val="89"/>
              </w:rPr>
              <w:t>(I.R.S. Employer Identification No.)</w:t>
            </w:r>
          </w:p>
        </w:tc>
      </w:tr>
      <w:tr>
        <w:trPr>
          <w:trHeight w:val="174"/>
        </w:trPr>
        <w:tc>
          <w:tcPr>
            <w:tcW w:w="4860" w:type="dxa"/>
            <w:vAlign w:val="bottom"/>
          </w:tcPr>
          <w:p>
            <w:pPr>
              <w:jc w:val="center"/>
              <w:ind w:right="1501"/>
              <w:spacing w:after="0"/>
              <w:rPr>
                <w:sz w:val="20"/>
                <w:szCs w:val="20"/>
                <w:color w:val="auto"/>
              </w:rPr>
            </w:pPr>
            <w:r>
              <w:rPr>
                <w:rFonts w:ascii="Arial" w:cs="Arial" w:eastAsia="Arial" w:hAnsi="Arial"/>
                <w:sz w:val="14"/>
                <w:szCs w:val="14"/>
                <w:b w:val="1"/>
                <w:bCs w:val="1"/>
                <w:color w:val="auto"/>
                <w:w w:val="88"/>
              </w:rPr>
              <w:t>incorporation or organization)</w:t>
            </w:r>
          </w:p>
        </w:tc>
        <w:tc>
          <w:tcPr>
            <w:tcW w:w="3640" w:type="dxa"/>
            <w:vAlign w:val="bottom"/>
          </w:tcPr>
          <w:p>
            <w:pPr>
              <w:spacing w:after="0"/>
              <w:rPr>
                <w:sz w:val="15"/>
                <w:szCs w:val="15"/>
                <w:color w:val="auto"/>
              </w:rPr>
            </w:pPr>
          </w:p>
        </w:tc>
      </w:tr>
      <w:tr>
        <w:trPr>
          <w:trHeight w:val="405"/>
        </w:trPr>
        <w:tc>
          <w:tcPr>
            <w:tcW w:w="4860" w:type="dxa"/>
            <w:vAlign w:val="bottom"/>
          </w:tcPr>
          <w:p>
            <w:pPr>
              <w:jc w:val="center"/>
              <w:ind w:right="1501"/>
              <w:spacing w:after="0"/>
              <w:rPr>
                <w:sz w:val="20"/>
                <w:szCs w:val="20"/>
                <w:color w:val="auto"/>
              </w:rPr>
            </w:pPr>
            <w:r>
              <w:rPr>
                <w:rFonts w:ascii="Arial" w:cs="Arial" w:eastAsia="Arial" w:hAnsi="Arial"/>
                <w:sz w:val="18"/>
                <w:szCs w:val="18"/>
                <w:b w:val="1"/>
                <w:bCs w:val="1"/>
                <w:color w:val="auto"/>
                <w:w w:val="88"/>
              </w:rPr>
              <w:t>c/o MagnaChip Semiconductor S.A.</w:t>
            </w:r>
          </w:p>
        </w:tc>
        <w:tc>
          <w:tcPr>
            <w:tcW w:w="3640" w:type="dxa"/>
            <w:vAlign w:val="bottom"/>
          </w:tcPr>
          <w:p>
            <w:pPr>
              <w:spacing w:after="0"/>
              <w:rPr>
                <w:sz w:val="24"/>
                <w:szCs w:val="24"/>
                <w:color w:val="auto"/>
              </w:rPr>
            </w:pPr>
          </w:p>
        </w:tc>
      </w:tr>
      <w:tr>
        <w:trPr>
          <w:trHeight w:val="216"/>
        </w:trPr>
        <w:tc>
          <w:tcPr>
            <w:tcW w:w="4860" w:type="dxa"/>
            <w:vAlign w:val="bottom"/>
          </w:tcPr>
          <w:p>
            <w:pPr>
              <w:jc w:val="center"/>
              <w:ind w:right="1481"/>
              <w:spacing w:after="0"/>
              <w:rPr>
                <w:sz w:val="20"/>
                <w:szCs w:val="20"/>
                <w:color w:val="auto"/>
              </w:rPr>
            </w:pPr>
            <w:r>
              <w:rPr>
                <w:rFonts w:ascii="Arial" w:cs="Arial" w:eastAsia="Arial" w:hAnsi="Arial"/>
                <w:sz w:val="18"/>
                <w:szCs w:val="18"/>
                <w:b w:val="1"/>
                <w:bCs w:val="1"/>
                <w:color w:val="auto"/>
                <w:w w:val="90"/>
              </w:rPr>
              <w:t>74, rue de Merl, B.P. 709, L-2017</w:t>
            </w:r>
          </w:p>
        </w:tc>
        <w:tc>
          <w:tcPr>
            <w:tcW w:w="3640" w:type="dxa"/>
            <w:vAlign w:val="bottom"/>
          </w:tcPr>
          <w:p>
            <w:pPr>
              <w:spacing w:after="0"/>
              <w:rPr>
                <w:sz w:val="18"/>
                <w:szCs w:val="18"/>
                <w:color w:val="auto"/>
              </w:rPr>
            </w:pPr>
          </w:p>
        </w:tc>
      </w:tr>
      <w:tr>
        <w:trPr>
          <w:trHeight w:val="231"/>
        </w:trPr>
        <w:tc>
          <w:tcPr>
            <w:tcW w:w="4860" w:type="dxa"/>
            <w:vAlign w:val="bottom"/>
          </w:tcPr>
          <w:p>
            <w:pPr>
              <w:jc w:val="center"/>
              <w:ind w:right="1481"/>
              <w:spacing w:after="0"/>
              <w:rPr>
                <w:sz w:val="20"/>
                <w:szCs w:val="20"/>
                <w:color w:val="auto"/>
              </w:rPr>
            </w:pPr>
            <w:r>
              <w:rPr>
                <w:rFonts w:ascii="Arial" w:cs="Arial" w:eastAsia="Arial" w:hAnsi="Arial"/>
                <w:sz w:val="18"/>
                <w:szCs w:val="18"/>
                <w:b w:val="1"/>
                <w:bCs w:val="1"/>
                <w:color w:val="auto"/>
                <w:w w:val="89"/>
              </w:rPr>
              <w:t>Luxembourg, Grand Duchy of Luxembourg</w:t>
            </w:r>
          </w:p>
        </w:tc>
        <w:tc>
          <w:tcPr>
            <w:tcW w:w="3640" w:type="dxa"/>
            <w:vAlign w:val="bottom"/>
          </w:tcPr>
          <w:p>
            <w:pPr>
              <w:jc w:val="center"/>
              <w:ind w:left="1482"/>
              <w:spacing w:after="0"/>
              <w:rPr>
                <w:sz w:val="20"/>
                <w:szCs w:val="20"/>
                <w:color w:val="auto"/>
              </w:rPr>
            </w:pPr>
            <w:r>
              <w:rPr>
                <w:rFonts w:ascii="Arial" w:cs="Arial" w:eastAsia="Arial" w:hAnsi="Arial"/>
                <w:sz w:val="18"/>
                <w:szCs w:val="18"/>
                <w:b w:val="1"/>
                <w:bCs w:val="1"/>
                <w:color w:val="auto"/>
                <w:w w:val="88"/>
              </w:rPr>
              <w:t>Not Applicable</w:t>
            </w:r>
          </w:p>
        </w:tc>
      </w:tr>
      <w:tr>
        <w:trPr>
          <w:trHeight w:val="174"/>
        </w:trPr>
        <w:tc>
          <w:tcPr>
            <w:tcW w:w="4860" w:type="dxa"/>
            <w:vAlign w:val="bottom"/>
          </w:tcPr>
          <w:p>
            <w:pPr>
              <w:jc w:val="center"/>
              <w:ind w:right="1501"/>
              <w:spacing w:after="0"/>
              <w:rPr>
                <w:sz w:val="20"/>
                <w:szCs w:val="20"/>
                <w:color w:val="auto"/>
              </w:rPr>
            </w:pPr>
            <w:r>
              <w:rPr>
                <w:rFonts w:ascii="Arial" w:cs="Arial" w:eastAsia="Arial" w:hAnsi="Arial"/>
                <w:sz w:val="14"/>
                <w:szCs w:val="14"/>
                <w:b w:val="1"/>
                <w:bCs w:val="1"/>
                <w:color w:val="auto"/>
                <w:w w:val="85"/>
              </w:rPr>
              <w:t>(Address of principal executive offices)</w:t>
            </w:r>
          </w:p>
        </w:tc>
        <w:tc>
          <w:tcPr>
            <w:tcW w:w="3640" w:type="dxa"/>
            <w:vAlign w:val="bottom"/>
          </w:tcPr>
          <w:p>
            <w:pPr>
              <w:jc w:val="center"/>
              <w:ind w:left="1502"/>
              <w:spacing w:after="0"/>
              <w:rPr>
                <w:sz w:val="20"/>
                <w:szCs w:val="20"/>
                <w:color w:val="auto"/>
              </w:rPr>
            </w:pPr>
            <w:r>
              <w:rPr>
                <w:rFonts w:ascii="Arial" w:cs="Arial" w:eastAsia="Arial" w:hAnsi="Arial"/>
                <w:sz w:val="14"/>
                <w:szCs w:val="14"/>
                <w:b w:val="1"/>
                <w:bCs w:val="1"/>
                <w:color w:val="auto"/>
                <w:w w:val="89"/>
              </w:rPr>
              <w:t>(Zip Code)</w:t>
            </w:r>
          </w:p>
        </w:tc>
      </w:tr>
    </w:tbl>
    <w:p>
      <w:pPr>
        <w:spacing w:after="0" w:line="135" w:lineRule="exact"/>
        <w:rPr>
          <w:sz w:val="24"/>
          <w:szCs w:val="24"/>
          <w:color w:val="auto"/>
        </w:rPr>
      </w:pPr>
    </w:p>
    <w:p>
      <w:pPr>
        <w:jc w:val="center"/>
        <w:ind w:right="-239"/>
        <w:spacing w:after="0"/>
        <w:rPr>
          <w:sz w:val="20"/>
          <w:szCs w:val="20"/>
          <w:color w:val="auto"/>
        </w:rPr>
      </w:pPr>
      <w:r>
        <w:rPr>
          <w:rFonts w:ascii="Arial" w:cs="Arial" w:eastAsia="Arial" w:hAnsi="Arial"/>
          <w:sz w:val="18"/>
          <w:szCs w:val="18"/>
          <w:b w:val="1"/>
          <w:bCs w:val="1"/>
          <w:color w:val="auto"/>
        </w:rPr>
        <w:t>Registrant’s telephone number, including area code: (352) 45-62-62</w:t>
      </w:r>
    </w:p>
    <w:p>
      <w:pPr>
        <w:spacing w:after="0" w:line="177" w:lineRule="exact"/>
        <w:rPr>
          <w:sz w:val="24"/>
          <w:szCs w:val="24"/>
          <w:color w:val="auto"/>
        </w:rPr>
      </w:pPr>
    </w:p>
    <w:p>
      <w:pPr>
        <w:ind w:firstLine="456"/>
        <w:spacing w:after="0" w:line="225"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38" w:lineRule="exact"/>
        <w:rPr>
          <w:sz w:val="24"/>
          <w:szCs w:val="24"/>
          <w:color w:val="auto"/>
        </w:rPr>
      </w:pPr>
    </w:p>
    <w:p>
      <w:pPr>
        <w:ind w:firstLine="456"/>
        <w:spacing w:after="0" w:line="268" w:lineRule="auto"/>
        <w:rPr>
          <w:sz w:val="20"/>
          <w:szCs w:val="20"/>
          <w:color w:val="auto"/>
        </w:rPr>
      </w:pPr>
      <w:r>
        <w:rPr>
          <w:rFonts w:ascii="Arial" w:cs="Arial" w:eastAsia="Arial" w:hAnsi="Arial"/>
          <w:sz w:val="18"/>
          <w:szCs w:val="18"/>
          <w:color w:val="auto"/>
        </w:rPr>
        <w:t>Indicate by check mark whether the registrant is a large accelerated filer, an accelerated filer, or a non accelerated filer. See the definition of “accelerated filer and large accelerated filer” in Rule 12b-2 of the Exchange Act.</w:t>
      </w:r>
    </w:p>
    <w:p>
      <w:pPr>
        <w:spacing w:after="0" w:line="99" w:lineRule="exact"/>
        <w:rPr>
          <w:sz w:val="24"/>
          <w:szCs w:val="24"/>
          <w:color w:val="auto"/>
        </w:rPr>
      </w:pPr>
    </w:p>
    <w:p>
      <w:pPr>
        <w:ind w:left="2700"/>
        <w:spacing w:after="0" w:line="207" w:lineRule="exact"/>
        <w:tabs>
          <w:tab w:leader="none" w:pos="5020" w:val="left"/>
          <w:tab w:leader="none" w:pos="6980" w:val="left"/>
        </w:tabs>
        <w:rPr>
          <w:sz w:val="20"/>
          <w:szCs w:val="20"/>
          <w:color w:val="auto"/>
        </w:rPr>
      </w:pPr>
      <w:r>
        <w:rPr>
          <w:rFonts w:ascii="Arial" w:cs="Arial" w:eastAsia="Arial" w:hAnsi="Arial"/>
          <w:sz w:val="18"/>
          <w:szCs w:val="18"/>
          <w:color w:val="auto"/>
        </w:rPr>
        <w:t xml:space="preserve">Large accelerated filer </w:t>
      </w: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color w:val="auto"/>
        </w:rPr>
        <w:t xml:space="preserve">Accelerated filer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Non-accelerated filer </w:t>
      </w:r>
      <w:r>
        <w:rPr>
          <w:rFonts w:ascii="MS PGothic" w:cs="MS PGothic" w:eastAsia="MS PGothic" w:hAnsi="MS PGothic"/>
          <w:sz w:val="16"/>
          <w:szCs w:val="16"/>
          <w:color w:val="auto"/>
        </w:rPr>
        <w:t>☒</w:t>
      </w:r>
    </w:p>
    <w:p>
      <w:pPr>
        <w:spacing w:after="0" w:line="171" w:lineRule="exact"/>
        <w:rPr>
          <w:sz w:val="24"/>
          <w:szCs w:val="24"/>
          <w:color w:val="auto"/>
        </w:rPr>
      </w:pPr>
    </w:p>
    <w:p>
      <w:pPr>
        <w:ind w:left="460"/>
        <w:spacing w:after="0" w:line="184" w:lineRule="exact"/>
        <w:tabs>
          <w:tab w:leader="none" w:pos="9140" w:val="left"/>
        </w:tabs>
        <w:rPr>
          <w:sz w:val="20"/>
          <w:szCs w:val="20"/>
          <w:color w:val="auto"/>
        </w:rPr>
      </w:pPr>
      <w:r>
        <w:rPr>
          <w:rFonts w:ascii="Arial" w:cs="Arial" w:eastAsia="Arial" w:hAnsi="Arial"/>
          <w:sz w:val="16"/>
          <w:szCs w:val="16"/>
          <w:color w:val="auto"/>
        </w:rPr>
        <w:t xml:space="preserve">Indicate by check mark whether the registrant is a shell company (as defined in Rule 12b-2 of the Exchange Act). Yes </w:t>
      </w:r>
      <w:r>
        <w:rPr>
          <w:rFonts w:ascii="MS PGothic" w:cs="MS PGothic" w:eastAsia="MS PGothic" w:hAnsi="MS PGothic"/>
          <w:sz w:val="16"/>
          <w:szCs w:val="16"/>
          <w:color w:val="auto"/>
        </w:rPr>
        <w:t>☐</w:t>
      </w:r>
      <w:r>
        <w:rPr>
          <w:rFonts w:ascii="Arial" w:cs="Arial" w:eastAsia="Arial" w:hAnsi="Arial"/>
          <w:sz w:val="16"/>
          <w:szCs w:val="16"/>
          <w:color w:val="auto"/>
        </w:rPr>
        <w:tab/>
        <w:t xml:space="preserve">No </w:t>
      </w:r>
      <w:r>
        <w:rPr>
          <w:rFonts w:ascii="MS PGothic" w:cs="MS PGothic" w:eastAsia="MS PGothic" w:hAnsi="MS PGothic"/>
          <w:sz w:val="16"/>
          <w:szCs w:val="16"/>
          <w:color w:val="auto"/>
        </w:rPr>
        <w:t>☒</w:t>
      </w:r>
    </w:p>
    <w:p>
      <w:pPr>
        <w:spacing w:after="0" w:line="227" w:lineRule="exact"/>
        <w:rPr>
          <w:sz w:val="24"/>
          <w:szCs w:val="24"/>
          <w:color w:val="auto"/>
        </w:rPr>
      </w:pPr>
    </w:p>
    <w:p>
      <w:pPr>
        <w:ind w:left="2080"/>
        <w:spacing w:after="0"/>
        <w:rPr>
          <w:sz w:val="20"/>
          <w:szCs w:val="20"/>
          <w:color w:val="auto"/>
        </w:rPr>
      </w:pPr>
      <w:r>
        <w:rPr>
          <w:rFonts w:ascii="Arial" w:cs="Arial" w:eastAsia="Arial" w:hAnsi="Arial"/>
          <w:sz w:val="18"/>
          <w:szCs w:val="18"/>
          <w:color w:val="auto"/>
        </w:rPr>
        <w:t>As of August 1, 2006, the registrant had 52,720,784.0470 of the registrant’s common units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309245</wp:posOffset>
            </wp:positionV>
            <wp:extent cx="7250430" cy="298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9" w:lineRule="exact"/>
        <w:rPr>
          <w:sz w:val="24"/>
          <w:szCs w:val="24"/>
          <w:color w:val="auto"/>
        </w:rPr>
      </w:pPr>
    </w:p>
    <w:p>
      <w:pPr>
        <w:jc w:val="center"/>
        <w:ind w:right="-23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180"/>
          </w:cols>
          <w:pgMar w:left="240" w:top="230" w:right="479" w:bottom="1440" w:gutter="0" w:footer="0" w:header="0"/>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MagnaChip Semiconductor LLC and Subsidiaries</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TABLE OF CONTENTS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3260" w:type="dxa"/>
            <w:vAlign w:val="bottom"/>
          </w:tcPr>
          <w:p>
            <w:pPr>
              <w:spacing w:after="0"/>
              <w:rPr>
                <w:sz w:val="14"/>
                <w:szCs w:val="14"/>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3"/>
              </w:rPr>
              <w:t>Page No.</w:t>
            </w:r>
          </w:p>
        </w:tc>
      </w:tr>
      <w:tr>
        <w:trPr>
          <w:trHeight w:val="237"/>
        </w:trPr>
        <w:tc>
          <w:tcPr>
            <w:tcW w:w="10900" w:type="dxa"/>
            <w:vAlign w:val="bottom"/>
            <w:gridSpan w:val="18"/>
          </w:tcPr>
          <w:p>
            <w:pPr>
              <w:spacing w:after="0"/>
              <w:rPr>
                <w:rFonts w:ascii="Arial" w:cs="Arial" w:eastAsia="Arial" w:hAnsi="Arial"/>
                <w:sz w:val="18"/>
                <w:szCs w:val="18"/>
                <w:color w:val="auto"/>
              </w:rPr>
            </w:pPr>
            <w:r>
              <w:rPr>
                <w:rFonts w:ascii="Arial" w:cs="Arial" w:eastAsia="Arial" w:hAnsi="Arial"/>
                <w:sz w:val="18"/>
                <w:szCs w:val="18"/>
                <w:color w:val="auto"/>
              </w:rPr>
              <w:t xml:space="preserve">PART I </w:t>
            </w:r>
            <w:hyperlink w:anchor="page3">
              <w:r>
                <w:rPr>
                  <w:rFonts w:ascii="Arial" w:cs="Arial" w:eastAsia="Arial" w:hAnsi="Arial"/>
                  <w:sz w:val="18"/>
                  <w:szCs w:val="18"/>
                  <w:color w:val="0000EE"/>
                </w:rPr>
                <w:t>FINANCIAL INFORMATION</w:t>
              </w:r>
            </w:hyperlink>
          </w:p>
        </w:tc>
        <w:tc>
          <w:tcPr>
            <w:tcW w:w="52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0"/>
        </w:trPr>
        <w:tc>
          <w:tcPr>
            <w:tcW w:w="640" w:type="dxa"/>
            <w:vAlign w:val="bottom"/>
            <w:tcBorders>
              <w:right w:val="single" w:sz="8" w:color="0000EE"/>
            </w:tcBorders>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32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r>
      <w:tr>
        <w:trPr>
          <w:trHeight w:val="304"/>
        </w:trPr>
        <w:tc>
          <w:tcPr>
            <w:tcW w:w="1340" w:type="dxa"/>
            <w:vAlign w:val="bottom"/>
            <w:gridSpan w:val="3"/>
          </w:tcPr>
          <w:p>
            <w:pPr>
              <w:ind w:left="440"/>
              <w:spacing w:after="0"/>
              <w:rPr>
                <w:sz w:val="20"/>
                <w:szCs w:val="20"/>
                <w:color w:val="auto"/>
              </w:rPr>
            </w:pPr>
            <w:r>
              <w:rPr>
                <w:rFonts w:ascii="Arial" w:cs="Arial" w:eastAsia="Arial" w:hAnsi="Arial"/>
                <w:sz w:val="18"/>
                <w:szCs w:val="18"/>
                <w:color w:val="auto"/>
              </w:rPr>
              <w:t>Item 1.</w:t>
            </w:r>
          </w:p>
        </w:tc>
        <w:tc>
          <w:tcPr>
            <w:tcW w:w="2360" w:type="dxa"/>
            <w:vAlign w:val="bottom"/>
            <w:tcBorders>
              <w:bottom w:val="single" w:sz="8" w:color="0000EE"/>
            </w:tcBorders>
            <w:gridSpan w:val="6"/>
          </w:tcPr>
          <w:p>
            <w:pPr>
              <w:spacing w:after="0"/>
              <w:rPr>
                <w:rFonts w:ascii="Arial" w:cs="Arial" w:eastAsia="Arial" w:hAnsi="Arial"/>
                <w:sz w:val="18"/>
                <w:szCs w:val="18"/>
                <w:color w:val="0000EE"/>
                <w:w w:val="87"/>
              </w:rPr>
            </w:pPr>
            <w:hyperlink w:anchor="page3">
              <w:r>
                <w:rPr>
                  <w:rFonts w:ascii="Arial" w:cs="Arial" w:eastAsia="Arial" w:hAnsi="Arial"/>
                  <w:sz w:val="18"/>
                  <w:szCs w:val="18"/>
                  <w:color w:val="0000EE"/>
                  <w:w w:val="87"/>
                </w:rPr>
                <w:t>Financial Statements (Unaudited)</w:t>
              </w:r>
            </w:hyperlink>
          </w:p>
        </w:tc>
        <w:tc>
          <w:tcPr>
            <w:tcW w:w="7200" w:type="dxa"/>
            <w:vAlign w:val="bottom"/>
            <w:gridSpan w:val="9"/>
          </w:tcPr>
          <w:p>
            <w:pPr>
              <w:spacing w:after="0"/>
              <w:rPr>
                <w:sz w:val="24"/>
                <w:szCs w:val="24"/>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304"/>
        </w:trPr>
        <w:tc>
          <w:tcPr>
            <w:tcW w:w="6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560" w:type="dxa"/>
            <w:vAlign w:val="bottom"/>
            <w:gridSpan w:val="15"/>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Condensed Consolidated Statements of Operations</w:t>
              </w:r>
            </w:hyperlink>
          </w:p>
        </w:tc>
        <w:tc>
          <w:tcPr>
            <w:tcW w:w="52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304"/>
        </w:trPr>
        <w:tc>
          <w:tcPr>
            <w:tcW w:w="6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60" w:type="dxa"/>
            <w:vAlign w:val="bottom"/>
            <w:tcBorders>
              <w:top w:val="single" w:sz="8" w:color="0000EE"/>
              <w:bottom w:val="single" w:sz="8" w:color="0000EE"/>
            </w:tcBorders>
            <w:gridSpan w:val="7"/>
          </w:tcPr>
          <w:p>
            <w:pPr>
              <w:spacing w:after="0"/>
              <w:rPr>
                <w:rFonts w:ascii="Arial" w:cs="Arial" w:eastAsia="Arial" w:hAnsi="Arial"/>
                <w:sz w:val="18"/>
                <w:szCs w:val="18"/>
                <w:color w:val="0000EE"/>
                <w:w w:val="85"/>
              </w:rPr>
            </w:pPr>
            <w:hyperlink w:anchor="page4">
              <w:r>
                <w:rPr>
                  <w:rFonts w:ascii="Arial" w:cs="Arial" w:eastAsia="Arial" w:hAnsi="Arial"/>
                  <w:sz w:val="18"/>
                  <w:szCs w:val="18"/>
                  <w:color w:val="0000EE"/>
                  <w:w w:val="85"/>
                </w:rPr>
                <w:t>Condensed Consolidated Balance Sheets</w:t>
              </w:r>
            </w:hyperlink>
          </w:p>
        </w:tc>
        <w:tc>
          <w:tcPr>
            <w:tcW w:w="700" w:type="dxa"/>
            <w:vAlign w:val="bottom"/>
            <w:tcBorders>
              <w:top w:val="single" w:sz="8" w:color="0000EE"/>
            </w:tcBorders>
          </w:tcPr>
          <w:p>
            <w:pPr>
              <w:spacing w:after="0"/>
              <w:rPr>
                <w:sz w:val="24"/>
                <w:szCs w:val="24"/>
                <w:color w:val="auto"/>
              </w:rPr>
            </w:pPr>
          </w:p>
        </w:tc>
        <w:tc>
          <w:tcPr>
            <w:tcW w:w="6000" w:type="dxa"/>
            <w:vAlign w:val="bottom"/>
            <w:gridSpan w:val="7"/>
          </w:tcPr>
          <w:p>
            <w:pPr>
              <w:spacing w:after="0"/>
              <w:rPr>
                <w:sz w:val="24"/>
                <w:szCs w:val="24"/>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304"/>
        </w:trPr>
        <w:tc>
          <w:tcPr>
            <w:tcW w:w="6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620" w:type="dxa"/>
            <w:vAlign w:val="bottom"/>
            <w:tcBorders>
              <w:bottom w:val="single" w:sz="8" w:color="0000EE"/>
            </w:tcBorders>
            <w:gridSpan w:val="9"/>
          </w:tcPr>
          <w:p>
            <w:pPr>
              <w:spacing w:after="0"/>
              <w:rPr>
                <w:rFonts w:ascii="Arial" w:cs="Arial" w:eastAsia="Arial" w:hAnsi="Arial"/>
                <w:sz w:val="18"/>
                <w:szCs w:val="18"/>
                <w:color w:val="0000EE"/>
                <w:w w:val="86"/>
              </w:rPr>
            </w:pPr>
            <w:hyperlink w:anchor="page5">
              <w:r>
                <w:rPr>
                  <w:rFonts w:ascii="Arial" w:cs="Arial" w:eastAsia="Arial" w:hAnsi="Arial"/>
                  <w:sz w:val="18"/>
                  <w:szCs w:val="18"/>
                  <w:color w:val="0000EE"/>
                  <w:w w:val="86"/>
                </w:rPr>
                <w:t>Condensed Consolidated Statements of Cash Flows</w:t>
              </w:r>
            </w:hyperlink>
          </w:p>
        </w:tc>
        <w:tc>
          <w:tcPr>
            <w:tcW w:w="5940" w:type="dxa"/>
            <w:vAlign w:val="bottom"/>
            <w:gridSpan w:val="6"/>
          </w:tcPr>
          <w:p>
            <w:pPr>
              <w:spacing w:after="0"/>
              <w:rPr>
                <w:sz w:val="24"/>
                <w:szCs w:val="24"/>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304"/>
        </w:trPr>
        <w:tc>
          <w:tcPr>
            <w:tcW w:w="6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560" w:type="dxa"/>
            <w:vAlign w:val="bottom"/>
            <w:gridSpan w:val="15"/>
          </w:tcPr>
          <w:p>
            <w:pPr>
              <w:spacing w:after="0"/>
              <w:rPr>
                <w:rFonts w:ascii="Arial" w:cs="Arial" w:eastAsia="Arial" w:hAnsi="Arial"/>
                <w:sz w:val="18"/>
                <w:szCs w:val="18"/>
                <w:color w:val="0000EE"/>
              </w:rPr>
            </w:pPr>
            <w:hyperlink w:anchor="page6">
              <w:r>
                <w:rPr>
                  <w:rFonts w:ascii="Arial" w:cs="Arial" w:eastAsia="Arial" w:hAnsi="Arial"/>
                  <w:sz w:val="18"/>
                  <w:szCs w:val="18"/>
                  <w:color w:val="0000EE"/>
                </w:rPr>
                <w:t>Notes to Condensed Consolidated Financial Statements</w:t>
              </w:r>
            </w:hyperlink>
          </w:p>
        </w:tc>
        <w:tc>
          <w:tcPr>
            <w:tcW w:w="52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0"/>
        </w:trPr>
        <w:tc>
          <w:tcPr>
            <w:tcW w:w="6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1940" w:type="dxa"/>
            <w:vAlign w:val="bottom"/>
            <w:gridSpan w:val="5"/>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32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r>
      <w:tr>
        <w:trPr>
          <w:trHeight w:val="304"/>
        </w:trPr>
        <w:tc>
          <w:tcPr>
            <w:tcW w:w="1340" w:type="dxa"/>
            <w:vAlign w:val="bottom"/>
            <w:gridSpan w:val="3"/>
          </w:tcPr>
          <w:p>
            <w:pPr>
              <w:ind w:left="440"/>
              <w:spacing w:after="0"/>
              <w:rPr>
                <w:sz w:val="20"/>
                <w:szCs w:val="20"/>
                <w:color w:val="auto"/>
              </w:rPr>
            </w:pPr>
            <w:r>
              <w:rPr>
                <w:rFonts w:ascii="Arial" w:cs="Arial" w:eastAsia="Arial" w:hAnsi="Arial"/>
                <w:sz w:val="18"/>
                <w:szCs w:val="18"/>
                <w:color w:val="auto"/>
              </w:rPr>
              <w:t>Item 2.</w:t>
            </w:r>
          </w:p>
        </w:tc>
        <w:tc>
          <w:tcPr>
            <w:tcW w:w="6300" w:type="dxa"/>
            <w:vAlign w:val="bottom"/>
            <w:tcBorders>
              <w:bottom w:val="single" w:sz="8" w:color="0000EE"/>
            </w:tcBorders>
            <w:gridSpan w:val="14"/>
          </w:tcPr>
          <w:p>
            <w:pPr>
              <w:spacing w:after="0"/>
              <w:rPr>
                <w:rFonts w:ascii="Arial" w:cs="Arial" w:eastAsia="Arial" w:hAnsi="Arial"/>
                <w:sz w:val="18"/>
                <w:szCs w:val="18"/>
                <w:color w:val="0000EE"/>
                <w:w w:val="88"/>
              </w:rPr>
            </w:pPr>
            <w:hyperlink w:anchor="page24">
              <w:r>
                <w:rPr>
                  <w:rFonts w:ascii="Arial" w:cs="Arial" w:eastAsia="Arial" w:hAnsi="Arial"/>
                  <w:sz w:val="18"/>
                  <w:szCs w:val="18"/>
                  <w:color w:val="0000EE"/>
                  <w:w w:val="88"/>
                </w:rPr>
                <w:t>Management’s Discussion and Analysis of Financial Condition and Results of Operations</w:t>
              </w:r>
            </w:hyperlink>
          </w:p>
        </w:tc>
        <w:tc>
          <w:tcPr>
            <w:tcW w:w="3260" w:type="dxa"/>
            <w:vAlign w:val="bottom"/>
          </w:tcPr>
          <w:p>
            <w:pPr>
              <w:spacing w:after="0"/>
              <w:rPr>
                <w:sz w:val="24"/>
                <w:szCs w:val="24"/>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304"/>
        </w:trPr>
        <w:tc>
          <w:tcPr>
            <w:tcW w:w="1340" w:type="dxa"/>
            <w:vAlign w:val="bottom"/>
            <w:gridSpan w:val="3"/>
          </w:tcPr>
          <w:p>
            <w:pPr>
              <w:ind w:left="440"/>
              <w:spacing w:after="0"/>
              <w:rPr>
                <w:sz w:val="20"/>
                <w:szCs w:val="20"/>
                <w:color w:val="auto"/>
              </w:rPr>
            </w:pPr>
            <w:r>
              <w:rPr>
                <w:rFonts w:ascii="Arial" w:cs="Arial" w:eastAsia="Arial" w:hAnsi="Arial"/>
                <w:sz w:val="18"/>
                <w:szCs w:val="18"/>
                <w:color w:val="auto"/>
              </w:rPr>
              <w:t>Item 3.</w:t>
            </w:r>
          </w:p>
        </w:tc>
        <w:tc>
          <w:tcPr>
            <w:tcW w:w="4260" w:type="dxa"/>
            <w:vAlign w:val="bottom"/>
            <w:tcBorders>
              <w:bottom w:val="single" w:sz="8" w:color="0000EE"/>
            </w:tcBorders>
            <w:gridSpan w:val="13"/>
          </w:tcPr>
          <w:p>
            <w:pPr>
              <w:spacing w:after="0"/>
              <w:rPr>
                <w:rFonts w:ascii="Arial" w:cs="Arial" w:eastAsia="Arial" w:hAnsi="Arial"/>
                <w:sz w:val="18"/>
                <w:szCs w:val="18"/>
                <w:color w:val="0000EE"/>
                <w:w w:val="89"/>
              </w:rPr>
            </w:pPr>
            <w:hyperlink w:anchor="page32">
              <w:r>
                <w:rPr>
                  <w:rFonts w:ascii="Arial" w:cs="Arial" w:eastAsia="Arial" w:hAnsi="Arial"/>
                  <w:sz w:val="18"/>
                  <w:szCs w:val="18"/>
                  <w:color w:val="0000EE"/>
                  <w:w w:val="89"/>
                </w:rPr>
                <w:t>Quantitative and Qualitative Disclosures About Market Risk</w:t>
              </w:r>
            </w:hyperlink>
          </w:p>
        </w:tc>
        <w:tc>
          <w:tcPr>
            <w:tcW w:w="5300" w:type="dxa"/>
            <w:vAlign w:val="bottom"/>
            <w:gridSpan w:val="2"/>
          </w:tcPr>
          <w:p>
            <w:pPr>
              <w:spacing w:after="0"/>
              <w:rPr>
                <w:sz w:val="24"/>
                <w:szCs w:val="24"/>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304"/>
        </w:trPr>
        <w:tc>
          <w:tcPr>
            <w:tcW w:w="1340" w:type="dxa"/>
            <w:vAlign w:val="bottom"/>
            <w:gridSpan w:val="3"/>
          </w:tcPr>
          <w:p>
            <w:pPr>
              <w:ind w:left="440"/>
              <w:spacing w:after="0"/>
              <w:rPr>
                <w:sz w:val="20"/>
                <w:szCs w:val="20"/>
                <w:color w:val="auto"/>
              </w:rPr>
            </w:pPr>
            <w:r>
              <w:rPr>
                <w:rFonts w:ascii="Arial" w:cs="Arial" w:eastAsia="Arial" w:hAnsi="Arial"/>
                <w:sz w:val="18"/>
                <w:szCs w:val="18"/>
                <w:color w:val="auto"/>
              </w:rPr>
              <w:t>Item 4.</w:t>
            </w:r>
          </w:p>
        </w:tc>
        <w:tc>
          <w:tcPr>
            <w:tcW w:w="1720" w:type="dxa"/>
            <w:vAlign w:val="bottom"/>
            <w:tcBorders>
              <w:bottom w:val="single" w:sz="8" w:color="0000EE"/>
            </w:tcBorders>
            <w:gridSpan w:val="5"/>
          </w:tcPr>
          <w:p>
            <w:pPr>
              <w:spacing w:after="0"/>
              <w:rPr>
                <w:rFonts w:ascii="Arial" w:cs="Arial" w:eastAsia="Arial" w:hAnsi="Arial"/>
                <w:sz w:val="18"/>
                <w:szCs w:val="18"/>
                <w:color w:val="0000EE"/>
                <w:w w:val="85"/>
              </w:rPr>
            </w:pPr>
            <w:hyperlink w:anchor="page32">
              <w:r>
                <w:rPr>
                  <w:rFonts w:ascii="Arial" w:cs="Arial" w:eastAsia="Arial" w:hAnsi="Arial"/>
                  <w:sz w:val="18"/>
                  <w:szCs w:val="18"/>
                  <w:color w:val="0000EE"/>
                  <w:w w:val="85"/>
                </w:rPr>
                <w:t>Controls and Procedures</w:t>
              </w:r>
            </w:hyperlink>
          </w:p>
        </w:tc>
        <w:tc>
          <w:tcPr>
            <w:tcW w:w="7840" w:type="dxa"/>
            <w:vAlign w:val="bottom"/>
            <w:gridSpan w:val="10"/>
          </w:tcPr>
          <w:p>
            <w:pPr>
              <w:spacing w:after="0"/>
              <w:rPr>
                <w:sz w:val="24"/>
                <w:szCs w:val="24"/>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412"/>
        </w:trPr>
        <w:tc>
          <w:tcPr>
            <w:tcW w:w="10900" w:type="dxa"/>
            <w:vAlign w:val="bottom"/>
            <w:gridSpan w:val="18"/>
          </w:tcPr>
          <w:p>
            <w:pPr>
              <w:spacing w:after="0"/>
              <w:rPr>
                <w:rFonts w:ascii="Arial" w:cs="Arial" w:eastAsia="Arial" w:hAnsi="Arial"/>
                <w:sz w:val="18"/>
                <w:szCs w:val="18"/>
                <w:color w:val="auto"/>
              </w:rPr>
            </w:pPr>
            <w:r>
              <w:rPr>
                <w:rFonts w:ascii="Arial" w:cs="Arial" w:eastAsia="Arial" w:hAnsi="Arial"/>
                <w:sz w:val="18"/>
                <w:szCs w:val="18"/>
                <w:color w:val="auto"/>
              </w:rPr>
              <w:t xml:space="preserve">PART II </w:t>
            </w:r>
            <w:hyperlink w:anchor="page33">
              <w:r>
                <w:rPr>
                  <w:rFonts w:ascii="Arial" w:cs="Arial" w:eastAsia="Arial" w:hAnsi="Arial"/>
                  <w:sz w:val="18"/>
                  <w:szCs w:val="18"/>
                  <w:color w:val="0000EE"/>
                </w:rPr>
                <w:t>OTHER INFORMATION</w:t>
              </w:r>
            </w:hyperlink>
          </w:p>
        </w:tc>
        <w:tc>
          <w:tcPr>
            <w:tcW w:w="52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20"/>
        </w:trPr>
        <w:tc>
          <w:tcPr>
            <w:tcW w:w="640" w:type="dxa"/>
            <w:vAlign w:val="bottom"/>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520" w:type="dxa"/>
            <w:vAlign w:val="bottom"/>
            <w:gridSpan w:val="7"/>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5320" w:type="dxa"/>
            <w:vAlign w:val="bottom"/>
            <w:gridSpan w:val="3"/>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r>
      <w:tr>
        <w:trPr>
          <w:trHeight w:val="304"/>
        </w:trPr>
        <w:tc>
          <w:tcPr>
            <w:tcW w:w="1340" w:type="dxa"/>
            <w:vAlign w:val="bottom"/>
            <w:gridSpan w:val="3"/>
          </w:tcPr>
          <w:p>
            <w:pPr>
              <w:ind w:left="440"/>
              <w:spacing w:after="0"/>
              <w:rPr>
                <w:sz w:val="20"/>
                <w:szCs w:val="20"/>
                <w:color w:val="auto"/>
              </w:rPr>
            </w:pPr>
            <w:r>
              <w:rPr>
                <w:rFonts w:ascii="Arial" w:cs="Arial" w:eastAsia="Arial" w:hAnsi="Arial"/>
                <w:sz w:val="18"/>
                <w:szCs w:val="18"/>
                <w:color w:val="auto"/>
              </w:rPr>
              <w:t>Item 1A</w:t>
            </w:r>
          </w:p>
        </w:tc>
        <w:tc>
          <w:tcPr>
            <w:tcW w:w="880" w:type="dxa"/>
            <w:vAlign w:val="bottom"/>
            <w:tcBorders>
              <w:bottom w:val="single" w:sz="8" w:color="0000EE"/>
            </w:tcBorders>
            <w:gridSpan w:val="2"/>
          </w:tcPr>
          <w:p>
            <w:pPr>
              <w:spacing w:after="0"/>
              <w:rPr>
                <w:rFonts w:ascii="Arial" w:cs="Arial" w:eastAsia="Arial" w:hAnsi="Arial"/>
                <w:sz w:val="18"/>
                <w:szCs w:val="18"/>
                <w:color w:val="0000EE"/>
                <w:w w:val="85"/>
              </w:rPr>
            </w:pPr>
            <w:hyperlink w:anchor="page33">
              <w:r>
                <w:rPr>
                  <w:rFonts w:ascii="Arial" w:cs="Arial" w:eastAsia="Arial" w:hAnsi="Arial"/>
                  <w:sz w:val="18"/>
                  <w:szCs w:val="18"/>
                  <w:color w:val="0000EE"/>
                  <w:w w:val="85"/>
                </w:rPr>
                <w:t>Risk Factors</w:t>
              </w:r>
            </w:hyperlink>
          </w:p>
        </w:tc>
        <w:tc>
          <w:tcPr>
            <w:tcW w:w="8680" w:type="dxa"/>
            <w:vAlign w:val="bottom"/>
            <w:gridSpan w:val="13"/>
          </w:tcPr>
          <w:p>
            <w:pPr>
              <w:spacing w:after="0"/>
              <w:rPr>
                <w:sz w:val="24"/>
                <w:szCs w:val="24"/>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304"/>
        </w:trPr>
        <w:tc>
          <w:tcPr>
            <w:tcW w:w="1340" w:type="dxa"/>
            <w:vAlign w:val="bottom"/>
            <w:gridSpan w:val="3"/>
          </w:tcPr>
          <w:p>
            <w:pPr>
              <w:ind w:left="440"/>
              <w:spacing w:after="0"/>
              <w:rPr>
                <w:sz w:val="20"/>
                <w:szCs w:val="20"/>
                <w:color w:val="auto"/>
              </w:rPr>
            </w:pPr>
            <w:r>
              <w:rPr>
                <w:rFonts w:ascii="Arial" w:cs="Arial" w:eastAsia="Arial" w:hAnsi="Arial"/>
                <w:sz w:val="18"/>
                <w:szCs w:val="18"/>
                <w:color w:val="auto"/>
              </w:rPr>
              <w:t>Item 2</w:t>
            </w:r>
          </w:p>
        </w:tc>
        <w:tc>
          <w:tcPr>
            <w:tcW w:w="4240" w:type="dxa"/>
            <w:vAlign w:val="bottom"/>
            <w:tcBorders>
              <w:bottom w:val="single" w:sz="8" w:color="0000EE"/>
            </w:tcBorders>
            <w:gridSpan w:val="12"/>
          </w:tcPr>
          <w:p>
            <w:pPr>
              <w:spacing w:after="0"/>
              <w:rPr>
                <w:rFonts w:ascii="Arial" w:cs="Arial" w:eastAsia="Arial" w:hAnsi="Arial"/>
                <w:sz w:val="18"/>
                <w:szCs w:val="18"/>
                <w:color w:val="0000EE"/>
                <w:w w:val="86"/>
              </w:rPr>
            </w:pPr>
            <w:hyperlink w:anchor="page38">
              <w:r>
                <w:rPr>
                  <w:rFonts w:ascii="Arial" w:cs="Arial" w:eastAsia="Arial" w:hAnsi="Arial"/>
                  <w:sz w:val="18"/>
                  <w:szCs w:val="18"/>
                  <w:color w:val="0000EE"/>
                  <w:w w:val="86"/>
                </w:rPr>
                <w:t>Unregistered Sales of Equity Securities and Use of Proceeds</w:t>
              </w:r>
            </w:hyperlink>
          </w:p>
        </w:tc>
        <w:tc>
          <w:tcPr>
            <w:tcW w:w="5320" w:type="dxa"/>
            <w:vAlign w:val="bottom"/>
            <w:gridSpan w:val="3"/>
          </w:tcPr>
          <w:p>
            <w:pPr>
              <w:spacing w:after="0"/>
              <w:rPr>
                <w:sz w:val="24"/>
                <w:szCs w:val="24"/>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38</w:t>
            </w:r>
          </w:p>
        </w:tc>
      </w:tr>
      <w:tr>
        <w:trPr>
          <w:trHeight w:val="304"/>
        </w:trPr>
        <w:tc>
          <w:tcPr>
            <w:tcW w:w="1340" w:type="dxa"/>
            <w:vAlign w:val="bottom"/>
            <w:gridSpan w:val="3"/>
          </w:tcPr>
          <w:p>
            <w:pPr>
              <w:ind w:left="440"/>
              <w:spacing w:after="0"/>
              <w:rPr>
                <w:sz w:val="20"/>
                <w:szCs w:val="20"/>
                <w:color w:val="auto"/>
              </w:rPr>
            </w:pPr>
            <w:r>
              <w:rPr>
                <w:rFonts w:ascii="Arial" w:cs="Arial" w:eastAsia="Arial" w:hAnsi="Arial"/>
                <w:sz w:val="18"/>
                <w:szCs w:val="18"/>
                <w:color w:val="auto"/>
              </w:rPr>
              <w:t>Item 4</w:t>
            </w:r>
          </w:p>
        </w:tc>
        <w:tc>
          <w:tcPr>
            <w:tcW w:w="9560" w:type="dxa"/>
            <w:vAlign w:val="bottom"/>
            <w:gridSpan w:val="15"/>
          </w:tcPr>
          <w:p>
            <w:pPr>
              <w:spacing w:after="0"/>
              <w:rPr>
                <w:rFonts w:ascii="Arial" w:cs="Arial" w:eastAsia="Arial" w:hAnsi="Arial"/>
                <w:sz w:val="18"/>
                <w:szCs w:val="18"/>
                <w:color w:val="0000EE"/>
              </w:rPr>
            </w:pPr>
            <w:hyperlink w:anchor="page38">
              <w:r>
                <w:rPr>
                  <w:rFonts w:ascii="Arial" w:cs="Arial" w:eastAsia="Arial" w:hAnsi="Arial"/>
                  <w:sz w:val="18"/>
                  <w:szCs w:val="18"/>
                  <w:color w:val="0000EE"/>
                </w:rPr>
                <w:t>Submission of Matters to a Vote of Security Holders</w:t>
              </w:r>
            </w:hyperlink>
          </w:p>
        </w:tc>
        <w:tc>
          <w:tcPr>
            <w:tcW w:w="520" w:type="dxa"/>
            <w:vAlign w:val="bottom"/>
          </w:tcPr>
          <w:p>
            <w:pPr>
              <w:jc w:val="right"/>
              <w:spacing w:after="0"/>
              <w:rPr>
                <w:sz w:val="20"/>
                <w:szCs w:val="20"/>
                <w:color w:val="auto"/>
              </w:rPr>
            </w:pPr>
            <w:r>
              <w:rPr>
                <w:rFonts w:ascii="Arial" w:cs="Arial" w:eastAsia="Arial" w:hAnsi="Arial"/>
                <w:sz w:val="18"/>
                <w:szCs w:val="18"/>
                <w:color w:val="auto"/>
              </w:rPr>
              <w:t>38</w:t>
            </w:r>
          </w:p>
        </w:tc>
      </w:tr>
      <w:tr>
        <w:trPr>
          <w:trHeight w:val="304"/>
        </w:trPr>
        <w:tc>
          <w:tcPr>
            <w:tcW w:w="1340" w:type="dxa"/>
            <w:vAlign w:val="bottom"/>
            <w:gridSpan w:val="3"/>
          </w:tcPr>
          <w:p>
            <w:pPr>
              <w:ind w:left="440"/>
              <w:spacing w:after="0"/>
              <w:rPr>
                <w:sz w:val="20"/>
                <w:szCs w:val="20"/>
                <w:color w:val="auto"/>
              </w:rPr>
            </w:pPr>
            <w:r>
              <w:rPr>
                <w:rFonts w:ascii="Arial" w:cs="Arial" w:eastAsia="Arial" w:hAnsi="Arial"/>
                <w:sz w:val="18"/>
                <w:szCs w:val="18"/>
                <w:color w:val="auto"/>
              </w:rPr>
              <w:t>Item 6.</w:t>
            </w:r>
          </w:p>
        </w:tc>
        <w:tc>
          <w:tcPr>
            <w:tcW w:w="3660" w:type="dxa"/>
            <w:vAlign w:val="bottom"/>
            <w:tcBorders>
              <w:top w:val="single" w:sz="8" w:color="0000EE"/>
            </w:tcBorders>
            <w:gridSpan w:val="10"/>
          </w:tcPr>
          <w:p>
            <w:pPr>
              <w:spacing w:after="0"/>
              <w:rPr>
                <w:rFonts w:ascii="Arial" w:cs="Arial" w:eastAsia="Arial" w:hAnsi="Arial"/>
                <w:sz w:val="18"/>
                <w:szCs w:val="18"/>
                <w:color w:val="0000EE"/>
              </w:rPr>
            </w:pPr>
            <w:hyperlink w:anchor="page38">
              <w:r>
                <w:rPr>
                  <w:rFonts w:ascii="Arial" w:cs="Arial" w:eastAsia="Arial" w:hAnsi="Arial"/>
                  <w:sz w:val="18"/>
                  <w:szCs w:val="18"/>
                  <w:color w:val="0000EE"/>
                </w:rPr>
                <w:t>Exhibits</w:t>
              </w:r>
            </w:hyperlink>
          </w:p>
        </w:tc>
        <w:tc>
          <w:tcPr>
            <w:tcW w:w="5900" w:type="dxa"/>
            <w:vAlign w:val="bottom"/>
            <w:gridSpan w:val="5"/>
          </w:tcPr>
          <w:p>
            <w:pPr>
              <w:spacing w:after="0"/>
              <w:rPr>
                <w:sz w:val="24"/>
                <w:szCs w:val="24"/>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38</w:t>
            </w:r>
          </w:p>
        </w:tc>
      </w:tr>
      <w:tr>
        <w:trPr>
          <w:trHeight w:val="304"/>
        </w:trPr>
        <w:tc>
          <w:tcPr>
            <w:tcW w:w="1340" w:type="dxa"/>
            <w:vAlign w:val="bottom"/>
            <w:gridSpan w:val="3"/>
          </w:tcPr>
          <w:p>
            <w:pPr>
              <w:spacing w:after="0"/>
              <w:rPr>
                <w:rFonts w:ascii="Arial" w:cs="Arial" w:eastAsia="Arial" w:hAnsi="Arial"/>
                <w:sz w:val="18"/>
                <w:szCs w:val="18"/>
                <w:color w:val="0000EE"/>
              </w:rPr>
            </w:pPr>
            <w:hyperlink w:anchor="page39">
              <w:r>
                <w:rPr>
                  <w:rFonts w:ascii="Arial" w:cs="Arial" w:eastAsia="Arial" w:hAnsi="Arial"/>
                  <w:sz w:val="18"/>
                  <w:szCs w:val="18"/>
                  <w:color w:val="0000EE"/>
                </w:rPr>
                <w:t>SIGNATURES</w:t>
              </w:r>
            </w:hyperlink>
          </w:p>
        </w:tc>
        <w:tc>
          <w:tcPr>
            <w:tcW w:w="580" w:type="dxa"/>
            <w:vAlign w:val="bottom"/>
            <w:tcBorders>
              <w:top w:val="single" w:sz="8" w:color="0000EE"/>
            </w:tcBorders>
          </w:tcPr>
          <w:p>
            <w:pPr>
              <w:spacing w:after="0"/>
              <w:rPr>
                <w:sz w:val="24"/>
                <w:szCs w:val="24"/>
                <w:color w:val="auto"/>
              </w:rPr>
            </w:pPr>
          </w:p>
        </w:tc>
        <w:tc>
          <w:tcPr>
            <w:tcW w:w="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3260" w:type="dxa"/>
            <w:vAlign w:val="bottom"/>
          </w:tcPr>
          <w:p>
            <w:pPr>
              <w:spacing w:after="0"/>
              <w:rPr>
                <w:sz w:val="24"/>
                <w:szCs w:val="24"/>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39</w:t>
            </w:r>
          </w:p>
        </w:tc>
      </w:tr>
      <w:tr>
        <w:trPr>
          <w:trHeight w:val="383"/>
        </w:trPr>
        <w:tc>
          <w:tcPr>
            <w:tcW w:w="640" w:type="dxa"/>
            <w:vAlign w:val="bottom"/>
            <w:tcBorders>
              <w:top w:val="single" w:sz="8" w:color="0000EE"/>
            </w:tcBorders>
          </w:tcPr>
          <w:p>
            <w:pPr>
              <w:spacing w:after="0"/>
              <w:rPr>
                <w:sz w:val="24"/>
                <w:szCs w:val="24"/>
                <w:color w:val="auto"/>
              </w:rPr>
            </w:pPr>
          </w:p>
        </w:tc>
        <w:tc>
          <w:tcPr>
            <w:tcW w:w="440" w:type="dxa"/>
            <w:vAlign w:val="bottom"/>
            <w:tcBorders>
              <w:top w:val="single" w:sz="8" w:color="0000EE"/>
            </w:tcBorders>
          </w:tcPr>
          <w:p>
            <w:pPr>
              <w:spacing w:after="0"/>
              <w:rPr>
                <w:sz w:val="24"/>
                <w:szCs w:val="24"/>
                <w:color w:val="auto"/>
              </w:rPr>
            </w:pPr>
          </w:p>
        </w:tc>
        <w:tc>
          <w:tcPr>
            <w:tcW w:w="260" w:type="dxa"/>
            <w:vAlign w:val="bottom"/>
          </w:tcPr>
          <w:p>
            <w:pPr>
              <w:spacing w:after="0"/>
              <w:rPr>
                <w:sz w:val="24"/>
                <w:szCs w:val="24"/>
                <w:color w:val="auto"/>
              </w:rPr>
            </w:pPr>
          </w:p>
        </w:tc>
        <w:tc>
          <w:tcPr>
            <w:tcW w:w="6300" w:type="dxa"/>
            <w:vAlign w:val="bottom"/>
            <w:gridSpan w:val="14"/>
          </w:tcPr>
          <w:p>
            <w:pPr>
              <w:ind w:left="4340"/>
              <w:spacing w:after="0"/>
              <w:rPr>
                <w:sz w:val="20"/>
                <w:szCs w:val="20"/>
                <w:color w:val="auto"/>
              </w:rPr>
            </w:pPr>
            <w:r>
              <w:rPr>
                <w:rFonts w:ascii="Arial" w:cs="Arial" w:eastAsia="Arial" w:hAnsi="Arial"/>
                <w:sz w:val="18"/>
                <w:szCs w:val="18"/>
                <w:color w:val="auto"/>
              </w:rPr>
              <w:t>2</w:t>
            </w:r>
          </w:p>
        </w:tc>
        <w:tc>
          <w:tcPr>
            <w:tcW w:w="3260" w:type="dxa"/>
            <w:vAlign w:val="bottom"/>
          </w:tcPr>
          <w:p>
            <w:pPr>
              <w:spacing w:after="0"/>
              <w:rPr>
                <w:sz w:val="24"/>
                <w:szCs w:val="24"/>
                <w:color w:val="auto"/>
              </w:rPr>
            </w:pPr>
          </w:p>
        </w:tc>
        <w:tc>
          <w:tcPr>
            <w:tcW w:w="52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320" w:type="dxa"/>
            <w:vAlign w:val="bottom"/>
          </w:tcPr>
          <w:p>
            <w:pPr>
              <w:spacing w:after="0"/>
              <w:rPr>
                <w:sz w:val="19"/>
                <w:szCs w:val="19"/>
                <w:color w:val="auto"/>
              </w:rPr>
            </w:pPr>
          </w:p>
        </w:tc>
        <w:tc>
          <w:tcPr>
            <w:tcW w:w="4320" w:type="dxa"/>
            <w:vAlign w:val="bottom"/>
            <w:gridSpan w:val="4"/>
          </w:tcPr>
          <w:p>
            <w:pPr>
              <w:jc w:val="center"/>
              <w:ind w:left="292"/>
              <w:spacing w:after="0"/>
              <w:rPr>
                <w:sz w:val="20"/>
                <w:szCs w:val="20"/>
                <w:color w:val="auto"/>
              </w:rPr>
            </w:pPr>
            <w:r>
              <w:rPr>
                <w:rFonts w:ascii="Arial" w:cs="Arial" w:eastAsia="Arial" w:hAnsi="Arial"/>
                <w:sz w:val="18"/>
                <w:szCs w:val="18"/>
                <w:b w:val="1"/>
                <w:bCs w:val="1"/>
                <w:color w:val="auto"/>
                <w:w w:val="99"/>
              </w:rPr>
              <w:t>PART I. FINANCIAL INFORMATION</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9"/>
        </w:trPr>
        <w:tc>
          <w:tcPr>
            <w:tcW w:w="1040" w:type="dxa"/>
            <w:vAlign w:val="bottom"/>
            <w:gridSpan w:val="2"/>
          </w:tcPr>
          <w:p>
            <w:pPr>
              <w:spacing w:after="0"/>
              <w:rPr>
                <w:sz w:val="20"/>
                <w:szCs w:val="20"/>
                <w:color w:val="auto"/>
              </w:rPr>
            </w:pPr>
            <w:r>
              <w:rPr>
                <w:rFonts w:ascii="Arial" w:cs="Arial" w:eastAsia="Arial" w:hAnsi="Arial"/>
                <w:sz w:val="18"/>
                <w:szCs w:val="18"/>
                <w:b w:val="1"/>
                <w:bCs w:val="1"/>
                <w:color w:val="auto"/>
              </w:rPr>
              <w:t>Item 1.</w:t>
            </w:r>
          </w:p>
        </w:tc>
        <w:tc>
          <w:tcPr>
            <w:tcW w:w="2320" w:type="dxa"/>
            <w:vAlign w:val="bottom"/>
          </w:tcPr>
          <w:p>
            <w:pPr>
              <w:spacing w:after="0"/>
              <w:rPr>
                <w:sz w:val="20"/>
                <w:szCs w:val="20"/>
                <w:color w:val="auto"/>
              </w:rPr>
            </w:pPr>
            <w:r>
              <w:rPr>
                <w:rFonts w:ascii="Arial" w:cs="Arial" w:eastAsia="Arial" w:hAnsi="Arial"/>
                <w:sz w:val="18"/>
                <w:szCs w:val="18"/>
                <w:b w:val="1"/>
                <w:bCs w:val="1"/>
                <w:color w:val="auto"/>
              </w:rPr>
              <w:t>Financial Statements</w:t>
            </w:r>
          </w:p>
        </w:tc>
        <w:tc>
          <w:tcPr>
            <w:tcW w:w="3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4320" w:type="dxa"/>
            <w:vAlign w:val="bottom"/>
            <w:gridSpan w:val="4"/>
          </w:tcPr>
          <w:p>
            <w:pPr>
              <w:jc w:val="center"/>
              <w:ind w:left="312"/>
              <w:spacing w:after="0"/>
              <w:rPr>
                <w:sz w:val="20"/>
                <w:szCs w:val="20"/>
                <w:color w:val="auto"/>
              </w:rPr>
            </w:pPr>
            <w:r>
              <w:rPr>
                <w:rFonts w:ascii="Arial" w:cs="Arial" w:eastAsia="Arial" w:hAnsi="Arial"/>
                <w:sz w:val="18"/>
                <w:szCs w:val="18"/>
                <w:b w:val="1"/>
                <w:bCs w:val="1"/>
                <w:color w:val="auto"/>
                <w:w w:val="89"/>
              </w:rPr>
              <w:t>MagnaChip Semiconductor LLC and Subsidiaries</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4320" w:type="dxa"/>
            <w:vAlign w:val="bottom"/>
            <w:gridSpan w:val="4"/>
          </w:tcPr>
          <w:p>
            <w:pPr>
              <w:jc w:val="center"/>
              <w:ind w:left="312"/>
              <w:spacing w:after="0"/>
              <w:rPr>
                <w:sz w:val="20"/>
                <w:szCs w:val="20"/>
                <w:color w:val="auto"/>
              </w:rPr>
            </w:pPr>
            <w:r>
              <w:rPr>
                <w:rFonts w:ascii="Arial" w:cs="Arial" w:eastAsia="Arial" w:hAnsi="Arial"/>
                <w:sz w:val="18"/>
                <w:szCs w:val="18"/>
                <w:b w:val="1"/>
                <w:bCs w:val="1"/>
                <w:color w:val="auto"/>
                <w:w w:val="86"/>
              </w:rPr>
              <w:t>Condensed Consolidated Statements of Operations</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320" w:type="dxa"/>
            <w:vAlign w:val="bottom"/>
          </w:tcPr>
          <w:p>
            <w:pPr>
              <w:spacing w:after="0"/>
              <w:rPr>
                <w:sz w:val="19"/>
                <w:szCs w:val="19"/>
                <w:color w:val="auto"/>
              </w:rPr>
            </w:pPr>
          </w:p>
        </w:tc>
        <w:tc>
          <w:tcPr>
            <w:tcW w:w="4500" w:type="dxa"/>
            <w:vAlign w:val="bottom"/>
            <w:gridSpan w:val="6"/>
          </w:tcPr>
          <w:p>
            <w:pPr>
              <w:jc w:val="right"/>
              <w:ind w:right="20"/>
              <w:spacing w:after="0"/>
              <w:rPr>
                <w:sz w:val="20"/>
                <w:szCs w:val="20"/>
                <w:color w:val="auto"/>
              </w:rPr>
            </w:pPr>
            <w:r>
              <w:rPr>
                <w:rFonts w:ascii="Arial" w:cs="Arial" w:eastAsia="Arial" w:hAnsi="Arial"/>
                <w:sz w:val="18"/>
                <w:szCs w:val="18"/>
                <w:b w:val="1"/>
                <w:bCs w:val="1"/>
                <w:color w:val="auto"/>
                <w:w w:val="91"/>
              </w:rPr>
              <w:t>(Unaudited; in thousands of US dollars, except unit data)</w:t>
            </w:r>
          </w:p>
        </w:tc>
        <w:tc>
          <w:tcPr>
            <w:tcW w:w="8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53"/>
        </w:trPr>
        <w:tc>
          <w:tcPr>
            <w:tcW w:w="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3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20" w:type="dxa"/>
            <w:vAlign w:val="bottom"/>
            <w:gridSpan w:val="6"/>
          </w:tcPr>
          <w:p>
            <w:pPr>
              <w:jc w:val="right"/>
              <w:ind w:right="1000"/>
              <w:spacing w:after="0"/>
              <w:rPr>
                <w:sz w:val="20"/>
                <w:szCs w:val="20"/>
                <w:color w:val="auto"/>
              </w:rPr>
            </w:pPr>
            <w:r>
              <w:rPr>
                <w:rFonts w:ascii="Arial" w:cs="Arial" w:eastAsia="Arial" w:hAnsi="Arial"/>
                <w:sz w:val="14"/>
                <w:szCs w:val="14"/>
                <w:b w:val="1"/>
                <w:bCs w:val="1"/>
                <w:color w:val="auto"/>
              </w:rPr>
              <w:t>Three months ended</w:t>
            </w:r>
          </w:p>
        </w:tc>
        <w:tc>
          <w:tcPr>
            <w:tcW w:w="80" w:type="dxa"/>
            <w:vAlign w:val="bottom"/>
          </w:tcPr>
          <w:p>
            <w:pPr>
              <w:spacing w:after="0"/>
              <w:rPr>
                <w:sz w:val="24"/>
                <w:szCs w:val="24"/>
                <w:color w:val="auto"/>
              </w:rPr>
            </w:pPr>
          </w:p>
        </w:tc>
        <w:tc>
          <w:tcPr>
            <w:tcW w:w="2220" w:type="dxa"/>
            <w:vAlign w:val="bottom"/>
            <w:gridSpan w:val="6"/>
          </w:tcPr>
          <w:p>
            <w:pPr>
              <w:jc w:val="right"/>
              <w:ind w:right="68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320" w:type="dxa"/>
            <w:vAlign w:val="bottom"/>
          </w:tcPr>
          <w:p>
            <w:pPr>
              <w:spacing w:after="0"/>
              <w:rPr>
                <w:sz w:val="12"/>
                <w:szCs w:val="12"/>
                <w:color w:val="auto"/>
              </w:rPr>
            </w:pPr>
          </w:p>
        </w:tc>
        <w:tc>
          <w:tcPr>
            <w:tcW w:w="304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jc w:val="right"/>
              <w:ind w:right="14"/>
              <w:spacing w:after="0" w:line="142" w:lineRule="exact"/>
              <w:rPr>
                <w:sz w:val="20"/>
                <w:szCs w:val="20"/>
                <w:color w:val="auto"/>
              </w:rPr>
            </w:pPr>
            <w:r>
              <w:rPr>
                <w:rFonts w:ascii="Arial" w:cs="Arial" w:eastAsia="Arial" w:hAnsi="Arial"/>
                <w:sz w:val="14"/>
                <w:szCs w:val="14"/>
                <w:b w:val="1"/>
                <w:bCs w:val="1"/>
                <w:color w:val="auto"/>
                <w:w w:val="86"/>
              </w:rPr>
              <w:t>July 2, 2006</w:t>
            </w:r>
          </w:p>
        </w:tc>
        <w:tc>
          <w:tcPr>
            <w:tcW w:w="38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jc w:val="right"/>
              <w:ind w:right="33"/>
              <w:spacing w:after="0" w:line="142" w:lineRule="exact"/>
              <w:rPr>
                <w:sz w:val="20"/>
                <w:szCs w:val="20"/>
                <w:color w:val="auto"/>
              </w:rPr>
            </w:pPr>
            <w:r>
              <w:rPr>
                <w:rFonts w:ascii="Arial" w:cs="Arial" w:eastAsia="Arial" w:hAnsi="Arial"/>
                <w:sz w:val="14"/>
                <w:szCs w:val="14"/>
                <w:b w:val="1"/>
                <w:bCs w:val="1"/>
                <w:color w:val="auto"/>
                <w:w w:val="83"/>
              </w:rPr>
              <w:t>July 3, 2005</w:t>
            </w:r>
          </w:p>
        </w:tc>
        <w:tc>
          <w:tcPr>
            <w:tcW w:w="46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ind w:left="20"/>
              <w:spacing w:after="0" w:line="142" w:lineRule="exact"/>
              <w:rPr>
                <w:sz w:val="20"/>
                <w:szCs w:val="20"/>
                <w:color w:val="auto"/>
              </w:rPr>
            </w:pPr>
            <w:r>
              <w:rPr>
                <w:rFonts w:ascii="Arial" w:cs="Arial" w:eastAsia="Arial" w:hAnsi="Arial"/>
                <w:sz w:val="14"/>
                <w:szCs w:val="14"/>
                <w:b w:val="1"/>
                <w:bCs w:val="1"/>
                <w:color w:val="auto"/>
                <w:w w:val="96"/>
              </w:rPr>
              <w:t>July 2, 2006</w:t>
            </w:r>
          </w:p>
        </w:tc>
        <w:tc>
          <w:tcPr>
            <w:tcW w:w="26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jc w:val="right"/>
              <w:ind w:right="13"/>
              <w:spacing w:after="0" w:line="142" w:lineRule="exact"/>
              <w:rPr>
                <w:sz w:val="20"/>
                <w:szCs w:val="20"/>
                <w:color w:val="auto"/>
              </w:rPr>
            </w:pPr>
            <w:r>
              <w:rPr>
                <w:rFonts w:ascii="Arial" w:cs="Arial" w:eastAsia="Arial" w:hAnsi="Arial"/>
                <w:sz w:val="14"/>
                <w:szCs w:val="14"/>
                <w:b w:val="1"/>
                <w:bCs w:val="1"/>
                <w:color w:val="auto"/>
                <w:w w:val="86"/>
              </w:rPr>
              <w:t>July 3, 2005</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020" w:type="dxa"/>
            <w:vAlign w:val="bottom"/>
            <w:shd w:val="clear" w:color="auto" w:fill="CCEEFF"/>
          </w:tcPr>
          <w:p>
            <w:pPr>
              <w:spacing w:after="0"/>
              <w:rPr>
                <w:sz w:val="20"/>
                <w:szCs w:val="20"/>
                <w:color w:val="auto"/>
              </w:rPr>
            </w:pPr>
            <w:r>
              <w:rPr>
                <w:rFonts w:ascii="Arial" w:cs="Arial" w:eastAsia="Arial" w:hAnsi="Arial"/>
                <w:sz w:val="18"/>
                <w:szCs w:val="18"/>
                <w:color w:val="auto"/>
              </w:rPr>
              <w:t>Net sales</w:t>
            </w:r>
          </w:p>
        </w:tc>
        <w:tc>
          <w:tcPr>
            <w:tcW w:w="2320" w:type="dxa"/>
            <w:vAlign w:val="bottom"/>
            <w:shd w:val="clear" w:color="auto" w:fill="CCEEFF"/>
          </w:tcPr>
          <w:p>
            <w:pPr>
              <w:spacing w:after="0"/>
              <w:rPr>
                <w:sz w:val="18"/>
                <w:szCs w:val="18"/>
                <w:color w:val="auto"/>
              </w:rPr>
            </w:pPr>
          </w:p>
        </w:tc>
        <w:tc>
          <w:tcPr>
            <w:tcW w:w="3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197,613</w:t>
            </w:r>
          </w:p>
        </w:tc>
        <w:tc>
          <w:tcPr>
            <w:tcW w:w="38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236,023</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410,756</w:t>
            </w:r>
          </w:p>
        </w:tc>
        <w:tc>
          <w:tcPr>
            <w:tcW w:w="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449,413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20" w:type="dxa"/>
            <w:vAlign w:val="bottom"/>
          </w:tcPr>
          <w:p>
            <w:pPr>
              <w:spacing w:after="0"/>
              <w:rPr>
                <w:sz w:val="20"/>
                <w:szCs w:val="20"/>
                <w:color w:val="auto"/>
              </w:rPr>
            </w:pPr>
            <w:r>
              <w:rPr>
                <w:rFonts w:ascii="Arial" w:cs="Arial" w:eastAsia="Arial" w:hAnsi="Arial"/>
                <w:sz w:val="18"/>
                <w:szCs w:val="18"/>
                <w:color w:val="auto"/>
                <w:w w:val="96"/>
              </w:rPr>
              <w:t>Cost of sales</w:t>
            </w:r>
          </w:p>
        </w:tc>
        <w:tc>
          <w:tcPr>
            <w:tcW w:w="2320" w:type="dxa"/>
            <w:vAlign w:val="bottom"/>
          </w:tcPr>
          <w:p>
            <w:pPr>
              <w:spacing w:after="0"/>
              <w:rPr>
                <w:sz w:val="18"/>
                <w:szCs w:val="18"/>
                <w:color w:val="auto"/>
              </w:rPr>
            </w:pPr>
          </w:p>
        </w:tc>
        <w:tc>
          <w:tcPr>
            <w:tcW w:w="3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177,342</w:t>
            </w: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175,619</w:t>
            </w: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gridSpan w:val="2"/>
          </w:tcPr>
          <w:p>
            <w:pPr>
              <w:jc w:val="right"/>
              <w:ind w:right="260"/>
              <w:spacing w:after="0"/>
              <w:rPr>
                <w:sz w:val="20"/>
                <w:szCs w:val="20"/>
                <w:color w:val="auto"/>
              </w:rPr>
            </w:pPr>
            <w:r>
              <w:rPr>
                <w:rFonts w:ascii="Arial" w:cs="Arial" w:eastAsia="Arial" w:hAnsi="Arial"/>
                <w:sz w:val="18"/>
                <w:szCs w:val="18"/>
                <w:color w:val="auto"/>
              </w:rPr>
              <w:t>350,157</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363,057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020" w:type="dxa"/>
            <w:vAlign w:val="bottom"/>
          </w:tcPr>
          <w:p>
            <w:pPr>
              <w:spacing w:after="0"/>
              <w:rPr>
                <w:sz w:val="2"/>
                <w:szCs w:val="2"/>
                <w:color w:val="auto"/>
              </w:rPr>
            </w:pPr>
          </w:p>
        </w:tc>
        <w:tc>
          <w:tcPr>
            <w:tcW w:w="2320" w:type="dxa"/>
            <w:vAlign w:val="bottom"/>
          </w:tcPr>
          <w:p>
            <w:pPr>
              <w:spacing w:after="0"/>
              <w:rPr>
                <w:sz w:val="2"/>
                <w:szCs w:val="2"/>
                <w:color w:val="auto"/>
              </w:rPr>
            </w:pPr>
          </w:p>
        </w:tc>
        <w:tc>
          <w:tcPr>
            <w:tcW w:w="30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2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2320" w:type="dxa"/>
            <w:vAlign w:val="bottom"/>
            <w:shd w:val="clear" w:color="auto" w:fill="CCEEFF"/>
          </w:tcPr>
          <w:p>
            <w:pPr>
              <w:spacing w:after="0"/>
              <w:rPr>
                <w:sz w:val="18"/>
                <w:szCs w:val="18"/>
                <w:color w:val="auto"/>
              </w:rPr>
            </w:pPr>
          </w:p>
        </w:tc>
        <w:tc>
          <w:tcPr>
            <w:tcW w:w="3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20,271</w:t>
            </w: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60,404</w:t>
            </w: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60,599</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86,356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360" w:type="dxa"/>
            <w:vAlign w:val="bottom"/>
            <w:gridSpan w:val="3"/>
            <w:vMerge w:val="restart"/>
          </w:tcPr>
          <w:p>
            <w:pPr>
              <w:spacing w:after="0"/>
              <w:rPr>
                <w:sz w:val="20"/>
                <w:szCs w:val="20"/>
                <w:color w:val="auto"/>
              </w:rPr>
            </w:pPr>
            <w:r>
              <w:rPr>
                <w:rFonts w:ascii="Arial" w:cs="Arial" w:eastAsia="Arial" w:hAnsi="Arial"/>
                <w:sz w:val="18"/>
                <w:szCs w:val="18"/>
                <w:color w:val="auto"/>
                <w:w w:val="93"/>
              </w:rPr>
              <w:t>Selling, general and administrative expenses</w:t>
            </w:r>
          </w:p>
        </w:tc>
        <w:tc>
          <w:tcPr>
            <w:tcW w:w="30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3360" w:type="dxa"/>
            <w:vAlign w:val="bottom"/>
            <w:gridSpan w:val="3"/>
            <w:vMerge w:val="continue"/>
          </w:tcPr>
          <w:p>
            <w:pPr>
              <w:spacing w:after="0"/>
              <w:rPr>
                <w:sz w:val="19"/>
                <w:szCs w:val="19"/>
                <w:color w:val="auto"/>
              </w:rPr>
            </w:pPr>
          </w:p>
        </w:tc>
        <w:tc>
          <w:tcPr>
            <w:tcW w:w="3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22,025</w:t>
            </w:r>
          </w:p>
        </w:tc>
        <w:tc>
          <w:tcPr>
            <w:tcW w:w="3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32,518</w:t>
            </w:r>
          </w:p>
        </w:tc>
        <w:tc>
          <w:tcPr>
            <w:tcW w:w="4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60" w:type="dxa"/>
            <w:vAlign w:val="bottom"/>
            <w:gridSpan w:val="2"/>
          </w:tcPr>
          <w:p>
            <w:pPr>
              <w:jc w:val="right"/>
              <w:ind w:right="260"/>
              <w:spacing w:after="0"/>
              <w:rPr>
                <w:sz w:val="20"/>
                <w:szCs w:val="20"/>
                <w:color w:val="auto"/>
              </w:rPr>
            </w:pPr>
            <w:r>
              <w:rPr>
                <w:rFonts w:ascii="Arial" w:cs="Arial" w:eastAsia="Arial" w:hAnsi="Arial"/>
                <w:sz w:val="18"/>
                <w:szCs w:val="18"/>
                <w:color w:val="auto"/>
              </w:rPr>
              <w:t>43,556</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60,997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3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Research and development expenses</w:t>
            </w:r>
          </w:p>
        </w:tc>
        <w:tc>
          <w:tcPr>
            <w:tcW w:w="3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33,934</w:t>
            </w: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27,488</w:t>
            </w: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63,852</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53,587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40" w:type="dxa"/>
            <w:vAlign w:val="bottom"/>
            <w:gridSpan w:val="2"/>
          </w:tcPr>
          <w:p>
            <w:pPr>
              <w:spacing w:after="0"/>
              <w:rPr>
                <w:sz w:val="20"/>
                <w:szCs w:val="20"/>
                <w:color w:val="auto"/>
              </w:rPr>
            </w:pPr>
            <w:r>
              <w:rPr>
                <w:rFonts w:ascii="Arial" w:cs="Arial" w:eastAsia="Arial" w:hAnsi="Arial"/>
                <w:sz w:val="18"/>
                <w:szCs w:val="18"/>
                <w:color w:val="auto"/>
              </w:rPr>
              <w:t>Restructuring and impairment charges</w:t>
            </w:r>
          </w:p>
        </w:tc>
        <w:tc>
          <w:tcPr>
            <w:tcW w:w="3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93,684</w:t>
            </w: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8,720</w:t>
            </w: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gridSpan w:val="2"/>
          </w:tcPr>
          <w:p>
            <w:pPr>
              <w:jc w:val="right"/>
              <w:ind w:right="260"/>
              <w:spacing w:after="0"/>
              <w:rPr>
                <w:sz w:val="20"/>
                <w:szCs w:val="20"/>
                <w:color w:val="auto"/>
              </w:rPr>
            </w:pPr>
            <w:r>
              <w:rPr>
                <w:rFonts w:ascii="Arial" w:cs="Arial" w:eastAsia="Arial" w:hAnsi="Arial"/>
                <w:sz w:val="18"/>
                <w:szCs w:val="18"/>
                <w:color w:val="auto"/>
              </w:rPr>
              <w:t>93,684</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8,720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020" w:type="dxa"/>
            <w:vAlign w:val="bottom"/>
          </w:tcPr>
          <w:p>
            <w:pPr>
              <w:spacing w:after="0"/>
              <w:rPr>
                <w:sz w:val="2"/>
                <w:szCs w:val="2"/>
                <w:color w:val="auto"/>
              </w:rPr>
            </w:pPr>
          </w:p>
        </w:tc>
        <w:tc>
          <w:tcPr>
            <w:tcW w:w="2320" w:type="dxa"/>
            <w:vAlign w:val="bottom"/>
          </w:tcPr>
          <w:p>
            <w:pPr>
              <w:spacing w:after="0"/>
              <w:rPr>
                <w:sz w:val="2"/>
                <w:szCs w:val="2"/>
                <w:color w:val="auto"/>
              </w:rPr>
            </w:pPr>
          </w:p>
        </w:tc>
        <w:tc>
          <w:tcPr>
            <w:tcW w:w="30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20" w:type="dxa"/>
            <w:vAlign w:val="bottom"/>
            <w:shd w:val="clear" w:color="auto" w:fill="CCEEFF"/>
          </w:tcPr>
          <w:p>
            <w:pPr>
              <w:spacing w:after="0"/>
              <w:rPr>
                <w:sz w:val="20"/>
                <w:szCs w:val="20"/>
                <w:color w:val="auto"/>
              </w:rPr>
            </w:pPr>
            <w:r>
              <w:rPr>
                <w:rFonts w:ascii="Arial" w:cs="Arial" w:eastAsia="Arial" w:hAnsi="Arial"/>
                <w:sz w:val="18"/>
                <w:szCs w:val="18"/>
                <w:color w:val="auto"/>
                <w:w w:val="86"/>
              </w:rPr>
              <w:t>Operating loss</w:t>
            </w:r>
          </w:p>
        </w:tc>
        <w:tc>
          <w:tcPr>
            <w:tcW w:w="2320" w:type="dxa"/>
            <w:vAlign w:val="bottom"/>
            <w:shd w:val="clear" w:color="auto" w:fill="CCEEFF"/>
          </w:tcPr>
          <w:p>
            <w:pPr>
              <w:spacing w:after="0"/>
              <w:rPr>
                <w:sz w:val="18"/>
                <w:szCs w:val="18"/>
                <w:color w:val="auto"/>
              </w:rPr>
            </w:pPr>
          </w:p>
        </w:tc>
        <w:tc>
          <w:tcPr>
            <w:tcW w:w="3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(129,372)</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(8,322)</w:t>
            </w: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(140,493)</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(36,948)</w:t>
            </w:r>
          </w:p>
        </w:tc>
        <w:tc>
          <w:tcPr>
            <w:tcW w:w="0" w:type="dxa"/>
            <w:vAlign w:val="bottom"/>
          </w:tcPr>
          <w:p>
            <w:pPr>
              <w:spacing w:after="0"/>
              <w:rPr>
                <w:sz w:val="1"/>
                <w:szCs w:val="1"/>
                <w:color w:val="auto"/>
              </w:rPr>
            </w:pPr>
          </w:p>
        </w:tc>
      </w:tr>
      <w:tr>
        <w:trPr>
          <w:trHeight w:val="222"/>
        </w:trPr>
        <w:tc>
          <w:tcPr>
            <w:tcW w:w="3360" w:type="dxa"/>
            <w:vAlign w:val="bottom"/>
            <w:gridSpan w:val="3"/>
          </w:tcPr>
          <w:p>
            <w:pPr>
              <w:spacing w:after="0"/>
              <w:rPr>
                <w:sz w:val="20"/>
                <w:szCs w:val="20"/>
                <w:color w:val="auto"/>
              </w:rPr>
            </w:pPr>
            <w:r>
              <w:rPr>
                <w:rFonts w:ascii="Arial" w:cs="Arial" w:eastAsia="Arial" w:hAnsi="Arial"/>
                <w:sz w:val="18"/>
                <w:szCs w:val="18"/>
                <w:color w:val="auto"/>
              </w:rPr>
              <w:t>Other income (expenses)</w:t>
            </w:r>
          </w:p>
        </w:tc>
        <w:tc>
          <w:tcPr>
            <w:tcW w:w="30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3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46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33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Interest expense, net</w:t>
            </w:r>
          </w:p>
        </w:tc>
        <w:tc>
          <w:tcPr>
            <w:tcW w:w="3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(14,352)</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(13,991)</w:t>
            </w: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(29,085)</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(27,892)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40" w:type="dxa"/>
            <w:vAlign w:val="bottom"/>
            <w:gridSpan w:val="2"/>
          </w:tcPr>
          <w:p>
            <w:pPr>
              <w:ind w:left="420"/>
              <w:spacing w:after="0"/>
              <w:rPr>
                <w:sz w:val="20"/>
                <w:szCs w:val="20"/>
                <w:color w:val="auto"/>
              </w:rPr>
            </w:pPr>
            <w:r>
              <w:rPr>
                <w:rFonts w:ascii="Arial" w:cs="Arial" w:eastAsia="Arial" w:hAnsi="Arial"/>
                <w:sz w:val="18"/>
                <w:szCs w:val="18"/>
                <w:color w:val="auto"/>
              </w:rPr>
              <w:t>Foreign currency gain (loss), net</w:t>
            </w:r>
          </w:p>
        </w:tc>
        <w:tc>
          <w:tcPr>
            <w:tcW w:w="3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14,520</w:t>
            </w: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420"/>
              <w:spacing w:after="0"/>
              <w:rPr>
                <w:sz w:val="20"/>
                <w:szCs w:val="20"/>
                <w:color w:val="auto"/>
              </w:rPr>
            </w:pPr>
            <w:r>
              <w:rPr>
                <w:rFonts w:ascii="Arial" w:cs="Arial" w:eastAsia="Arial" w:hAnsi="Arial"/>
                <w:sz w:val="18"/>
                <w:szCs w:val="18"/>
                <w:color w:val="auto"/>
              </w:rPr>
              <w:t>(12,795)</w:t>
            </w:r>
          </w:p>
        </w:tc>
        <w:tc>
          <w:tcPr>
            <w:tcW w:w="80" w:type="dxa"/>
            <w:vAlign w:val="bottom"/>
          </w:tcPr>
          <w:p>
            <w:pPr>
              <w:spacing w:after="0"/>
              <w:rPr>
                <w:sz w:val="18"/>
                <w:szCs w:val="18"/>
                <w:color w:val="auto"/>
              </w:rPr>
            </w:pPr>
          </w:p>
        </w:tc>
        <w:tc>
          <w:tcPr>
            <w:tcW w:w="1060" w:type="dxa"/>
            <w:vAlign w:val="bottom"/>
            <w:gridSpan w:val="2"/>
          </w:tcPr>
          <w:p>
            <w:pPr>
              <w:jc w:val="right"/>
              <w:ind w:right="260"/>
              <w:spacing w:after="0"/>
              <w:rPr>
                <w:sz w:val="20"/>
                <w:szCs w:val="20"/>
                <w:color w:val="auto"/>
              </w:rPr>
            </w:pPr>
            <w:r>
              <w:rPr>
                <w:rFonts w:ascii="Arial" w:cs="Arial" w:eastAsia="Arial" w:hAnsi="Arial"/>
                <w:sz w:val="18"/>
                <w:szCs w:val="18"/>
                <w:color w:val="auto"/>
              </w:rPr>
              <w:t>38,757</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806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020" w:type="dxa"/>
            <w:vAlign w:val="bottom"/>
          </w:tcPr>
          <w:p>
            <w:pPr>
              <w:spacing w:after="0"/>
              <w:rPr>
                <w:sz w:val="2"/>
                <w:szCs w:val="2"/>
                <w:color w:val="auto"/>
              </w:rPr>
            </w:pPr>
          </w:p>
        </w:tc>
        <w:tc>
          <w:tcPr>
            <w:tcW w:w="2320" w:type="dxa"/>
            <w:vAlign w:val="bottom"/>
          </w:tcPr>
          <w:p>
            <w:pPr>
              <w:spacing w:after="0"/>
              <w:rPr>
                <w:sz w:val="2"/>
                <w:szCs w:val="2"/>
                <w:color w:val="auto"/>
              </w:rPr>
            </w:pPr>
          </w:p>
        </w:tc>
        <w:tc>
          <w:tcPr>
            <w:tcW w:w="30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Loss before income taxes</w:t>
            </w:r>
          </w:p>
        </w:tc>
        <w:tc>
          <w:tcPr>
            <w:tcW w:w="3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(129,204)</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(35,108)</w:t>
            </w: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(130,821)</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(64,034)</w:t>
            </w:r>
          </w:p>
        </w:tc>
        <w:tc>
          <w:tcPr>
            <w:tcW w:w="0" w:type="dxa"/>
            <w:vAlign w:val="bottom"/>
          </w:tcPr>
          <w:p>
            <w:pPr>
              <w:spacing w:after="0"/>
              <w:rPr>
                <w:sz w:val="1"/>
                <w:szCs w:val="1"/>
                <w:color w:val="auto"/>
              </w:rPr>
            </w:pPr>
          </w:p>
        </w:tc>
      </w:tr>
      <w:tr>
        <w:trPr>
          <w:trHeight w:val="20"/>
        </w:trPr>
        <w:tc>
          <w:tcPr>
            <w:tcW w:w="3360" w:type="dxa"/>
            <w:vAlign w:val="bottom"/>
            <w:gridSpan w:val="3"/>
            <w:vMerge w:val="restart"/>
          </w:tcPr>
          <w:p>
            <w:pPr>
              <w:spacing w:after="0"/>
              <w:rPr>
                <w:sz w:val="20"/>
                <w:szCs w:val="20"/>
                <w:color w:val="auto"/>
              </w:rPr>
            </w:pPr>
            <w:r>
              <w:rPr>
                <w:rFonts w:ascii="Arial" w:cs="Arial" w:eastAsia="Arial" w:hAnsi="Arial"/>
                <w:sz w:val="18"/>
                <w:szCs w:val="18"/>
                <w:color w:val="auto"/>
              </w:rPr>
              <w:t>Income tax expenses (benefits)</w:t>
            </w:r>
          </w:p>
        </w:tc>
        <w:tc>
          <w:tcPr>
            <w:tcW w:w="30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3360" w:type="dxa"/>
            <w:vAlign w:val="bottom"/>
            <w:gridSpan w:val="3"/>
            <w:vMerge w:val="continue"/>
          </w:tcPr>
          <w:p>
            <w:pPr>
              <w:spacing w:after="0"/>
              <w:rPr>
                <w:sz w:val="19"/>
                <w:szCs w:val="19"/>
                <w:color w:val="auto"/>
              </w:rPr>
            </w:pPr>
          </w:p>
        </w:tc>
        <w:tc>
          <w:tcPr>
            <w:tcW w:w="3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2,859</w:t>
            </w:r>
          </w:p>
        </w:tc>
        <w:tc>
          <w:tcPr>
            <w:tcW w:w="3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gridSpan w:val="2"/>
          </w:tcPr>
          <w:p>
            <w:pPr>
              <w:jc w:val="right"/>
              <w:ind w:right="420"/>
              <w:spacing w:after="0"/>
              <w:rPr>
                <w:sz w:val="20"/>
                <w:szCs w:val="20"/>
                <w:color w:val="auto"/>
              </w:rPr>
            </w:pPr>
            <w:r>
              <w:rPr>
                <w:rFonts w:ascii="Arial" w:cs="Arial" w:eastAsia="Arial" w:hAnsi="Arial"/>
                <w:sz w:val="18"/>
                <w:szCs w:val="18"/>
                <w:color w:val="auto"/>
              </w:rPr>
              <w:t>(1,624)</w:t>
            </w:r>
          </w:p>
        </w:tc>
        <w:tc>
          <w:tcPr>
            <w:tcW w:w="80" w:type="dxa"/>
            <w:vAlign w:val="bottom"/>
          </w:tcPr>
          <w:p>
            <w:pPr>
              <w:spacing w:after="0"/>
              <w:rPr>
                <w:sz w:val="19"/>
                <w:szCs w:val="19"/>
                <w:color w:val="auto"/>
              </w:rPr>
            </w:pPr>
          </w:p>
        </w:tc>
        <w:tc>
          <w:tcPr>
            <w:tcW w:w="1060" w:type="dxa"/>
            <w:vAlign w:val="bottom"/>
            <w:gridSpan w:val="2"/>
          </w:tcPr>
          <w:p>
            <w:pPr>
              <w:jc w:val="right"/>
              <w:ind w:right="260"/>
              <w:spacing w:after="0"/>
              <w:rPr>
                <w:sz w:val="20"/>
                <w:szCs w:val="20"/>
                <w:color w:val="auto"/>
              </w:rPr>
            </w:pPr>
            <w:r>
              <w:rPr>
                <w:rFonts w:ascii="Arial" w:cs="Arial" w:eastAsia="Arial" w:hAnsi="Arial"/>
                <w:sz w:val="18"/>
                <w:szCs w:val="18"/>
                <w:color w:val="auto"/>
              </w:rPr>
              <w:t>5,133</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728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1020" w:type="dxa"/>
            <w:vAlign w:val="bottom"/>
          </w:tcPr>
          <w:p>
            <w:pPr>
              <w:spacing w:after="0"/>
              <w:rPr>
                <w:sz w:val="2"/>
                <w:szCs w:val="2"/>
                <w:color w:val="auto"/>
              </w:rPr>
            </w:pPr>
          </w:p>
        </w:tc>
        <w:tc>
          <w:tcPr>
            <w:tcW w:w="2320" w:type="dxa"/>
            <w:vAlign w:val="bottom"/>
          </w:tcPr>
          <w:p>
            <w:pPr>
              <w:spacing w:after="0"/>
              <w:rPr>
                <w:sz w:val="2"/>
                <w:szCs w:val="2"/>
                <w:color w:val="auto"/>
              </w:rPr>
            </w:pPr>
          </w:p>
        </w:tc>
        <w:tc>
          <w:tcPr>
            <w:tcW w:w="30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2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2320" w:type="dxa"/>
            <w:vAlign w:val="bottom"/>
            <w:shd w:val="clear" w:color="auto" w:fill="CCEEFF"/>
          </w:tcPr>
          <w:p>
            <w:pPr>
              <w:spacing w:after="0"/>
              <w:rPr>
                <w:sz w:val="18"/>
                <w:szCs w:val="18"/>
                <w:color w:val="auto"/>
              </w:rPr>
            </w:pPr>
          </w:p>
        </w:tc>
        <w:tc>
          <w:tcPr>
            <w:tcW w:w="30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(132,063)</w:t>
            </w:r>
          </w:p>
        </w:tc>
        <w:tc>
          <w:tcPr>
            <w:tcW w:w="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(33,484)</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(135,954)</w:t>
            </w:r>
          </w:p>
        </w:tc>
        <w:tc>
          <w:tcPr>
            <w:tcW w:w="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(64,762)</w:t>
            </w:r>
          </w:p>
        </w:tc>
        <w:tc>
          <w:tcPr>
            <w:tcW w:w="0" w:type="dxa"/>
            <w:vAlign w:val="bottom"/>
          </w:tcPr>
          <w:p>
            <w:pPr>
              <w:spacing w:after="0"/>
              <w:rPr>
                <w:sz w:val="1"/>
                <w:szCs w:val="1"/>
                <w:color w:val="auto"/>
              </w:rPr>
            </w:pPr>
          </w:p>
        </w:tc>
      </w:tr>
      <w:tr>
        <w:trPr>
          <w:trHeight w:val="20"/>
        </w:trPr>
        <w:tc>
          <w:tcPr>
            <w:tcW w:w="3360" w:type="dxa"/>
            <w:vAlign w:val="bottom"/>
            <w:gridSpan w:val="3"/>
            <w:vMerge w:val="restart"/>
          </w:tcPr>
          <w:p>
            <w:pPr>
              <w:spacing w:after="0"/>
              <w:rPr>
                <w:sz w:val="20"/>
                <w:szCs w:val="20"/>
                <w:color w:val="auto"/>
              </w:rPr>
            </w:pPr>
            <w:r>
              <w:rPr>
                <w:rFonts w:ascii="Arial" w:cs="Arial" w:eastAsia="Arial" w:hAnsi="Arial"/>
                <w:sz w:val="18"/>
                <w:szCs w:val="18"/>
                <w:color w:val="auto"/>
              </w:rPr>
              <w:t>Dividends accrued on preferred units</w:t>
            </w:r>
          </w:p>
        </w:tc>
        <w:tc>
          <w:tcPr>
            <w:tcW w:w="30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3360" w:type="dxa"/>
            <w:vAlign w:val="bottom"/>
            <w:gridSpan w:val="3"/>
            <w:vMerge w:val="continue"/>
          </w:tcPr>
          <w:p>
            <w:pPr>
              <w:spacing w:after="0"/>
              <w:rPr>
                <w:sz w:val="18"/>
                <w:szCs w:val="18"/>
                <w:color w:val="auto"/>
              </w:rPr>
            </w:pPr>
          </w:p>
        </w:tc>
        <w:tc>
          <w:tcPr>
            <w:tcW w:w="3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2,706</w:t>
            </w: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2,478</w:t>
            </w: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gridSpan w:val="2"/>
          </w:tcPr>
          <w:p>
            <w:pPr>
              <w:jc w:val="right"/>
              <w:ind w:right="260"/>
              <w:spacing w:after="0"/>
              <w:rPr>
                <w:sz w:val="20"/>
                <w:szCs w:val="20"/>
                <w:color w:val="auto"/>
              </w:rPr>
            </w:pPr>
            <w:r>
              <w:rPr>
                <w:rFonts w:ascii="Arial" w:cs="Arial" w:eastAsia="Arial" w:hAnsi="Arial"/>
                <w:sz w:val="18"/>
                <w:szCs w:val="18"/>
                <w:color w:val="auto"/>
              </w:rPr>
              <w:t>5,339</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4,873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1020" w:type="dxa"/>
            <w:vAlign w:val="bottom"/>
          </w:tcPr>
          <w:p>
            <w:pPr>
              <w:spacing w:after="0"/>
              <w:rPr>
                <w:sz w:val="2"/>
                <w:szCs w:val="2"/>
                <w:color w:val="auto"/>
              </w:rPr>
            </w:pPr>
          </w:p>
        </w:tc>
        <w:tc>
          <w:tcPr>
            <w:tcW w:w="2320" w:type="dxa"/>
            <w:vAlign w:val="bottom"/>
          </w:tcPr>
          <w:p>
            <w:pPr>
              <w:spacing w:after="0"/>
              <w:rPr>
                <w:sz w:val="2"/>
                <w:szCs w:val="2"/>
                <w:color w:val="auto"/>
              </w:rPr>
            </w:pPr>
          </w:p>
        </w:tc>
        <w:tc>
          <w:tcPr>
            <w:tcW w:w="30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loss attributable to common units</w:t>
            </w:r>
          </w:p>
        </w:tc>
        <w:tc>
          <w:tcPr>
            <w:tcW w:w="30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(134,769)</w:t>
            </w:r>
          </w:p>
        </w:tc>
        <w:tc>
          <w:tcPr>
            <w:tcW w:w="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(35,962)</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(141,293)</w:t>
            </w:r>
          </w:p>
        </w:tc>
        <w:tc>
          <w:tcPr>
            <w:tcW w:w="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(69,635)</w:t>
            </w:r>
          </w:p>
        </w:tc>
        <w:tc>
          <w:tcPr>
            <w:tcW w:w="0" w:type="dxa"/>
            <w:vAlign w:val="bottom"/>
          </w:tcPr>
          <w:p>
            <w:pPr>
              <w:spacing w:after="0"/>
              <w:rPr>
                <w:sz w:val="1"/>
                <w:szCs w:val="1"/>
                <w:color w:val="auto"/>
              </w:rPr>
            </w:pPr>
          </w:p>
        </w:tc>
      </w:tr>
      <w:tr>
        <w:trPr>
          <w:trHeight w:val="20"/>
        </w:trPr>
        <w:tc>
          <w:tcPr>
            <w:tcW w:w="3360" w:type="dxa"/>
            <w:vAlign w:val="bottom"/>
            <w:gridSpan w:val="3"/>
            <w:vMerge w:val="restart"/>
          </w:tcPr>
          <w:p>
            <w:pPr>
              <w:spacing w:after="0"/>
              <w:rPr>
                <w:sz w:val="20"/>
                <w:szCs w:val="20"/>
                <w:color w:val="auto"/>
              </w:rPr>
            </w:pPr>
            <w:r>
              <w:rPr>
                <w:rFonts w:ascii="Arial" w:cs="Arial" w:eastAsia="Arial" w:hAnsi="Arial"/>
                <w:sz w:val="18"/>
                <w:szCs w:val="18"/>
                <w:color w:val="auto"/>
              </w:rPr>
              <w:t>Net loss per common units</w:t>
            </w:r>
          </w:p>
        </w:tc>
        <w:tc>
          <w:tcPr>
            <w:tcW w:w="30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3360" w:type="dxa"/>
            <w:vAlign w:val="bottom"/>
            <w:gridSpan w:val="3"/>
            <w:vMerge w:val="continue"/>
          </w:tcPr>
          <w:p>
            <w:pPr>
              <w:spacing w:after="0"/>
              <w:rPr>
                <w:sz w:val="18"/>
                <w:szCs w:val="18"/>
                <w:color w:val="auto"/>
              </w:rPr>
            </w:pPr>
          </w:p>
        </w:tc>
        <w:tc>
          <w:tcPr>
            <w:tcW w:w="3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33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 Basic and diluted</w:t>
            </w:r>
          </w:p>
        </w:tc>
        <w:tc>
          <w:tcPr>
            <w:tcW w:w="3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(2.54)</w:t>
            </w:r>
          </w:p>
        </w:tc>
        <w:tc>
          <w:tcPr>
            <w:tcW w:w="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(0.68)</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(2.66)</w:t>
            </w:r>
          </w:p>
        </w:tc>
        <w:tc>
          <w:tcPr>
            <w:tcW w:w="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(1.32)</w:t>
            </w:r>
          </w:p>
        </w:tc>
        <w:tc>
          <w:tcPr>
            <w:tcW w:w="0" w:type="dxa"/>
            <w:vAlign w:val="bottom"/>
          </w:tcPr>
          <w:p>
            <w:pPr>
              <w:spacing w:after="0"/>
              <w:rPr>
                <w:sz w:val="1"/>
                <w:szCs w:val="1"/>
                <w:color w:val="auto"/>
              </w:rPr>
            </w:pPr>
          </w:p>
        </w:tc>
      </w:tr>
      <w:tr>
        <w:trPr>
          <w:trHeight w:val="20"/>
        </w:trPr>
        <w:tc>
          <w:tcPr>
            <w:tcW w:w="3360" w:type="dxa"/>
            <w:vAlign w:val="bottom"/>
            <w:gridSpan w:val="3"/>
            <w:vMerge w:val="restart"/>
          </w:tcPr>
          <w:p>
            <w:pPr>
              <w:spacing w:after="0"/>
              <w:rPr>
                <w:sz w:val="20"/>
                <w:szCs w:val="20"/>
                <w:color w:val="auto"/>
              </w:rPr>
            </w:pPr>
            <w:r>
              <w:rPr>
                <w:rFonts w:ascii="Arial" w:cs="Arial" w:eastAsia="Arial" w:hAnsi="Arial"/>
                <w:sz w:val="18"/>
                <w:szCs w:val="18"/>
                <w:color w:val="auto"/>
              </w:rPr>
              <w:t>Weighted average number of units</w:t>
            </w:r>
          </w:p>
        </w:tc>
        <w:tc>
          <w:tcPr>
            <w:tcW w:w="30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3360" w:type="dxa"/>
            <w:vAlign w:val="bottom"/>
            <w:gridSpan w:val="3"/>
            <w:vMerge w:val="continue"/>
          </w:tcPr>
          <w:p>
            <w:pPr>
              <w:spacing w:after="0"/>
              <w:rPr>
                <w:sz w:val="18"/>
                <w:szCs w:val="18"/>
                <w:color w:val="auto"/>
              </w:rPr>
            </w:pPr>
          </w:p>
        </w:tc>
        <w:tc>
          <w:tcPr>
            <w:tcW w:w="3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33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 Basic and diluted</w:t>
            </w:r>
          </w:p>
        </w:tc>
        <w:tc>
          <w:tcPr>
            <w:tcW w:w="3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53,098,537</w:t>
            </w: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w w:val="86"/>
              </w:rPr>
              <w:t>52,981,901</w:t>
            </w: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86"/>
              </w:rPr>
              <w:t>53,101,546</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52,755,012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459" w:right="23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MagnaChip Semiconductor LLC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in thousands of US dollars, except unit data)</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000" w:type="dxa"/>
            <w:vAlign w:val="bottom"/>
          </w:tcPr>
          <w:p>
            <w:pPr>
              <w:spacing w:after="0"/>
              <w:rPr>
                <w:sz w:val="14"/>
                <w:szCs w:val="14"/>
                <w:color w:val="auto"/>
              </w:rPr>
            </w:pPr>
          </w:p>
        </w:tc>
        <w:tc>
          <w:tcPr>
            <w:tcW w:w="1240" w:type="dxa"/>
            <w:vAlign w:val="bottom"/>
            <w:gridSpan w:val="3"/>
          </w:tcPr>
          <w:p>
            <w:pPr>
              <w:jc w:val="right"/>
              <w:ind w:right="520"/>
              <w:spacing w:after="0"/>
              <w:rPr>
                <w:sz w:val="20"/>
                <w:szCs w:val="20"/>
                <w:color w:val="auto"/>
              </w:rPr>
            </w:pPr>
            <w:r>
              <w:rPr>
                <w:rFonts w:ascii="Arial" w:cs="Arial" w:eastAsia="Arial" w:hAnsi="Arial"/>
                <w:sz w:val="14"/>
                <w:szCs w:val="14"/>
                <w:b w:val="1"/>
                <w:bCs w:val="1"/>
                <w:color w:val="auto"/>
                <w:w w:val="88"/>
              </w:rPr>
              <w:t>July 2, 2006</w:t>
            </w:r>
          </w:p>
        </w:tc>
        <w:tc>
          <w:tcPr>
            <w:tcW w:w="1160" w:type="dxa"/>
            <w:vAlign w:val="bottom"/>
            <w:gridSpan w:val="3"/>
          </w:tcPr>
          <w:p>
            <w:pPr>
              <w:spacing w:after="0"/>
              <w:rPr>
                <w:sz w:val="20"/>
                <w:szCs w:val="20"/>
                <w:color w:val="auto"/>
              </w:rPr>
            </w:pPr>
            <w:r>
              <w:rPr>
                <w:rFonts w:ascii="Arial" w:cs="Arial" w:eastAsia="Arial" w:hAnsi="Arial"/>
                <w:sz w:val="14"/>
                <w:szCs w:val="14"/>
                <w:b w:val="1"/>
                <w:bCs w:val="1"/>
                <w:color w:val="auto"/>
                <w:w w:val="90"/>
              </w:rPr>
              <w:t>December 31, 2005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0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10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tcPr>
          <w:p>
            <w:pPr>
              <w:spacing w:after="0"/>
              <w:rPr>
                <w:sz w:val="20"/>
                <w:szCs w:val="20"/>
                <w:color w:val="auto"/>
              </w:rPr>
            </w:pPr>
            <w:r>
              <w:rPr>
                <w:rFonts w:ascii="Arial" w:cs="Arial" w:eastAsia="Arial" w:hAnsi="Arial"/>
                <w:sz w:val="18"/>
                <w:szCs w:val="18"/>
                <w:color w:val="auto"/>
              </w:rPr>
              <w:t>Current assets</w:t>
            </w: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Cash and cash equivalents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86,488</w:t>
            </w:r>
          </w:p>
        </w:tc>
        <w:tc>
          <w:tcPr>
            <w:tcW w:w="5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86,574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tcPr>
          <w:p>
            <w:pPr>
              <w:ind w:left="420"/>
              <w:spacing w:after="0"/>
              <w:rPr>
                <w:sz w:val="20"/>
                <w:szCs w:val="20"/>
                <w:color w:val="auto"/>
              </w:rPr>
            </w:pPr>
            <w:r>
              <w:rPr>
                <w:rFonts w:ascii="Arial" w:cs="Arial" w:eastAsia="Arial" w:hAnsi="Arial"/>
                <w:sz w:val="18"/>
                <w:szCs w:val="18"/>
                <w:color w:val="auto"/>
              </w:rPr>
              <w:t>Restricted cash</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1,118</w:t>
            </w:r>
          </w:p>
        </w:tc>
        <w:tc>
          <w:tcPr>
            <w:tcW w:w="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2,837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Accounts receivable, net</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95,990</w:t>
            </w:r>
          </w:p>
        </w:tc>
        <w:tc>
          <w:tcPr>
            <w:tcW w:w="5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112,053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tcPr>
          <w:p>
            <w:pPr>
              <w:ind w:left="420"/>
              <w:spacing w:after="0"/>
              <w:rPr>
                <w:sz w:val="20"/>
                <w:szCs w:val="20"/>
                <w:color w:val="auto"/>
              </w:rPr>
            </w:pPr>
            <w:r>
              <w:rPr>
                <w:rFonts w:ascii="Arial" w:cs="Arial" w:eastAsia="Arial" w:hAnsi="Arial"/>
                <w:sz w:val="18"/>
                <w:szCs w:val="18"/>
                <w:color w:val="auto"/>
              </w:rPr>
              <w:t>Inventories, net</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62,157</w:t>
            </w:r>
          </w:p>
        </w:tc>
        <w:tc>
          <w:tcPr>
            <w:tcW w:w="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88,677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 receivables</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7,343</w:t>
            </w:r>
          </w:p>
        </w:tc>
        <w:tc>
          <w:tcPr>
            <w:tcW w:w="5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9,501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000" w:type="dxa"/>
            <w:vAlign w:val="bottom"/>
          </w:tcPr>
          <w:p>
            <w:pPr>
              <w:ind w:left="420"/>
              <w:spacing w:after="0"/>
              <w:rPr>
                <w:sz w:val="20"/>
                <w:szCs w:val="20"/>
                <w:color w:val="auto"/>
              </w:rPr>
            </w:pPr>
            <w:r>
              <w:rPr>
                <w:rFonts w:ascii="Arial" w:cs="Arial" w:eastAsia="Arial" w:hAnsi="Arial"/>
                <w:sz w:val="18"/>
                <w:szCs w:val="18"/>
                <w:color w:val="auto"/>
              </w:rPr>
              <w:t>Other current assets</w:t>
            </w:r>
          </w:p>
        </w:tc>
        <w:tc>
          <w:tcPr>
            <w:tcW w:w="1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12,141</w:t>
            </w:r>
          </w:p>
        </w:tc>
        <w:tc>
          <w:tcPr>
            <w:tcW w:w="5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10,148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current assets</w:t>
            </w:r>
          </w:p>
        </w:tc>
        <w:tc>
          <w:tcPr>
            <w:tcW w:w="1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265,237</w:t>
            </w:r>
          </w:p>
        </w:tc>
        <w:tc>
          <w:tcPr>
            <w:tcW w:w="5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309,790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9020" w:type="dxa"/>
            <w:vAlign w:val="bottom"/>
            <w:gridSpan w:val="2"/>
          </w:tcPr>
          <w:p>
            <w:pPr>
              <w:spacing w:after="0"/>
              <w:rPr>
                <w:sz w:val="20"/>
                <w:szCs w:val="20"/>
                <w:color w:val="auto"/>
              </w:rPr>
            </w:pPr>
            <w:r>
              <w:rPr>
                <w:rFonts w:ascii="Arial" w:cs="Arial" w:eastAsia="Arial" w:hAnsi="Arial"/>
                <w:sz w:val="18"/>
                <w:szCs w:val="18"/>
                <w:color w:val="auto"/>
              </w:rPr>
              <w:t>Property, plant and equipment, net</w:t>
            </w:r>
          </w:p>
        </w:tc>
        <w:tc>
          <w:tcPr>
            <w:tcW w:w="1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382,865</w:t>
            </w:r>
          </w:p>
        </w:tc>
        <w:tc>
          <w:tcPr>
            <w:tcW w:w="5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485,077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9000" w:type="dxa"/>
            <w:vAlign w:val="bottom"/>
            <w:shd w:val="clear" w:color="auto" w:fill="CCEEFF"/>
          </w:tcPr>
          <w:p>
            <w:pPr>
              <w:spacing w:after="0"/>
              <w:rPr>
                <w:sz w:val="20"/>
                <w:szCs w:val="20"/>
                <w:color w:val="auto"/>
              </w:rPr>
            </w:pPr>
            <w:r>
              <w:rPr>
                <w:rFonts w:ascii="Arial" w:cs="Arial" w:eastAsia="Arial" w:hAnsi="Arial"/>
                <w:sz w:val="18"/>
                <w:szCs w:val="18"/>
                <w:color w:val="auto"/>
              </w:rPr>
              <w:t>Intangible assets, net</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153,367</w:t>
            </w:r>
          </w:p>
        </w:tc>
        <w:tc>
          <w:tcPr>
            <w:tcW w:w="5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191,389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000" w:type="dxa"/>
            <w:vAlign w:val="bottom"/>
          </w:tcPr>
          <w:p>
            <w:pPr>
              <w:spacing w:after="0"/>
              <w:rPr>
                <w:sz w:val="20"/>
                <w:szCs w:val="20"/>
                <w:color w:val="auto"/>
              </w:rPr>
            </w:pPr>
            <w:r>
              <w:rPr>
                <w:rFonts w:ascii="Arial" w:cs="Arial" w:eastAsia="Arial" w:hAnsi="Arial"/>
                <w:sz w:val="18"/>
                <w:szCs w:val="18"/>
                <w:color w:val="auto"/>
              </w:rPr>
              <w:t>Other non-current assets</w:t>
            </w:r>
          </w:p>
        </w:tc>
        <w:tc>
          <w:tcPr>
            <w:tcW w:w="1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57,120</w:t>
            </w:r>
          </w:p>
        </w:tc>
        <w:tc>
          <w:tcPr>
            <w:tcW w:w="5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54,391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assets</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858,589</w:t>
            </w:r>
          </w:p>
        </w:tc>
        <w:tc>
          <w:tcPr>
            <w:tcW w:w="5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1,040,647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02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Liabilities and Unitholders’ Equity</w:t>
            </w: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902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900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tcPr>
          <w:p>
            <w:pPr>
              <w:ind w:left="420"/>
              <w:spacing w:after="0"/>
              <w:rPr>
                <w:sz w:val="20"/>
                <w:szCs w:val="20"/>
                <w:color w:val="auto"/>
              </w:rPr>
            </w:pPr>
            <w:r>
              <w:rPr>
                <w:rFonts w:ascii="Arial" w:cs="Arial" w:eastAsia="Arial" w:hAnsi="Arial"/>
                <w:sz w:val="18"/>
                <w:szCs w:val="18"/>
                <w:color w:val="auto"/>
              </w:rPr>
              <w:t>Accounts payable</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53,125</w:t>
            </w:r>
          </w:p>
        </w:tc>
        <w:tc>
          <w:tcPr>
            <w:tcW w:w="500" w:type="dxa"/>
            <w:vAlign w:val="bottom"/>
          </w:tcPr>
          <w:p>
            <w:pPr>
              <w:spacing w:after="0"/>
              <w:rPr>
                <w:sz w:val="18"/>
                <w:szCs w:val="18"/>
                <w:color w:val="auto"/>
              </w:rPr>
            </w:pPr>
          </w:p>
        </w:tc>
        <w:tc>
          <w:tcPr>
            <w:tcW w:w="240" w:type="dxa"/>
            <w:vAlign w:val="bottom"/>
          </w:tcPr>
          <w:p>
            <w:pPr>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93,911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 accounts payable</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25,109</w:t>
            </w:r>
          </w:p>
        </w:tc>
        <w:tc>
          <w:tcPr>
            <w:tcW w:w="5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35,368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tcPr>
          <w:p>
            <w:pPr>
              <w:ind w:left="420"/>
              <w:spacing w:after="0"/>
              <w:rPr>
                <w:sz w:val="20"/>
                <w:szCs w:val="20"/>
                <w:color w:val="auto"/>
              </w:rPr>
            </w:pPr>
            <w:r>
              <w:rPr>
                <w:rFonts w:ascii="Arial" w:cs="Arial" w:eastAsia="Arial" w:hAnsi="Arial"/>
                <w:sz w:val="18"/>
                <w:szCs w:val="18"/>
                <w:color w:val="auto"/>
              </w:rPr>
              <w:t>Accrued expenses</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28,547</w:t>
            </w:r>
          </w:p>
        </w:tc>
        <w:tc>
          <w:tcPr>
            <w:tcW w:w="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28,968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 current liabilities</w:t>
            </w:r>
          </w:p>
        </w:tc>
        <w:tc>
          <w:tcPr>
            <w:tcW w:w="1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4,719</w:t>
            </w:r>
          </w:p>
        </w:tc>
        <w:tc>
          <w:tcPr>
            <w:tcW w:w="5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10,102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9000" w:type="dxa"/>
            <w:vAlign w:val="bottom"/>
          </w:tcPr>
          <w:p>
            <w:pPr>
              <w:ind w:left="860"/>
              <w:spacing w:after="0"/>
              <w:rPr>
                <w:sz w:val="20"/>
                <w:szCs w:val="20"/>
                <w:color w:val="auto"/>
              </w:rPr>
            </w:pPr>
            <w:r>
              <w:rPr>
                <w:rFonts w:ascii="Arial" w:cs="Arial" w:eastAsia="Arial" w:hAnsi="Arial"/>
                <w:sz w:val="18"/>
                <w:szCs w:val="18"/>
                <w:color w:val="auto"/>
              </w:rPr>
              <w:t>Total current liabilities</w:t>
            </w:r>
          </w:p>
        </w:tc>
        <w:tc>
          <w:tcPr>
            <w:tcW w:w="10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111,500</w:t>
            </w:r>
          </w:p>
        </w:tc>
        <w:tc>
          <w:tcPr>
            <w:tcW w:w="5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168,349</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shd w:val="clear" w:color="auto" w:fill="CCEEFF"/>
          </w:tcPr>
          <w:p>
            <w:pPr>
              <w:spacing w:after="0"/>
              <w:rPr>
                <w:sz w:val="20"/>
                <w:szCs w:val="20"/>
                <w:color w:val="auto"/>
              </w:rPr>
            </w:pPr>
            <w:r>
              <w:rPr>
                <w:rFonts w:ascii="Arial" w:cs="Arial" w:eastAsia="Arial" w:hAnsi="Arial"/>
                <w:sz w:val="18"/>
                <w:szCs w:val="18"/>
                <w:color w:val="auto"/>
              </w:rPr>
              <w:t>Long-term borrowings</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750,000</w:t>
            </w:r>
          </w:p>
        </w:tc>
        <w:tc>
          <w:tcPr>
            <w:tcW w:w="5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750,000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tcPr>
          <w:p>
            <w:pPr>
              <w:spacing w:after="0"/>
              <w:rPr>
                <w:sz w:val="20"/>
                <w:szCs w:val="20"/>
                <w:color w:val="auto"/>
              </w:rPr>
            </w:pPr>
            <w:r>
              <w:rPr>
                <w:rFonts w:ascii="Arial" w:cs="Arial" w:eastAsia="Arial" w:hAnsi="Arial"/>
                <w:sz w:val="18"/>
                <w:szCs w:val="18"/>
                <w:color w:val="auto"/>
              </w:rPr>
              <w:t>Accrued severance benefits, net</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58,958</w:t>
            </w:r>
          </w:p>
        </w:tc>
        <w:tc>
          <w:tcPr>
            <w:tcW w:w="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55,124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shd w:val="clear" w:color="auto" w:fill="CCEEFF"/>
          </w:tcPr>
          <w:p>
            <w:pPr>
              <w:spacing w:after="0"/>
              <w:rPr>
                <w:sz w:val="20"/>
                <w:szCs w:val="20"/>
                <w:color w:val="auto"/>
              </w:rPr>
            </w:pPr>
            <w:r>
              <w:rPr>
                <w:rFonts w:ascii="Arial" w:cs="Arial" w:eastAsia="Arial" w:hAnsi="Arial"/>
                <w:sz w:val="18"/>
                <w:szCs w:val="18"/>
                <w:color w:val="auto"/>
              </w:rPr>
              <w:t>Other non-current liabilities</w:t>
            </w:r>
          </w:p>
        </w:tc>
        <w:tc>
          <w:tcPr>
            <w:tcW w:w="1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6,137</w:t>
            </w:r>
          </w:p>
        </w:tc>
        <w:tc>
          <w:tcPr>
            <w:tcW w:w="5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7,196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9000" w:type="dxa"/>
            <w:vAlign w:val="bottom"/>
          </w:tcPr>
          <w:p>
            <w:pPr>
              <w:ind w:left="860"/>
              <w:spacing w:after="0"/>
              <w:rPr>
                <w:sz w:val="20"/>
                <w:szCs w:val="20"/>
                <w:color w:val="auto"/>
              </w:rPr>
            </w:pPr>
            <w:r>
              <w:rPr>
                <w:rFonts w:ascii="Arial" w:cs="Arial" w:eastAsia="Arial" w:hAnsi="Arial"/>
                <w:sz w:val="18"/>
                <w:szCs w:val="18"/>
                <w:color w:val="auto"/>
              </w:rPr>
              <w:t>Total liabilities</w:t>
            </w:r>
          </w:p>
        </w:tc>
        <w:tc>
          <w:tcPr>
            <w:tcW w:w="10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926,595</w:t>
            </w:r>
          </w:p>
        </w:tc>
        <w:tc>
          <w:tcPr>
            <w:tcW w:w="5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980,669</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shd w:val="clear" w:color="auto" w:fill="CCEEFF"/>
          </w:tcPr>
          <w:p>
            <w:pPr>
              <w:spacing w:after="0"/>
              <w:rPr>
                <w:sz w:val="20"/>
                <w:szCs w:val="20"/>
                <w:color w:val="auto"/>
              </w:rPr>
            </w:pPr>
            <w:r>
              <w:rPr>
                <w:rFonts w:ascii="Arial" w:cs="Arial" w:eastAsia="Arial" w:hAnsi="Arial"/>
                <w:sz w:val="18"/>
                <w:szCs w:val="18"/>
                <w:color w:val="auto"/>
              </w:rPr>
              <w:t>Commitments and contingencies</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9000" w:type="dxa"/>
            <w:vAlign w:val="bottom"/>
          </w:tcPr>
          <w:p>
            <w:pPr>
              <w:ind w:left="420"/>
              <w:spacing w:after="0"/>
              <w:rPr>
                <w:sz w:val="20"/>
                <w:szCs w:val="20"/>
                <w:color w:val="auto"/>
              </w:rPr>
            </w:pPr>
            <w:r>
              <w:rPr>
                <w:rFonts w:ascii="Arial" w:cs="Arial" w:eastAsia="Arial" w:hAnsi="Arial"/>
                <w:sz w:val="18"/>
                <w:szCs w:val="18"/>
                <w:color w:val="auto"/>
                <w:w w:val="92"/>
              </w:rPr>
              <w:t>Series A redeemable convertible preferred units; 60,000 units authorized, 50,091 units issued and 0 unit outstanding</w:t>
            </w: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000" w:type="dxa"/>
            <w:vAlign w:val="bottom"/>
          </w:tcPr>
          <w:p>
            <w:pPr>
              <w:ind w:left="640"/>
              <w:spacing w:after="0"/>
              <w:rPr>
                <w:sz w:val="20"/>
                <w:szCs w:val="20"/>
                <w:color w:val="auto"/>
              </w:rPr>
            </w:pPr>
            <w:r>
              <w:rPr>
                <w:rFonts w:ascii="Arial" w:cs="Arial" w:eastAsia="Arial" w:hAnsi="Arial"/>
                <w:sz w:val="18"/>
                <w:szCs w:val="18"/>
                <w:color w:val="auto"/>
              </w:rPr>
              <w:t>at July 2, 2006 and December 31, 2005</w:t>
            </w:r>
          </w:p>
        </w:tc>
        <w:tc>
          <w:tcPr>
            <w:tcW w:w="100" w:type="dxa"/>
            <w:vAlign w:val="bottom"/>
          </w:tcPr>
          <w:p>
            <w:pPr>
              <w:spacing w:after="0"/>
              <w:rPr>
                <w:sz w:val="19"/>
                <w:szCs w:val="19"/>
                <w:color w:val="auto"/>
              </w:rPr>
            </w:pPr>
          </w:p>
        </w:tc>
        <w:tc>
          <w:tcPr>
            <w:tcW w:w="1140" w:type="dxa"/>
            <w:vAlign w:val="bottom"/>
            <w:gridSpan w:val="2"/>
          </w:tcPr>
          <w:p>
            <w:pPr>
              <w:jc w:val="right"/>
              <w:ind w:right="5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9000" w:type="dxa"/>
            <w:vAlign w:val="bottom"/>
            <w:shd w:val="clear" w:color="auto" w:fill="CCEEFF"/>
          </w:tcPr>
          <w:p>
            <w:pPr>
              <w:ind w:left="420"/>
              <w:spacing w:after="0"/>
              <w:rPr>
                <w:sz w:val="20"/>
                <w:szCs w:val="20"/>
                <w:color w:val="auto"/>
              </w:rPr>
            </w:pPr>
            <w:r>
              <w:rPr>
                <w:rFonts w:ascii="Arial" w:cs="Arial" w:eastAsia="Arial" w:hAnsi="Arial"/>
                <w:sz w:val="18"/>
                <w:szCs w:val="18"/>
                <w:color w:val="auto"/>
                <w:w w:val="94"/>
              </w:rPr>
              <w:t>Series B redeemable convertible preferred units; 550,000 units authorized, 450,692 units issued and 93,997 units</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9000" w:type="dxa"/>
            <w:vAlign w:val="bottom"/>
            <w:shd w:val="clear" w:color="auto" w:fill="CCEEFF"/>
          </w:tcPr>
          <w:p>
            <w:pPr>
              <w:ind w:left="640"/>
              <w:spacing w:after="0"/>
              <w:rPr>
                <w:sz w:val="20"/>
                <w:szCs w:val="20"/>
                <w:color w:val="auto"/>
              </w:rPr>
            </w:pPr>
            <w:r>
              <w:rPr>
                <w:rFonts w:ascii="Arial" w:cs="Arial" w:eastAsia="Arial" w:hAnsi="Arial"/>
                <w:sz w:val="18"/>
                <w:szCs w:val="18"/>
                <w:color w:val="auto"/>
              </w:rPr>
              <w:t>outstanding at July 2, 2006 and December 31, 2005</w:t>
            </w:r>
          </w:p>
        </w:tc>
        <w:tc>
          <w:tcPr>
            <w:tcW w:w="10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111,801</w:t>
            </w:r>
          </w:p>
        </w:tc>
        <w:tc>
          <w:tcPr>
            <w:tcW w:w="5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106,462</w:t>
            </w: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9000" w:type="dxa"/>
            <w:vAlign w:val="bottom"/>
          </w:tcPr>
          <w:p>
            <w:pPr>
              <w:ind w:left="860"/>
              <w:spacing w:after="0"/>
              <w:rPr>
                <w:sz w:val="20"/>
                <w:szCs w:val="20"/>
                <w:color w:val="auto"/>
              </w:rPr>
            </w:pPr>
            <w:r>
              <w:rPr>
                <w:rFonts w:ascii="Arial" w:cs="Arial" w:eastAsia="Arial" w:hAnsi="Arial"/>
                <w:sz w:val="18"/>
                <w:szCs w:val="18"/>
                <w:color w:val="auto"/>
              </w:rPr>
              <w:t>Total redeemable convertible preferred units</w:t>
            </w:r>
          </w:p>
        </w:tc>
        <w:tc>
          <w:tcPr>
            <w:tcW w:w="10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111,801</w:t>
            </w:r>
          </w:p>
        </w:tc>
        <w:tc>
          <w:tcPr>
            <w:tcW w:w="5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106,462</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shd w:val="clear" w:color="auto" w:fill="CCEEFF"/>
          </w:tcPr>
          <w:p>
            <w:pPr>
              <w:spacing w:after="0"/>
              <w:rPr>
                <w:sz w:val="20"/>
                <w:szCs w:val="20"/>
                <w:color w:val="auto"/>
              </w:rPr>
            </w:pPr>
            <w:r>
              <w:rPr>
                <w:rFonts w:ascii="Arial" w:cs="Arial" w:eastAsia="Arial" w:hAnsi="Arial"/>
                <w:sz w:val="18"/>
                <w:szCs w:val="18"/>
                <w:color w:val="auto"/>
              </w:rPr>
              <w:t>Unitholders’ equity</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9000" w:type="dxa"/>
            <w:vAlign w:val="bottom"/>
          </w:tcPr>
          <w:p>
            <w:pPr>
              <w:ind w:left="420"/>
              <w:spacing w:after="0"/>
              <w:rPr>
                <w:sz w:val="20"/>
                <w:szCs w:val="20"/>
                <w:color w:val="auto"/>
              </w:rPr>
            </w:pPr>
            <w:r>
              <w:rPr>
                <w:rFonts w:ascii="Arial" w:cs="Arial" w:eastAsia="Arial" w:hAnsi="Arial"/>
                <w:sz w:val="18"/>
                <w:szCs w:val="18"/>
                <w:color w:val="auto"/>
                <w:w w:val="97"/>
              </w:rPr>
              <w:t>Common units; 65,000,000 units authorized; 52,720,784 units and 53,091,570 units issued and outstanding at</w:t>
            </w: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000" w:type="dxa"/>
            <w:vAlign w:val="bottom"/>
          </w:tcPr>
          <w:p>
            <w:pPr>
              <w:ind w:left="640"/>
              <w:spacing w:after="0"/>
              <w:rPr>
                <w:sz w:val="20"/>
                <w:szCs w:val="20"/>
                <w:color w:val="auto"/>
              </w:rPr>
            </w:pPr>
            <w:r>
              <w:rPr>
                <w:rFonts w:ascii="Arial" w:cs="Arial" w:eastAsia="Arial" w:hAnsi="Arial"/>
                <w:sz w:val="18"/>
                <w:szCs w:val="18"/>
                <w:color w:val="auto"/>
              </w:rPr>
              <w:t>July 2, 2006 and December 31, 2005, respectively</w:t>
            </w:r>
          </w:p>
        </w:tc>
        <w:tc>
          <w:tcPr>
            <w:tcW w:w="1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52,721</w:t>
            </w:r>
          </w:p>
        </w:tc>
        <w:tc>
          <w:tcPr>
            <w:tcW w:w="5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53,092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9000" w:type="dxa"/>
            <w:vAlign w:val="bottom"/>
            <w:shd w:val="clear" w:color="auto" w:fill="CCEEFF"/>
          </w:tcPr>
          <w:p>
            <w:pPr>
              <w:spacing w:after="0"/>
              <w:rPr>
                <w:sz w:val="20"/>
                <w:szCs w:val="20"/>
                <w:color w:val="auto"/>
              </w:rPr>
            </w:pPr>
            <w:r>
              <w:rPr>
                <w:rFonts w:ascii="Arial" w:cs="Arial" w:eastAsia="Arial" w:hAnsi="Arial"/>
                <w:sz w:val="18"/>
                <w:szCs w:val="18"/>
                <w:color w:val="auto"/>
              </w:rPr>
              <w:t>Additional paid-in capital</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2,311</w:t>
            </w:r>
          </w:p>
        </w:tc>
        <w:tc>
          <w:tcPr>
            <w:tcW w:w="5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2,169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tcPr>
          <w:p>
            <w:pPr>
              <w:spacing w:after="0"/>
              <w:rPr>
                <w:sz w:val="20"/>
                <w:szCs w:val="20"/>
                <w:color w:val="auto"/>
              </w:rPr>
            </w:pPr>
            <w:r>
              <w:rPr>
                <w:rFonts w:ascii="Arial" w:cs="Arial" w:eastAsia="Arial" w:hAnsi="Arial"/>
                <w:sz w:val="18"/>
                <w:szCs w:val="18"/>
                <w:color w:val="auto"/>
              </w:rPr>
              <w:t>Accumulated deficit</w:t>
            </w:r>
          </w:p>
        </w:tc>
        <w:tc>
          <w:tcPr>
            <w:tcW w:w="100" w:type="dxa"/>
            <w:vAlign w:val="bottom"/>
          </w:tcPr>
          <w:p>
            <w:pPr>
              <w:spacing w:after="0"/>
              <w:rPr>
                <w:sz w:val="18"/>
                <w:szCs w:val="18"/>
                <w:color w:val="auto"/>
              </w:rPr>
            </w:pPr>
          </w:p>
        </w:tc>
        <w:tc>
          <w:tcPr>
            <w:tcW w:w="1140" w:type="dxa"/>
            <w:vAlign w:val="bottom"/>
            <w:gridSpan w:val="2"/>
          </w:tcPr>
          <w:p>
            <w:pPr>
              <w:jc w:val="right"/>
              <w:ind w:right="440"/>
              <w:spacing w:after="0"/>
              <w:rPr>
                <w:sz w:val="20"/>
                <w:szCs w:val="20"/>
                <w:color w:val="auto"/>
              </w:rPr>
            </w:pPr>
            <w:r>
              <w:rPr>
                <w:rFonts w:ascii="Arial" w:cs="Arial" w:eastAsia="Arial" w:hAnsi="Arial"/>
                <w:sz w:val="18"/>
                <w:szCs w:val="18"/>
                <w:color w:val="auto"/>
                <w:w w:val="88"/>
              </w:rPr>
              <w:t>(271,385)</w:t>
            </w:r>
          </w:p>
        </w:tc>
        <w:tc>
          <w:tcPr>
            <w:tcW w:w="240" w:type="dxa"/>
            <w:vAlign w:val="bottom"/>
          </w:tcPr>
          <w:p>
            <w:pPr>
              <w:spacing w:after="0"/>
              <w:rPr>
                <w:sz w:val="18"/>
                <w:szCs w:val="18"/>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(130,092)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shd w:val="clear" w:color="auto" w:fill="CCEEFF"/>
          </w:tcPr>
          <w:p>
            <w:pPr>
              <w:spacing w:after="0"/>
              <w:rPr>
                <w:sz w:val="20"/>
                <w:szCs w:val="20"/>
                <w:color w:val="auto"/>
              </w:rPr>
            </w:pPr>
            <w:r>
              <w:rPr>
                <w:rFonts w:ascii="Arial" w:cs="Arial" w:eastAsia="Arial" w:hAnsi="Arial"/>
                <w:sz w:val="18"/>
                <w:szCs w:val="18"/>
                <w:color w:val="auto"/>
              </w:rPr>
              <w:t>Accumulated other comprehensive income</w:t>
            </w:r>
          </w:p>
        </w:tc>
        <w:tc>
          <w:tcPr>
            <w:tcW w:w="1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36,546</w:t>
            </w:r>
          </w:p>
        </w:tc>
        <w:tc>
          <w:tcPr>
            <w:tcW w:w="5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28,347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9000" w:type="dxa"/>
            <w:vAlign w:val="bottom"/>
          </w:tcPr>
          <w:p>
            <w:pPr>
              <w:ind w:left="860"/>
              <w:spacing w:after="0"/>
              <w:rPr>
                <w:sz w:val="20"/>
                <w:szCs w:val="20"/>
                <w:color w:val="auto"/>
              </w:rPr>
            </w:pPr>
            <w:r>
              <w:rPr>
                <w:rFonts w:ascii="Arial" w:cs="Arial" w:eastAsia="Arial" w:hAnsi="Arial"/>
                <w:sz w:val="18"/>
                <w:szCs w:val="18"/>
                <w:color w:val="auto"/>
              </w:rPr>
              <w:t>Total unitholders’ equity</w:t>
            </w:r>
          </w:p>
        </w:tc>
        <w:tc>
          <w:tcPr>
            <w:tcW w:w="100" w:type="dxa"/>
            <w:vAlign w:val="bottom"/>
          </w:tcPr>
          <w:p>
            <w:pPr>
              <w:spacing w:after="0"/>
              <w:rPr>
                <w:sz w:val="20"/>
                <w:szCs w:val="20"/>
                <w:color w:val="auto"/>
              </w:rPr>
            </w:pPr>
          </w:p>
        </w:tc>
        <w:tc>
          <w:tcPr>
            <w:tcW w:w="1140" w:type="dxa"/>
            <w:vAlign w:val="bottom"/>
            <w:gridSpan w:val="2"/>
          </w:tcPr>
          <w:p>
            <w:pPr>
              <w:jc w:val="right"/>
              <w:ind w:right="440"/>
              <w:spacing w:after="0"/>
              <w:rPr>
                <w:sz w:val="20"/>
                <w:szCs w:val="20"/>
                <w:color w:val="auto"/>
              </w:rPr>
            </w:pPr>
            <w:r>
              <w:rPr>
                <w:rFonts w:ascii="Arial" w:cs="Arial" w:eastAsia="Arial" w:hAnsi="Arial"/>
                <w:sz w:val="18"/>
                <w:szCs w:val="18"/>
                <w:color w:val="auto"/>
                <w:w w:val="88"/>
              </w:rPr>
              <w:t>(179,807)</w:t>
            </w:r>
          </w:p>
        </w:tc>
        <w:tc>
          <w:tcPr>
            <w:tcW w:w="240" w:type="dxa"/>
            <w:vAlign w:val="bottom"/>
          </w:tcPr>
          <w:p>
            <w:pPr>
              <w:spacing w:after="0"/>
              <w:rPr>
                <w:sz w:val="20"/>
                <w:szCs w:val="20"/>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(46,484)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shd w:val="clear" w:color="auto" w:fill="CCEEFF"/>
          </w:tcPr>
          <w:p>
            <w:pPr>
              <w:ind w:left="1280"/>
              <w:spacing w:after="0"/>
              <w:rPr>
                <w:sz w:val="20"/>
                <w:szCs w:val="20"/>
                <w:color w:val="auto"/>
              </w:rPr>
            </w:pPr>
            <w:r>
              <w:rPr>
                <w:rFonts w:ascii="Arial" w:cs="Arial" w:eastAsia="Arial" w:hAnsi="Arial"/>
                <w:sz w:val="18"/>
                <w:szCs w:val="18"/>
                <w:color w:val="auto"/>
              </w:rPr>
              <w:t>Total liabilities, redeemable convertible preferred units and unitholders’ equity</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858,589</w:t>
            </w:r>
          </w:p>
        </w:tc>
        <w:tc>
          <w:tcPr>
            <w:tcW w:w="500" w:type="dxa"/>
            <w:vAlign w:val="bottom"/>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1,040,647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0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459" w:right="2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MagnaChip Semiconductor LLC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in thousands of US dollars)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44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0" w:type="dxa"/>
            <w:vAlign w:val="bottom"/>
            <w:gridSpan w:val="6"/>
          </w:tcPr>
          <w:p>
            <w:pPr>
              <w:jc w:val="right"/>
              <w:ind w:right="46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44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980" w:type="dxa"/>
            <w:vAlign w:val="bottom"/>
            <w:tcBorders>
              <w:top w:val="single" w:sz="8" w:color="auto"/>
            </w:tcBorders>
            <w:gridSpan w:val="3"/>
          </w:tcPr>
          <w:p>
            <w:pPr>
              <w:jc w:val="right"/>
              <w:ind w:right="260"/>
              <w:spacing w:after="0" w:line="142" w:lineRule="exact"/>
              <w:rPr>
                <w:sz w:val="20"/>
                <w:szCs w:val="20"/>
                <w:color w:val="auto"/>
              </w:rPr>
            </w:pPr>
            <w:r>
              <w:rPr>
                <w:rFonts w:ascii="Arial" w:cs="Arial" w:eastAsia="Arial" w:hAnsi="Arial"/>
                <w:sz w:val="14"/>
                <w:szCs w:val="14"/>
                <w:b w:val="1"/>
                <w:bCs w:val="1"/>
                <w:color w:val="auto"/>
                <w:w w:val="88"/>
              </w:rPr>
              <w:t>July 2, 2006</w:t>
            </w:r>
          </w:p>
        </w:tc>
        <w:tc>
          <w:tcPr>
            <w:tcW w:w="16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w w:val="86"/>
              </w:rPr>
              <w:t>July 3, 2005</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4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20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40" w:type="dxa"/>
            <w:vAlign w:val="bottom"/>
          </w:tcPr>
          <w:p>
            <w:pPr>
              <w:spacing w:after="0"/>
              <w:rPr>
                <w:sz w:val="20"/>
                <w:szCs w:val="20"/>
                <w:color w:val="auto"/>
              </w:rPr>
            </w:pPr>
            <w:r>
              <w:rPr>
                <w:rFonts w:ascii="Arial" w:cs="Arial" w:eastAsia="Arial" w:hAnsi="Arial"/>
                <w:sz w:val="18"/>
                <w:szCs w:val="18"/>
                <w:color w:val="auto"/>
              </w:rPr>
              <w:t>Net loss</w:t>
            </w:r>
          </w:p>
        </w:tc>
        <w:tc>
          <w:tcPr>
            <w:tcW w:w="2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w w:val="88"/>
              </w:rPr>
              <w:t>(135,954)</w:t>
            </w:r>
          </w:p>
        </w:tc>
        <w:tc>
          <w:tcPr>
            <w:tcW w:w="260" w:type="dxa"/>
            <w:vAlign w:val="bottom"/>
            <w:gridSpan w:val="2"/>
          </w:tcPr>
          <w:p>
            <w:pPr>
              <w:ind w:left="160"/>
              <w:spacing w:after="0"/>
              <w:rPr>
                <w:sz w:val="20"/>
                <w:szCs w:val="20"/>
                <w:color w:val="auto"/>
              </w:rPr>
            </w:pPr>
            <w:r>
              <w:rPr>
                <w:rFonts w:ascii="Arial" w:cs="Arial" w:eastAsia="Arial" w:hAnsi="Arial"/>
                <w:sz w:val="18"/>
                <w:szCs w:val="18"/>
                <w:color w:val="auto"/>
                <w:w w:val="79"/>
              </w:rPr>
              <w:t>$</w:t>
            </w:r>
          </w:p>
        </w:tc>
        <w:tc>
          <w:tcPr>
            <w:tcW w:w="660" w:type="dxa"/>
            <w:vAlign w:val="bottom"/>
            <w:gridSpan w:val="2"/>
          </w:tcPr>
          <w:p>
            <w:pPr>
              <w:jc w:val="right"/>
              <w:spacing w:after="0"/>
              <w:rPr>
                <w:sz w:val="20"/>
                <w:szCs w:val="20"/>
                <w:color w:val="auto"/>
              </w:rPr>
            </w:pPr>
            <w:r>
              <w:rPr>
                <w:rFonts w:ascii="Arial" w:cs="Arial" w:eastAsia="Arial" w:hAnsi="Arial"/>
                <w:sz w:val="18"/>
                <w:szCs w:val="18"/>
                <w:color w:val="auto"/>
                <w:w w:val="95"/>
              </w:rPr>
              <w:t>(64,762)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40" w:type="dxa"/>
            <w:vAlign w:val="bottom"/>
            <w:shd w:val="clear" w:color="auto" w:fill="CCEEFF"/>
          </w:tcPr>
          <w:p>
            <w:pPr>
              <w:spacing w:after="0"/>
              <w:rPr>
                <w:sz w:val="20"/>
                <w:szCs w:val="20"/>
                <w:color w:val="auto"/>
              </w:rPr>
            </w:pPr>
            <w:r>
              <w:rPr>
                <w:rFonts w:ascii="Arial" w:cs="Arial" w:eastAsia="Arial" w:hAnsi="Arial"/>
                <w:sz w:val="18"/>
                <w:szCs w:val="18"/>
                <w:color w:val="auto"/>
              </w:rPr>
              <w:t>Adjustments to reconcile net loss to net cash provided by operating activities</w:t>
            </w:r>
          </w:p>
        </w:tc>
        <w:tc>
          <w:tcPr>
            <w:tcW w:w="2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40" w:type="dxa"/>
            <w:vAlign w:val="bottom"/>
          </w:tcPr>
          <w:p>
            <w:pPr>
              <w:ind w:left="420"/>
              <w:spacing w:after="0"/>
              <w:rPr>
                <w:sz w:val="20"/>
                <w:szCs w:val="20"/>
                <w:color w:val="auto"/>
              </w:rPr>
            </w:pPr>
            <w:r>
              <w:rPr>
                <w:rFonts w:ascii="Arial" w:cs="Arial" w:eastAsia="Arial" w:hAnsi="Arial"/>
                <w:sz w:val="18"/>
                <w:szCs w:val="18"/>
                <w:color w:val="auto"/>
              </w:rPr>
              <w:t>Depreciation and amortization</w:t>
            </w:r>
          </w:p>
        </w:tc>
        <w:tc>
          <w:tcPr>
            <w:tcW w:w="2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8"/>
                <w:szCs w:val="18"/>
                <w:color w:val="auto"/>
                <w:w w:val="95"/>
              </w:rPr>
              <w:t>102,509</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9"/>
              </w:rPr>
              <w:t>106,784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Provision for severance benefits</w:t>
            </w:r>
          </w:p>
        </w:tc>
        <w:tc>
          <w:tcPr>
            <w:tcW w:w="2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5,357</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8,126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40" w:type="dxa"/>
            <w:vAlign w:val="bottom"/>
          </w:tcPr>
          <w:p>
            <w:pPr>
              <w:ind w:left="420"/>
              <w:spacing w:after="0"/>
              <w:rPr>
                <w:sz w:val="20"/>
                <w:szCs w:val="20"/>
                <w:color w:val="auto"/>
              </w:rPr>
            </w:pPr>
            <w:r>
              <w:rPr>
                <w:rFonts w:ascii="Arial" w:cs="Arial" w:eastAsia="Arial" w:hAnsi="Arial"/>
                <w:sz w:val="18"/>
                <w:szCs w:val="18"/>
                <w:color w:val="auto"/>
              </w:rPr>
              <w:t>Amortization of debt issuance costs</w:t>
            </w:r>
          </w:p>
        </w:tc>
        <w:tc>
          <w:tcPr>
            <w:tcW w:w="2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8"/>
                <w:szCs w:val="18"/>
                <w:color w:val="auto"/>
              </w:rPr>
              <w:t>1,833</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1,695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Gain on foreign currency translation, net</w:t>
            </w:r>
          </w:p>
        </w:tc>
        <w:tc>
          <w:tcPr>
            <w:tcW w:w="2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(42,367)</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40" w:type="dxa"/>
            <w:vAlign w:val="bottom"/>
          </w:tcPr>
          <w:p>
            <w:pPr>
              <w:ind w:left="420"/>
              <w:spacing w:after="0"/>
              <w:rPr>
                <w:sz w:val="20"/>
                <w:szCs w:val="20"/>
                <w:color w:val="auto"/>
              </w:rPr>
            </w:pPr>
            <w:r>
              <w:rPr>
                <w:rFonts w:ascii="Arial" w:cs="Arial" w:eastAsia="Arial" w:hAnsi="Arial"/>
                <w:sz w:val="18"/>
                <w:szCs w:val="18"/>
                <w:color w:val="auto"/>
              </w:rPr>
              <w:t>Impairment of long-lived assets</w:t>
            </w:r>
          </w:p>
        </w:tc>
        <w:tc>
          <w:tcPr>
            <w:tcW w:w="2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8"/>
                <w:szCs w:val="18"/>
                <w:color w:val="auto"/>
              </w:rPr>
              <w:t>92,540</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7,996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w:t>
            </w:r>
          </w:p>
        </w:tc>
        <w:tc>
          <w:tcPr>
            <w:tcW w:w="2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465</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40" w:type="dxa"/>
            <w:vAlign w:val="bottom"/>
          </w:tcPr>
          <w:p>
            <w:pPr>
              <w:spacing w:after="0"/>
              <w:rPr>
                <w:sz w:val="20"/>
                <w:szCs w:val="20"/>
                <w:color w:val="auto"/>
              </w:rPr>
            </w:pPr>
            <w:r>
              <w:rPr>
                <w:rFonts w:ascii="Arial" w:cs="Arial" w:eastAsia="Arial" w:hAnsi="Arial"/>
                <w:sz w:val="18"/>
                <w:szCs w:val="18"/>
                <w:color w:val="auto"/>
              </w:rPr>
              <w:t>Changes in operating assets and liabilities</w:t>
            </w:r>
          </w:p>
        </w:tc>
        <w:tc>
          <w:tcPr>
            <w:tcW w:w="2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Accounts receivable</w:t>
            </w:r>
          </w:p>
        </w:tc>
        <w:tc>
          <w:tcPr>
            <w:tcW w:w="2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25,007</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5"/>
              </w:rPr>
              <w:t>(17,502)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40" w:type="dxa"/>
            <w:vAlign w:val="bottom"/>
          </w:tcPr>
          <w:p>
            <w:pPr>
              <w:ind w:left="420"/>
              <w:spacing w:after="0"/>
              <w:rPr>
                <w:sz w:val="20"/>
                <w:szCs w:val="20"/>
                <w:color w:val="auto"/>
              </w:rPr>
            </w:pPr>
            <w:r>
              <w:rPr>
                <w:rFonts w:ascii="Arial" w:cs="Arial" w:eastAsia="Arial" w:hAnsi="Arial"/>
                <w:sz w:val="18"/>
                <w:szCs w:val="18"/>
                <w:color w:val="auto"/>
              </w:rPr>
              <w:t>Inventories</w:t>
            </w:r>
          </w:p>
        </w:tc>
        <w:tc>
          <w:tcPr>
            <w:tcW w:w="2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8"/>
                <w:szCs w:val="18"/>
                <w:color w:val="auto"/>
              </w:rPr>
              <w:t>31,539</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9,371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 receivables</w:t>
            </w:r>
          </w:p>
        </w:tc>
        <w:tc>
          <w:tcPr>
            <w:tcW w:w="2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3,114</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67,000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40" w:type="dxa"/>
            <w:vAlign w:val="bottom"/>
          </w:tcPr>
          <w:p>
            <w:pPr>
              <w:ind w:left="420"/>
              <w:spacing w:after="0"/>
              <w:rPr>
                <w:sz w:val="20"/>
                <w:szCs w:val="20"/>
                <w:color w:val="auto"/>
              </w:rPr>
            </w:pPr>
            <w:r>
              <w:rPr>
                <w:rFonts w:ascii="Arial" w:cs="Arial" w:eastAsia="Arial" w:hAnsi="Arial"/>
                <w:sz w:val="18"/>
                <w:szCs w:val="18"/>
                <w:color w:val="auto"/>
              </w:rPr>
              <w:t>Deferred tax assets</w:t>
            </w:r>
          </w:p>
        </w:tc>
        <w:tc>
          <w:tcPr>
            <w:tcW w:w="2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8"/>
                <w:szCs w:val="18"/>
                <w:color w:val="auto"/>
              </w:rPr>
              <w:t>839</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(3,395)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Accounts payable</w:t>
            </w:r>
          </w:p>
        </w:tc>
        <w:tc>
          <w:tcPr>
            <w:tcW w:w="2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(47,177)</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3,464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40" w:type="dxa"/>
            <w:vAlign w:val="bottom"/>
          </w:tcPr>
          <w:p>
            <w:pPr>
              <w:ind w:left="420"/>
              <w:spacing w:after="0"/>
              <w:rPr>
                <w:sz w:val="20"/>
                <w:szCs w:val="20"/>
                <w:color w:val="auto"/>
              </w:rPr>
            </w:pPr>
            <w:r>
              <w:rPr>
                <w:rFonts w:ascii="Arial" w:cs="Arial" w:eastAsia="Arial" w:hAnsi="Arial"/>
                <w:sz w:val="18"/>
                <w:szCs w:val="18"/>
                <w:color w:val="auto"/>
              </w:rPr>
              <w:t>Other accounts payable</w:t>
            </w:r>
          </w:p>
        </w:tc>
        <w:tc>
          <w:tcPr>
            <w:tcW w:w="2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rPr>
              <w:t>(15,996)</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w w:val="95"/>
              </w:rPr>
              <w:t>(75,382)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Accrued expenses</w:t>
            </w:r>
          </w:p>
        </w:tc>
        <w:tc>
          <w:tcPr>
            <w:tcW w:w="2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(2,088)</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(4,948)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40" w:type="dxa"/>
            <w:vAlign w:val="bottom"/>
          </w:tcPr>
          <w:p>
            <w:pPr>
              <w:ind w:left="420"/>
              <w:spacing w:after="0"/>
              <w:rPr>
                <w:sz w:val="20"/>
                <w:szCs w:val="20"/>
                <w:color w:val="auto"/>
              </w:rPr>
            </w:pPr>
            <w:r>
              <w:rPr>
                <w:rFonts w:ascii="Arial" w:cs="Arial" w:eastAsia="Arial" w:hAnsi="Arial"/>
                <w:sz w:val="18"/>
                <w:szCs w:val="18"/>
                <w:color w:val="auto"/>
              </w:rPr>
              <w:t>Other current assets</w:t>
            </w:r>
          </w:p>
        </w:tc>
        <w:tc>
          <w:tcPr>
            <w:tcW w:w="2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rPr>
              <w:t>(821)</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1,515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 current liabilities</w:t>
            </w:r>
          </w:p>
        </w:tc>
        <w:tc>
          <w:tcPr>
            <w:tcW w:w="2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(5,570)</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(4,092)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40" w:type="dxa"/>
            <w:vAlign w:val="bottom"/>
          </w:tcPr>
          <w:p>
            <w:pPr>
              <w:ind w:left="420"/>
              <w:spacing w:after="0"/>
              <w:rPr>
                <w:sz w:val="20"/>
                <w:szCs w:val="20"/>
                <w:color w:val="auto"/>
              </w:rPr>
            </w:pPr>
            <w:r>
              <w:rPr>
                <w:rFonts w:ascii="Arial" w:cs="Arial" w:eastAsia="Arial" w:hAnsi="Arial"/>
                <w:sz w:val="18"/>
                <w:szCs w:val="18"/>
                <w:color w:val="auto"/>
              </w:rPr>
              <w:t>Long-term prepaid expenses</w:t>
            </w:r>
          </w:p>
        </w:tc>
        <w:tc>
          <w:tcPr>
            <w:tcW w:w="2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(4,878)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Payment of severance benefits</w:t>
            </w:r>
          </w:p>
        </w:tc>
        <w:tc>
          <w:tcPr>
            <w:tcW w:w="2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(4,559)</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(6,864)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440" w:type="dxa"/>
            <w:vAlign w:val="bottom"/>
          </w:tcPr>
          <w:p>
            <w:pPr>
              <w:ind w:left="420"/>
              <w:spacing w:after="0"/>
              <w:rPr>
                <w:sz w:val="20"/>
                <w:szCs w:val="20"/>
                <w:color w:val="auto"/>
              </w:rPr>
            </w:pPr>
            <w:r>
              <w:rPr>
                <w:rFonts w:ascii="Arial" w:cs="Arial" w:eastAsia="Arial" w:hAnsi="Arial"/>
                <w:sz w:val="18"/>
                <w:szCs w:val="18"/>
                <w:color w:val="auto"/>
              </w:rPr>
              <w:t>Other</w:t>
            </w:r>
          </w:p>
        </w:tc>
        <w:tc>
          <w:tcPr>
            <w:tcW w:w="20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1,798</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40" w:type="dxa"/>
            <w:vAlign w:val="bottom"/>
            <w:shd w:val="clear" w:color="auto" w:fill="CCEEFF"/>
          </w:tcPr>
          <w:p>
            <w:pPr>
              <w:ind w:left="860"/>
              <w:spacing w:after="0"/>
              <w:rPr>
                <w:sz w:val="20"/>
                <w:szCs w:val="20"/>
                <w:color w:val="auto"/>
              </w:rPr>
            </w:pPr>
            <w:r>
              <w:rPr>
                <w:rFonts w:ascii="Arial" w:cs="Arial" w:eastAsia="Arial" w:hAnsi="Arial"/>
                <w:sz w:val="18"/>
                <w:szCs w:val="18"/>
                <w:color w:val="auto"/>
              </w:rPr>
              <w:t>Net cash provided by operating activities</w:t>
            </w:r>
          </w:p>
        </w:tc>
        <w:tc>
          <w:tcPr>
            <w:tcW w:w="2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10,469</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22,280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7460" w:type="dxa"/>
            <w:vAlign w:val="bottom"/>
            <w:gridSpan w:val="2"/>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20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4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Purchase of plant, property and equipment</w:t>
            </w:r>
          </w:p>
        </w:tc>
        <w:tc>
          <w:tcPr>
            <w:tcW w:w="2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(19,332)</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5"/>
              </w:rPr>
              <w:t>(18,299)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40" w:type="dxa"/>
            <w:vAlign w:val="bottom"/>
          </w:tcPr>
          <w:p>
            <w:pPr>
              <w:ind w:left="420"/>
              <w:spacing w:after="0"/>
              <w:rPr>
                <w:sz w:val="20"/>
                <w:szCs w:val="20"/>
                <w:color w:val="auto"/>
              </w:rPr>
            </w:pPr>
            <w:r>
              <w:rPr>
                <w:rFonts w:ascii="Arial" w:cs="Arial" w:eastAsia="Arial" w:hAnsi="Arial"/>
                <w:sz w:val="18"/>
                <w:szCs w:val="18"/>
                <w:color w:val="auto"/>
              </w:rPr>
              <w:t>Purchase of intangible assets</w:t>
            </w:r>
          </w:p>
        </w:tc>
        <w:tc>
          <w:tcPr>
            <w:tcW w:w="2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rPr>
              <w:t>(1,178)</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(1,172)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Acquisition of business, net of cash acquired of $4,620 thousand</w:t>
            </w:r>
          </w:p>
        </w:tc>
        <w:tc>
          <w:tcPr>
            <w:tcW w:w="2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5"/>
              </w:rPr>
              <w:t>(11,831)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40" w:type="dxa"/>
            <w:vAlign w:val="bottom"/>
          </w:tcPr>
          <w:p>
            <w:pPr>
              <w:ind w:left="420"/>
              <w:spacing w:after="0"/>
              <w:rPr>
                <w:sz w:val="20"/>
                <w:szCs w:val="20"/>
                <w:color w:val="auto"/>
              </w:rPr>
            </w:pPr>
            <w:r>
              <w:rPr>
                <w:rFonts w:ascii="Arial" w:cs="Arial" w:eastAsia="Arial" w:hAnsi="Arial"/>
                <w:sz w:val="18"/>
                <w:szCs w:val="18"/>
                <w:color w:val="auto"/>
              </w:rPr>
              <w:t>Proceeds from disposal of plant, property and equipment</w:t>
            </w:r>
          </w:p>
        </w:tc>
        <w:tc>
          <w:tcPr>
            <w:tcW w:w="2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8"/>
                <w:szCs w:val="18"/>
                <w:color w:val="auto"/>
              </w:rPr>
              <w:t>2,202</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113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Proceeds from disposal of intangible assets</w:t>
            </w:r>
          </w:p>
        </w:tc>
        <w:tc>
          <w:tcPr>
            <w:tcW w:w="2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2,794</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40" w:type="dxa"/>
            <w:vAlign w:val="bottom"/>
          </w:tcPr>
          <w:p>
            <w:pPr>
              <w:ind w:left="420"/>
              <w:spacing w:after="0"/>
              <w:rPr>
                <w:sz w:val="20"/>
                <w:szCs w:val="20"/>
                <w:color w:val="auto"/>
              </w:rPr>
            </w:pPr>
            <w:r>
              <w:rPr>
                <w:rFonts w:ascii="Arial" w:cs="Arial" w:eastAsia="Arial" w:hAnsi="Arial"/>
                <w:sz w:val="18"/>
                <w:szCs w:val="18"/>
                <w:color w:val="auto"/>
              </w:rPr>
              <w:t>Decrease in restricted cash</w:t>
            </w:r>
          </w:p>
        </w:tc>
        <w:tc>
          <w:tcPr>
            <w:tcW w:w="2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8"/>
                <w:szCs w:val="18"/>
                <w:color w:val="auto"/>
              </w:rPr>
              <w:t>1,876</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7,065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w:t>
            </w:r>
          </w:p>
        </w:tc>
        <w:tc>
          <w:tcPr>
            <w:tcW w:w="2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(927)</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40" w:type="dxa"/>
            <w:vAlign w:val="bottom"/>
            <w:vMerge w:val="restart"/>
          </w:tcPr>
          <w:p>
            <w:pPr>
              <w:ind w:left="860"/>
              <w:spacing w:after="0"/>
              <w:rPr>
                <w:sz w:val="20"/>
                <w:szCs w:val="20"/>
                <w:color w:val="auto"/>
              </w:rPr>
            </w:pPr>
            <w:r>
              <w:rPr>
                <w:rFonts w:ascii="Arial" w:cs="Arial" w:eastAsia="Arial" w:hAnsi="Arial"/>
                <w:sz w:val="18"/>
                <w:szCs w:val="18"/>
                <w:color w:val="auto"/>
              </w:rPr>
              <w:t>Net cash used in investing activities</w:t>
            </w:r>
          </w:p>
        </w:tc>
        <w:tc>
          <w:tcPr>
            <w:tcW w:w="20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tcPr>
          <w:p>
            <w:pPr>
              <w:spacing w:after="0"/>
              <w:rPr>
                <w:sz w:val="20"/>
                <w:szCs w:val="20"/>
                <w:color w:val="auto"/>
              </w:rPr>
            </w:pPr>
          </w:p>
        </w:tc>
        <w:tc>
          <w:tcPr>
            <w:tcW w:w="7440" w:type="dxa"/>
            <w:vAlign w:val="bottom"/>
            <w:vMerge w:val="continue"/>
          </w:tcPr>
          <w:p>
            <w:pPr>
              <w:spacing w:after="0"/>
              <w:rPr>
                <w:sz w:val="20"/>
                <w:szCs w:val="20"/>
                <w:color w:val="auto"/>
              </w:rPr>
            </w:pPr>
          </w:p>
        </w:tc>
        <w:tc>
          <w:tcPr>
            <w:tcW w:w="2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rPr>
              <w:t>(14,565)</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w w:val="95"/>
              </w:rPr>
              <w:t>(22,435)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20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40" w:type="dxa"/>
            <w:vAlign w:val="bottom"/>
          </w:tcPr>
          <w:p>
            <w:pPr>
              <w:ind w:left="420"/>
              <w:spacing w:after="0"/>
              <w:rPr>
                <w:sz w:val="20"/>
                <w:szCs w:val="20"/>
                <w:color w:val="auto"/>
              </w:rPr>
            </w:pPr>
            <w:r>
              <w:rPr>
                <w:rFonts w:ascii="Arial" w:cs="Arial" w:eastAsia="Arial" w:hAnsi="Arial"/>
                <w:sz w:val="18"/>
                <w:szCs w:val="18"/>
                <w:color w:val="auto"/>
              </w:rPr>
              <w:t>Repayment of short-term borrowings</w:t>
            </w:r>
          </w:p>
        </w:tc>
        <w:tc>
          <w:tcPr>
            <w:tcW w:w="2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w w:val="95"/>
              </w:rPr>
              <w:t>(13,369)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Exercise of unit options</w:t>
            </w:r>
          </w:p>
        </w:tc>
        <w:tc>
          <w:tcPr>
            <w:tcW w:w="2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82</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40" w:type="dxa"/>
            <w:vAlign w:val="bottom"/>
          </w:tcPr>
          <w:p>
            <w:pPr>
              <w:ind w:left="420"/>
              <w:spacing w:after="0"/>
              <w:rPr>
                <w:sz w:val="20"/>
                <w:szCs w:val="20"/>
                <w:color w:val="auto"/>
              </w:rPr>
            </w:pPr>
            <w:r>
              <w:rPr>
                <w:rFonts w:ascii="Arial" w:cs="Arial" w:eastAsia="Arial" w:hAnsi="Arial"/>
                <w:sz w:val="18"/>
                <w:szCs w:val="18"/>
                <w:color w:val="auto"/>
              </w:rPr>
              <w:t>Repurchase of common units</w:t>
            </w:r>
          </w:p>
        </w:tc>
        <w:tc>
          <w:tcPr>
            <w:tcW w:w="2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rPr>
              <w:t>(414)</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w:t>
            </w:r>
          </w:p>
        </w:tc>
        <w:tc>
          <w:tcPr>
            <w:tcW w:w="2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(595)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40" w:type="dxa"/>
            <w:vAlign w:val="bottom"/>
            <w:vMerge w:val="restart"/>
          </w:tcPr>
          <w:p>
            <w:pPr>
              <w:ind w:left="860"/>
              <w:spacing w:after="0"/>
              <w:rPr>
                <w:sz w:val="20"/>
                <w:szCs w:val="20"/>
                <w:color w:val="auto"/>
              </w:rPr>
            </w:pPr>
            <w:r>
              <w:rPr>
                <w:rFonts w:ascii="Arial" w:cs="Arial" w:eastAsia="Arial" w:hAnsi="Arial"/>
                <w:sz w:val="18"/>
                <w:szCs w:val="18"/>
                <w:color w:val="auto"/>
              </w:rPr>
              <w:t>Net cash used in financing activities</w:t>
            </w:r>
          </w:p>
        </w:tc>
        <w:tc>
          <w:tcPr>
            <w:tcW w:w="20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7440" w:type="dxa"/>
            <w:vAlign w:val="bottom"/>
            <w:vMerge w:val="continue"/>
          </w:tcPr>
          <w:p>
            <w:pPr>
              <w:spacing w:after="0"/>
              <w:rPr>
                <w:sz w:val="19"/>
                <w:szCs w:val="19"/>
                <w:color w:val="auto"/>
              </w:rPr>
            </w:pPr>
          </w:p>
        </w:tc>
        <w:tc>
          <w:tcPr>
            <w:tcW w:w="2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rPr>
              <w:t>(332)</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w w:val="95"/>
              </w:rPr>
              <w:t>(13,450)</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440" w:type="dxa"/>
            <w:vAlign w:val="bottom"/>
            <w:shd w:val="clear" w:color="auto" w:fill="CCEEFF"/>
          </w:tcPr>
          <w:p>
            <w:pPr>
              <w:ind w:left="860"/>
              <w:spacing w:after="0"/>
              <w:rPr>
                <w:sz w:val="20"/>
                <w:szCs w:val="20"/>
                <w:color w:val="auto"/>
              </w:rPr>
            </w:pPr>
            <w:r>
              <w:rPr>
                <w:rFonts w:ascii="Arial" w:cs="Arial" w:eastAsia="Arial" w:hAnsi="Arial"/>
                <w:sz w:val="18"/>
                <w:szCs w:val="18"/>
                <w:color w:val="auto"/>
              </w:rPr>
              <w:t>Effect of exchange rates on cash and cash equivalents</w:t>
            </w:r>
          </w:p>
        </w:tc>
        <w:tc>
          <w:tcPr>
            <w:tcW w:w="20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4,342</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440" w:type="dxa"/>
            <w:vAlign w:val="bottom"/>
          </w:tcPr>
          <w:p>
            <w:pPr>
              <w:ind w:left="860"/>
              <w:spacing w:after="0"/>
              <w:rPr>
                <w:sz w:val="20"/>
                <w:szCs w:val="20"/>
                <w:color w:val="auto"/>
              </w:rPr>
            </w:pPr>
            <w:r>
              <w:rPr>
                <w:rFonts w:ascii="Arial" w:cs="Arial" w:eastAsia="Arial" w:hAnsi="Arial"/>
                <w:sz w:val="18"/>
                <w:szCs w:val="18"/>
                <w:color w:val="auto"/>
              </w:rPr>
              <w:t>Net decrease in cash and cash equivalents</w:t>
            </w:r>
          </w:p>
        </w:tc>
        <w:tc>
          <w:tcPr>
            <w:tcW w:w="2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rPr>
              <w:t>(86)</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w w:val="95"/>
              </w:rPr>
              <w:t>(13,575)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and cash equivalents</w:t>
            </w:r>
          </w:p>
        </w:tc>
        <w:tc>
          <w:tcPr>
            <w:tcW w:w="20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440" w:type="dxa"/>
            <w:vAlign w:val="bottom"/>
          </w:tcPr>
          <w:p>
            <w:pPr>
              <w:spacing w:after="0"/>
              <w:rPr>
                <w:sz w:val="20"/>
                <w:szCs w:val="20"/>
                <w:color w:val="auto"/>
              </w:rPr>
            </w:pPr>
            <w:r>
              <w:rPr>
                <w:rFonts w:ascii="Arial" w:cs="Arial" w:eastAsia="Arial" w:hAnsi="Arial"/>
                <w:sz w:val="18"/>
                <w:szCs w:val="18"/>
                <w:color w:val="auto"/>
              </w:rPr>
              <w:t>Beginning of the period</w:t>
            </w:r>
          </w:p>
        </w:tc>
        <w:tc>
          <w:tcPr>
            <w:tcW w:w="20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86,574</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58,396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40" w:type="dxa"/>
            <w:vAlign w:val="bottom"/>
            <w:shd w:val="clear" w:color="auto" w:fill="CCEEFF"/>
          </w:tcPr>
          <w:p>
            <w:pPr>
              <w:spacing w:after="0"/>
              <w:rPr>
                <w:sz w:val="20"/>
                <w:szCs w:val="20"/>
                <w:color w:val="auto"/>
              </w:rPr>
            </w:pPr>
            <w:r>
              <w:rPr>
                <w:rFonts w:ascii="Arial" w:cs="Arial" w:eastAsia="Arial" w:hAnsi="Arial"/>
                <w:sz w:val="18"/>
                <w:szCs w:val="18"/>
                <w:color w:val="auto"/>
              </w:rPr>
              <w:t>End of the period</w:t>
            </w:r>
          </w:p>
        </w:tc>
        <w:tc>
          <w:tcPr>
            <w:tcW w:w="2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86,488</w:t>
            </w:r>
          </w:p>
        </w:tc>
        <w:tc>
          <w:tcPr>
            <w:tcW w:w="2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44,821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4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459" w:right="2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MagnaChip Semiconductor LLC and Subsidiaries</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 tabular dollars in thousands, except unit data)</w:t>
      </w:r>
    </w:p>
    <w:p>
      <w:pPr>
        <w:spacing w:after="0" w:line="159" w:lineRule="exact"/>
        <w:rPr>
          <w:sz w:val="20"/>
          <w:szCs w:val="20"/>
          <w:color w:val="auto"/>
        </w:rPr>
      </w:pPr>
    </w:p>
    <w:p>
      <w:pPr>
        <w:ind w:right="8900" w:firstLine="8"/>
        <w:spacing w:after="0" w:line="391" w:lineRule="auto"/>
        <w:tabs>
          <w:tab w:leader="none" w:pos="176" w:val="left"/>
        </w:tabs>
        <w:numPr>
          <w:ilvl w:val="0"/>
          <w:numId w:val="3"/>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Significant Accounting Policies </w:t>
      </w:r>
      <w:r>
        <w:rPr>
          <w:rFonts w:ascii="Arial" w:cs="Arial" w:eastAsia="Arial" w:hAnsi="Arial"/>
          <w:sz w:val="16"/>
          <w:szCs w:val="16"/>
          <w:b w:val="1"/>
          <w:bCs w:val="1"/>
          <w:i w:val="1"/>
          <w:iCs w:val="1"/>
          <w:color w:val="auto"/>
        </w:rPr>
        <w:t>Basis of Presentation</w:t>
      </w:r>
    </w:p>
    <w:p>
      <w:pPr>
        <w:spacing w:after="0" w:line="1" w:lineRule="exact"/>
        <w:rPr>
          <w:sz w:val="20"/>
          <w:szCs w:val="20"/>
          <w:color w:val="auto"/>
        </w:rPr>
      </w:pPr>
    </w:p>
    <w:p>
      <w:pPr>
        <w:ind w:right="80" w:firstLine="456"/>
        <w:spacing w:after="0" w:line="288" w:lineRule="auto"/>
        <w:rPr>
          <w:sz w:val="20"/>
          <w:szCs w:val="20"/>
          <w:color w:val="auto"/>
        </w:rPr>
      </w:pPr>
      <w:r>
        <w:rPr>
          <w:rFonts w:ascii="Arial" w:cs="Arial" w:eastAsia="Arial" w:hAnsi="Arial"/>
          <w:sz w:val="16"/>
          <w:szCs w:val="16"/>
          <w:color w:val="auto"/>
        </w:rPr>
        <w:t xml:space="preserve">The accompanying unaudited interim condensed consolidated financial statements of MagnaChip Semiconductor LLC and its subsidiaries (the “Company”) have been prepared in accordance with Accounting Principle Board (“APB”) Opinion No. 28, </w:t>
      </w:r>
      <w:r>
        <w:rPr>
          <w:rFonts w:ascii="Arial" w:cs="Arial" w:eastAsia="Arial" w:hAnsi="Arial"/>
          <w:sz w:val="16"/>
          <w:szCs w:val="16"/>
          <w:i w:val="1"/>
          <w:iCs w:val="1"/>
          <w:color w:val="auto"/>
        </w:rPr>
        <w:t>Interim Financial Reporting</w:t>
      </w:r>
      <w:r>
        <w:rPr>
          <w:rFonts w:ascii="Arial" w:cs="Arial" w:eastAsia="Arial" w:hAnsi="Arial"/>
          <w:sz w:val="16"/>
          <w:szCs w:val="16"/>
          <w:color w:val="auto"/>
        </w:rPr>
        <w:t xml:space="preserve"> regarding interim financial information and, accordingly, do not include all of the information and note disclosures required by generally accepted accounting principles in the United States of America for complete financial statements. In the opinion of the Company’s management, the unaudited interim condensed consolidated financial statements include all normal recurring adjustments necessary to fairly present the information required to be set forth therein. All inter-company accounts and transactions have been eliminated. These financial statements should be read in conjunction with the audited consolidated financial statements and notes thereto included in the Company’s Annual Report on Form 10-K for the year ended December 31, 2005, which was filed with the SEC on March 31, 2006. The results of operations for the three-month and six-month periods ended July 2, 2006 are not necessarily indicative of the results to be expected for a full year or for any other periods.</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90"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 xml:space="preserve">In June 2006, the Financial Accounting Standards Board (“FASB”) issued FASB Interpretation (“FIN”) No. 48, </w:t>
      </w:r>
      <w:r>
        <w:rPr>
          <w:rFonts w:ascii="Arial" w:cs="Arial" w:eastAsia="Arial" w:hAnsi="Arial"/>
          <w:sz w:val="18"/>
          <w:szCs w:val="18"/>
          <w:i w:val="1"/>
          <w:iCs w:val="1"/>
          <w:color w:val="auto"/>
        </w:rPr>
        <w:t>Accounting for Uncertainty in Income</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Taxes </w:t>
      </w:r>
      <w:r>
        <w:rPr>
          <w:rFonts w:ascii="Arial" w:cs="Arial" w:eastAsia="Arial" w:hAnsi="Arial"/>
          <w:sz w:val="18"/>
          <w:szCs w:val="18"/>
          <w:color w:val="auto"/>
        </w:rPr>
        <w:t>- an interpretation of Statements of Financial Accounting Standards (“SFAS”) No. 109. FIN 48 clarifies the accounting for uncertain income tax positions</w:t>
      </w:r>
      <w:r>
        <w:rPr>
          <w:rFonts w:ascii="Arial" w:cs="Arial" w:eastAsia="Arial" w:hAnsi="Arial"/>
          <w:sz w:val="18"/>
          <w:szCs w:val="18"/>
          <w:i w:val="1"/>
          <w:iCs w:val="1"/>
          <w:color w:val="auto"/>
        </w:rPr>
        <w:t xml:space="preserve"> </w:t>
      </w:r>
      <w:r>
        <w:rPr>
          <w:rFonts w:ascii="Arial" w:cs="Arial" w:eastAsia="Arial" w:hAnsi="Arial"/>
          <w:sz w:val="18"/>
          <w:szCs w:val="18"/>
          <w:color w:val="auto"/>
        </w:rPr>
        <w:t>accounted for in accordance with SFAS No. 109. The Interpretation stipulates recognition and measurement criteria in addition to classification, interim period accounting and significantly expanded disclosure provisions for uncertain tax positions that are expected to be taken in a company’s tax return. FIN 48 is effective for fiscal years beginning after December 15, 2006. The Company does not expect that adoption of this Interpretation will have a material impact on its consolidated financial statements.</w:t>
      </w:r>
    </w:p>
    <w:p>
      <w:pPr>
        <w:spacing w:after="0" w:line="144"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 xml:space="preserve">In March 2006, the FASB issued SFAS No. 156, </w:t>
      </w:r>
      <w:r>
        <w:rPr>
          <w:rFonts w:ascii="Arial" w:cs="Arial" w:eastAsia="Arial" w:hAnsi="Arial"/>
          <w:sz w:val="16"/>
          <w:szCs w:val="16"/>
          <w:i w:val="1"/>
          <w:iCs w:val="1"/>
          <w:color w:val="auto"/>
        </w:rPr>
        <w:t>Accounting for Servicing of Financial Assets—</w:t>
      </w:r>
      <w:r>
        <w:rPr>
          <w:rFonts w:ascii="Arial" w:cs="Arial" w:eastAsia="Arial" w:hAnsi="Arial"/>
          <w:sz w:val="16"/>
          <w:szCs w:val="16"/>
          <w:color w:val="auto"/>
        </w:rPr>
        <w:t>an amendment of FASB Statement No. 140</w:t>
      </w:r>
      <w:r>
        <w:rPr>
          <w:rFonts w:ascii="Arial" w:cs="Arial" w:eastAsia="Arial" w:hAnsi="Arial"/>
          <w:sz w:val="16"/>
          <w:szCs w:val="16"/>
          <w:i w:val="1"/>
          <w:iCs w:val="1"/>
          <w:color w:val="auto"/>
        </w:rPr>
        <w:t>.</w:t>
      </w:r>
      <w:r>
        <w:rPr>
          <w:rFonts w:ascii="Arial" w:cs="Arial" w:eastAsia="Arial" w:hAnsi="Arial"/>
          <w:sz w:val="16"/>
          <w:szCs w:val="16"/>
          <w:color w:val="auto"/>
        </w:rPr>
        <w:t xml:space="preserve"> This Statement addresses the accounting for recognized servicing assets and liabilities related to certain transfers of the servicer’s financial assets and for acquisitions or assumptions of obligations to service financial assets that do not relate to the financial assets of the servicer and its related parties. SFAS 156 requires that all recognized servicing assets and liabilities are initially measured at fair value, and subsequently measured at either fair value or by applying an amortization method for each class of recognized servicing assets and liabilities. SFAS 156 is effective in fiscal years beginning after September 15, 2006. The adoption of SFAS 156 is not expected to have a material impact on the Company’s consolidated financial statements.</w:t>
      </w:r>
    </w:p>
    <w:p>
      <w:pPr>
        <w:spacing w:after="0" w:line="120"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 xml:space="preserve">In February 2006, the FASB issued SFAS No. 155, </w:t>
      </w:r>
      <w:r>
        <w:rPr>
          <w:rFonts w:ascii="Arial" w:cs="Arial" w:eastAsia="Arial" w:hAnsi="Arial"/>
          <w:sz w:val="18"/>
          <w:szCs w:val="18"/>
          <w:i w:val="1"/>
          <w:iCs w:val="1"/>
          <w:color w:val="auto"/>
        </w:rPr>
        <w:t>Accounting for Certain Hybrid Financial Instruments –</w:t>
      </w:r>
      <w:r>
        <w:rPr>
          <w:rFonts w:ascii="Arial" w:cs="Arial" w:eastAsia="Arial" w:hAnsi="Arial"/>
          <w:sz w:val="18"/>
          <w:szCs w:val="18"/>
          <w:color w:val="auto"/>
        </w:rPr>
        <w:t xml:space="preserve"> an amendment of FASB Statements No. 133 and 140</w:t>
      </w:r>
      <w:r>
        <w:rPr>
          <w:rFonts w:ascii="Arial" w:cs="Arial" w:eastAsia="Arial" w:hAnsi="Arial"/>
          <w:sz w:val="18"/>
          <w:szCs w:val="18"/>
          <w:i w:val="1"/>
          <w:iCs w:val="1"/>
          <w:color w:val="auto"/>
        </w:rPr>
        <w:t>.</w:t>
      </w:r>
      <w:r>
        <w:rPr>
          <w:rFonts w:ascii="Arial" w:cs="Arial" w:eastAsia="Arial" w:hAnsi="Arial"/>
          <w:sz w:val="18"/>
          <w:szCs w:val="18"/>
          <w:color w:val="auto"/>
        </w:rPr>
        <w:t xml:space="preserve"> This Statement amends SFAS No. 133 and SFAS No. 140, and improves the financial reporting of certain hybrid financial instruments by requiring more consistent accounting. Specifically, this Statement allows fair value remeasurement for any hybrid financial instrument that contains an embedded derivative that otherwise would require bifurcation. This Statement is effective for all financial instruments acquired or issued after the beginning of an entity’s first fiscal year that begins after September 15, 2006. The Company does not expect that adoption of this Statement will have a material impact on its consolidated financial statements.</w:t>
      </w:r>
    </w:p>
    <w:p>
      <w:pPr>
        <w:spacing w:after="0" w:line="1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00"/>
          </w:cols>
          <w:pgMar w:left="240" w:top="459" w:right="25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459"/>
        <w:spacing w:after="0"/>
        <w:rPr>
          <w:sz w:val="20"/>
          <w:szCs w:val="20"/>
          <w:color w:val="auto"/>
        </w:rPr>
      </w:pPr>
      <w:r>
        <w:rPr>
          <w:rFonts w:ascii="Arial" w:cs="Arial" w:eastAsia="Arial" w:hAnsi="Arial"/>
          <w:sz w:val="18"/>
          <w:szCs w:val="18"/>
          <w:b w:val="1"/>
          <w:bCs w:val="1"/>
          <w:color w:val="auto"/>
        </w:rPr>
        <w:t>MagnaChip Semiconductor LLC and Subsidiaries</w:t>
      </w:r>
    </w:p>
    <w:p>
      <w:pPr>
        <w:spacing w:after="0" w:line="21" w:lineRule="exact"/>
        <w:rPr>
          <w:sz w:val="20"/>
          <w:szCs w:val="20"/>
          <w:color w:val="auto"/>
        </w:rPr>
      </w:pPr>
    </w:p>
    <w:p>
      <w:pPr>
        <w:jc w:val="center"/>
        <w:ind w:right="-459"/>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9" w:lineRule="exact"/>
        <w:rPr>
          <w:sz w:val="20"/>
          <w:szCs w:val="20"/>
          <w:color w:val="auto"/>
        </w:rPr>
      </w:pPr>
    </w:p>
    <w:p>
      <w:pPr>
        <w:jc w:val="center"/>
        <w:ind w:right="-459"/>
        <w:spacing w:after="0"/>
        <w:rPr>
          <w:sz w:val="20"/>
          <w:szCs w:val="20"/>
          <w:color w:val="auto"/>
        </w:rPr>
      </w:pPr>
      <w:r>
        <w:rPr>
          <w:rFonts w:ascii="Arial" w:cs="Arial" w:eastAsia="Arial" w:hAnsi="Arial"/>
          <w:sz w:val="18"/>
          <w:szCs w:val="18"/>
          <w:b w:val="1"/>
          <w:bCs w:val="1"/>
          <w:color w:val="auto"/>
        </w:rPr>
        <w:t>(Unaudited; tabular dollars in thousands, except unit data)</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Inventories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Inventories as of July 2, 2006 and December 31, 2005 consist of the following:</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0" w:type="dxa"/>
            <w:vAlign w:val="bottom"/>
          </w:tcPr>
          <w:p>
            <w:pPr>
              <w:spacing w:after="0"/>
              <w:rPr>
                <w:sz w:val="14"/>
                <w:szCs w:val="14"/>
                <w:color w:val="auto"/>
              </w:rPr>
            </w:pPr>
          </w:p>
        </w:tc>
        <w:tc>
          <w:tcPr>
            <w:tcW w:w="7820" w:type="dxa"/>
            <w:vAlign w:val="bottom"/>
          </w:tcPr>
          <w:p>
            <w:pPr>
              <w:spacing w:after="0"/>
              <w:rPr>
                <w:sz w:val="14"/>
                <w:szCs w:val="14"/>
                <w:color w:val="auto"/>
              </w:rPr>
            </w:pPr>
          </w:p>
        </w:tc>
        <w:tc>
          <w:tcPr>
            <w:tcW w:w="700" w:type="dxa"/>
            <w:vAlign w:val="bottom"/>
            <w:tcBorders>
              <w:bottom w:val="single" w:sz="8" w:color="auto"/>
            </w:tcBorders>
            <w:gridSpan w:val="4"/>
          </w:tcPr>
          <w:p>
            <w:pPr>
              <w:spacing w:after="0"/>
              <w:rPr>
                <w:sz w:val="20"/>
                <w:szCs w:val="20"/>
                <w:color w:val="auto"/>
              </w:rPr>
            </w:pPr>
            <w:r>
              <w:rPr>
                <w:rFonts w:ascii="Arial" w:cs="Arial" w:eastAsia="Arial" w:hAnsi="Arial"/>
                <w:sz w:val="14"/>
                <w:szCs w:val="14"/>
                <w:b w:val="1"/>
                <w:bCs w:val="1"/>
                <w:color w:val="auto"/>
                <w:w w:val="86"/>
              </w:rPr>
              <w:t>July 2, 2006</w:t>
            </w:r>
          </w:p>
        </w:tc>
        <w:tc>
          <w:tcPr>
            <w:tcW w:w="820" w:type="dxa"/>
            <w:vAlign w:val="bottom"/>
            <w:gridSpan w:val="2"/>
          </w:tcPr>
          <w:p>
            <w:pPr>
              <w:spacing w:after="0"/>
              <w:rPr>
                <w:sz w:val="14"/>
                <w:szCs w:val="14"/>
                <w:color w:val="auto"/>
              </w:rPr>
            </w:pPr>
          </w:p>
        </w:tc>
        <w:tc>
          <w:tcPr>
            <w:tcW w:w="110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w w:val="85"/>
              </w:rPr>
              <w:t>December 31, 2005</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60" w:type="dxa"/>
            <w:vAlign w:val="bottom"/>
          </w:tcPr>
          <w:p>
            <w:pPr>
              <w:spacing w:after="0"/>
              <w:rPr>
                <w:sz w:val="18"/>
                <w:szCs w:val="18"/>
                <w:color w:val="auto"/>
              </w:rPr>
            </w:pPr>
          </w:p>
        </w:tc>
        <w:tc>
          <w:tcPr>
            <w:tcW w:w="7820" w:type="dxa"/>
            <w:vAlign w:val="bottom"/>
            <w:shd w:val="clear" w:color="auto" w:fill="CCEEFF"/>
          </w:tcPr>
          <w:p>
            <w:pPr>
              <w:spacing w:after="0"/>
              <w:rPr>
                <w:sz w:val="20"/>
                <w:szCs w:val="20"/>
                <w:color w:val="auto"/>
              </w:rPr>
            </w:pPr>
            <w:r>
              <w:rPr>
                <w:rFonts w:ascii="Arial" w:cs="Arial" w:eastAsia="Arial" w:hAnsi="Arial"/>
                <w:sz w:val="18"/>
                <w:szCs w:val="18"/>
                <w:color w:val="auto"/>
              </w:rPr>
              <w:t>Finished goods</w:t>
            </w:r>
          </w:p>
        </w:tc>
        <w:tc>
          <w:tcPr>
            <w:tcW w:w="2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87"/>
              </w:rPr>
              <w:t>23,135</w:t>
            </w:r>
          </w:p>
        </w:tc>
        <w:tc>
          <w:tcPr>
            <w:tcW w:w="7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28,414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7820" w:type="dxa"/>
            <w:vAlign w:val="bottom"/>
          </w:tcPr>
          <w:p>
            <w:pPr>
              <w:spacing w:after="0"/>
              <w:rPr>
                <w:sz w:val="20"/>
                <w:szCs w:val="20"/>
                <w:color w:val="auto"/>
              </w:rPr>
            </w:pPr>
            <w:r>
              <w:rPr>
                <w:rFonts w:ascii="Arial" w:cs="Arial" w:eastAsia="Arial" w:hAnsi="Arial"/>
                <w:sz w:val="18"/>
                <w:szCs w:val="18"/>
                <w:color w:val="auto"/>
              </w:rPr>
              <w:t>Semi-finished goods and work-in-progress</w:t>
            </w: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gridSpan w:val="2"/>
          </w:tcPr>
          <w:p>
            <w:pPr>
              <w:jc w:val="right"/>
              <w:ind w:right="80"/>
              <w:spacing w:after="0"/>
              <w:rPr>
                <w:sz w:val="20"/>
                <w:szCs w:val="20"/>
                <w:color w:val="auto"/>
              </w:rPr>
            </w:pPr>
            <w:r>
              <w:rPr>
                <w:rFonts w:ascii="Arial" w:cs="Arial" w:eastAsia="Arial" w:hAnsi="Arial"/>
                <w:sz w:val="18"/>
                <w:szCs w:val="18"/>
                <w:color w:val="auto"/>
                <w:w w:val="87"/>
              </w:rPr>
              <w:t>46,221</w:t>
            </w:r>
          </w:p>
        </w:tc>
        <w:tc>
          <w:tcPr>
            <w:tcW w:w="7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60,095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7820" w:type="dxa"/>
            <w:vAlign w:val="bottom"/>
            <w:shd w:val="clear" w:color="auto" w:fill="CCEEFF"/>
          </w:tcPr>
          <w:p>
            <w:pPr>
              <w:spacing w:after="0"/>
              <w:rPr>
                <w:sz w:val="20"/>
                <w:szCs w:val="20"/>
                <w:color w:val="auto"/>
              </w:rPr>
            </w:pPr>
            <w:r>
              <w:rPr>
                <w:rFonts w:ascii="Arial" w:cs="Arial" w:eastAsia="Arial" w:hAnsi="Arial"/>
                <w:sz w:val="18"/>
                <w:szCs w:val="18"/>
                <w:color w:val="auto"/>
              </w:rPr>
              <w:t>Raw materials</w:t>
            </w: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6,565</w:t>
            </w:r>
          </w:p>
        </w:tc>
        <w:tc>
          <w:tcPr>
            <w:tcW w:w="7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5,814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7820" w:type="dxa"/>
            <w:vAlign w:val="bottom"/>
          </w:tcPr>
          <w:p>
            <w:pPr>
              <w:spacing w:after="0"/>
              <w:rPr>
                <w:sz w:val="20"/>
                <w:szCs w:val="20"/>
                <w:color w:val="auto"/>
              </w:rPr>
            </w:pPr>
            <w:r>
              <w:rPr>
                <w:rFonts w:ascii="Arial" w:cs="Arial" w:eastAsia="Arial" w:hAnsi="Arial"/>
                <w:sz w:val="18"/>
                <w:szCs w:val="18"/>
                <w:color w:val="auto"/>
              </w:rPr>
              <w:t>Materials in-transit</w:t>
            </w: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gridSpan w:val="2"/>
          </w:tcPr>
          <w:p>
            <w:pPr>
              <w:jc w:val="right"/>
              <w:ind w:right="80"/>
              <w:spacing w:after="0"/>
              <w:rPr>
                <w:sz w:val="20"/>
                <w:szCs w:val="20"/>
                <w:color w:val="auto"/>
              </w:rPr>
            </w:pPr>
            <w:r>
              <w:rPr>
                <w:rFonts w:ascii="Arial" w:cs="Arial" w:eastAsia="Arial" w:hAnsi="Arial"/>
                <w:sz w:val="18"/>
                <w:szCs w:val="18"/>
                <w:color w:val="auto"/>
              </w:rPr>
              <w:t>1,984</w:t>
            </w:r>
          </w:p>
        </w:tc>
        <w:tc>
          <w:tcPr>
            <w:tcW w:w="7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1,966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7820" w:type="dxa"/>
            <w:vAlign w:val="bottom"/>
            <w:shd w:val="clear" w:color="auto" w:fill="CCEEFF"/>
          </w:tcPr>
          <w:p>
            <w:pPr>
              <w:spacing w:after="0"/>
              <w:rPr>
                <w:sz w:val="20"/>
                <w:szCs w:val="20"/>
                <w:color w:val="auto"/>
              </w:rPr>
            </w:pPr>
            <w:r>
              <w:rPr>
                <w:rFonts w:ascii="Arial" w:cs="Arial" w:eastAsia="Arial" w:hAnsi="Arial"/>
                <w:sz w:val="18"/>
                <w:szCs w:val="18"/>
                <w:color w:val="auto"/>
              </w:rPr>
              <w:t>Less: Valuation allowance</w:t>
            </w:r>
          </w:p>
        </w:tc>
        <w:tc>
          <w:tcPr>
            <w:tcW w:w="780" w:type="dxa"/>
            <w:vAlign w:val="bottom"/>
            <w:gridSpan w:val="5"/>
            <w:shd w:val="clear" w:color="auto" w:fill="CCEEFF"/>
          </w:tcPr>
          <w:p>
            <w:pPr>
              <w:jc w:val="right"/>
              <w:ind w:right="20"/>
              <w:spacing w:after="0"/>
              <w:rPr>
                <w:sz w:val="20"/>
                <w:szCs w:val="20"/>
                <w:color w:val="auto"/>
              </w:rPr>
            </w:pPr>
            <w:r>
              <w:rPr>
                <w:rFonts w:ascii="Arial" w:cs="Arial" w:eastAsia="Arial" w:hAnsi="Arial"/>
                <w:sz w:val="18"/>
                <w:szCs w:val="18"/>
                <w:color w:val="auto"/>
              </w:rPr>
              <w:t>(15,748)</w:t>
            </w:r>
          </w:p>
        </w:tc>
        <w:tc>
          <w:tcPr>
            <w:tcW w:w="7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(7,612)</w:t>
            </w:r>
          </w:p>
        </w:tc>
        <w:tc>
          <w:tcPr>
            <w:tcW w:w="0" w:type="dxa"/>
            <w:vAlign w:val="bottom"/>
          </w:tcPr>
          <w:p>
            <w:pPr>
              <w:spacing w:after="0"/>
              <w:rPr>
                <w:sz w:val="1"/>
                <w:szCs w:val="1"/>
                <w:color w:val="auto"/>
              </w:rPr>
            </w:pPr>
          </w:p>
        </w:tc>
      </w:tr>
      <w:tr>
        <w:trPr>
          <w:trHeight w:val="221"/>
        </w:trPr>
        <w:tc>
          <w:tcPr>
            <w:tcW w:w="8280" w:type="dxa"/>
            <w:vAlign w:val="bottom"/>
            <w:gridSpan w:val="2"/>
          </w:tcPr>
          <w:p>
            <w:pPr>
              <w:ind w:left="460"/>
              <w:spacing w:after="0"/>
              <w:rPr>
                <w:sz w:val="20"/>
                <w:szCs w:val="20"/>
                <w:color w:val="auto"/>
              </w:rPr>
            </w:pPr>
            <w:r>
              <w:rPr>
                <w:rFonts w:ascii="Arial" w:cs="Arial" w:eastAsia="Arial" w:hAnsi="Arial"/>
                <w:sz w:val="18"/>
                <w:szCs w:val="18"/>
                <w:color w:val="auto"/>
              </w:rPr>
              <w:t>Inventories, net</w:t>
            </w:r>
          </w:p>
        </w:tc>
        <w:tc>
          <w:tcPr>
            <w:tcW w:w="200" w:type="dxa"/>
            <w:vAlign w:val="bottom"/>
            <w:tcBorders>
              <w:top w:val="single" w:sz="8" w:color="auto"/>
              <w:bottom w:val="single" w:sz="8" w:color="auto"/>
            </w:tcBorders>
            <w:gridSpan w:val="3"/>
          </w:tcPr>
          <w:p>
            <w:pPr>
              <w:spacing w:after="0"/>
              <w:rPr>
                <w:sz w:val="20"/>
                <w:szCs w:val="20"/>
                <w:color w:val="auto"/>
              </w:rPr>
            </w:pPr>
            <w:r>
              <w:rPr>
                <w:rFonts w:ascii="Arial" w:cs="Arial" w:eastAsia="Arial" w:hAnsi="Arial"/>
                <w:sz w:val="18"/>
                <w:szCs w:val="18"/>
                <w:color w:val="auto"/>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62,157</w:t>
            </w:r>
          </w:p>
        </w:tc>
        <w:tc>
          <w:tcPr>
            <w:tcW w:w="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88,677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28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3. Property, plant and equipment</w:t>
            </w: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8280" w:type="dxa"/>
            <w:vAlign w:val="bottom"/>
            <w:gridSpan w:val="2"/>
            <w:vMerge w:val="continue"/>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8280" w:type="dxa"/>
            <w:vAlign w:val="bottom"/>
            <w:gridSpan w:val="2"/>
          </w:tcPr>
          <w:p>
            <w:pPr>
              <w:ind w:left="460"/>
              <w:spacing w:after="0"/>
              <w:rPr>
                <w:sz w:val="20"/>
                <w:szCs w:val="20"/>
                <w:color w:val="auto"/>
              </w:rPr>
            </w:pPr>
            <w:r>
              <w:rPr>
                <w:rFonts w:ascii="Arial" w:cs="Arial" w:eastAsia="Arial" w:hAnsi="Arial"/>
                <w:sz w:val="18"/>
                <w:szCs w:val="18"/>
                <w:color w:val="auto"/>
              </w:rPr>
              <w:t>Property, plant and equipment as of July 2, 2006 and December 31, 2005 comprise the following:</w:t>
            </w: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3"/>
        </w:trPr>
        <w:tc>
          <w:tcPr>
            <w:tcW w:w="460" w:type="dxa"/>
            <w:vAlign w:val="bottom"/>
          </w:tcPr>
          <w:p>
            <w:pPr>
              <w:spacing w:after="0"/>
              <w:rPr>
                <w:sz w:val="24"/>
                <w:szCs w:val="24"/>
                <w:color w:val="auto"/>
              </w:rPr>
            </w:pPr>
          </w:p>
        </w:tc>
        <w:tc>
          <w:tcPr>
            <w:tcW w:w="7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40" w:type="dxa"/>
            <w:vAlign w:val="bottom"/>
            <w:tcBorders>
              <w:bottom w:val="single" w:sz="8" w:color="auto"/>
            </w:tcBorders>
            <w:gridSpan w:val="4"/>
          </w:tcPr>
          <w:p>
            <w:pPr>
              <w:ind w:left="20"/>
              <w:spacing w:after="0"/>
              <w:rPr>
                <w:sz w:val="20"/>
                <w:szCs w:val="20"/>
                <w:color w:val="auto"/>
              </w:rPr>
            </w:pPr>
            <w:r>
              <w:rPr>
                <w:rFonts w:ascii="Arial" w:cs="Arial" w:eastAsia="Arial" w:hAnsi="Arial"/>
                <w:sz w:val="14"/>
                <w:szCs w:val="14"/>
                <w:b w:val="1"/>
                <w:bCs w:val="1"/>
                <w:color w:val="auto"/>
                <w:w w:val="88"/>
              </w:rPr>
              <w:t>July 2, 2006</w:t>
            </w:r>
          </w:p>
        </w:tc>
        <w:tc>
          <w:tcPr>
            <w:tcW w:w="740" w:type="dxa"/>
            <w:vAlign w:val="bottom"/>
          </w:tcPr>
          <w:p>
            <w:pPr>
              <w:spacing w:after="0"/>
              <w:rPr>
                <w:sz w:val="24"/>
                <w:szCs w:val="24"/>
                <w:color w:val="auto"/>
              </w:rPr>
            </w:pPr>
          </w:p>
        </w:tc>
        <w:tc>
          <w:tcPr>
            <w:tcW w:w="110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w w:val="85"/>
              </w:rPr>
              <w:t>December 31, 2005</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460" w:type="dxa"/>
            <w:vAlign w:val="bottom"/>
          </w:tcPr>
          <w:p>
            <w:pPr>
              <w:spacing w:after="0"/>
              <w:rPr>
                <w:sz w:val="18"/>
                <w:szCs w:val="18"/>
                <w:color w:val="auto"/>
              </w:rPr>
            </w:pPr>
          </w:p>
        </w:tc>
        <w:tc>
          <w:tcPr>
            <w:tcW w:w="7820" w:type="dxa"/>
            <w:vAlign w:val="bottom"/>
            <w:shd w:val="clear" w:color="auto" w:fill="CCEEFF"/>
          </w:tcPr>
          <w:p>
            <w:pPr>
              <w:spacing w:after="0"/>
              <w:rPr>
                <w:sz w:val="20"/>
                <w:szCs w:val="20"/>
                <w:color w:val="auto"/>
              </w:rPr>
            </w:pPr>
            <w:r>
              <w:rPr>
                <w:rFonts w:ascii="Arial" w:cs="Arial" w:eastAsia="Arial" w:hAnsi="Arial"/>
                <w:sz w:val="18"/>
                <w:szCs w:val="18"/>
                <w:color w:val="auto"/>
              </w:rPr>
              <w:t>Buildings and related structures</w:t>
            </w:r>
          </w:p>
        </w:tc>
        <w:tc>
          <w:tcPr>
            <w:tcW w:w="1520" w:type="dxa"/>
            <w:vAlign w:val="bottom"/>
            <w:gridSpan w:val="6"/>
            <w:shd w:val="clear" w:color="auto" w:fill="CCEEFF"/>
          </w:tcPr>
          <w:p>
            <w:pPr>
              <w:jc w:val="right"/>
              <w:ind w:right="740"/>
              <w:spacing w:after="0"/>
              <w:rPr>
                <w:sz w:val="20"/>
                <w:szCs w:val="20"/>
                <w:color w:val="auto"/>
              </w:rPr>
            </w:pPr>
            <w:r>
              <w:rPr>
                <w:rFonts w:ascii="Arial" w:cs="Arial" w:eastAsia="Arial" w:hAnsi="Arial"/>
                <w:sz w:val="18"/>
                <w:szCs w:val="18"/>
                <w:color w:val="auto"/>
                <w:w w:val="94"/>
              </w:rPr>
              <w:t>$ 159,191</w:t>
            </w:r>
          </w:p>
        </w:tc>
        <w:tc>
          <w:tcPr>
            <w:tcW w:w="2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149,236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7820" w:type="dxa"/>
            <w:vAlign w:val="bottom"/>
          </w:tcPr>
          <w:p>
            <w:pPr>
              <w:spacing w:after="0"/>
              <w:rPr>
                <w:sz w:val="20"/>
                <w:szCs w:val="20"/>
                <w:color w:val="auto"/>
              </w:rPr>
            </w:pPr>
            <w:r>
              <w:rPr>
                <w:rFonts w:ascii="Arial" w:cs="Arial" w:eastAsia="Arial" w:hAnsi="Arial"/>
                <w:sz w:val="18"/>
                <w:szCs w:val="18"/>
                <w:color w:val="auto"/>
              </w:rPr>
              <w:t>Machinery and equipment</w:t>
            </w: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gridSpan w:val="3"/>
          </w:tcPr>
          <w:p>
            <w:pPr>
              <w:jc w:val="right"/>
              <w:ind w:right="740"/>
              <w:spacing w:after="0"/>
              <w:rPr>
                <w:sz w:val="20"/>
                <w:szCs w:val="20"/>
                <w:color w:val="auto"/>
              </w:rPr>
            </w:pPr>
            <w:r>
              <w:rPr>
                <w:rFonts w:ascii="Arial" w:cs="Arial" w:eastAsia="Arial" w:hAnsi="Arial"/>
                <w:sz w:val="18"/>
                <w:szCs w:val="18"/>
                <w:color w:val="auto"/>
                <w:w w:val="86"/>
              </w:rPr>
              <w:t>342,751</w:t>
            </w:r>
          </w:p>
        </w:tc>
        <w:tc>
          <w:tcPr>
            <w:tcW w:w="2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472,388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7820" w:type="dxa"/>
            <w:vAlign w:val="bottom"/>
            <w:shd w:val="clear" w:color="auto" w:fill="CCEEFF"/>
          </w:tcPr>
          <w:p>
            <w:pPr>
              <w:spacing w:after="0"/>
              <w:rPr>
                <w:sz w:val="20"/>
                <w:szCs w:val="20"/>
                <w:color w:val="auto"/>
              </w:rPr>
            </w:pPr>
            <w:r>
              <w:rPr>
                <w:rFonts w:ascii="Arial" w:cs="Arial" w:eastAsia="Arial" w:hAnsi="Arial"/>
                <w:sz w:val="18"/>
                <w:szCs w:val="18"/>
                <w:color w:val="auto"/>
              </w:rPr>
              <w:t>Vehicles and others</w:t>
            </w:r>
          </w:p>
        </w:tc>
        <w:tc>
          <w:tcPr>
            <w:tcW w:w="40" w:type="dxa"/>
            <w:vAlign w:val="bottom"/>
            <w:shd w:val="clear" w:color="auto" w:fill="CCEEFF"/>
          </w:tcPr>
          <w:p>
            <w:pPr>
              <w:spacing w:after="0"/>
              <w:rPr>
                <w:sz w:val="18"/>
                <w:szCs w:val="18"/>
                <w:color w:val="auto"/>
              </w:rPr>
            </w:pPr>
          </w:p>
        </w:tc>
        <w:tc>
          <w:tcPr>
            <w:tcW w:w="4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37,435</w:t>
            </w:r>
          </w:p>
        </w:tc>
        <w:tc>
          <w:tcPr>
            <w:tcW w:w="74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32,438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460" w:type="dxa"/>
            <w:vAlign w:val="bottom"/>
          </w:tcPr>
          <w:p>
            <w:pPr>
              <w:spacing w:after="0"/>
              <w:rPr>
                <w:sz w:val="19"/>
                <w:szCs w:val="19"/>
                <w:color w:val="auto"/>
              </w:rPr>
            </w:pPr>
          </w:p>
        </w:tc>
        <w:tc>
          <w:tcPr>
            <w:tcW w:w="78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gridSpan w:val="3"/>
          </w:tcPr>
          <w:p>
            <w:pPr>
              <w:jc w:val="right"/>
              <w:ind w:right="740"/>
              <w:spacing w:after="0"/>
              <w:rPr>
                <w:sz w:val="20"/>
                <w:szCs w:val="20"/>
                <w:color w:val="auto"/>
              </w:rPr>
            </w:pPr>
            <w:r>
              <w:rPr>
                <w:rFonts w:ascii="Arial" w:cs="Arial" w:eastAsia="Arial" w:hAnsi="Arial"/>
                <w:sz w:val="18"/>
                <w:szCs w:val="18"/>
                <w:color w:val="auto"/>
                <w:w w:val="86"/>
              </w:rPr>
              <w:t>539,377</w:t>
            </w:r>
          </w:p>
        </w:tc>
        <w:tc>
          <w:tcPr>
            <w:tcW w:w="2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654,062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460" w:type="dxa"/>
            <w:vAlign w:val="bottom"/>
          </w:tcPr>
          <w:p>
            <w:pPr>
              <w:spacing w:after="0"/>
              <w:rPr>
                <w:sz w:val="18"/>
                <w:szCs w:val="18"/>
                <w:color w:val="auto"/>
              </w:rPr>
            </w:pPr>
          </w:p>
        </w:tc>
        <w:tc>
          <w:tcPr>
            <w:tcW w:w="7820" w:type="dxa"/>
            <w:vAlign w:val="bottom"/>
            <w:shd w:val="clear" w:color="auto" w:fill="CCEEFF"/>
          </w:tcPr>
          <w:p>
            <w:pPr>
              <w:spacing w:after="0"/>
              <w:rPr>
                <w:sz w:val="20"/>
                <w:szCs w:val="20"/>
                <w:color w:val="auto"/>
              </w:rPr>
            </w:pPr>
            <w:r>
              <w:rPr>
                <w:rFonts w:ascii="Arial" w:cs="Arial" w:eastAsia="Arial" w:hAnsi="Arial"/>
                <w:sz w:val="18"/>
                <w:szCs w:val="18"/>
                <w:color w:val="auto"/>
              </w:rPr>
              <w:t>Less: Accumulated depreciation</w:t>
            </w:r>
          </w:p>
        </w:tc>
        <w:tc>
          <w:tcPr>
            <w:tcW w:w="1520" w:type="dxa"/>
            <w:vAlign w:val="bottom"/>
            <w:gridSpan w:val="6"/>
            <w:shd w:val="clear" w:color="auto" w:fill="CCEEFF"/>
          </w:tcPr>
          <w:p>
            <w:pPr>
              <w:jc w:val="right"/>
              <w:ind w:right="680"/>
              <w:spacing w:after="0"/>
              <w:rPr>
                <w:sz w:val="20"/>
                <w:szCs w:val="20"/>
                <w:color w:val="auto"/>
              </w:rPr>
            </w:pPr>
            <w:r>
              <w:rPr>
                <w:rFonts w:ascii="Arial" w:cs="Arial" w:eastAsia="Arial" w:hAnsi="Arial"/>
                <w:sz w:val="18"/>
                <w:szCs w:val="18"/>
                <w:color w:val="auto"/>
              </w:rPr>
              <w:t>(169,376)</w:t>
            </w:r>
          </w:p>
        </w:tc>
        <w:tc>
          <w:tcPr>
            <w:tcW w:w="2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(181,806)</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7820" w:type="dxa"/>
            <w:vAlign w:val="bottom"/>
          </w:tcPr>
          <w:p>
            <w:pPr>
              <w:spacing w:after="0"/>
              <w:rPr>
                <w:sz w:val="20"/>
                <w:szCs w:val="20"/>
                <w:color w:val="auto"/>
              </w:rPr>
            </w:pPr>
            <w:r>
              <w:rPr>
                <w:rFonts w:ascii="Arial" w:cs="Arial" w:eastAsia="Arial" w:hAnsi="Arial"/>
                <w:sz w:val="18"/>
                <w:szCs w:val="18"/>
                <w:color w:val="auto"/>
              </w:rPr>
              <w:t>Land</w:t>
            </w: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gridSpan w:val="3"/>
          </w:tcPr>
          <w:p>
            <w:pPr>
              <w:jc w:val="right"/>
              <w:ind w:right="740"/>
              <w:spacing w:after="0"/>
              <w:rPr>
                <w:sz w:val="20"/>
                <w:szCs w:val="20"/>
                <w:color w:val="auto"/>
              </w:rPr>
            </w:pPr>
            <w:r>
              <w:rPr>
                <w:rFonts w:ascii="Arial" w:cs="Arial" w:eastAsia="Arial" w:hAnsi="Arial"/>
                <w:sz w:val="18"/>
                <w:szCs w:val="18"/>
                <w:color w:val="auto"/>
              </w:rPr>
              <w:t>12,238</w:t>
            </w:r>
          </w:p>
        </w:tc>
        <w:tc>
          <w:tcPr>
            <w:tcW w:w="2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11,492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7820" w:type="dxa"/>
            <w:vAlign w:val="bottom"/>
            <w:shd w:val="clear" w:color="auto" w:fill="CCEEFF"/>
          </w:tcPr>
          <w:p>
            <w:pPr>
              <w:spacing w:after="0"/>
              <w:rPr>
                <w:sz w:val="20"/>
                <w:szCs w:val="20"/>
                <w:color w:val="auto"/>
              </w:rPr>
            </w:pPr>
            <w:r>
              <w:rPr>
                <w:rFonts w:ascii="Arial" w:cs="Arial" w:eastAsia="Arial" w:hAnsi="Arial"/>
                <w:sz w:val="18"/>
                <w:szCs w:val="18"/>
                <w:color w:val="auto"/>
              </w:rPr>
              <w:t>Construction in-progress</w:t>
            </w:r>
          </w:p>
        </w:tc>
        <w:tc>
          <w:tcPr>
            <w:tcW w:w="40" w:type="dxa"/>
            <w:vAlign w:val="bottom"/>
            <w:shd w:val="clear" w:color="auto" w:fill="CCEEFF"/>
          </w:tcPr>
          <w:p>
            <w:pPr>
              <w:spacing w:after="0"/>
              <w:rPr>
                <w:sz w:val="18"/>
                <w:szCs w:val="18"/>
                <w:color w:val="auto"/>
              </w:rPr>
            </w:pPr>
          </w:p>
        </w:tc>
        <w:tc>
          <w:tcPr>
            <w:tcW w:w="4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626</w:t>
            </w:r>
          </w:p>
        </w:tc>
        <w:tc>
          <w:tcPr>
            <w:tcW w:w="74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1,329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8280" w:type="dxa"/>
            <w:vAlign w:val="bottom"/>
            <w:gridSpan w:val="2"/>
          </w:tcPr>
          <w:p>
            <w:pPr>
              <w:ind w:left="460"/>
              <w:spacing w:after="0"/>
              <w:rPr>
                <w:sz w:val="20"/>
                <w:szCs w:val="20"/>
                <w:color w:val="auto"/>
              </w:rPr>
            </w:pPr>
            <w:r>
              <w:rPr>
                <w:rFonts w:ascii="Arial" w:cs="Arial" w:eastAsia="Arial" w:hAnsi="Arial"/>
                <w:sz w:val="18"/>
                <w:szCs w:val="18"/>
                <w:color w:val="auto"/>
              </w:rPr>
              <w:t>Property, plant and equipment, net</w:t>
            </w:r>
          </w:p>
        </w:tc>
        <w:tc>
          <w:tcPr>
            <w:tcW w:w="1520" w:type="dxa"/>
            <w:vAlign w:val="bottom"/>
            <w:gridSpan w:val="6"/>
          </w:tcPr>
          <w:p>
            <w:pPr>
              <w:jc w:val="right"/>
              <w:ind w:right="740"/>
              <w:spacing w:after="0"/>
              <w:rPr>
                <w:sz w:val="20"/>
                <w:szCs w:val="20"/>
                <w:color w:val="auto"/>
              </w:rPr>
            </w:pPr>
            <w:r>
              <w:rPr>
                <w:rFonts w:ascii="Arial" w:cs="Arial" w:eastAsia="Arial" w:hAnsi="Arial"/>
                <w:sz w:val="18"/>
                <w:szCs w:val="18"/>
                <w:color w:val="auto"/>
                <w:w w:val="94"/>
              </w:rPr>
              <w:t>$ 382,865</w:t>
            </w:r>
          </w:p>
        </w:tc>
        <w:tc>
          <w:tcPr>
            <w:tcW w:w="280" w:type="dxa"/>
            <w:vAlign w:val="bottom"/>
          </w:tcPr>
          <w:p>
            <w:pPr>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485,077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28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4. Intangible Assets</w:t>
            </w:r>
          </w:p>
        </w:tc>
        <w:tc>
          <w:tcPr>
            <w:tcW w:w="4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8280" w:type="dxa"/>
            <w:vAlign w:val="bottom"/>
            <w:gridSpan w:val="2"/>
            <w:vMerge w:val="continue"/>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8280" w:type="dxa"/>
            <w:vAlign w:val="bottom"/>
            <w:gridSpan w:val="2"/>
          </w:tcPr>
          <w:p>
            <w:pPr>
              <w:ind w:left="460"/>
              <w:spacing w:after="0"/>
              <w:rPr>
                <w:sz w:val="20"/>
                <w:szCs w:val="20"/>
                <w:color w:val="auto"/>
              </w:rPr>
            </w:pPr>
            <w:r>
              <w:rPr>
                <w:rFonts w:ascii="Arial" w:cs="Arial" w:eastAsia="Arial" w:hAnsi="Arial"/>
                <w:sz w:val="18"/>
                <w:szCs w:val="18"/>
                <w:color w:val="auto"/>
              </w:rPr>
              <w:t>Intangible assets as of July 2, 2006 and December 31, 2005 are as follows:</w:t>
            </w: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3"/>
        </w:trPr>
        <w:tc>
          <w:tcPr>
            <w:tcW w:w="460" w:type="dxa"/>
            <w:vAlign w:val="bottom"/>
          </w:tcPr>
          <w:p>
            <w:pPr>
              <w:spacing w:after="0"/>
              <w:rPr>
                <w:sz w:val="24"/>
                <w:szCs w:val="24"/>
                <w:color w:val="auto"/>
              </w:rPr>
            </w:pPr>
          </w:p>
        </w:tc>
        <w:tc>
          <w:tcPr>
            <w:tcW w:w="7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00" w:type="dxa"/>
            <w:vAlign w:val="bottom"/>
            <w:tcBorders>
              <w:bottom w:val="single" w:sz="8" w:color="auto"/>
            </w:tcBorders>
            <w:gridSpan w:val="3"/>
          </w:tcPr>
          <w:p>
            <w:pPr>
              <w:spacing w:after="0"/>
              <w:rPr>
                <w:sz w:val="20"/>
                <w:szCs w:val="20"/>
                <w:color w:val="auto"/>
              </w:rPr>
            </w:pPr>
            <w:r>
              <w:rPr>
                <w:rFonts w:ascii="Arial" w:cs="Arial" w:eastAsia="Arial" w:hAnsi="Arial"/>
                <w:sz w:val="14"/>
                <w:szCs w:val="14"/>
                <w:b w:val="1"/>
                <w:bCs w:val="1"/>
                <w:color w:val="auto"/>
                <w:w w:val="86"/>
              </w:rPr>
              <w:t>July 2, 2006</w:t>
            </w:r>
          </w:p>
        </w:tc>
        <w:tc>
          <w:tcPr>
            <w:tcW w:w="740" w:type="dxa"/>
            <w:vAlign w:val="bottom"/>
          </w:tcPr>
          <w:p>
            <w:pPr>
              <w:spacing w:after="0"/>
              <w:rPr>
                <w:sz w:val="24"/>
                <w:szCs w:val="24"/>
                <w:color w:val="auto"/>
              </w:rPr>
            </w:pPr>
          </w:p>
        </w:tc>
        <w:tc>
          <w:tcPr>
            <w:tcW w:w="110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w w:val="85"/>
              </w:rPr>
              <w:t>December 31, 2005</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460" w:type="dxa"/>
            <w:vAlign w:val="bottom"/>
          </w:tcPr>
          <w:p>
            <w:pPr>
              <w:spacing w:after="0"/>
              <w:rPr>
                <w:sz w:val="18"/>
                <w:szCs w:val="18"/>
                <w:color w:val="auto"/>
              </w:rPr>
            </w:pPr>
          </w:p>
        </w:tc>
        <w:tc>
          <w:tcPr>
            <w:tcW w:w="7820" w:type="dxa"/>
            <w:vAlign w:val="bottom"/>
            <w:shd w:val="clear" w:color="auto" w:fill="CCEEFF"/>
          </w:tcPr>
          <w:p>
            <w:pPr>
              <w:spacing w:after="0"/>
              <w:rPr>
                <w:sz w:val="20"/>
                <w:szCs w:val="20"/>
                <w:color w:val="auto"/>
              </w:rPr>
            </w:pPr>
            <w:r>
              <w:rPr>
                <w:rFonts w:ascii="Arial" w:cs="Arial" w:eastAsia="Arial" w:hAnsi="Arial"/>
                <w:sz w:val="18"/>
                <w:szCs w:val="18"/>
                <w:color w:val="auto"/>
              </w:rPr>
              <w:t>Technology</w:t>
            </w:r>
          </w:p>
        </w:tc>
        <w:tc>
          <w:tcPr>
            <w:tcW w:w="200" w:type="dxa"/>
            <w:vAlign w:val="bottom"/>
            <w:gridSpan w:val="3"/>
            <w:shd w:val="clear" w:color="auto" w:fill="CCEEFF"/>
          </w:tcPr>
          <w:p>
            <w:pPr>
              <w:ind w:left="80"/>
              <w:spacing w:after="0"/>
              <w:rPr>
                <w:sz w:val="20"/>
                <w:szCs w:val="20"/>
                <w:color w:val="auto"/>
              </w:rPr>
            </w:pPr>
            <w:r>
              <w:rPr>
                <w:rFonts w:ascii="Arial" w:cs="Arial" w:eastAsia="Arial" w:hAnsi="Arial"/>
                <w:sz w:val="18"/>
                <w:szCs w:val="18"/>
                <w:color w:val="auto"/>
                <w:w w:val="99"/>
              </w:rPr>
              <w:t>$</w:t>
            </w:r>
          </w:p>
        </w:tc>
        <w:tc>
          <w:tcPr>
            <w:tcW w:w="1320" w:type="dxa"/>
            <w:vAlign w:val="bottom"/>
            <w:gridSpan w:val="3"/>
            <w:shd w:val="clear" w:color="auto" w:fill="CCEEFF"/>
          </w:tcPr>
          <w:p>
            <w:pPr>
              <w:jc w:val="right"/>
              <w:ind w:right="740"/>
              <w:spacing w:after="0"/>
              <w:rPr>
                <w:sz w:val="20"/>
                <w:szCs w:val="20"/>
                <w:color w:val="auto"/>
              </w:rPr>
            </w:pPr>
            <w:r>
              <w:rPr>
                <w:rFonts w:ascii="Arial" w:cs="Arial" w:eastAsia="Arial" w:hAnsi="Arial"/>
                <w:sz w:val="18"/>
                <w:szCs w:val="18"/>
                <w:color w:val="auto"/>
              </w:rPr>
              <w:t>20,874</w:t>
            </w:r>
          </w:p>
        </w:tc>
        <w:tc>
          <w:tcPr>
            <w:tcW w:w="2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23,911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7820" w:type="dxa"/>
            <w:vAlign w:val="bottom"/>
          </w:tcPr>
          <w:p>
            <w:pPr>
              <w:spacing w:after="0"/>
              <w:rPr>
                <w:sz w:val="20"/>
                <w:szCs w:val="20"/>
                <w:color w:val="auto"/>
              </w:rPr>
            </w:pPr>
            <w:r>
              <w:rPr>
                <w:rFonts w:ascii="Arial" w:cs="Arial" w:eastAsia="Arial" w:hAnsi="Arial"/>
                <w:sz w:val="18"/>
                <w:szCs w:val="18"/>
                <w:color w:val="auto"/>
              </w:rPr>
              <w:t>Customer relationships</w:t>
            </w: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gridSpan w:val="3"/>
          </w:tcPr>
          <w:p>
            <w:pPr>
              <w:jc w:val="right"/>
              <w:ind w:right="740"/>
              <w:spacing w:after="0"/>
              <w:rPr>
                <w:sz w:val="20"/>
                <w:szCs w:val="20"/>
                <w:color w:val="auto"/>
              </w:rPr>
            </w:pPr>
            <w:r>
              <w:rPr>
                <w:rFonts w:ascii="Arial" w:cs="Arial" w:eastAsia="Arial" w:hAnsi="Arial"/>
                <w:sz w:val="18"/>
                <w:szCs w:val="18"/>
                <w:color w:val="auto"/>
                <w:w w:val="86"/>
              </w:rPr>
              <w:t>167,821</w:t>
            </w:r>
          </w:p>
        </w:tc>
        <w:tc>
          <w:tcPr>
            <w:tcW w:w="2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193,958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7820" w:type="dxa"/>
            <w:vAlign w:val="bottom"/>
            <w:shd w:val="clear" w:color="auto" w:fill="CCEEFF"/>
          </w:tcPr>
          <w:p>
            <w:pPr>
              <w:spacing w:after="0"/>
              <w:rPr>
                <w:sz w:val="20"/>
                <w:szCs w:val="20"/>
                <w:color w:val="auto"/>
              </w:rPr>
            </w:pPr>
            <w:r>
              <w:rPr>
                <w:rFonts w:ascii="Arial" w:cs="Arial" w:eastAsia="Arial" w:hAnsi="Arial"/>
                <w:sz w:val="18"/>
                <w:szCs w:val="18"/>
                <w:color w:val="auto"/>
              </w:rPr>
              <w:t>Goodwill</w:t>
            </w: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20" w:type="dxa"/>
            <w:vAlign w:val="bottom"/>
            <w:gridSpan w:val="3"/>
            <w:shd w:val="clear" w:color="auto" w:fill="CCEEFF"/>
          </w:tcPr>
          <w:p>
            <w:pPr>
              <w:jc w:val="right"/>
              <w:ind w:right="740"/>
              <w:spacing w:after="0"/>
              <w:rPr>
                <w:sz w:val="20"/>
                <w:szCs w:val="20"/>
                <w:color w:val="auto"/>
              </w:rPr>
            </w:pPr>
            <w:r>
              <w:rPr>
                <w:rFonts w:ascii="Arial" w:cs="Arial" w:eastAsia="Arial" w:hAnsi="Arial"/>
                <w:sz w:val="18"/>
                <w:szCs w:val="18"/>
                <w:color w:val="auto"/>
              </w:rPr>
              <w:t>15,095</w:t>
            </w:r>
          </w:p>
        </w:tc>
        <w:tc>
          <w:tcPr>
            <w:tcW w:w="2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15,095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7820" w:type="dxa"/>
            <w:vAlign w:val="bottom"/>
          </w:tcPr>
          <w:p>
            <w:pPr>
              <w:spacing w:after="0"/>
              <w:rPr>
                <w:sz w:val="20"/>
                <w:szCs w:val="20"/>
                <w:color w:val="auto"/>
              </w:rPr>
            </w:pPr>
            <w:r>
              <w:rPr>
                <w:rFonts w:ascii="Arial" w:cs="Arial" w:eastAsia="Arial" w:hAnsi="Arial"/>
                <w:sz w:val="18"/>
                <w:szCs w:val="18"/>
                <w:color w:val="auto"/>
              </w:rPr>
              <w:t>Intellectual property assets</w:t>
            </w: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gridSpan w:val="3"/>
          </w:tcPr>
          <w:p>
            <w:pPr>
              <w:jc w:val="right"/>
              <w:ind w:right="740"/>
              <w:spacing w:after="0"/>
              <w:rPr>
                <w:sz w:val="20"/>
                <w:szCs w:val="20"/>
                <w:color w:val="auto"/>
              </w:rPr>
            </w:pPr>
            <w:r>
              <w:rPr>
                <w:rFonts w:ascii="Arial" w:cs="Arial" w:eastAsia="Arial" w:hAnsi="Arial"/>
                <w:sz w:val="18"/>
                <w:szCs w:val="18"/>
                <w:color w:val="auto"/>
              </w:rPr>
              <w:t>8,774</w:t>
            </w:r>
          </w:p>
        </w:tc>
        <w:tc>
          <w:tcPr>
            <w:tcW w:w="2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10,969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7820" w:type="dxa"/>
            <w:vAlign w:val="bottom"/>
            <w:shd w:val="clear" w:color="auto" w:fill="CCEEFF"/>
          </w:tcPr>
          <w:p>
            <w:pPr>
              <w:spacing w:after="0"/>
              <w:rPr>
                <w:sz w:val="20"/>
                <w:szCs w:val="20"/>
                <w:color w:val="auto"/>
              </w:rPr>
            </w:pPr>
            <w:r>
              <w:rPr>
                <w:rFonts w:ascii="Arial" w:cs="Arial" w:eastAsia="Arial" w:hAnsi="Arial"/>
                <w:sz w:val="18"/>
                <w:szCs w:val="18"/>
                <w:color w:val="auto"/>
              </w:rPr>
              <w:t>Less: Accumulated amortization</w:t>
            </w: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20" w:type="dxa"/>
            <w:vAlign w:val="bottom"/>
            <w:gridSpan w:val="3"/>
            <w:shd w:val="clear" w:color="auto" w:fill="CCEEFF"/>
          </w:tcPr>
          <w:p>
            <w:pPr>
              <w:jc w:val="right"/>
              <w:ind w:right="680"/>
              <w:spacing w:after="0"/>
              <w:rPr>
                <w:sz w:val="20"/>
                <w:szCs w:val="20"/>
                <w:color w:val="auto"/>
              </w:rPr>
            </w:pPr>
            <w:r>
              <w:rPr>
                <w:rFonts w:ascii="Arial" w:cs="Arial" w:eastAsia="Arial" w:hAnsi="Arial"/>
                <w:sz w:val="18"/>
                <w:szCs w:val="18"/>
                <w:color w:val="auto"/>
                <w:w w:val="92"/>
              </w:rPr>
              <w:t>(59,197)</w:t>
            </w:r>
          </w:p>
        </w:tc>
        <w:tc>
          <w:tcPr>
            <w:tcW w:w="2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(52,544)</w:t>
            </w:r>
          </w:p>
        </w:tc>
        <w:tc>
          <w:tcPr>
            <w:tcW w:w="0" w:type="dxa"/>
            <w:vAlign w:val="bottom"/>
          </w:tcPr>
          <w:p>
            <w:pPr>
              <w:spacing w:after="0"/>
              <w:rPr>
                <w:sz w:val="1"/>
                <w:szCs w:val="1"/>
                <w:color w:val="auto"/>
              </w:rPr>
            </w:pPr>
          </w:p>
        </w:tc>
      </w:tr>
      <w:tr>
        <w:trPr>
          <w:trHeight w:val="221"/>
        </w:trPr>
        <w:tc>
          <w:tcPr>
            <w:tcW w:w="8280" w:type="dxa"/>
            <w:vAlign w:val="bottom"/>
            <w:gridSpan w:val="2"/>
          </w:tcPr>
          <w:p>
            <w:pPr>
              <w:ind w:left="460"/>
              <w:spacing w:after="0"/>
              <w:rPr>
                <w:sz w:val="20"/>
                <w:szCs w:val="20"/>
                <w:color w:val="auto"/>
              </w:rPr>
            </w:pPr>
            <w:r>
              <w:rPr>
                <w:rFonts w:ascii="Arial" w:cs="Arial" w:eastAsia="Arial" w:hAnsi="Arial"/>
                <w:sz w:val="18"/>
                <w:szCs w:val="18"/>
                <w:color w:val="auto"/>
              </w:rPr>
              <w:t>Intangible assets, net</w:t>
            </w:r>
          </w:p>
        </w:tc>
        <w:tc>
          <w:tcPr>
            <w:tcW w:w="80" w:type="dxa"/>
            <w:vAlign w:val="bottom"/>
            <w:gridSpan w:val="2"/>
          </w:tcPr>
          <w:p>
            <w:pPr>
              <w:spacing w:after="0"/>
              <w:rPr>
                <w:sz w:val="19"/>
                <w:szCs w:val="19"/>
                <w:color w:val="auto"/>
              </w:rPr>
            </w:pPr>
          </w:p>
        </w:tc>
        <w:tc>
          <w:tcPr>
            <w:tcW w:w="70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color w:val="auto"/>
                <w:w w:val="84"/>
              </w:rPr>
              <w:t>$ 153,367</w:t>
            </w:r>
          </w:p>
        </w:tc>
        <w:tc>
          <w:tcPr>
            <w:tcW w:w="740" w:type="dxa"/>
            <w:vAlign w:val="bottom"/>
          </w:tcPr>
          <w:p>
            <w:pPr>
              <w:spacing w:after="0"/>
              <w:rPr>
                <w:sz w:val="19"/>
                <w:szCs w:val="19"/>
                <w:color w:val="auto"/>
              </w:rPr>
            </w:pPr>
          </w:p>
        </w:tc>
        <w:tc>
          <w:tcPr>
            <w:tcW w:w="2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191,389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280" w:type="dxa"/>
            <w:vAlign w:val="bottom"/>
            <w:gridSpan w:val="2"/>
            <w:vMerge w:val="restart"/>
          </w:tcPr>
          <w:p>
            <w:pPr>
              <w:jc w:val="right"/>
              <w:ind w:right="2432"/>
              <w:spacing w:after="0"/>
              <w:rPr>
                <w:sz w:val="20"/>
                <w:szCs w:val="20"/>
                <w:color w:val="auto"/>
              </w:rPr>
            </w:pPr>
            <w:r>
              <w:rPr>
                <w:rFonts w:ascii="Arial" w:cs="Arial" w:eastAsia="Arial" w:hAnsi="Arial"/>
                <w:sz w:val="18"/>
                <w:szCs w:val="18"/>
                <w:color w:val="auto"/>
              </w:rPr>
              <w:t>7</w:t>
            </w: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8280" w:type="dxa"/>
            <w:vAlign w:val="bottom"/>
            <w:gridSpan w:val="2"/>
            <w:vMerge w:val="continue"/>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960"/>
          </w:cols>
          <w:pgMar w:left="240" w:top="459" w:right="69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MagnaChip Semiconductor LLC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tabular dollars in thousands, except unit data)</w:t>
      </w:r>
    </w:p>
    <w:p>
      <w:pPr>
        <w:spacing w:after="0" w:line="3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Product Warranties</w:t>
      </w:r>
    </w:p>
    <w:p>
      <w:pPr>
        <w:spacing w:after="0" w:line="96" w:lineRule="exact"/>
        <w:rPr>
          <w:sz w:val="20"/>
          <w:szCs w:val="20"/>
          <w:color w:val="auto"/>
        </w:rPr>
      </w:pPr>
    </w:p>
    <w:p>
      <w:pPr>
        <w:ind w:right="120" w:firstLine="456"/>
        <w:spacing w:after="0" w:line="255" w:lineRule="auto"/>
        <w:rPr>
          <w:sz w:val="20"/>
          <w:szCs w:val="20"/>
          <w:color w:val="auto"/>
        </w:rPr>
      </w:pPr>
      <w:r>
        <w:rPr>
          <w:rFonts w:ascii="Arial" w:cs="Arial" w:eastAsia="Arial" w:hAnsi="Arial"/>
          <w:sz w:val="18"/>
          <w:szCs w:val="18"/>
          <w:color w:val="auto"/>
        </w:rPr>
        <w:t>The Company records warranty liabilities for the estimated costs that may be incurred under its basic limited warranty in other current liabilities. This warranty covers defective products and related liabilities are accrued when product revenues are recognized. Factors that affect the Company’s warranty liability include historical and anticipated rates of warranty claims on those repairs and cost per claim to satisfy the Company’s warranty obligation. As these factors are impacted by actual experience and future expectations, the Company periodically assesses the adequacy of its recorded warranty liabilities and adjusts the amounts when necessary.</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Changes in accrued warranty liabilities are as follows: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060" w:type="dxa"/>
            <w:vAlign w:val="bottom"/>
          </w:tcPr>
          <w:p>
            <w:pPr>
              <w:spacing w:after="0"/>
              <w:rPr>
                <w:sz w:val="14"/>
                <w:szCs w:val="14"/>
                <w:color w:val="auto"/>
              </w:rPr>
            </w:pPr>
          </w:p>
        </w:tc>
        <w:tc>
          <w:tcPr>
            <w:tcW w:w="2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100" w:type="dxa"/>
            <w:vAlign w:val="bottom"/>
            <w:gridSpan w:val="5"/>
          </w:tcPr>
          <w:p>
            <w:pPr>
              <w:jc w:val="right"/>
              <w:ind w:right="800"/>
              <w:spacing w:after="0"/>
              <w:rPr>
                <w:sz w:val="20"/>
                <w:szCs w:val="20"/>
                <w:color w:val="auto"/>
              </w:rPr>
            </w:pPr>
            <w:r>
              <w:rPr>
                <w:rFonts w:ascii="Arial" w:cs="Arial" w:eastAsia="Arial" w:hAnsi="Arial"/>
                <w:sz w:val="14"/>
                <w:szCs w:val="14"/>
                <w:b w:val="1"/>
                <w:bCs w:val="1"/>
                <w:color w:val="auto"/>
                <w:w w:val="92"/>
              </w:rPr>
              <w:t>Three months ended</w:t>
            </w:r>
          </w:p>
        </w:tc>
        <w:tc>
          <w:tcPr>
            <w:tcW w:w="180" w:type="dxa"/>
            <w:vAlign w:val="bottom"/>
          </w:tcPr>
          <w:p>
            <w:pPr>
              <w:spacing w:after="0"/>
              <w:rPr>
                <w:sz w:val="14"/>
                <w:szCs w:val="14"/>
                <w:color w:val="auto"/>
              </w:rPr>
            </w:pPr>
          </w:p>
        </w:tc>
        <w:tc>
          <w:tcPr>
            <w:tcW w:w="1720" w:type="dxa"/>
            <w:vAlign w:val="bottom"/>
            <w:gridSpan w:val="6"/>
          </w:tcPr>
          <w:p>
            <w:pPr>
              <w:jc w:val="right"/>
              <w:ind w:right="48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060" w:type="dxa"/>
            <w:vAlign w:val="bottom"/>
          </w:tcPr>
          <w:p>
            <w:pPr>
              <w:spacing w:after="0"/>
              <w:rPr>
                <w:sz w:val="12"/>
                <w:szCs w:val="12"/>
                <w:color w:val="auto"/>
              </w:rPr>
            </w:pPr>
          </w:p>
        </w:tc>
        <w:tc>
          <w:tcPr>
            <w:tcW w:w="2140" w:type="dxa"/>
            <w:vAlign w:val="bottom"/>
          </w:tcPr>
          <w:p>
            <w:pPr>
              <w:spacing w:after="0"/>
              <w:rPr>
                <w:sz w:val="12"/>
                <w:szCs w:val="12"/>
                <w:color w:val="auto"/>
              </w:rPr>
            </w:pPr>
          </w:p>
        </w:tc>
        <w:tc>
          <w:tcPr>
            <w:tcW w:w="1140" w:type="dxa"/>
            <w:vAlign w:val="bottom"/>
            <w:tcBorders>
              <w:top w:val="single" w:sz="8" w:color="auto"/>
            </w:tcBorders>
            <w:gridSpan w:val="3"/>
          </w:tcPr>
          <w:p>
            <w:pPr>
              <w:spacing w:after="0" w:line="142" w:lineRule="exact"/>
              <w:rPr>
                <w:sz w:val="20"/>
                <w:szCs w:val="20"/>
                <w:color w:val="auto"/>
              </w:rPr>
            </w:pPr>
            <w:r>
              <w:rPr>
                <w:rFonts w:ascii="Arial" w:cs="Arial" w:eastAsia="Arial" w:hAnsi="Arial"/>
                <w:sz w:val="14"/>
                <w:szCs w:val="14"/>
                <w:b w:val="1"/>
                <w:bCs w:val="1"/>
                <w:color w:val="auto"/>
              </w:rPr>
              <w:t>July 2, 2006</w:t>
            </w:r>
          </w:p>
        </w:tc>
        <w:tc>
          <w:tcPr>
            <w:tcW w:w="700" w:type="dxa"/>
            <w:vAlign w:val="bottom"/>
            <w:tcBorders>
              <w:top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w w:val="86"/>
              </w:rPr>
              <w:t>July 3, 2005</w:t>
            </w:r>
          </w:p>
        </w:tc>
        <w:tc>
          <w:tcPr>
            <w:tcW w:w="460" w:type="dxa"/>
            <w:vAlign w:val="bottom"/>
          </w:tcPr>
          <w:p>
            <w:pPr>
              <w:spacing w:after="0"/>
              <w:rPr>
                <w:sz w:val="12"/>
                <w:szCs w:val="12"/>
                <w:color w:val="auto"/>
              </w:rPr>
            </w:pPr>
          </w:p>
        </w:tc>
        <w:tc>
          <w:tcPr>
            <w:tcW w:w="940" w:type="dxa"/>
            <w:vAlign w:val="bottom"/>
            <w:tcBorders>
              <w:top w:val="single" w:sz="8" w:color="auto"/>
            </w:tcBorders>
            <w:gridSpan w:val="3"/>
          </w:tcPr>
          <w:p>
            <w:pPr>
              <w:spacing w:after="0" w:line="142" w:lineRule="exact"/>
              <w:rPr>
                <w:sz w:val="20"/>
                <w:szCs w:val="20"/>
                <w:color w:val="auto"/>
              </w:rPr>
            </w:pPr>
            <w:r>
              <w:rPr>
                <w:rFonts w:ascii="Arial" w:cs="Arial" w:eastAsia="Arial" w:hAnsi="Arial"/>
                <w:sz w:val="14"/>
                <w:szCs w:val="14"/>
                <w:b w:val="1"/>
                <w:bCs w:val="1"/>
                <w:color w:val="auto"/>
              </w:rPr>
              <w:t>July 2, 2006</w:t>
            </w:r>
          </w:p>
        </w:tc>
        <w:tc>
          <w:tcPr>
            <w:tcW w:w="20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w w:val="86"/>
              </w:rPr>
              <w:t>July 3, 2005</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506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5060" w:type="dxa"/>
            <w:vAlign w:val="bottom"/>
            <w:shd w:val="clear" w:color="auto" w:fill="CCEEFF"/>
          </w:tcPr>
          <w:p>
            <w:pPr>
              <w:spacing w:after="0"/>
              <w:rPr>
                <w:sz w:val="20"/>
                <w:szCs w:val="20"/>
                <w:color w:val="auto"/>
              </w:rPr>
            </w:pPr>
            <w:r>
              <w:rPr>
                <w:rFonts w:ascii="Arial" w:cs="Arial" w:eastAsia="Arial" w:hAnsi="Arial"/>
                <w:sz w:val="18"/>
                <w:szCs w:val="18"/>
                <w:color w:val="auto"/>
              </w:rPr>
              <w:t>Beginning balance</w:t>
            </w:r>
          </w:p>
        </w:tc>
        <w:tc>
          <w:tcPr>
            <w:tcW w:w="2340" w:type="dxa"/>
            <w:vAlign w:val="bottom"/>
            <w:gridSpan w:val="2"/>
            <w:shd w:val="clear" w:color="auto" w:fill="CCEEFF"/>
          </w:tcPr>
          <w:p>
            <w:pPr>
              <w:ind w:left="214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1,027</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2,470</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1,036</w:t>
            </w:r>
          </w:p>
        </w:tc>
        <w:tc>
          <w:tcPr>
            <w:tcW w:w="260" w:type="dxa"/>
            <w:vAlign w:val="bottom"/>
            <w:shd w:val="clear" w:color="auto" w:fill="CCEEFF"/>
          </w:tcPr>
          <w:p>
            <w:pPr>
              <w:spacing w:after="0"/>
              <w:rPr>
                <w:sz w:val="18"/>
                <w:szCs w:val="18"/>
                <w:color w:val="auto"/>
              </w:rPr>
            </w:pPr>
          </w:p>
        </w:tc>
        <w:tc>
          <w:tcPr>
            <w:tcW w:w="3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tcPr>
          <w:p>
            <w:pPr>
              <w:spacing w:after="0"/>
              <w:rPr>
                <w:sz w:val="20"/>
                <w:szCs w:val="20"/>
                <w:color w:val="auto"/>
              </w:rPr>
            </w:pPr>
            <w:r>
              <w:rPr>
                <w:rFonts w:ascii="Arial" w:cs="Arial" w:eastAsia="Arial" w:hAnsi="Arial"/>
                <w:sz w:val="18"/>
                <w:szCs w:val="18"/>
                <w:color w:val="auto"/>
              </w:rPr>
              <w:t>Addition to (reversal of) warranty reserve</w:t>
            </w:r>
          </w:p>
        </w:tc>
        <w:tc>
          <w:tcPr>
            <w:tcW w:w="2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gridSpan w:val="2"/>
          </w:tcPr>
          <w:p>
            <w:pPr>
              <w:jc w:val="right"/>
              <w:ind w:right="400"/>
              <w:spacing w:after="0"/>
              <w:rPr>
                <w:sz w:val="20"/>
                <w:szCs w:val="20"/>
                <w:color w:val="auto"/>
              </w:rPr>
            </w:pPr>
            <w:r>
              <w:rPr>
                <w:rFonts w:ascii="Arial" w:cs="Arial" w:eastAsia="Arial" w:hAnsi="Arial"/>
                <w:sz w:val="18"/>
                <w:szCs w:val="18"/>
                <w:color w:val="auto"/>
              </w:rPr>
              <w:t>(693)</w:t>
            </w:r>
          </w:p>
        </w:tc>
        <w:tc>
          <w:tcPr>
            <w:tcW w:w="160" w:type="dxa"/>
            <w:vAlign w:val="bottom"/>
          </w:tcPr>
          <w:p>
            <w:pPr>
              <w:spacing w:after="0"/>
              <w:rPr>
                <w:sz w:val="18"/>
                <w:szCs w:val="18"/>
                <w:color w:val="auto"/>
              </w:rPr>
            </w:pPr>
          </w:p>
        </w:tc>
        <w:tc>
          <w:tcPr>
            <w:tcW w:w="1000" w:type="dxa"/>
            <w:vAlign w:val="bottom"/>
            <w:gridSpan w:val="2"/>
          </w:tcPr>
          <w:p>
            <w:pPr>
              <w:jc w:val="right"/>
              <w:ind w:right="460"/>
              <w:spacing w:after="0"/>
              <w:rPr>
                <w:sz w:val="20"/>
                <w:szCs w:val="20"/>
                <w:color w:val="auto"/>
              </w:rPr>
            </w:pPr>
            <w:r>
              <w:rPr>
                <w:rFonts w:ascii="Arial" w:cs="Arial" w:eastAsia="Arial" w:hAnsi="Arial"/>
                <w:sz w:val="18"/>
                <w:szCs w:val="18"/>
                <w:color w:val="auto"/>
              </w:rPr>
              <w:t>1,878</w:t>
            </w:r>
          </w:p>
        </w:tc>
        <w:tc>
          <w:tcPr>
            <w:tcW w:w="180" w:type="dxa"/>
            <w:vAlign w:val="bottom"/>
          </w:tcPr>
          <w:p>
            <w:pPr>
              <w:spacing w:after="0"/>
              <w:rPr>
                <w:sz w:val="18"/>
                <w:szCs w:val="18"/>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(575)</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3,018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shd w:val="clear" w:color="auto" w:fill="CCEEFF"/>
          </w:tcPr>
          <w:p>
            <w:pPr>
              <w:spacing w:after="0"/>
              <w:rPr>
                <w:sz w:val="20"/>
                <w:szCs w:val="20"/>
                <w:color w:val="auto"/>
              </w:rPr>
            </w:pPr>
            <w:r>
              <w:rPr>
                <w:rFonts w:ascii="Arial" w:cs="Arial" w:eastAsia="Arial" w:hAnsi="Arial"/>
                <w:sz w:val="18"/>
                <w:szCs w:val="18"/>
                <w:color w:val="auto"/>
              </w:rPr>
              <w:t>Payments made</w:t>
            </w:r>
          </w:p>
        </w:tc>
        <w:tc>
          <w:tcPr>
            <w:tcW w:w="2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(140)</w:t>
            </w: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(1,357)</w:t>
            </w: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(308)</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tcPr>
          <w:p>
            <w:pPr>
              <w:spacing w:after="0"/>
              <w:rPr>
                <w:sz w:val="20"/>
                <w:szCs w:val="20"/>
                <w:color w:val="auto"/>
              </w:rPr>
            </w:pPr>
            <w:r>
              <w:rPr>
                <w:rFonts w:ascii="Arial" w:cs="Arial" w:eastAsia="Arial" w:hAnsi="Arial"/>
                <w:sz w:val="18"/>
                <w:szCs w:val="18"/>
                <w:color w:val="auto"/>
              </w:rPr>
              <w:t>Translation adjustments</w:t>
            </w:r>
          </w:p>
        </w:tc>
        <w:tc>
          <w:tcPr>
            <w:tcW w:w="2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gridSpan w:val="2"/>
          </w:tcPr>
          <w:p>
            <w:pPr>
              <w:jc w:val="right"/>
              <w:ind w:right="460"/>
              <w:spacing w:after="0"/>
              <w:rPr>
                <w:sz w:val="20"/>
                <w:szCs w:val="20"/>
                <w:color w:val="auto"/>
              </w:rPr>
            </w:pPr>
            <w:r>
              <w:rPr>
                <w:rFonts w:ascii="Arial" w:cs="Arial" w:eastAsia="Arial" w:hAnsi="Arial"/>
                <w:sz w:val="18"/>
                <w:szCs w:val="18"/>
                <w:color w:val="auto"/>
              </w:rPr>
              <w:t>13</w:t>
            </w:r>
          </w:p>
        </w:tc>
        <w:tc>
          <w:tcPr>
            <w:tcW w:w="160" w:type="dxa"/>
            <w:vAlign w:val="bottom"/>
          </w:tcPr>
          <w:p>
            <w:pPr>
              <w:spacing w:after="0"/>
              <w:rPr>
                <w:sz w:val="18"/>
                <w:szCs w:val="18"/>
                <w:color w:val="auto"/>
              </w:rPr>
            </w:pPr>
          </w:p>
        </w:tc>
        <w:tc>
          <w:tcPr>
            <w:tcW w:w="1000" w:type="dxa"/>
            <w:vAlign w:val="bottom"/>
            <w:gridSpan w:val="2"/>
          </w:tcPr>
          <w:p>
            <w:pPr>
              <w:jc w:val="right"/>
              <w:ind w:right="400"/>
              <w:spacing w:after="0"/>
              <w:rPr>
                <w:sz w:val="20"/>
                <w:szCs w:val="20"/>
                <w:color w:val="auto"/>
              </w:rPr>
            </w:pPr>
            <w:r>
              <w:rPr>
                <w:rFonts w:ascii="Arial" w:cs="Arial" w:eastAsia="Arial" w:hAnsi="Arial"/>
                <w:sz w:val="18"/>
                <w:szCs w:val="18"/>
                <w:color w:val="auto"/>
              </w:rPr>
              <w:t>(66)</w:t>
            </w:r>
          </w:p>
        </w:tc>
        <w:tc>
          <w:tcPr>
            <w:tcW w:w="1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54</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060" w:type="dxa"/>
            <w:vAlign w:val="bottom"/>
          </w:tcPr>
          <w:p>
            <w:pPr>
              <w:spacing w:after="0"/>
              <w:rPr>
                <w:sz w:val="2"/>
                <w:szCs w:val="2"/>
                <w:color w:val="auto"/>
              </w:rPr>
            </w:pPr>
          </w:p>
        </w:tc>
        <w:tc>
          <w:tcPr>
            <w:tcW w:w="214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60" w:type="dxa"/>
            <w:vAlign w:val="bottom"/>
            <w:shd w:val="clear" w:color="auto" w:fill="CCEEFF"/>
          </w:tcPr>
          <w:p>
            <w:pPr>
              <w:spacing w:after="0"/>
              <w:rPr>
                <w:sz w:val="20"/>
                <w:szCs w:val="20"/>
                <w:color w:val="auto"/>
              </w:rPr>
            </w:pPr>
            <w:r>
              <w:rPr>
                <w:rFonts w:ascii="Arial" w:cs="Arial" w:eastAsia="Arial" w:hAnsi="Arial"/>
                <w:sz w:val="18"/>
                <w:szCs w:val="18"/>
                <w:color w:val="auto"/>
              </w:rPr>
              <w:t>Ending balance</w:t>
            </w:r>
          </w:p>
        </w:tc>
        <w:tc>
          <w:tcPr>
            <w:tcW w:w="2340" w:type="dxa"/>
            <w:vAlign w:val="bottom"/>
            <w:gridSpan w:val="2"/>
            <w:shd w:val="clear" w:color="auto" w:fill="CCEEFF"/>
          </w:tcPr>
          <w:p>
            <w:pPr>
              <w:ind w:left="214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207</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2,925</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207</w:t>
            </w:r>
          </w:p>
        </w:tc>
        <w:tc>
          <w:tcPr>
            <w:tcW w:w="260" w:type="dxa"/>
            <w:vAlign w:val="bottom"/>
            <w:shd w:val="clear" w:color="auto" w:fill="CCEEFF"/>
          </w:tcPr>
          <w:p>
            <w:pPr>
              <w:spacing w:after="0"/>
              <w:rPr>
                <w:sz w:val="18"/>
                <w:szCs w:val="18"/>
                <w:color w:val="auto"/>
              </w:rPr>
            </w:pPr>
          </w:p>
        </w:tc>
        <w:tc>
          <w:tcPr>
            <w:tcW w:w="3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2,925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6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Long-term Borrowings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On December 23, 2004, two of the Company’s subsidiaries, MagnaChip Semiconductor S.A. and MagnaChip Semiconductor Finance Company issued</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$500 million aggregate principal amount of Second Priority Senior Secured Notes consisting of $300 million aggregate principal amount of Floating Rate Second</w:t>
      </w:r>
    </w:p>
    <w:p>
      <w:pPr>
        <w:spacing w:after="0" w:line="26"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Priority Senior Secured Notes and $200 million aggregate principal amount of 6 </w:t>
      </w:r>
      <w:r>
        <w:rPr>
          <w:rFonts w:ascii="Arial" w:cs="Arial" w:eastAsia="Arial" w:hAnsi="Arial"/>
          <w:sz w:val="20"/>
          <w:szCs w:val="20"/>
          <w:color w:val="auto"/>
          <w:vertAlign w:val="superscript"/>
        </w:rPr>
        <w:t>7</w:t>
      </w:r>
      <w:r>
        <w:rPr>
          <w:rFonts w:ascii="Arial" w:cs="Arial" w:eastAsia="Arial" w:hAnsi="Arial"/>
          <w:sz w:val="16"/>
          <w:szCs w:val="16"/>
          <w:color w:val="auto"/>
        </w:rPr>
        <w:t>/</w:t>
      </w:r>
      <w:r>
        <w:rPr>
          <w:rFonts w:ascii="Arial" w:cs="Arial" w:eastAsia="Arial" w:hAnsi="Arial"/>
          <w:sz w:val="12"/>
          <w:szCs w:val="12"/>
          <w:color w:val="auto"/>
        </w:rPr>
        <w:t>8</w:t>
      </w:r>
      <w:r>
        <w:rPr>
          <w:rFonts w:ascii="Arial" w:cs="Arial" w:eastAsia="Arial" w:hAnsi="Arial"/>
          <w:sz w:val="16"/>
          <w:szCs w:val="16"/>
          <w:color w:val="auto"/>
        </w:rPr>
        <w:t>% Second Priority Senior Secured Notes. At the same time, such subsidiaries</w:t>
      </w:r>
    </w:p>
    <w:p>
      <w:pPr>
        <w:spacing w:after="0"/>
        <w:rPr>
          <w:sz w:val="20"/>
          <w:szCs w:val="20"/>
          <w:color w:val="auto"/>
        </w:rPr>
      </w:pPr>
      <w:r>
        <w:rPr>
          <w:rFonts w:ascii="Arial" w:cs="Arial" w:eastAsia="Arial" w:hAnsi="Arial"/>
          <w:sz w:val="18"/>
          <w:szCs w:val="18"/>
          <w:color w:val="auto"/>
        </w:rPr>
        <w:t>issued $250 million aggregate principal amount of 8% Senior Subordinated Notes.</w:t>
      </w:r>
    </w:p>
    <w:p>
      <w:pPr>
        <w:spacing w:after="0" w:line="157"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Concurrently with the issuance of the Second Priority Senior Secured Notes, the Company entered into a new senior credit agreement with a syndicate of banks, financial institutions and other entities providing for a $100 million senior secured revolving credit facility. Interest is charged at current rates when drawn upon.</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Details of long-term borrowings as of July 2, 2006 and December 31, 2005 are presented as below:</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8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4"/>
                <w:szCs w:val="14"/>
                <w:b w:val="1"/>
                <w:bCs w:val="1"/>
                <w:color w:val="auto"/>
                <w:w w:val="91"/>
              </w:rPr>
              <w:t>Amount of</w:t>
            </w:r>
          </w:p>
        </w:tc>
      </w:tr>
      <w:tr>
        <w:trPr>
          <w:trHeight w:val="161"/>
        </w:trPr>
        <w:tc>
          <w:tcPr>
            <w:tcW w:w="7860" w:type="dxa"/>
            <w:vAlign w:val="bottom"/>
          </w:tcPr>
          <w:p>
            <w:pPr>
              <w:spacing w:after="0"/>
              <w:rPr>
                <w:sz w:val="14"/>
                <w:szCs w:val="14"/>
                <w:color w:val="auto"/>
              </w:rPr>
            </w:pPr>
          </w:p>
        </w:tc>
        <w:tc>
          <w:tcPr>
            <w:tcW w:w="56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w w:val="95"/>
              </w:rPr>
              <w:t>Maturity</w:t>
            </w:r>
          </w:p>
        </w:tc>
        <w:tc>
          <w:tcPr>
            <w:tcW w:w="220" w:type="dxa"/>
            <w:vAlign w:val="bottom"/>
          </w:tcPr>
          <w:p>
            <w:pPr>
              <w:spacing w:after="0"/>
              <w:rPr>
                <w:sz w:val="14"/>
                <w:szCs w:val="14"/>
                <w:color w:val="auto"/>
              </w:rPr>
            </w:pPr>
          </w:p>
        </w:tc>
        <w:tc>
          <w:tcPr>
            <w:tcW w:w="1840" w:type="dxa"/>
            <w:vAlign w:val="bottom"/>
            <w:tcBorders>
              <w:bottom w:val="single" w:sz="8" w:color="auto"/>
            </w:tcBorders>
          </w:tcPr>
          <w:p>
            <w:pPr>
              <w:jc w:val="right"/>
              <w:ind w:right="137"/>
              <w:spacing w:after="0"/>
              <w:rPr>
                <w:sz w:val="20"/>
                <w:szCs w:val="20"/>
                <w:color w:val="auto"/>
              </w:rPr>
            </w:pPr>
            <w:r>
              <w:rPr>
                <w:rFonts w:ascii="Arial" w:cs="Arial" w:eastAsia="Arial" w:hAnsi="Arial"/>
                <w:sz w:val="14"/>
                <w:szCs w:val="14"/>
                <w:b w:val="1"/>
                <w:bCs w:val="1"/>
                <w:color w:val="auto"/>
              </w:rPr>
              <w:t>Annual interest rate (%)</w:t>
            </w:r>
          </w:p>
        </w:tc>
        <w:tc>
          <w:tcPr>
            <w:tcW w:w="220" w:type="dxa"/>
            <w:vAlign w:val="bottom"/>
          </w:tcPr>
          <w:p>
            <w:pPr>
              <w:spacing w:after="0"/>
              <w:rPr>
                <w:sz w:val="14"/>
                <w:szCs w:val="14"/>
                <w:color w:val="auto"/>
              </w:rPr>
            </w:pPr>
          </w:p>
        </w:tc>
        <w:tc>
          <w:tcPr>
            <w:tcW w:w="720" w:type="dxa"/>
            <w:vAlign w:val="bottom"/>
            <w:tcBorders>
              <w:bottom w:val="single" w:sz="8" w:color="auto"/>
            </w:tcBorders>
          </w:tcPr>
          <w:p>
            <w:pPr>
              <w:jc w:val="right"/>
              <w:ind w:right="19"/>
              <w:spacing w:after="0"/>
              <w:rPr>
                <w:sz w:val="20"/>
                <w:szCs w:val="20"/>
                <w:color w:val="auto"/>
              </w:rPr>
            </w:pPr>
            <w:r>
              <w:rPr>
                <w:rFonts w:ascii="Arial" w:cs="Arial" w:eastAsia="Arial" w:hAnsi="Arial"/>
                <w:sz w:val="14"/>
                <w:szCs w:val="14"/>
                <w:b w:val="1"/>
                <w:bCs w:val="1"/>
                <w:color w:val="auto"/>
              </w:rPr>
              <w:t>principal</w:t>
            </w:r>
          </w:p>
        </w:tc>
        <w:tc>
          <w:tcPr>
            <w:tcW w:w="20" w:type="dxa"/>
            <w:vAlign w:val="bottom"/>
          </w:tcPr>
          <w:p>
            <w:pPr>
              <w:spacing w:after="0"/>
              <w:rPr>
                <w:sz w:val="14"/>
                <w:szCs w:val="14"/>
                <w:color w:val="auto"/>
              </w:rPr>
            </w:pPr>
          </w:p>
        </w:tc>
      </w:tr>
      <w:tr>
        <w:trPr>
          <w:trHeight w:val="210"/>
        </w:trPr>
        <w:tc>
          <w:tcPr>
            <w:tcW w:w="7860" w:type="dxa"/>
            <w:vAlign w:val="bottom"/>
            <w:shd w:val="clear" w:color="auto" w:fill="CCEEFF"/>
          </w:tcPr>
          <w:p>
            <w:pPr>
              <w:spacing w:after="0"/>
              <w:rPr>
                <w:sz w:val="20"/>
                <w:szCs w:val="20"/>
                <w:color w:val="auto"/>
              </w:rPr>
            </w:pPr>
            <w:r>
              <w:rPr>
                <w:rFonts w:ascii="Arial" w:cs="Arial" w:eastAsia="Arial" w:hAnsi="Arial"/>
                <w:sz w:val="18"/>
                <w:szCs w:val="18"/>
                <w:color w:val="auto"/>
              </w:rPr>
              <w:t>Floating Rate Second Priority Senior Secured Notes</w:t>
            </w: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2011</w:t>
            </w:r>
          </w:p>
        </w:tc>
        <w:tc>
          <w:tcPr>
            <w:tcW w:w="2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5"/>
              </w:rPr>
              <w:t>3 month LIBOR + 3.250</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$ 300,000</w:t>
            </w:r>
          </w:p>
        </w:tc>
        <w:tc>
          <w:tcPr>
            <w:tcW w:w="20" w:type="dxa"/>
            <w:vAlign w:val="bottom"/>
          </w:tcPr>
          <w:p>
            <w:pPr>
              <w:spacing w:after="0"/>
              <w:rPr>
                <w:sz w:val="18"/>
                <w:szCs w:val="18"/>
                <w:color w:val="auto"/>
              </w:rPr>
            </w:pPr>
          </w:p>
        </w:tc>
      </w:tr>
      <w:tr>
        <w:trPr>
          <w:trHeight w:val="216"/>
        </w:trPr>
        <w:tc>
          <w:tcPr>
            <w:tcW w:w="7860" w:type="dxa"/>
            <w:vAlign w:val="bottom"/>
          </w:tcPr>
          <w:p>
            <w:pPr>
              <w:spacing w:after="0" w:line="217" w:lineRule="exact"/>
              <w:rPr>
                <w:sz w:val="20"/>
                <w:szCs w:val="20"/>
                <w:color w:val="auto"/>
              </w:rPr>
            </w:pPr>
            <w:r>
              <w:rPr>
                <w:rFonts w:ascii="Arial" w:cs="Arial" w:eastAsia="Arial" w:hAnsi="Arial"/>
                <w:sz w:val="18"/>
                <w:szCs w:val="18"/>
                <w:color w:val="auto"/>
              </w:rPr>
              <w:t xml:space="preserve">6 </w:t>
            </w:r>
            <w:r>
              <w:rPr>
                <w:rFonts w:ascii="Arial" w:cs="Arial" w:eastAsia="Arial" w:hAnsi="Arial"/>
                <w:sz w:val="22"/>
                <w:szCs w:val="22"/>
                <w:color w:val="auto"/>
                <w:vertAlign w:val="superscript"/>
              </w:rPr>
              <w:t>7</w:t>
            </w:r>
            <w:r>
              <w:rPr>
                <w:rFonts w:ascii="Arial" w:cs="Arial" w:eastAsia="Arial" w:hAnsi="Arial"/>
                <w:sz w:val="18"/>
                <w:szCs w:val="18"/>
                <w:color w:val="auto"/>
              </w:rPr>
              <w:t>/</w:t>
            </w:r>
            <w:r>
              <w:rPr>
                <w:rFonts w:ascii="Arial" w:cs="Arial" w:eastAsia="Arial" w:hAnsi="Arial"/>
                <w:sz w:val="13"/>
                <w:szCs w:val="13"/>
                <w:color w:val="auto"/>
              </w:rPr>
              <w:t>8</w:t>
            </w:r>
            <w:r>
              <w:rPr>
                <w:rFonts w:ascii="Arial" w:cs="Arial" w:eastAsia="Arial" w:hAnsi="Arial"/>
                <w:sz w:val="18"/>
                <w:szCs w:val="18"/>
                <w:color w:val="auto"/>
              </w:rPr>
              <w:t>% Second Priority Senior Secured Notes</w:t>
            </w:r>
          </w:p>
        </w:tc>
        <w:tc>
          <w:tcPr>
            <w:tcW w:w="780" w:type="dxa"/>
            <w:vAlign w:val="bottom"/>
            <w:gridSpan w:val="2"/>
          </w:tcPr>
          <w:p>
            <w:pPr>
              <w:jc w:val="right"/>
              <w:ind w:right="220"/>
              <w:spacing w:after="0"/>
              <w:rPr>
                <w:sz w:val="20"/>
                <w:szCs w:val="20"/>
                <w:color w:val="auto"/>
              </w:rPr>
            </w:pPr>
            <w:r>
              <w:rPr>
                <w:rFonts w:ascii="Arial" w:cs="Arial" w:eastAsia="Arial" w:hAnsi="Arial"/>
                <w:sz w:val="18"/>
                <w:szCs w:val="18"/>
                <w:color w:val="auto"/>
              </w:rPr>
              <w:t>2011</w:t>
            </w:r>
          </w:p>
        </w:tc>
        <w:tc>
          <w:tcPr>
            <w:tcW w:w="2060" w:type="dxa"/>
            <w:vAlign w:val="bottom"/>
            <w:gridSpan w:val="2"/>
          </w:tcPr>
          <w:p>
            <w:pPr>
              <w:jc w:val="right"/>
              <w:ind w:right="220"/>
              <w:spacing w:after="0"/>
              <w:rPr>
                <w:sz w:val="20"/>
                <w:szCs w:val="20"/>
                <w:color w:val="auto"/>
              </w:rPr>
            </w:pPr>
            <w:r>
              <w:rPr>
                <w:rFonts w:ascii="Arial" w:cs="Arial" w:eastAsia="Arial" w:hAnsi="Arial"/>
                <w:sz w:val="18"/>
                <w:szCs w:val="18"/>
                <w:color w:val="auto"/>
              </w:rPr>
              <w:t>6.875</w:t>
            </w:r>
          </w:p>
        </w:tc>
        <w:tc>
          <w:tcPr>
            <w:tcW w:w="720" w:type="dxa"/>
            <w:vAlign w:val="bottom"/>
          </w:tcPr>
          <w:p>
            <w:pPr>
              <w:jc w:val="right"/>
              <w:spacing w:after="0"/>
              <w:rPr>
                <w:sz w:val="20"/>
                <w:szCs w:val="20"/>
                <w:color w:val="auto"/>
              </w:rPr>
            </w:pPr>
            <w:r>
              <w:rPr>
                <w:rFonts w:ascii="Arial" w:cs="Arial" w:eastAsia="Arial" w:hAnsi="Arial"/>
                <w:sz w:val="18"/>
                <w:szCs w:val="18"/>
                <w:color w:val="auto"/>
              </w:rPr>
              <w:t>200,000</w:t>
            </w:r>
          </w:p>
        </w:tc>
        <w:tc>
          <w:tcPr>
            <w:tcW w:w="20" w:type="dxa"/>
            <w:vAlign w:val="bottom"/>
          </w:tcPr>
          <w:p>
            <w:pPr>
              <w:spacing w:after="0"/>
              <w:rPr>
                <w:sz w:val="18"/>
                <w:szCs w:val="18"/>
                <w:color w:val="auto"/>
              </w:rPr>
            </w:pPr>
          </w:p>
        </w:tc>
      </w:tr>
      <w:tr>
        <w:trPr>
          <w:trHeight w:val="216"/>
        </w:trPr>
        <w:tc>
          <w:tcPr>
            <w:tcW w:w="7860" w:type="dxa"/>
            <w:vAlign w:val="bottom"/>
            <w:shd w:val="clear" w:color="auto" w:fill="CCEEFF"/>
          </w:tcPr>
          <w:p>
            <w:pPr>
              <w:spacing w:after="0"/>
              <w:rPr>
                <w:sz w:val="20"/>
                <w:szCs w:val="20"/>
                <w:color w:val="auto"/>
              </w:rPr>
            </w:pPr>
            <w:r>
              <w:rPr>
                <w:rFonts w:ascii="Arial" w:cs="Arial" w:eastAsia="Arial" w:hAnsi="Arial"/>
                <w:sz w:val="18"/>
                <w:szCs w:val="18"/>
                <w:color w:val="auto"/>
              </w:rPr>
              <w:t>8% Senior Subordinated Notes</w:t>
            </w: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2014</w:t>
            </w:r>
          </w:p>
        </w:tc>
        <w:tc>
          <w:tcPr>
            <w:tcW w:w="2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8.000</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250,000</w:t>
            </w:r>
          </w:p>
        </w:tc>
        <w:tc>
          <w:tcPr>
            <w:tcW w:w="20" w:type="dxa"/>
            <w:vAlign w:val="bottom"/>
          </w:tcPr>
          <w:p>
            <w:pPr>
              <w:spacing w:after="0"/>
              <w:rPr>
                <w:sz w:val="18"/>
                <w:szCs w:val="18"/>
                <w:color w:val="auto"/>
              </w:rPr>
            </w:pPr>
          </w:p>
        </w:tc>
      </w:tr>
      <w:tr>
        <w:trPr>
          <w:trHeight w:val="222"/>
        </w:trPr>
        <w:tc>
          <w:tcPr>
            <w:tcW w:w="78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4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w w:val="87"/>
              </w:rPr>
              <w:t>$ 750,000</w:t>
            </w:r>
          </w:p>
        </w:tc>
      </w:tr>
      <w:tr>
        <w:trPr>
          <w:trHeight w:val="20"/>
        </w:trPr>
        <w:tc>
          <w:tcPr>
            <w:tcW w:w="78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16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senior secured revolving credit facility and Second Priority Senior Secured Notes are collateralized by substantially all of the assets of the Company.</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The notes will be paid in full upon maturity.</w:t>
      </w:r>
    </w:p>
    <w:p>
      <w:pPr>
        <w:spacing w:after="0" w:line="165" w:lineRule="exact"/>
        <w:rPr>
          <w:sz w:val="20"/>
          <w:szCs w:val="20"/>
          <w:color w:val="auto"/>
        </w:rPr>
      </w:pPr>
    </w:p>
    <w:p>
      <w:pPr>
        <w:jc w:val="both"/>
        <w:ind w:right="20" w:firstLine="456"/>
        <w:spacing w:after="0" w:line="284" w:lineRule="auto"/>
        <w:rPr>
          <w:sz w:val="20"/>
          <w:szCs w:val="20"/>
          <w:color w:val="auto"/>
        </w:rPr>
      </w:pPr>
      <w:r>
        <w:rPr>
          <w:rFonts w:ascii="Arial" w:cs="Arial" w:eastAsia="Arial" w:hAnsi="Arial"/>
          <w:sz w:val="16"/>
          <w:szCs w:val="16"/>
          <w:color w:val="auto"/>
        </w:rPr>
        <w:t>Each indenture governing the notes contains covenants that limit the ability of the Company and its subsidiaries to (i) incur additional indebtedness, (ii) pay dividends or make other distributions on its capital stock or repurchase, repay or redeem its capital stock, (iii) make certain investments, (iv) incur liens, (v) enter into certain types of transactions with affiliates, (vi) create restrictions on the payment of dividends or other amounts to the Company by its subsidiaries, and</w:t>
      </w:r>
    </w:p>
    <w:p>
      <w:pPr>
        <w:spacing w:after="0" w:line="1" w:lineRule="exact"/>
        <w:rPr>
          <w:sz w:val="20"/>
          <w:szCs w:val="20"/>
          <w:color w:val="auto"/>
        </w:rPr>
      </w:pPr>
    </w:p>
    <w:p>
      <w:pPr>
        <w:jc w:val="right"/>
        <w:ind w:left="5680" w:right="5640" w:hanging="5672"/>
        <w:spacing w:after="0" w:line="404" w:lineRule="auto"/>
        <w:tabs>
          <w:tab w:leader="none" w:pos="364" w:val="left"/>
        </w:tabs>
        <w:numPr>
          <w:ilvl w:val="0"/>
          <w:numId w:val="4"/>
        </w:numPr>
        <w:rPr>
          <w:rFonts w:ascii="Arial" w:cs="Arial" w:eastAsia="Arial" w:hAnsi="Arial"/>
          <w:sz w:val="15"/>
          <w:szCs w:val="15"/>
          <w:color w:val="auto"/>
        </w:rPr>
      </w:pPr>
      <w:r>
        <w:rPr>
          <w:rFonts w:ascii="Arial" w:cs="Arial" w:eastAsia="Arial" w:hAnsi="Arial"/>
          <w:sz w:val="15"/>
          <w:szCs w:val="15"/>
          <w:color w:val="auto"/>
        </w:rPr>
        <w:t>sell all or substantially all of its assets or merge with or into other companies. 8</w:t>
      </w:r>
    </w:p>
    <w:p>
      <w:pPr>
        <w:sectPr>
          <w:pgSz w:w="11900" w:h="16838" w:orient="portrait"/>
          <w:cols w:equalWidth="0" w:num="1">
            <w:col w:w="11420"/>
          </w:cols>
          <w:pgMar w:left="240" w:top="459" w:right="23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MagnaChip Semiconductor LLC and Subsidiaries</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(Unaudited; tabular dollars in thousands, except unit data)</w:t>
      </w:r>
    </w:p>
    <w:p>
      <w:pPr>
        <w:spacing w:after="0" w:line="151"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Borrowings under the senior secured credit facility are subject to significant conditions, including compliance with financial ratios and other covenants and obligations.</w:t>
      </w:r>
    </w:p>
    <w:p>
      <w:pPr>
        <w:spacing w:after="0" w:line="132" w:lineRule="exact"/>
        <w:rPr>
          <w:sz w:val="20"/>
          <w:szCs w:val="20"/>
          <w:color w:val="auto"/>
        </w:rPr>
      </w:pPr>
    </w:p>
    <w:p>
      <w:pPr>
        <w:ind w:right="100" w:firstLine="456"/>
        <w:spacing w:after="0" w:line="294" w:lineRule="auto"/>
        <w:rPr>
          <w:sz w:val="20"/>
          <w:szCs w:val="20"/>
          <w:color w:val="auto"/>
        </w:rPr>
      </w:pPr>
      <w:r>
        <w:rPr>
          <w:rFonts w:ascii="Arial" w:cs="Arial" w:eastAsia="Arial" w:hAnsi="Arial"/>
          <w:sz w:val="16"/>
          <w:szCs w:val="16"/>
          <w:color w:val="auto"/>
        </w:rPr>
        <w:t>As of July 2, 2006, the Company and all of its subsidiaries except for MagnaChip Semiconductor (Shanghai) Company Limited have jointly and severally guaranteed each series of the Second Priority Senior Secured Notes on a second priority senior secured basis. As of July 2, 2006, the Company and its subsidiaries except for MagnaChip Semiconductor Ltd. (Korea) and MagnaChip Semiconductor (Shanghai) Company Limited have jointly and severally guaranteed the Senior Subordinated Notes on an unsecured, senior subordinated basis. In addition, the Company and each of its current and future direct and indirect subsidiaries (subject to certain exceptions) will be guarantors of Second Priority Senior Secured Notes and Senior Subordinated Notes.</w:t>
      </w:r>
    </w:p>
    <w:p>
      <w:pPr>
        <w:spacing w:after="0" w:line="116"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On July 26, 2006, the Company entered into the Fourth Amendment to Credit Agreement (as amended, the “Credit Agreement”), dated as of July 26, 2006 (the “Amendment”), with MagnaChip Semiconductor S.A. and MagnaChip Semiconductor Finance Company, as borrowers, the Subsidiary Guarantors party thereto, the Lenders party thereto (the “Lenders”), UBS AG, Stamford Branch, as administrative agent and collateral agent (the “Agent”), and U.S. Bank National Association (“US Bank”).</w:t>
      </w:r>
    </w:p>
    <w:p>
      <w:pPr>
        <w:spacing w:after="0" w:line="143"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Under the Amendment, among other things, (i) the Company agreed to furnish to the Agent and the Lenders monthly financial statements along with an officer’s certificate with respect to the occurrence of any events of default under the Credit Agreement, (ii) certain restrictions were imposed on the Company’s ability to make acquisitions and capital expenditures, (iii) the financial covenants set forth in Section 6.10 of the Credit Agreement were revised, (iv) the schedule of applicable margins under the Credit Agreement was revised, (v) the Lenders, the Agent and US Bank waived certain defaults and obligations, and (vi) the Agent consented to the Company’s voting in favor of increasing the share capital of one of the Company’s subsidiaries.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Rate Swap</w:t>
      </w:r>
    </w:p>
    <w:p>
      <w:pPr>
        <w:spacing w:after="0" w:line="90"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Effective June 27, 2005, the Company entered into an interest rate swap agreement (the “Swap”) that converted the variable interest rate of three-month London Inter-bank Offering Rate (“LIBOR”) plus 3.25% to a fixed interest rate of 7.34% on the Company’s Floating Rate Second Priority Senior Secured Notes (the “Notes”). This Swap will be in effect until 15 June, 2008.</w:t>
      </w:r>
    </w:p>
    <w:p>
      <w:pPr>
        <w:spacing w:after="0" w:line="140" w:lineRule="exact"/>
        <w:rPr>
          <w:sz w:val="20"/>
          <w:szCs w:val="20"/>
          <w:color w:val="auto"/>
        </w:rPr>
      </w:pPr>
    </w:p>
    <w:p>
      <w:pPr>
        <w:jc w:val="both"/>
        <w:ind w:right="80" w:firstLine="456"/>
        <w:spacing w:after="0" w:line="306" w:lineRule="auto"/>
        <w:rPr>
          <w:sz w:val="20"/>
          <w:szCs w:val="20"/>
          <w:color w:val="auto"/>
        </w:rPr>
      </w:pPr>
      <w:r>
        <w:rPr>
          <w:rFonts w:ascii="Arial" w:cs="Arial" w:eastAsia="Arial" w:hAnsi="Arial"/>
          <w:sz w:val="16"/>
          <w:szCs w:val="16"/>
          <w:color w:val="auto"/>
        </w:rPr>
        <w:t xml:space="preserve">The Swap qualifies as a cash flow hedge under SFAS No. 133, </w:t>
      </w:r>
      <w:r>
        <w:rPr>
          <w:rFonts w:ascii="Arial" w:cs="Arial" w:eastAsia="Arial" w:hAnsi="Arial"/>
          <w:sz w:val="16"/>
          <w:szCs w:val="16"/>
          <w:i w:val="1"/>
          <w:iCs w:val="1"/>
          <w:color w:val="auto"/>
        </w:rPr>
        <w:t>Accounting for Derivative Instruments and Hedging Activities</w:t>
      </w:r>
      <w:r>
        <w:rPr>
          <w:rFonts w:ascii="Arial" w:cs="Arial" w:eastAsia="Arial" w:hAnsi="Arial"/>
          <w:sz w:val="16"/>
          <w:szCs w:val="16"/>
          <w:color w:val="auto"/>
        </w:rPr>
        <w:t>, as amended. The Company is utilizing the “hypothetical derivative method” to measure the effectiveness by comparing the changes in value of the actual derivative versus the change in fair value of the “hypothetical derivative.” Under this methodology, the actual swap was effective when compared to the hypothetical hedge.</w:t>
      </w:r>
    </w:p>
    <w:p>
      <w:pPr>
        <w:spacing w:after="0" w:line="107" w:lineRule="exact"/>
        <w:rPr>
          <w:sz w:val="20"/>
          <w:szCs w:val="20"/>
          <w:color w:val="auto"/>
        </w:rPr>
      </w:pPr>
    </w:p>
    <w:p>
      <w:pPr>
        <w:ind w:right="140" w:firstLine="456"/>
        <w:spacing w:after="0" w:line="306" w:lineRule="auto"/>
        <w:rPr>
          <w:sz w:val="20"/>
          <w:szCs w:val="20"/>
          <w:color w:val="auto"/>
        </w:rPr>
      </w:pPr>
      <w:r>
        <w:rPr>
          <w:rFonts w:ascii="Arial" w:cs="Arial" w:eastAsia="Arial" w:hAnsi="Arial"/>
          <w:sz w:val="16"/>
          <w:szCs w:val="16"/>
          <w:color w:val="auto"/>
        </w:rPr>
        <w:t>For the six-month period ended July 2, 2006, the Company recorded changes in the fair value of the Swap amounting to $3,310 thousand, under other comprehensive income in the accompanying condensed consolidated financial statements. In addition, during the same period, the Company recognized interest income of $1,045 thousand, which represents the differences between fixed and variable rates.</w:t>
      </w:r>
    </w:p>
    <w:p>
      <w:pPr>
        <w:spacing w:after="0" w:line="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00"/>
          </w:cols>
          <w:pgMar w:left="240" w:top="459" w:right="25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MagnaChip Semiconductor LLC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tabular dollars in thousands, except unit data)</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Accrued Severance Benefits</w:t>
      </w:r>
    </w:p>
    <w:p>
      <w:pPr>
        <w:spacing w:after="0" w:line="96" w:lineRule="exact"/>
        <w:rPr>
          <w:sz w:val="20"/>
          <w:szCs w:val="20"/>
          <w:color w:val="auto"/>
        </w:rPr>
      </w:pPr>
    </w:p>
    <w:p>
      <w:pPr>
        <w:ind w:right="300" w:firstLine="456"/>
        <w:spacing w:after="0" w:line="306" w:lineRule="auto"/>
        <w:rPr>
          <w:sz w:val="20"/>
          <w:szCs w:val="20"/>
          <w:color w:val="auto"/>
        </w:rPr>
      </w:pPr>
      <w:r>
        <w:rPr>
          <w:rFonts w:ascii="Arial" w:cs="Arial" w:eastAsia="Arial" w:hAnsi="Arial"/>
          <w:sz w:val="16"/>
          <w:szCs w:val="16"/>
          <w:color w:val="auto"/>
        </w:rPr>
        <w:t>Almost all of the accrual for severance benefits is for employees in the Company’s Korean subsidiary. Pursuant to the Labor Standard Act of Korea, employees and most executive officers with one or more years of service are entitled to severance benefits upon the termination of their employment based on their length of service and rate of pay. As of July 2, 2006, 95% of all employees of the Company were eligible for severance benefits.</w:t>
      </w:r>
    </w:p>
    <w:p>
      <w:pPr>
        <w:spacing w:after="0" w:line="10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Changes in the carrying value of accrued severance benefits are as follows: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4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00" w:type="dxa"/>
            <w:vAlign w:val="bottom"/>
            <w:gridSpan w:val="6"/>
          </w:tcPr>
          <w:p>
            <w:pPr>
              <w:jc w:val="right"/>
              <w:ind w:right="660"/>
              <w:spacing w:after="0"/>
              <w:rPr>
                <w:sz w:val="20"/>
                <w:szCs w:val="20"/>
                <w:color w:val="auto"/>
              </w:rPr>
            </w:pPr>
            <w:r>
              <w:rPr>
                <w:rFonts w:ascii="Arial" w:cs="Arial" w:eastAsia="Arial" w:hAnsi="Arial"/>
                <w:sz w:val="14"/>
                <w:szCs w:val="14"/>
                <w:b w:val="1"/>
                <w:bCs w:val="1"/>
                <w:color w:val="auto"/>
                <w:w w:val="95"/>
              </w:rPr>
              <w:t>Three months ended</w:t>
            </w:r>
          </w:p>
        </w:tc>
        <w:tc>
          <w:tcPr>
            <w:tcW w:w="140" w:type="dxa"/>
            <w:vAlign w:val="bottom"/>
          </w:tcPr>
          <w:p>
            <w:pPr>
              <w:spacing w:after="0"/>
              <w:rPr>
                <w:sz w:val="14"/>
                <w:szCs w:val="14"/>
                <w:color w:val="auto"/>
              </w:rPr>
            </w:pPr>
          </w:p>
        </w:tc>
        <w:tc>
          <w:tcPr>
            <w:tcW w:w="1680" w:type="dxa"/>
            <w:vAlign w:val="bottom"/>
            <w:gridSpan w:val="6"/>
          </w:tcPr>
          <w:p>
            <w:pPr>
              <w:jc w:val="right"/>
              <w:ind w:right="44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440" w:type="dxa"/>
            <w:vAlign w:val="bottom"/>
          </w:tcPr>
          <w:p>
            <w:pPr>
              <w:spacing w:after="0"/>
              <w:rPr>
                <w:sz w:val="12"/>
                <w:szCs w:val="12"/>
                <w:color w:val="auto"/>
              </w:rPr>
            </w:pPr>
          </w:p>
        </w:tc>
        <w:tc>
          <w:tcPr>
            <w:tcW w:w="700" w:type="dxa"/>
            <w:vAlign w:val="bottom"/>
            <w:tcBorders>
              <w:top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w w:val="86"/>
              </w:rPr>
              <w:t>July 2, 2006</w:t>
            </w:r>
          </w:p>
        </w:tc>
        <w:tc>
          <w:tcPr>
            <w:tcW w:w="22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gridSpan w:val="2"/>
          </w:tcPr>
          <w:p>
            <w:pPr>
              <w:ind w:left="20"/>
              <w:spacing w:after="0" w:line="142" w:lineRule="exact"/>
              <w:rPr>
                <w:sz w:val="20"/>
                <w:szCs w:val="20"/>
                <w:color w:val="auto"/>
              </w:rPr>
            </w:pPr>
            <w:r>
              <w:rPr>
                <w:rFonts w:ascii="Arial" w:cs="Arial" w:eastAsia="Arial" w:hAnsi="Arial"/>
                <w:sz w:val="14"/>
                <w:szCs w:val="14"/>
                <w:b w:val="1"/>
                <w:bCs w:val="1"/>
                <w:color w:val="auto"/>
                <w:w w:val="83"/>
              </w:rPr>
              <w:t>July 3, 2005</w:t>
            </w:r>
          </w:p>
        </w:tc>
        <w:tc>
          <w:tcPr>
            <w:tcW w:w="380" w:type="dxa"/>
            <w:vAlign w:val="bottom"/>
          </w:tcPr>
          <w:p>
            <w:pPr>
              <w:spacing w:after="0"/>
              <w:rPr>
                <w:sz w:val="12"/>
                <w:szCs w:val="12"/>
                <w:color w:val="auto"/>
              </w:rPr>
            </w:pPr>
          </w:p>
        </w:tc>
        <w:tc>
          <w:tcPr>
            <w:tcW w:w="900" w:type="dxa"/>
            <w:vAlign w:val="bottom"/>
            <w:tcBorders>
              <w:top w:val="single" w:sz="8" w:color="auto"/>
            </w:tcBorders>
            <w:gridSpan w:val="3"/>
          </w:tcPr>
          <w:p>
            <w:pPr>
              <w:spacing w:after="0" w:line="142" w:lineRule="exact"/>
              <w:rPr>
                <w:sz w:val="20"/>
                <w:szCs w:val="20"/>
                <w:color w:val="auto"/>
              </w:rPr>
            </w:pPr>
            <w:r>
              <w:rPr>
                <w:rFonts w:ascii="Arial" w:cs="Arial" w:eastAsia="Arial" w:hAnsi="Arial"/>
                <w:sz w:val="14"/>
                <w:szCs w:val="14"/>
                <w:b w:val="1"/>
                <w:bCs w:val="1"/>
                <w:color w:val="auto"/>
              </w:rPr>
              <w:t>July 2, 2006</w:t>
            </w:r>
          </w:p>
        </w:tc>
        <w:tc>
          <w:tcPr>
            <w:tcW w:w="16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w w:val="86"/>
              </w:rPr>
              <w:t>July 3, 2005</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74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7440" w:type="dxa"/>
            <w:vAlign w:val="bottom"/>
            <w:shd w:val="clear" w:color="auto" w:fill="CCEEFF"/>
          </w:tcPr>
          <w:p>
            <w:pPr>
              <w:spacing w:after="0"/>
              <w:rPr>
                <w:sz w:val="20"/>
                <w:szCs w:val="20"/>
                <w:color w:val="auto"/>
              </w:rPr>
            </w:pPr>
            <w:r>
              <w:rPr>
                <w:rFonts w:ascii="Arial" w:cs="Arial" w:eastAsia="Arial" w:hAnsi="Arial"/>
                <w:sz w:val="18"/>
                <w:szCs w:val="18"/>
                <w:color w:val="auto"/>
              </w:rPr>
              <w:t>Beginning balance</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59,249</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55,237</w:t>
            </w: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4"/>
              </w:rPr>
              <w:t>56,967</w:t>
            </w:r>
          </w:p>
        </w:tc>
        <w:tc>
          <w:tcPr>
            <w:tcW w:w="3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52,925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40" w:type="dxa"/>
            <w:vAlign w:val="bottom"/>
          </w:tcPr>
          <w:p>
            <w:pPr>
              <w:spacing w:after="0"/>
              <w:rPr>
                <w:sz w:val="20"/>
                <w:szCs w:val="20"/>
                <w:color w:val="auto"/>
              </w:rPr>
            </w:pPr>
            <w:r>
              <w:rPr>
                <w:rFonts w:ascii="Arial" w:cs="Arial" w:eastAsia="Arial" w:hAnsi="Arial"/>
                <w:sz w:val="18"/>
                <w:szCs w:val="18"/>
                <w:color w:val="auto"/>
              </w:rPr>
              <w:t>Provisions</w:t>
            </w: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2,320</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4,470</w:t>
            </w: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8"/>
                <w:szCs w:val="18"/>
                <w:color w:val="auto"/>
              </w:rPr>
              <w:t>5,357</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8,126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40" w:type="dxa"/>
            <w:vAlign w:val="bottom"/>
            <w:shd w:val="clear" w:color="auto" w:fill="CCEEFF"/>
          </w:tcPr>
          <w:p>
            <w:pPr>
              <w:spacing w:after="0"/>
              <w:rPr>
                <w:sz w:val="20"/>
                <w:szCs w:val="20"/>
                <w:color w:val="auto"/>
              </w:rPr>
            </w:pPr>
            <w:r>
              <w:rPr>
                <w:rFonts w:ascii="Arial" w:cs="Arial" w:eastAsia="Arial" w:hAnsi="Arial"/>
                <w:sz w:val="18"/>
                <w:szCs w:val="18"/>
                <w:color w:val="auto"/>
              </w:rPr>
              <w:t>Transferred from acquired company</w:t>
            </w: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40" w:type="dxa"/>
            <w:vAlign w:val="bottom"/>
          </w:tcPr>
          <w:p>
            <w:pPr>
              <w:spacing w:after="0"/>
              <w:rPr>
                <w:sz w:val="20"/>
                <w:szCs w:val="20"/>
                <w:color w:val="auto"/>
              </w:rPr>
            </w:pPr>
            <w:r>
              <w:rPr>
                <w:rFonts w:ascii="Arial" w:cs="Arial" w:eastAsia="Arial" w:hAnsi="Arial"/>
                <w:sz w:val="18"/>
                <w:szCs w:val="18"/>
                <w:color w:val="auto"/>
              </w:rPr>
              <w:t>Severance payments</w:t>
            </w:r>
          </w:p>
        </w:tc>
        <w:tc>
          <w:tcPr>
            <w:tcW w:w="14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(1,701)</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gridSpan w:val="2"/>
          </w:tcPr>
          <w:p>
            <w:pPr>
              <w:jc w:val="right"/>
              <w:ind w:right="320"/>
              <w:spacing w:after="0"/>
              <w:rPr>
                <w:sz w:val="20"/>
                <w:szCs w:val="20"/>
                <w:color w:val="auto"/>
              </w:rPr>
            </w:pPr>
            <w:r>
              <w:rPr>
                <w:rFonts w:ascii="Arial" w:cs="Arial" w:eastAsia="Arial" w:hAnsi="Arial"/>
                <w:sz w:val="18"/>
                <w:szCs w:val="18"/>
                <w:color w:val="auto"/>
              </w:rPr>
              <w:t>(4,108)</w:t>
            </w:r>
          </w:p>
        </w:tc>
        <w:tc>
          <w:tcPr>
            <w:tcW w:w="14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(4,559)</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(6,864)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40" w:type="dxa"/>
            <w:vAlign w:val="bottom"/>
            <w:shd w:val="clear" w:color="auto" w:fill="CCEEFF"/>
          </w:tcPr>
          <w:p>
            <w:pPr>
              <w:spacing w:after="0"/>
              <w:rPr>
                <w:sz w:val="20"/>
                <w:szCs w:val="20"/>
                <w:color w:val="auto"/>
              </w:rPr>
            </w:pPr>
            <w:r>
              <w:rPr>
                <w:rFonts w:ascii="Arial" w:cs="Arial" w:eastAsia="Arial" w:hAnsi="Arial"/>
                <w:sz w:val="18"/>
                <w:szCs w:val="18"/>
                <w:color w:val="auto"/>
              </w:rPr>
              <w:t>Effect of foreign currency translation and other</w:t>
            </w: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925</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(1,729)</w:t>
            </w: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3,028</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(513)</w:t>
            </w:r>
          </w:p>
        </w:tc>
        <w:tc>
          <w:tcPr>
            <w:tcW w:w="0" w:type="dxa"/>
            <w:vAlign w:val="bottom"/>
          </w:tcPr>
          <w:p>
            <w:pPr>
              <w:spacing w:after="0"/>
              <w:rPr>
                <w:sz w:val="1"/>
                <w:szCs w:val="1"/>
                <w:color w:val="auto"/>
              </w:rPr>
            </w:pPr>
          </w:p>
        </w:tc>
      </w:tr>
      <w:tr>
        <w:trPr>
          <w:trHeight w:val="20"/>
        </w:trPr>
        <w:tc>
          <w:tcPr>
            <w:tcW w:w="7460" w:type="dxa"/>
            <w:vAlign w:val="bottom"/>
            <w:gridSpan w:val="2"/>
            <w:vMerge w:val="restart"/>
          </w:tcPr>
          <w:p>
            <w:pPr>
              <w:spacing w:after="0"/>
              <w:rPr>
                <w:sz w:val="20"/>
                <w:szCs w:val="20"/>
                <w:color w:val="auto"/>
              </w:rPr>
            </w:pPr>
            <w:r>
              <w:rPr>
                <w:rFonts w:ascii="Arial" w:cs="Arial" w:eastAsia="Arial" w:hAnsi="Arial"/>
                <w:sz w:val="18"/>
                <w:szCs w:val="18"/>
                <w:color w:val="auto"/>
              </w:rPr>
              <w:t>Ending balance</w:t>
            </w:r>
          </w:p>
        </w:tc>
        <w:tc>
          <w:tcPr>
            <w:tcW w:w="1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7460" w:type="dxa"/>
            <w:vAlign w:val="bottom"/>
            <w:gridSpan w:val="2"/>
            <w:vMerge w:val="continue"/>
          </w:tcPr>
          <w:p>
            <w:pPr>
              <w:spacing w:after="0"/>
              <w:rPr>
                <w:sz w:val="19"/>
                <w:szCs w:val="19"/>
                <w:color w:val="auto"/>
              </w:rPr>
            </w:pPr>
          </w:p>
        </w:tc>
        <w:tc>
          <w:tcPr>
            <w:tcW w:w="14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60,793</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w w:val="94"/>
              </w:rPr>
              <w:t>53,870</w:t>
            </w:r>
          </w:p>
        </w:tc>
        <w:tc>
          <w:tcPr>
            <w:tcW w:w="3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8"/>
                <w:szCs w:val="18"/>
                <w:color w:val="auto"/>
                <w:w w:val="94"/>
              </w:rPr>
              <w:t>60,793</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w w:val="94"/>
              </w:rPr>
              <w:t>53,870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74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40" w:type="dxa"/>
            <w:vAlign w:val="bottom"/>
            <w:shd w:val="clear" w:color="auto" w:fill="CCEEFF"/>
          </w:tcPr>
          <w:p>
            <w:pPr>
              <w:spacing w:after="0"/>
              <w:rPr>
                <w:sz w:val="20"/>
                <w:szCs w:val="20"/>
                <w:color w:val="auto"/>
              </w:rPr>
            </w:pPr>
            <w:r>
              <w:rPr>
                <w:rFonts w:ascii="Arial" w:cs="Arial" w:eastAsia="Arial" w:hAnsi="Arial"/>
                <w:sz w:val="18"/>
                <w:szCs w:val="18"/>
                <w:color w:val="auto"/>
              </w:rPr>
              <w:t>Less: Cumulative contributions to the National Pension Fund</w:t>
            </w: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(888)</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(1,041)</w:t>
            </w: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(888)</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40" w:type="dxa"/>
            <w:vAlign w:val="bottom"/>
          </w:tcPr>
          <w:p>
            <w:pPr>
              <w:ind w:left="420"/>
              <w:spacing w:after="0"/>
              <w:rPr>
                <w:sz w:val="20"/>
                <w:szCs w:val="20"/>
                <w:color w:val="auto"/>
              </w:rPr>
            </w:pPr>
            <w:r>
              <w:rPr>
                <w:rFonts w:ascii="Arial" w:cs="Arial" w:eastAsia="Arial" w:hAnsi="Arial"/>
                <w:sz w:val="18"/>
                <w:szCs w:val="18"/>
                <w:color w:val="auto"/>
              </w:rPr>
              <w:t>Group Severance insurance plan</w:t>
            </w:r>
          </w:p>
        </w:tc>
        <w:tc>
          <w:tcPr>
            <w:tcW w:w="14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(947)</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gridSpan w:val="2"/>
          </w:tcPr>
          <w:p>
            <w:pPr>
              <w:jc w:val="right"/>
              <w:ind w:right="320"/>
              <w:spacing w:after="0"/>
              <w:rPr>
                <w:sz w:val="20"/>
                <w:szCs w:val="20"/>
                <w:color w:val="auto"/>
              </w:rPr>
            </w:pPr>
            <w:r>
              <w:rPr>
                <w:rFonts w:ascii="Arial" w:cs="Arial" w:eastAsia="Arial" w:hAnsi="Arial"/>
                <w:sz w:val="18"/>
                <w:szCs w:val="18"/>
                <w:color w:val="auto"/>
              </w:rPr>
              <w:t>(940)</w:t>
            </w:r>
          </w:p>
        </w:tc>
        <w:tc>
          <w:tcPr>
            <w:tcW w:w="14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(947)</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(940)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4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7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58,958</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51,889</w:t>
            </w: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4"/>
              </w:rPr>
              <w:t>58,958</w:t>
            </w:r>
          </w:p>
        </w:tc>
        <w:tc>
          <w:tcPr>
            <w:tcW w:w="3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51,889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The severance benefits are funded approximately 3.02% and 3.68% as of July 2, 2006 and July 3, 2005, respectively, through the Company’s national pension fund and group severance insurance deposit plan which will be used exclusively for payment of severance benefits to eligible employees. These amounts have been deducted from the accrued severance benefit balance.</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addition, the Company expects to pay the following future benefits to its employees upon their normal retirement age:</w:t>
      </w:r>
    </w:p>
    <w:p>
      <w:pPr>
        <w:spacing w:after="0" w:line="207"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4720" w:type="dxa"/>
            <w:vAlign w:val="bottom"/>
          </w:tcPr>
          <w:p>
            <w:pPr>
              <w:spacing w:after="0"/>
              <w:rPr>
                <w:sz w:val="14"/>
                <w:szCs w:val="14"/>
                <w:color w:val="auto"/>
              </w:rPr>
            </w:pPr>
          </w:p>
        </w:tc>
        <w:tc>
          <w:tcPr>
            <w:tcW w:w="3840" w:type="dxa"/>
            <w:vAlign w:val="bottom"/>
          </w:tcPr>
          <w:p>
            <w:pPr>
              <w:spacing w:after="0"/>
              <w:rPr>
                <w:sz w:val="14"/>
                <w:szCs w:val="14"/>
                <w:color w:val="auto"/>
              </w:rPr>
            </w:pPr>
          </w:p>
        </w:tc>
        <w:tc>
          <w:tcPr>
            <w:tcW w:w="102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w w:val="83"/>
              </w:rPr>
              <w:t>Severance benefit</w:t>
            </w:r>
          </w:p>
        </w:tc>
      </w:tr>
      <w:tr>
        <w:trPr>
          <w:trHeight w:val="210"/>
        </w:trPr>
        <w:tc>
          <w:tcPr>
            <w:tcW w:w="4720" w:type="dxa"/>
            <w:vAlign w:val="bottom"/>
            <w:shd w:val="clear" w:color="auto" w:fill="CCEEFF"/>
          </w:tcPr>
          <w:p>
            <w:pPr>
              <w:spacing w:after="0"/>
              <w:rPr>
                <w:sz w:val="20"/>
                <w:szCs w:val="20"/>
                <w:color w:val="auto"/>
              </w:rPr>
            </w:pPr>
            <w:r>
              <w:rPr>
                <w:rFonts w:ascii="Arial" w:cs="Arial" w:eastAsia="Arial" w:hAnsi="Arial"/>
                <w:sz w:val="18"/>
                <w:szCs w:val="18"/>
                <w:color w:val="auto"/>
              </w:rPr>
              <w:t>2006 – 2008</w:t>
            </w:r>
          </w:p>
        </w:tc>
        <w:tc>
          <w:tcPr>
            <w:tcW w:w="4200" w:type="dxa"/>
            <w:vAlign w:val="bottom"/>
            <w:gridSpan w:val="2"/>
            <w:shd w:val="clear" w:color="auto" w:fill="CCEEFF"/>
          </w:tcPr>
          <w:p>
            <w:pPr>
              <w:ind w:left="384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4720" w:type="dxa"/>
            <w:vAlign w:val="bottom"/>
          </w:tcPr>
          <w:p>
            <w:pPr>
              <w:spacing w:after="0"/>
              <w:rPr>
                <w:sz w:val="20"/>
                <w:szCs w:val="20"/>
                <w:color w:val="auto"/>
              </w:rPr>
            </w:pPr>
            <w:r>
              <w:rPr>
                <w:rFonts w:ascii="Arial" w:cs="Arial" w:eastAsia="Arial" w:hAnsi="Arial"/>
                <w:sz w:val="18"/>
                <w:szCs w:val="18"/>
                <w:color w:val="auto"/>
              </w:rPr>
              <w:t>2009</w:t>
            </w:r>
          </w:p>
        </w:tc>
        <w:tc>
          <w:tcPr>
            <w:tcW w:w="38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75</w:t>
            </w:r>
          </w:p>
        </w:tc>
      </w:tr>
      <w:tr>
        <w:trPr>
          <w:trHeight w:val="216"/>
        </w:trPr>
        <w:tc>
          <w:tcPr>
            <w:tcW w:w="4720" w:type="dxa"/>
            <w:vAlign w:val="bottom"/>
            <w:shd w:val="clear" w:color="auto" w:fill="CCEEFF"/>
          </w:tcPr>
          <w:p>
            <w:pPr>
              <w:spacing w:after="0"/>
              <w:rPr>
                <w:sz w:val="20"/>
                <w:szCs w:val="20"/>
                <w:color w:val="auto"/>
              </w:rPr>
            </w:pPr>
            <w:r>
              <w:rPr>
                <w:rFonts w:ascii="Arial" w:cs="Arial" w:eastAsia="Arial" w:hAnsi="Arial"/>
                <w:sz w:val="18"/>
                <w:szCs w:val="18"/>
                <w:color w:val="auto"/>
              </w:rPr>
              <w:t>2010</w:t>
            </w:r>
          </w:p>
        </w:tc>
        <w:tc>
          <w:tcPr>
            <w:tcW w:w="38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218</w:t>
            </w:r>
          </w:p>
        </w:tc>
      </w:tr>
      <w:tr>
        <w:trPr>
          <w:trHeight w:val="222"/>
        </w:trPr>
        <w:tc>
          <w:tcPr>
            <w:tcW w:w="4720" w:type="dxa"/>
            <w:vAlign w:val="bottom"/>
          </w:tcPr>
          <w:p>
            <w:pPr>
              <w:spacing w:after="0"/>
              <w:rPr>
                <w:sz w:val="20"/>
                <w:szCs w:val="20"/>
                <w:color w:val="auto"/>
              </w:rPr>
            </w:pPr>
            <w:r>
              <w:rPr>
                <w:rFonts w:ascii="Arial" w:cs="Arial" w:eastAsia="Arial" w:hAnsi="Arial"/>
                <w:sz w:val="18"/>
                <w:szCs w:val="18"/>
                <w:color w:val="auto"/>
              </w:rPr>
              <w:t>2011 – 2015</w:t>
            </w:r>
          </w:p>
        </w:tc>
        <w:tc>
          <w:tcPr>
            <w:tcW w:w="38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1,765</w:t>
            </w:r>
          </w:p>
        </w:tc>
      </w:tr>
    </w:tbl>
    <w:p>
      <w:pPr>
        <w:spacing w:after="0" w:line="147" w:lineRule="exact"/>
        <w:rPr>
          <w:sz w:val="20"/>
          <w:szCs w:val="20"/>
          <w:color w:val="auto"/>
        </w:rPr>
      </w:pPr>
    </w:p>
    <w:p>
      <w:pPr>
        <w:ind w:right="400" w:firstLine="456"/>
        <w:spacing w:after="0" w:line="259" w:lineRule="auto"/>
        <w:rPr>
          <w:sz w:val="20"/>
          <w:szCs w:val="20"/>
          <w:color w:val="auto"/>
        </w:rPr>
      </w:pPr>
      <w:r>
        <w:rPr>
          <w:rFonts w:ascii="Arial" w:cs="Arial" w:eastAsia="Arial" w:hAnsi="Arial"/>
          <w:sz w:val="18"/>
          <w:szCs w:val="18"/>
          <w:color w:val="auto"/>
        </w:rPr>
        <w:t>The above amounts were determined based on the employees’ current salary rates and the number of service years that will be accumulated upon their retirement dates. These amounts do not include amounts that might be paid to employees that will cease working with the Company before their normal retirement ages.</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459" w:right="23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MagnaChip Semiconductor LLC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tabular dollars in thousands, except unit data)</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Redeemable Convertible Preferred Unit</w:t>
      </w:r>
    </w:p>
    <w:p>
      <w:pPr>
        <w:spacing w:after="0" w:line="96"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The Company issued 49,727 units as Series A redeemable convertible preferred unit (the “Series A”) and 447,420 units as Series B redeemable convertible preferred unit (the “Series B”) on September 23, 2004 and additionally issued 364 units of Series A and 3,272 units of Series B on November 30, 2004, respectively. All of Series A were redeemed by cash on December 27, 2004 and parts of Series B were redeemed by cash on December 15, 2004 and December 27, 2004.</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Changes in Series B for the three and six months ended July 2, 2006 are as follows: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540" w:type="dxa"/>
            <w:vAlign w:val="bottom"/>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85"/>
              </w:rPr>
              <w:t>Three months ended</w:t>
            </w:r>
          </w:p>
        </w:tc>
        <w:tc>
          <w:tcPr>
            <w:tcW w:w="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r>
      <w:tr>
        <w:trPr>
          <w:trHeight w:val="142"/>
        </w:trPr>
        <w:tc>
          <w:tcPr>
            <w:tcW w:w="20" w:type="dxa"/>
            <w:vAlign w:val="bottom"/>
          </w:tcPr>
          <w:p>
            <w:pPr>
              <w:spacing w:after="0"/>
              <w:rPr>
                <w:sz w:val="12"/>
                <w:szCs w:val="12"/>
                <w:color w:val="auto"/>
              </w:rPr>
            </w:pPr>
          </w:p>
        </w:tc>
        <w:tc>
          <w:tcPr>
            <w:tcW w:w="8540" w:type="dxa"/>
            <w:vAlign w:val="bottom"/>
          </w:tcPr>
          <w:p>
            <w:pPr>
              <w:spacing w:after="0"/>
              <w:rPr>
                <w:sz w:val="12"/>
                <w:szCs w:val="12"/>
                <w:color w:val="auto"/>
              </w:rPr>
            </w:pPr>
          </w:p>
        </w:tc>
        <w:tc>
          <w:tcPr>
            <w:tcW w:w="1460" w:type="dxa"/>
            <w:vAlign w:val="bottom"/>
            <w:gridSpan w:val="5"/>
          </w:tcPr>
          <w:p>
            <w:pPr>
              <w:jc w:val="center"/>
              <w:ind w:right="100"/>
              <w:spacing w:after="0" w:line="142" w:lineRule="exact"/>
              <w:rPr>
                <w:sz w:val="20"/>
                <w:szCs w:val="20"/>
                <w:color w:val="auto"/>
              </w:rPr>
            </w:pPr>
            <w:r>
              <w:rPr>
                <w:rFonts w:ascii="Arial" w:cs="Arial" w:eastAsia="Arial" w:hAnsi="Arial"/>
                <w:sz w:val="14"/>
                <w:szCs w:val="14"/>
                <w:b w:val="1"/>
                <w:bCs w:val="1"/>
                <w:color w:val="auto"/>
                <w:w w:val="86"/>
              </w:rPr>
              <w:t>July 2, 2006</w:t>
            </w:r>
          </w:p>
        </w:tc>
        <w:tc>
          <w:tcPr>
            <w:tcW w:w="1400" w:type="dxa"/>
            <w:vAlign w:val="bottom"/>
            <w:gridSpan w:val="5"/>
          </w:tcPr>
          <w:p>
            <w:pPr>
              <w:jc w:val="center"/>
              <w:spacing w:after="0" w:line="142" w:lineRule="exact"/>
              <w:rPr>
                <w:sz w:val="20"/>
                <w:szCs w:val="20"/>
                <w:color w:val="auto"/>
              </w:rPr>
            </w:pPr>
            <w:r>
              <w:rPr>
                <w:rFonts w:ascii="Arial" w:cs="Arial" w:eastAsia="Arial" w:hAnsi="Arial"/>
                <w:sz w:val="14"/>
                <w:szCs w:val="14"/>
                <w:b w:val="1"/>
                <w:bCs w:val="1"/>
                <w:color w:val="auto"/>
                <w:w w:val="86"/>
              </w:rPr>
              <w:t>July 3, 2005</w:t>
            </w:r>
          </w:p>
        </w:tc>
        <w:tc>
          <w:tcPr>
            <w:tcW w:w="20" w:type="dxa"/>
            <w:vAlign w:val="bottom"/>
          </w:tcPr>
          <w:p>
            <w:pPr>
              <w:spacing w:after="0"/>
              <w:rPr>
                <w:sz w:val="12"/>
                <w:szCs w:val="12"/>
                <w:color w:val="auto"/>
              </w:rPr>
            </w:pPr>
          </w:p>
        </w:tc>
      </w:tr>
      <w:tr>
        <w:trPr>
          <w:trHeight w:val="142"/>
        </w:trPr>
        <w:tc>
          <w:tcPr>
            <w:tcW w:w="20" w:type="dxa"/>
            <w:vAlign w:val="bottom"/>
          </w:tcPr>
          <w:p>
            <w:pPr>
              <w:spacing w:after="0"/>
              <w:rPr>
                <w:sz w:val="12"/>
                <w:szCs w:val="12"/>
                <w:color w:val="auto"/>
              </w:rPr>
            </w:pPr>
          </w:p>
        </w:tc>
        <w:tc>
          <w:tcPr>
            <w:tcW w:w="8540" w:type="dxa"/>
            <w:vAlign w:val="bottom"/>
          </w:tcPr>
          <w:p>
            <w:pPr>
              <w:spacing w:after="0"/>
              <w:rPr>
                <w:sz w:val="12"/>
                <w:szCs w:val="12"/>
                <w:color w:val="auto"/>
              </w:rPr>
            </w:pPr>
          </w:p>
        </w:tc>
        <w:tc>
          <w:tcPr>
            <w:tcW w:w="520" w:type="dxa"/>
            <w:vAlign w:val="bottom"/>
            <w:tcBorders>
              <w:top w:val="single" w:sz="8" w:color="auto"/>
              <w:bottom w:val="single" w:sz="8" w:color="auto"/>
            </w:tcBorders>
          </w:tcPr>
          <w:p>
            <w:pPr>
              <w:ind w:left="100"/>
              <w:spacing w:after="0" w:line="142" w:lineRule="exact"/>
              <w:rPr>
                <w:sz w:val="20"/>
                <w:szCs w:val="20"/>
                <w:color w:val="auto"/>
              </w:rPr>
            </w:pPr>
            <w:r>
              <w:rPr>
                <w:rFonts w:ascii="Arial" w:cs="Arial" w:eastAsia="Arial" w:hAnsi="Arial"/>
                <w:sz w:val="14"/>
                <w:szCs w:val="14"/>
                <w:b w:val="1"/>
                <w:bCs w:val="1"/>
                <w:color w:val="auto"/>
              </w:rPr>
              <w:t>Units</w:t>
            </w:r>
          </w:p>
        </w:tc>
        <w:tc>
          <w:tcPr>
            <w:tcW w:w="12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20" w:type="dxa"/>
            <w:vAlign w:val="bottom"/>
            <w:tcBorders>
              <w:top w:val="single" w:sz="8" w:color="auto"/>
              <w:bottom w:val="single" w:sz="8" w:color="auto"/>
            </w:tcBorders>
          </w:tcPr>
          <w:p>
            <w:pPr>
              <w:jc w:val="right"/>
              <w:ind w:right="40"/>
              <w:spacing w:after="0" w:line="142" w:lineRule="exact"/>
              <w:rPr>
                <w:sz w:val="20"/>
                <w:szCs w:val="20"/>
                <w:color w:val="auto"/>
              </w:rPr>
            </w:pPr>
            <w:r>
              <w:rPr>
                <w:rFonts w:ascii="Arial" w:cs="Arial" w:eastAsia="Arial" w:hAnsi="Arial"/>
                <w:sz w:val="14"/>
                <w:szCs w:val="14"/>
                <w:b w:val="1"/>
                <w:bCs w:val="1"/>
                <w:color w:val="auto"/>
                <w:w w:val="90"/>
              </w:rPr>
              <w:t>Amount</w:t>
            </w:r>
          </w:p>
        </w:tc>
        <w:tc>
          <w:tcPr>
            <w:tcW w:w="100" w:type="dxa"/>
            <w:vAlign w:val="bottom"/>
          </w:tcPr>
          <w:p>
            <w:pPr>
              <w:spacing w:after="0"/>
              <w:rPr>
                <w:sz w:val="12"/>
                <w:szCs w:val="12"/>
                <w:color w:val="auto"/>
              </w:rPr>
            </w:pPr>
          </w:p>
        </w:tc>
        <w:tc>
          <w:tcPr>
            <w:tcW w:w="540" w:type="dxa"/>
            <w:vAlign w:val="bottom"/>
            <w:tcBorders>
              <w:top w:val="single" w:sz="8" w:color="auto"/>
              <w:bottom w:val="single" w:sz="8" w:color="auto"/>
            </w:tcBorders>
          </w:tcPr>
          <w:p>
            <w:pPr>
              <w:jc w:val="right"/>
              <w:ind w:right="40"/>
              <w:spacing w:after="0" w:line="142" w:lineRule="exact"/>
              <w:rPr>
                <w:sz w:val="20"/>
                <w:szCs w:val="20"/>
                <w:color w:val="auto"/>
              </w:rPr>
            </w:pPr>
            <w:r>
              <w:rPr>
                <w:rFonts w:ascii="Arial" w:cs="Arial" w:eastAsia="Arial" w:hAnsi="Arial"/>
                <w:sz w:val="14"/>
                <w:szCs w:val="14"/>
                <w:b w:val="1"/>
                <w:bCs w:val="1"/>
                <w:color w:val="auto"/>
              </w:rPr>
              <w:t>Units</w:t>
            </w:r>
          </w:p>
        </w:tc>
        <w:tc>
          <w:tcPr>
            <w:tcW w:w="60" w:type="dxa"/>
            <w:vAlign w:val="bottom"/>
            <w:tcBorders>
              <w:top w:val="single" w:sz="8" w:color="auto"/>
            </w:tcBorders>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57"/>
              <w:spacing w:after="0" w:line="142" w:lineRule="exact"/>
              <w:rPr>
                <w:sz w:val="20"/>
                <w:szCs w:val="20"/>
                <w:color w:val="auto"/>
              </w:rPr>
            </w:pPr>
            <w:r>
              <w:rPr>
                <w:rFonts w:ascii="Arial" w:cs="Arial" w:eastAsia="Arial" w:hAnsi="Arial"/>
                <w:sz w:val="14"/>
                <w:szCs w:val="14"/>
                <w:b w:val="1"/>
                <w:bCs w:val="1"/>
                <w:color w:val="auto"/>
                <w:w w:val="90"/>
              </w:rPr>
              <w:t>Amount</w:t>
            </w:r>
          </w:p>
        </w:tc>
        <w:tc>
          <w:tcPr>
            <w:tcW w:w="20" w:type="dxa"/>
            <w:vAlign w:val="bottom"/>
          </w:tcPr>
          <w:p>
            <w:pPr>
              <w:spacing w:after="0"/>
              <w:rPr>
                <w:sz w:val="12"/>
                <w:szCs w:val="12"/>
                <w:color w:val="auto"/>
              </w:rPr>
            </w:pPr>
          </w:p>
        </w:tc>
      </w:tr>
      <w:tr>
        <w:trPr>
          <w:trHeight w:val="210"/>
        </w:trPr>
        <w:tc>
          <w:tcPr>
            <w:tcW w:w="20" w:type="dxa"/>
            <w:vAlign w:val="bottom"/>
          </w:tcPr>
          <w:p>
            <w:pPr>
              <w:spacing w:after="0"/>
              <w:rPr>
                <w:sz w:val="18"/>
                <w:szCs w:val="18"/>
                <w:color w:val="auto"/>
              </w:rPr>
            </w:pPr>
          </w:p>
        </w:tc>
        <w:tc>
          <w:tcPr>
            <w:tcW w:w="8540" w:type="dxa"/>
            <w:vAlign w:val="bottom"/>
            <w:shd w:val="clear" w:color="auto" w:fill="CCEEFF"/>
          </w:tcPr>
          <w:p>
            <w:pPr>
              <w:spacing w:after="0"/>
              <w:rPr>
                <w:sz w:val="20"/>
                <w:szCs w:val="20"/>
                <w:color w:val="auto"/>
              </w:rPr>
            </w:pPr>
            <w:r>
              <w:rPr>
                <w:rFonts w:ascii="Arial" w:cs="Arial" w:eastAsia="Arial" w:hAnsi="Arial"/>
                <w:sz w:val="18"/>
                <w:szCs w:val="18"/>
                <w:color w:val="auto"/>
              </w:rPr>
              <w:t>Beginning of period</w:t>
            </w: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0"/>
              </w:rPr>
              <w:t>93,997</w:t>
            </w:r>
          </w:p>
        </w:tc>
        <w:tc>
          <w:tcPr>
            <w:tcW w:w="1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109,095</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93,997</w:t>
            </w:r>
          </w:p>
        </w:tc>
        <w:tc>
          <w:tcPr>
            <w:tcW w:w="6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98,929</w:t>
            </w:r>
          </w:p>
        </w:tc>
        <w:tc>
          <w:tcPr>
            <w:tcW w:w="20" w:type="dxa"/>
            <w:vAlign w:val="bottom"/>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8540" w:type="dxa"/>
            <w:vAlign w:val="bottom"/>
          </w:tcPr>
          <w:p>
            <w:pPr>
              <w:spacing w:after="0"/>
              <w:rPr>
                <w:sz w:val="20"/>
                <w:szCs w:val="20"/>
                <w:color w:val="auto"/>
              </w:rPr>
            </w:pPr>
            <w:r>
              <w:rPr>
                <w:rFonts w:ascii="Arial" w:cs="Arial" w:eastAsia="Arial" w:hAnsi="Arial"/>
                <w:sz w:val="18"/>
                <w:szCs w:val="18"/>
                <w:color w:val="auto"/>
              </w:rPr>
              <w:t>Accrual of preferred dividends</w:t>
            </w:r>
          </w:p>
        </w:tc>
        <w:tc>
          <w:tcPr>
            <w:tcW w:w="520" w:type="dxa"/>
            <w:vAlign w:val="bottom"/>
            <w:tcBorders>
              <w:bottom w:val="single" w:sz="8" w:color="auto"/>
            </w:tcBorders>
          </w:tcPr>
          <w:p>
            <w:pPr>
              <w:ind w:left="2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2,706</w:t>
            </w:r>
          </w:p>
        </w:tc>
        <w:tc>
          <w:tcPr>
            <w:tcW w:w="100" w:type="dxa"/>
            <w:vAlign w:val="bottom"/>
          </w:tcPr>
          <w:p>
            <w:pPr>
              <w:spacing w:after="0"/>
              <w:rPr>
                <w:sz w:val="19"/>
                <w:szCs w:val="19"/>
                <w:color w:val="auto"/>
              </w:rPr>
            </w:pPr>
          </w:p>
        </w:tc>
        <w:tc>
          <w:tcPr>
            <w:tcW w:w="540" w:type="dxa"/>
            <w:vAlign w:val="bottom"/>
            <w:tcBorders>
              <w:bottom w:val="single" w:sz="8" w:color="auto"/>
            </w:tcBorders>
          </w:tcPr>
          <w:p>
            <w:pPr>
              <w:jc w:val="right"/>
              <w:ind w:right="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2,478</w:t>
            </w:r>
          </w:p>
        </w:tc>
        <w:tc>
          <w:tcPr>
            <w:tcW w:w="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8540" w:type="dxa"/>
            <w:vAlign w:val="bottom"/>
            <w:shd w:val="clear" w:color="auto" w:fill="CCEEFF"/>
          </w:tcPr>
          <w:p>
            <w:pPr>
              <w:spacing w:after="0"/>
              <w:rPr>
                <w:sz w:val="20"/>
                <w:szCs w:val="20"/>
                <w:color w:val="auto"/>
              </w:rPr>
            </w:pPr>
            <w:r>
              <w:rPr>
                <w:rFonts w:ascii="Arial" w:cs="Arial" w:eastAsia="Arial" w:hAnsi="Arial"/>
                <w:sz w:val="18"/>
                <w:szCs w:val="18"/>
                <w:color w:val="auto"/>
              </w:rPr>
              <w:t>End of period</w:t>
            </w: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0"/>
              </w:rPr>
              <w:t>93,997</w:t>
            </w:r>
          </w:p>
        </w:tc>
        <w:tc>
          <w:tcPr>
            <w:tcW w:w="1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2"/>
              </w:rPr>
              <w:t>111,801</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93,997</w:t>
            </w:r>
          </w:p>
        </w:tc>
        <w:tc>
          <w:tcPr>
            <w:tcW w:w="6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101,407</w:t>
            </w:r>
          </w:p>
        </w:tc>
        <w:tc>
          <w:tcPr>
            <w:tcW w:w="2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854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45"/>
        </w:trPr>
        <w:tc>
          <w:tcPr>
            <w:tcW w:w="20" w:type="dxa"/>
            <w:vAlign w:val="bottom"/>
          </w:tcPr>
          <w:p>
            <w:pPr>
              <w:spacing w:after="0"/>
              <w:rPr>
                <w:sz w:val="24"/>
                <w:szCs w:val="24"/>
                <w:color w:val="auto"/>
              </w:rPr>
            </w:pPr>
          </w:p>
        </w:tc>
        <w:tc>
          <w:tcPr>
            <w:tcW w:w="8540" w:type="dxa"/>
            <w:vAlign w:val="bottom"/>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84"/>
              </w:rPr>
              <w:t>Six months ended</w:t>
            </w:r>
          </w:p>
        </w:tc>
        <w:tc>
          <w:tcPr>
            <w:tcW w:w="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r>
      <w:tr>
        <w:trPr>
          <w:trHeight w:val="142"/>
        </w:trPr>
        <w:tc>
          <w:tcPr>
            <w:tcW w:w="20" w:type="dxa"/>
            <w:vAlign w:val="bottom"/>
          </w:tcPr>
          <w:p>
            <w:pPr>
              <w:spacing w:after="0"/>
              <w:rPr>
                <w:sz w:val="12"/>
                <w:szCs w:val="12"/>
                <w:color w:val="auto"/>
              </w:rPr>
            </w:pPr>
          </w:p>
        </w:tc>
        <w:tc>
          <w:tcPr>
            <w:tcW w:w="8540" w:type="dxa"/>
            <w:vAlign w:val="bottom"/>
          </w:tcPr>
          <w:p>
            <w:pPr>
              <w:spacing w:after="0"/>
              <w:rPr>
                <w:sz w:val="12"/>
                <w:szCs w:val="12"/>
                <w:color w:val="auto"/>
              </w:rPr>
            </w:pPr>
          </w:p>
        </w:tc>
        <w:tc>
          <w:tcPr>
            <w:tcW w:w="1460" w:type="dxa"/>
            <w:vAlign w:val="bottom"/>
            <w:gridSpan w:val="5"/>
          </w:tcPr>
          <w:p>
            <w:pPr>
              <w:jc w:val="center"/>
              <w:ind w:right="100"/>
              <w:spacing w:after="0" w:line="142" w:lineRule="exact"/>
              <w:rPr>
                <w:sz w:val="20"/>
                <w:szCs w:val="20"/>
                <w:color w:val="auto"/>
              </w:rPr>
            </w:pPr>
            <w:r>
              <w:rPr>
                <w:rFonts w:ascii="Arial" w:cs="Arial" w:eastAsia="Arial" w:hAnsi="Arial"/>
                <w:sz w:val="14"/>
                <w:szCs w:val="14"/>
                <w:b w:val="1"/>
                <w:bCs w:val="1"/>
                <w:color w:val="auto"/>
                <w:w w:val="86"/>
              </w:rPr>
              <w:t>July 2, 2006</w:t>
            </w:r>
          </w:p>
        </w:tc>
        <w:tc>
          <w:tcPr>
            <w:tcW w:w="1400" w:type="dxa"/>
            <w:vAlign w:val="bottom"/>
            <w:gridSpan w:val="5"/>
          </w:tcPr>
          <w:p>
            <w:pPr>
              <w:jc w:val="center"/>
              <w:spacing w:after="0" w:line="142" w:lineRule="exact"/>
              <w:rPr>
                <w:sz w:val="20"/>
                <w:szCs w:val="20"/>
                <w:color w:val="auto"/>
              </w:rPr>
            </w:pPr>
            <w:r>
              <w:rPr>
                <w:rFonts w:ascii="Arial" w:cs="Arial" w:eastAsia="Arial" w:hAnsi="Arial"/>
                <w:sz w:val="14"/>
                <w:szCs w:val="14"/>
                <w:b w:val="1"/>
                <w:bCs w:val="1"/>
                <w:color w:val="auto"/>
                <w:w w:val="86"/>
              </w:rPr>
              <w:t>July 3, 2005</w:t>
            </w:r>
          </w:p>
        </w:tc>
        <w:tc>
          <w:tcPr>
            <w:tcW w:w="20" w:type="dxa"/>
            <w:vAlign w:val="bottom"/>
          </w:tcPr>
          <w:p>
            <w:pPr>
              <w:spacing w:after="0"/>
              <w:rPr>
                <w:sz w:val="12"/>
                <w:szCs w:val="12"/>
                <w:color w:val="auto"/>
              </w:rPr>
            </w:pPr>
          </w:p>
        </w:tc>
      </w:tr>
      <w:tr>
        <w:trPr>
          <w:trHeight w:val="142"/>
        </w:trPr>
        <w:tc>
          <w:tcPr>
            <w:tcW w:w="20" w:type="dxa"/>
            <w:vAlign w:val="bottom"/>
          </w:tcPr>
          <w:p>
            <w:pPr>
              <w:spacing w:after="0"/>
              <w:rPr>
                <w:sz w:val="12"/>
                <w:szCs w:val="12"/>
                <w:color w:val="auto"/>
              </w:rPr>
            </w:pPr>
          </w:p>
        </w:tc>
        <w:tc>
          <w:tcPr>
            <w:tcW w:w="8540" w:type="dxa"/>
            <w:vAlign w:val="bottom"/>
          </w:tcPr>
          <w:p>
            <w:pPr>
              <w:spacing w:after="0"/>
              <w:rPr>
                <w:sz w:val="12"/>
                <w:szCs w:val="12"/>
                <w:color w:val="auto"/>
              </w:rPr>
            </w:pPr>
          </w:p>
        </w:tc>
        <w:tc>
          <w:tcPr>
            <w:tcW w:w="520" w:type="dxa"/>
            <w:vAlign w:val="bottom"/>
            <w:tcBorders>
              <w:top w:val="single" w:sz="8" w:color="auto"/>
              <w:bottom w:val="single" w:sz="8" w:color="auto"/>
            </w:tcBorders>
          </w:tcPr>
          <w:p>
            <w:pPr>
              <w:ind w:left="100"/>
              <w:spacing w:after="0" w:line="142" w:lineRule="exact"/>
              <w:rPr>
                <w:sz w:val="20"/>
                <w:szCs w:val="20"/>
                <w:color w:val="auto"/>
              </w:rPr>
            </w:pPr>
            <w:r>
              <w:rPr>
                <w:rFonts w:ascii="Arial" w:cs="Arial" w:eastAsia="Arial" w:hAnsi="Arial"/>
                <w:sz w:val="14"/>
                <w:szCs w:val="14"/>
                <w:b w:val="1"/>
                <w:bCs w:val="1"/>
                <w:color w:val="auto"/>
              </w:rPr>
              <w:t>Units</w:t>
            </w:r>
          </w:p>
        </w:tc>
        <w:tc>
          <w:tcPr>
            <w:tcW w:w="12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20" w:type="dxa"/>
            <w:vAlign w:val="bottom"/>
            <w:tcBorders>
              <w:top w:val="single" w:sz="8" w:color="auto"/>
              <w:bottom w:val="single" w:sz="8" w:color="auto"/>
            </w:tcBorders>
          </w:tcPr>
          <w:p>
            <w:pPr>
              <w:jc w:val="right"/>
              <w:ind w:right="40"/>
              <w:spacing w:after="0" w:line="142" w:lineRule="exact"/>
              <w:rPr>
                <w:sz w:val="20"/>
                <w:szCs w:val="20"/>
                <w:color w:val="auto"/>
              </w:rPr>
            </w:pPr>
            <w:r>
              <w:rPr>
                <w:rFonts w:ascii="Arial" w:cs="Arial" w:eastAsia="Arial" w:hAnsi="Arial"/>
                <w:sz w:val="14"/>
                <w:szCs w:val="14"/>
                <w:b w:val="1"/>
                <w:bCs w:val="1"/>
                <w:color w:val="auto"/>
                <w:w w:val="90"/>
              </w:rPr>
              <w:t>Amount</w:t>
            </w:r>
          </w:p>
        </w:tc>
        <w:tc>
          <w:tcPr>
            <w:tcW w:w="100" w:type="dxa"/>
            <w:vAlign w:val="bottom"/>
          </w:tcPr>
          <w:p>
            <w:pPr>
              <w:spacing w:after="0"/>
              <w:rPr>
                <w:sz w:val="12"/>
                <w:szCs w:val="12"/>
                <w:color w:val="auto"/>
              </w:rPr>
            </w:pPr>
          </w:p>
        </w:tc>
        <w:tc>
          <w:tcPr>
            <w:tcW w:w="540" w:type="dxa"/>
            <w:vAlign w:val="bottom"/>
            <w:tcBorders>
              <w:top w:val="single" w:sz="8" w:color="auto"/>
              <w:bottom w:val="single" w:sz="8" w:color="auto"/>
            </w:tcBorders>
          </w:tcPr>
          <w:p>
            <w:pPr>
              <w:jc w:val="right"/>
              <w:ind w:right="40"/>
              <w:spacing w:after="0" w:line="142" w:lineRule="exact"/>
              <w:rPr>
                <w:sz w:val="20"/>
                <w:szCs w:val="20"/>
                <w:color w:val="auto"/>
              </w:rPr>
            </w:pPr>
            <w:r>
              <w:rPr>
                <w:rFonts w:ascii="Arial" w:cs="Arial" w:eastAsia="Arial" w:hAnsi="Arial"/>
                <w:sz w:val="14"/>
                <w:szCs w:val="14"/>
                <w:b w:val="1"/>
                <w:bCs w:val="1"/>
                <w:color w:val="auto"/>
              </w:rPr>
              <w:t>Units</w:t>
            </w:r>
          </w:p>
        </w:tc>
        <w:tc>
          <w:tcPr>
            <w:tcW w:w="60" w:type="dxa"/>
            <w:vAlign w:val="bottom"/>
            <w:tcBorders>
              <w:top w:val="single" w:sz="8" w:color="auto"/>
            </w:tcBorders>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57"/>
              <w:spacing w:after="0" w:line="142" w:lineRule="exact"/>
              <w:rPr>
                <w:sz w:val="20"/>
                <w:szCs w:val="20"/>
                <w:color w:val="auto"/>
              </w:rPr>
            </w:pPr>
            <w:r>
              <w:rPr>
                <w:rFonts w:ascii="Arial" w:cs="Arial" w:eastAsia="Arial" w:hAnsi="Arial"/>
                <w:sz w:val="14"/>
                <w:szCs w:val="14"/>
                <w:b w:val="1"/>
                <w:bCs w:val="1"/>
                <w:color w:val="auto"/>
                <w:w w:val="90"/>
              </w:rPr>
              <w:t>Amount</w:t>
            </w:r>
          </w:p>
        </w:tc>
        <w:tc>
          <w:tcPr>
            <w:tcW w:w="20" w:type="dxa"/>
            <w:vAlign w:val="bottom"/>
          </w:tcPr>
          <w:p>
            <w:pPr>
              <w:spacing w:after="0"/>
              <w:rPr>
                <w:sz w:val="12"/>
                <w:szCs w:val="12"/>
                <w:color w:val="auto"/>
              </w:rPr>
            </w:pPr>
          </w:p>
        </w:tc>
      </w:tr>
      <w:tr>
        <w:trPr>
          <w:trHeight w:val="210"/>
        </w:trPr>
        <w:tc>
          <w:tcPr>
            <w:tcW w:w="20" w:type="dxa"/>
            <w:vAlign w:val="bottom"/>
          </w:tcPr>
          <w:p>
            <w:pPr>
              <w:spacing w:after="0"/>
              <w:rPr>
                <w:sz w:val="18"/>
                <w:szCs w:val="18"/>
                <w:color w:val="auto"/>
              </w:rPr>
            </w:pPr>
          </w:p>
        </w:tc>
        <w:tc>
          <w:tcPr>
            <w:tcW w:w="8540" w:type="dxa"/>
            <w:vAlign w:val="bottom"/>
            <w:shd w:val="clear" w:color="auto" w:fill="CCEEFF"/>
          </w:tcPr>
          <w:p>
            <w:pPr>
              <w:spacing w:after="0"/>
              <w:rPr>
                <w:sz w:val="20"/>
                <w:szCs w:val="20"/>
                <w:color w:val="auto"/>
              </w:rPr>
            </w:pPr>
            <w:r>
              <w:rPr>
                <w:rFonts w:ascii="Arial" w:cs="Arial" w:eastAsia="Arial" w:hAnsi="Arial"/>
                <w:sz w:val="18"/>
                <w:szCs w:val="18"/>
                <w:color w:val="auto"/>
              </w:rPr>
              <w:t>Beginning of period</w:t>
            </w: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0"/>
              </w:rPr>
              <w:t>93,997</w:t>
            </w:r>
          </w:p>
        </w:tc>
        <w:tc>
          <w:tcPr>
            <w:tcW w:w="1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106,462</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93,997</w:t>
            </w:r>
          </w:p>
        </w:tc>
        <w:tc>
          <w:tcPr>
            <w:tcW w:w="6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96,534</w:t>
            </w:r>
          </w:p>
        </w:tc>
        <w:tc>
          <w:tcPr>
            <w:tcW w:w="20" w:type="dxa"/>
            <w:vAlign w:val="bottom"/>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8540" w:type="dxa"/>
            <w:vAlign w:val="bottom"/>
          </w:tcPr>
          <w:p>
            <w:pPr>
              <w:spacing w:after="0"/>
              <w:rPr>
                <w:sz w:val="20"/>
                <w:szCs w:val="20"/>
                <w:color w:val="auto"/>
              </w:rPr>
            </w:pPr>
            <w:r>
              <w:rPr>
                <w:rFonts w:ascii="Arial" w:cs="Arial" w:eastAsia="Arial" w:hAnsi="Arial"/>
                <w:sz w:val="18"/>
                <w:szCs w:val="18"/>
                <w:color w:val="auto"/>
              </w:rPr>
              <w:t>Accrual of preferred dividends</w:t>
            </w:r>
          </w:p>
        </w:tc>
        <w:tc>
          <w:tcPr>
            <w:tcW w:w="520" w:type="dxa"/>
            <w:vAlign w:val="bottom"/>
            <w:tcBorders>
              <w:bottom w:val="single" w:sz="8" w:color="auto"/>
            </w:tcBorders>
          </w:tcPr>
          <w:p>
            <w:pPr>
              <w:ind w:left="2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5,339</w:t>
            </w:r>
          </w:p>
        </w:tc>
        <w:tc>
          <w:tcPr>
            <w:tcW w:w="100" w:type="dxa"/>
            <w:vAlign w:val="bottom"/>
          </w:tcPr>
          <w:p>
            <w:pPr>
              <w:spacing w:after="0"/>
              <w:rPr>
                <w:sz w:val="19"/>
                <w:szCs w:val="19"/>
                <w:color w:val="auto"/>
              </w:rPr>
            </w:pPr>
          </w:p>
        </w:tc>
        <w:tc>
          <w:tcPr>
            <w:tcW w:w="540" w:type="dxa"/>
            <w:vAlign w:val="bottom"/>
            <w:tcBorders>
              <w:bottom w:val="single" w:sz="8" w:color="auto"/>
            </w:tcBorders>
          </w:tcPr>
          <w:p>
            <w:pPr>
              <w:jc w:val="right"/>
              <w:ind w:right="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4,873</w:t>
            </w:r>
          </w:p>
        </w:tc>
        <w:tc>
          <w:tcPr>
            <w:tcW w:w="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8540" w:type="dxa"/>
            <w:vAlign w:val="bottom"/>
            <w:shd w:val="clear" w:color="auto" w:fill="CCEEFF"/>
          </w:tcPr>
          <w:p>
            <w:pPr>
              <w:spacing w:after="0"/>
              <w:rPr>
                <w:sz w:val="20"/>
                <w:szCs w:val="20"/>
                <w:color w:val="auto"/>
              </w:rPr>
            </w:pPr>
            <w:r>
              <w:rPr>
                <w:rFonts w:ascii="Arial" w:cs="Arial" w:eastAsia="Arial" w:hAnsi="Arial"/>
                <w:sz w:val="18"/>
                <w:szCs w:val="18"/>
                <w:color w:val="auto"/>
              </w:rPr>
              <w:t>End of period</w:t>
            </w: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0"/>
              </w:rPr>
              <w:t>93,997</w:t>
            </w:r>
          </w:p>
        </w:tc>
        <w:tc>
          <w:tcPr>
            <w:tcW w:w="1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2"/>
              </w:rPr>
              <w:t>111,801</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93,997</w:t>
            </w:r>
          </w:p>
        </w:tc>
        <w:tc>
          <w:tcPr>
            <w:tcW w:w="6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101,407</w:t>
            </w:r>
          </w:p>
        </w:tc>
        <w:tc>
          <w:tcPr>
            <w:tcW w:w="2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854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167" w:lineRule="exact"/>
        <w:rPr>
          <w:sz w:val="20"/>
          <w:szCs w:val="20"/>
          <w:color w:val="auto"/>
        </w:rPr>
      </w:pPr>
    </w:p>
    <w:p>
      <w:pPr>
        <w:ind w:right="200" w:firstLine="456"/>
        <w:spacing w:after="0" w:line="306" w:lineRule="auto"/>
        <w:rPr>
          <w:sz w:val="20"/>
          <w:szCs w:val="20"/>
          <w:color w:val="auto"/>
        </w:rPr>
      </w:pPr>
      <w:r>
        <w:rPr>
          <w:rFonts w:ascii="Arial" w:cs="Arial" w:eastAsia="Arial" w:hAnsi="Arial"/>
          <w:sz w:val="16"/>
          <w:szCs w:val="16"/>
          <w:color w:val="auto"/>
        </w:rPr>
        <w:t>The Series B were issued to the original purchasers of the Company in 2004. Holders of Series B receive dividends which are cumulative, whether or not earned or declared by the board of directors. The cumulative cash dividends accrue at the rate of 10% per unit per annum on the Series B original issue price, compounded semi-annually. Such dividends are payable in semi-annual installments in arrears commencing March 15, 2005.</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Earnings per Unit</w:t>
      </w:r>
    </w:p>
    <w:p>
      <w:pPr>
        <w:spacing w:after="0" w:line="96" w:lineRule="exact"/>
        <w:rPr>
          <w:sz w:val="20"/>
          <w:szCs w:val="20"/>
          <w:color w:val="auto"/>
        </w:rPr>
      </w:pPr>
    </w:p>
    <w:p>
      <w:pPr>
        <w:ind w:right="280" w:firstLine="456"/>
        <w:spacing w:after="0" w:line="268" w:lineRule="auto"/>
        <w:rPr>
          <w:sz w:val="20"/>
          <w:szCs w:val="20"/>
          <w:color w:val="auto"/>
        </w:rPr>
      </w:pPr>
      <w:r>
        <w:rPr>
          <w:rFonts w:ascii="Arial" w:cs="Arial" w:eastAsia="Arial" w:hAnsi="Arial"/>
          <w:sz w:val="18"/>
          <w:szCs w:val="18"/>
          <w:color w:val="auto"/>
        </w:rPr>
        <w:t>The following table illustrates the computation of basic and diluted loss per common unit for the three-month and six-month periods ended July 2, 2006 and July 3, 2005:</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80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0" w:type="dxa"/>
            <w:vAlign w:val="bottom"/>
            <w:gridSpan w:val="6"/>
          </w:tcPr>
          <w:p>
            <w:pPr>
              <w:jc w:val="right"/>
              <w:ind w:right="780"/>
              <w:spacing w:after="0"/>
              <w:rPr>
                <w:sz w:val="20"/>
                <w:szCs w:val="20"/>
                <w:color w:val="auto"/>
              </w:rPr>
            </w:pPr>
            <w:r>
              <w:rPr>
                <w:rFonts w:ascii="Arial" w:cs="Arial" w:eastAsia="Arial" w:hAnsi="Arial"/>
                <w:sz w:val="14"/>
                <w:szCs w:val="14"/>
                <w:b w:val="1"/>
                <w:bCs w:val="1"/>
                <w:color w:val="auto"/>
              </w:rPr>
              <w:t>Three months ended</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0" w:type="dxa"/>
            <w:vAlign w:val="bottom"/>
            <w:gridSpan w:val="6"/>
          </w:tcPr>
          <w:p>
            <w:pPr>
              <w:jc w:val="right"/>
              <w:ind w:right="68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80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ind w:left="20"/>
              <w:spacing w:after="0" w:line="142" w:lineRule="exact"/>
              <w:rPr>
                <w:sz w:val="20"/>
                <w:szCs w:val="20"/>
                <w:color w:val="auto"/>
              </w:rPr>
            </w:pPr>
            <w:r>
              <w:rPr>
                <w:rFonts w:ascii="Arial" w:cs="Arial" w:eastAsia="Arial" w:hAnsi="Arial"/>
                <w:sz w:val="14"/>
                <w:szCs w:val="14"/>
                <w:b w:val="1"/>
                <w:bCs w:val="1"/>
                <w:color w:val="auto"/>
                <w:w w:val="96"/>
              </w:rPr>
              <w:t>July 2, 2006</w:t>
            </w:r>
          </w:p>
        </w:tc>
        <w:tc>
          <w:tcPr>
            <w:tcW w:w="26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jc w:val="right"/>
              <w:ind w:right="16"/>
              <w:spacing w:after="0" w:line="142" w:lineRule="exact"/>
              <w:rPr>
                <w:sz w:val="20"/>
                <w:szCs w:val="20"/>
                <w:color w:val="auto"/>
              </w:rPr>
            </w:pPr>
            <w:r>
              <w:rPr>
                <w:rFonts w:ascii="Arial" w:cs="Arial" w:eastAsia="Arial" w:hAnsi="Arial"/>
                <w:sz w:val="14"/>
                <w:szCs w:val="14"/>
                <w:b w:val="1"/>
                <w:bCs w:val="1"/>
                <w:color w:val="auto"/>
                <w:w w:val="86"/>
              </w:rPr>
              <w:t>July 3, 2005</w:t>
            </w:r>
          </w:p>
        </w:tc>
        <w:tc>
          <w:tcPr>
            <w:tcW w:w="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jc w:val="right"/>
              <w:ind w:right="18"/>
              <w:spacing w:after="0" w:line="142" w:lineRule="exact"/>
              <w:rPr>
                <w:sz w:val="20"/>
                <w:szCs w:val="20"/>
                <w:color w:val="auto"/>
              </w:rPr>
            </w:pPr>
            <w:r>
              <w:rPr>
                <w:rFonts w:ascii="Arial" w:cs="Arial" w:eastAsia="Arial" w:hAnsi="Arial"/>
                <w:sz w:val="14"/>
                <w:szCs w:val="14"/>
                <w:b w:val="1"/>
                <w:bCs w:val="1"/>
                <w:color w:val="auto"/>
                <w:w w:val="86"/>
              </w:rPr>
              <w:t>July 2, 2006</w:t>
            </w:r>
          </w:p>
        </w:tc>
        <w:tc>
          <w:tcPr>
            <w:tcW w:w="24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jc w:val="right"/>
              <w:ind w:right="16"/>
              <w:spacing w:after="0" w:line="142" w:lineRule="exact"/>
              <w:rPr>
                <w:sz w:val="20"/>
                <w:szCs w:val="20"/>
                <w:color w:val="auto"/>
              </w:rPr>
            </w:pPr>
            <w:r>
              <w:rPr>
                <w:rFonts w:ascii="Arial" w:cs="Arial" w:eastAsia="Arial" w:hAnsi="Arial"/>
                <w:sz w:val="14"/>
                <w:szCs w:val="14"/>
                <w:b w:val="1"/>
                <w:bCs w:val="1"/>
                <w:color w:val="auto"/>
                <w:w w:val="86"/>
              </w:rPr>
              <w:t>July 3, 2005</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1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(132,063)</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(33,484)</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(135,954)</w:t>
            </w:r>
          </w:p>
        </w:tc>
        <w:tc>
          <w:tcPr>
            <w:tcW w:w="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(64,762)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tcPr>
          <w:p>
            <w:pPr>
              <w:spacing w:after="0"/>
              <w:rPr>
                <w:sz w:val="20"/>
                <w:szCs w:val="20"/>
                <w:color w:val="auto"/>
              </w:rPr>
            </w:pPr>
            <w:r>
              <w:rPr>
                <w:rFonts w:ascii="Arial" w:cs="Arial" w:eastAsia="Arial" w:hAnsi="Arial"/>
                <w:sz w:val="18"/>
                <w:szCs w:val="18"/>
                <w:color w:val="auto"/>
              </w:rPr>
              <w:t>Dividends to preferred unitholders</w:t>
            </w:r>
          </w:p>
        </w:tc>
        <w:tc>
          <w:tcPr>
            <w:tcW w:w="1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gridSpan w:val="2"/>
          </w:tcPr>
          <w:p>
            <w:pPr>
              <w:jc w:val="right"/>
              <w:ind w:right="260"/>
              <w:spacing w:after="0"/>
              <w:rPr>
                <w:sz w:val="20"/>
                <w:szCs w:val="20"/>
                <w:color w:val="auto"/>
              </w:rPr>
            </w:pPr>
            <w:r>
              <w:rPr>
                <w:rFonts w:ascii="Arial" w:cs="Arial" w:eastAsia="Arial" w:hAnsi="Arial"/>
                <w:sz w:val="18"/>
                <w:szCs w:val="18"/>
                <w:color w:val="auto"/>
              </w:rPr>
              <w:t>2,706</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260"/>
              <w:spacing w:after="0"/>
              <w:rPr>
                <w:sz w:val="20"/>
                <w:szCs w:val="20"/>
                <w:color w:val="auto"/>
              </w:rPr>
            </w:pPr>
            <w:r>
              <w:rPr>
                <w:rFonts w:ascii="Arial" w:cs="Arial" w:eastAsia="Arial" w:hAnsi="Arial"/>
                <w:sz w:val="18"/>
                <w:szCs w:val="18"/>
                <w:color w:val="auto"/>
              </w:rPr>
              <w:t>2,478</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5,339</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4,873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800" w:type="dxa"/>
            <w:vAlign w:val="bottom"/>
          </w:tcPr>
          <w:p>
            <w:pPr>
              <w:spacing w:after="0"/>
              <w:rPr>
                <w:sz w:val="2"/>
                <w:szCs w:val="2"/>
                <w:color w:val="auto"/>
              </w:rPr>
            </w:pPr>
          </w:p>
        </w:tc>
        <w:tc>
          <w:tcPr>
            <w:tcW w:w="16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Net loss attributable to common units</w:t>
            </w:r>
          </w:p>
        </w:tc>
        <w:tc>
          <w:tcPr>
            <w:tcW w:w="1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(134,769)</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(35,962)</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(141,293)</w:t>
            </w:r>
          </w:p>
        </w:tc>
        <w:tc>
          <w:tcPr>
            <w:tcW w:w="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(69,635)</w:t>
            </w:r>
          </w:p>
        </w:tc>
        <w:tc>
          <w:tcPr>
            <w:tcW w:w="0" w:type="dxa"/>
            <w:vAlign w:val="bottom"/>
          </w:tcPr>
          <w:p>
            <w:pPr>
              <w:spacing w:after="0"/>
              <w:rPr>
                <w:sz w:val="1"/>
                <w:szCs w:val="1"/>
                <w:color w:val="auto"/>
              </w:rPr>
            </w:pPr>
          </w:p>
        </w:tc>
      </w:tr>
      <w:tr>
        <w:trPr>
          <w:trHeight w:val="20"/>
        </w:trPr>
        <w:tc>
          <w:tcPr>
            <w:tcW w:w="4820" w:type="dxa"/>
            <w:vAlign w:val="bottom"/>
            <w:gridSpan w:val="2"/>
            <w:vMerge w:val="restart"/>
          </w:tcPr>
          <w:p>
            <w:pPr>
              <w:spacing w:after="0"/>
              <w:rPr>
                <w:sz w:val="20"/>
                <w:szCs w:val="20"/>
                <w:color w:val="auto"/>
              </w:rPr>
            </w:pPr>
            <w:r>
              <w:rPr>
                <w:rFonts w:ascii="Arial" w:cs="Arial" w:eastAsia="Arial" w:hAnsi="Arial"/>
                <w:sz w:val="18"/>
                <w:szCs w:val="18"/>
                <w:color w:val="auto"/>
              </w:rPr>
              <w:t>Weighted-average common units outstanding</w:t>
            </w:r>
          </w:p>
        </w:tc>
        <w:tc>
          <w:tcPr>
            <w:tcW w:w="16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820" w:type="dxa"/>
            <w:vAlign w:val="bottom"/>
            <w:gridSpan w:val="2"/>
            <w:vMerge w:val="continue"/>
          </w:tcPr>
          <w:p>
            <w:pPr>
              <w:spacing w:after="0"/>
              <w:rPr>
                <w:sz w:val="18"/>
                <w:szCs w:val="18"/>
                <w:color w:val="auto"/>
              </w:rPr>
            </w:pPr>
          </w:p>
        </w:tc>
        <w:tc>
          <w:tcPr>
            <w:tcW w:w="1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gridSpan w:val="2"/>
          </w:tcPr>
          <w:p>
            <w:pPr>
              <w:jc w:val="right"/>
              <w:ind w:right="260"/>
              <w:spacing w:after="0"/>
              <w:rPr>
                <w:sz w:val="20"/>
                <w:szCs w:val="20"/>
                <w:color w:val="auto"/>
              </w:rPr>
            </w:pPr>
            <w:r>
              <w:rPr>
                <w:rFonts w:ascii="Arial" w:cs="Arial" w:eastAsia="Arial" w:hAnsi="Arial"/>
                <w:sz w:val="18"/>
                <w:szCs w:val="18"/>
                <w:color w:val="auto"/>
                <w:w w:val="86"/>
              </w:rPr>
              <w:t>53,098,537</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260"/>
              <w:spacing w:after="0"/>
              <w:rPr>
                <w:sz w:val="20"/>
                <w:szCs w:val="20"/>
                <w:color w:val="auto"/>
              </w:rPr>
            </w:pPr>
            <w:r>
              <w:rPr>
                <w:rFonts w:ascii="Arial" w:cs="Arial" w:eastAsia="Arial" w:hAnsi="Arial"/>
                <w:sz w:val="18"/>
                <w:szCs w:val="18"/>
                <w:color w:val="auto"/>
                <w:w w:val="86"/>
              </w:rPr>
              <w:t>52,981,901</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86"/>
              </w:rPr>
              <w:t>53,101,546</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86"/>
              </w:rPr>
              <w:t>52,755,012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4800" w:type="dxa"/>
            <w:vAlign w:val="bottom"/>
          </w:tcPr>
          <w:p>
            <w:pPr>
              <w:spacing w:after="0"/>
              <w:rPr>
                <w:sz w:val="2"/>
                <w:szCs w:val="2"/>
                <w:color w:val="auto"/>
              </w:rPr>
            </w:pPr>
          </w:p>
        </w:tc>
        <w:tc>
          <w:tcPr>
            <w:tcW w:w="16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Basic and diluted loss per unit</w:t>
            </w:r>
          </w:p>
        </w:tc>
        <w:tc>
          <w:tcPr>
            <w:tcW w:w="1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(2.54)</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(0.68)</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(2.66)</w:t>
            </w:r>
          </w:p>
        </w:tc>
        <w:tc>
          <w:tcPr>
            <w:tcW w:w="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0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420" w:firstLine="456"/>
        <w:spacing w:after="0" w:line="268" w:lineRule="auto"/>
        <w:rPr>
          <w:sz w:val="20"/>
          <w:szCs w:val="20"/>
          <w:color w:val="auto"/>
        </w:rPr>
      </w:pPr>
      <w:r>
        <w:rPr>
          <w:rFonts w:ascii="Arial" w:cs="Arial" w:eastAsia="Arial" w:hAnsi="Arial"/>
          <w:sz w:val="18"/>
          <w:szCs w:val="18"/>
          <w:color w:val="auto"/>
        </w:rPr>
        <w:t>The following outstanding redeemable convertible preferred units issued, options granted and warrants issued were excluded from the computation of diluted loss per unit as they would have an anti-dilutive effect on the calculation:</w:t>
      </w:r>
    </w:p>
    <w:p>
      <w:pPr>
        <w:spacing w:after="0" w:line="168"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8600" w:type="dxa"/>
            <w:vAlign w:val="bottom"/>
          </w:tcPr>
          <w:p>
            <w:pPr>
              <w:spacing w:after="0"/>
              <w:rPr>
                <w:sz w:val="14"/>
                <w:szCs w:val="14"/>
                <w:color w:val="auto"/>
              </w:rPr>
            </w:pPr>
          </w:p>
        </w:tc>
        <w:tc>
          <w:tcPr>
            <w:tcW w:w="840" w:type="dxa"/>
            <w:vAlign w:val="bottom"/>
            <w:tcBorders>
              <w:bottom w:val="single" w:sz="8" w:color="auto"/>
            </w:tcBorders>
          </w:tcPr>
          <w:p>
            <w:pPr>
              <w:ind w:left="80"/>
              <w:spacing w:after="0"/>
              <w:rPr>
                <w:sz w:val="20"/>
                <w:szCs w:val="20"/>
                <w:color w:val="auto"/>
              </w:rPr>
            </w:pPr>
            <w:r>
              <w:rPr>
                <w:rFonts w:ascii="Arial" w:cs="Arial" w:eastAsia="Arial" w:hAnsi="Arial"/>
                <w:sz w:val="14"/>
                <w:szCs w:val="14"/>
                <w:b w:val="1"/>
                <w:bCs w:val="1"/>
                <w:color w:val="auto"/>
                <w:w w:val="94"/>
              </w:rPr>
              <w:t>July 2, 2006</w:t>
            </w:r>
          </w:p>
        </w:tc>
        <w:tc>
          <w:tcPr>
            <w:tcW w:w="200" w:type="dxa"/>
            <w:vAlign w:val="bottom"/>
          </w:tcPr>
          <w:p>
            <w:pPr>
              <w:spacing w:after="0"/>
              <w:rPr>
                <w:sz w:val="14"/>
                <w:szCs w:val="14"/>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6"/>
              </w:rPr>
              <w:t>July 3, 2005</w:t>
            </w:r>
          </w:p>
        </w:tc>
        <w:tc>
          <w:tcPr>
            <w:tcW w:w="20" w:type="dxa"/>
            <w:vAlign w:val="bottom"/>
          </w:tcPr>
          <w:p>
            <w:pPr>
              <w:spacing w:after="0"/>
              <w:rPr>
                <w:sz w:val="14"/>
                <w:szCs w:val="14"/>
                <w:color w:val="auto"/>
              </w:rPr>
            </w:pPr>
          </w:p>
        </w:tc>
      </w:tr>
      <w:tr>
        <w:trPr>
          <w:trHeight w:val="210"/>
        </w:trPr>
        <w:tc>
          <w:tcPr>
            <w:tcW w:w="8600" w:type="dxa"/>
            <w:vAlign w:val="bottom"/>
            <w:shd w:val="clear" w:color="auto" w:fill="CCEEFF"/>
          </w:tcPr>
          <w:p>
            <w:pPr>
              <w:spacing w:after="0"/>
              <w:rPr>
                <w:sz w:val="20"/>
                <w:szCs w:val="20"/>
                <w:color w:val="auto"/>
              </w:rPr>
            </w:pPr>
            <w:r>
              <w:rPr>
                <w:rFonts w:ascii="Arial" w:cs="Arial" w:eastAsia="Arial" w:hAnsi="Arial"/>
                <w:sz w:val="18"/>
                <w:szCs w:val="18"/>
                <w:color w:val="auto"/>
              </w:rPr>
              <w:t>Redeemable convertible preferred units</w:t>
            </w: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93,997</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93,997</w:t>
            </w:r>
          </w:p>
        </w:tc>
        <w:tc>
          <w:tcPr>
            <w:tcW w:w="20" w:type="dxa"/>
            <w:vAlign w:val="bottom"/>
          </w:tcPr>
          <w:p>
            <w:pPr>
              <w:spacing w:after="0"/>
              <w:rPr>
                <w:sz w:val="18"/>
                <w:szCs w:val="18"/>
                <w:color w:val="auto"/>
              </w:rPr>
            </w:pPr>
          </w:p>
        </w:tc>
      </w:tr>
      <w:tr>
        <w:trPr>
          <w:trHeight w:val="216"/>
        </w:trPr>
        <w:tc>
          <w:tcPr>
            <w:tcW w:w="8600" w:type="dxa"/>
            <w:vAlign w:val="bottom"/>
          </w:tcPr>
          <w:p>
            <w:pPr>
              <w:spacing w:after="0"/>
              <w:rPr>
                <w:sz w:val="20"/>
                <w:szCs w:val="20"/>
                <w:color w:val="auto"/>
              </w:rPr>
            </w:pPr>
            <w:r>
              <w:rPr>
                <w:rFonts w:ascii="Arial" w:cs="Arial" w:eastAsia="Arial" w:hAnsi="Arial"/>
                <w:sz w:val="18"/>
                <w:szCs w:val="18"/>
                <w:color w:val="auto"/>
              </w:rPr>
              <w:t>Options</w:t>
            </w: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5,107,886</w:t>
            </w:r>
          </w:p>
        </w:tc>
        <w:tc>
          <w:tcPr>
            <w:tcW w:w="860" w:type="dxa"/>
            <w:vAlign w:val="bottom"/>
          </w:tcPr>
          <w:p>
            <w:pPr>
              <w:jc w:val="right"/>
              <w:spacing w:after="0"/>
              <w:rPr>
                <w:sz w:val="20"/>
                <w:szCs w:val="20"/>
                <w:color w:val="auto"/>
              </w:rPr>
            </w:pPr>
            <w:r>
              <w:rPr>
                <w:rFonts w:ascii="Arial" w:cs="Arial" w:eastAsia="Arial" w:hAnsi="Arial"/>
                <w:sz w:val="18"/>
                <w:szCs w:val="18"/>
                <w:color w:val="auto"/>
              </w:rPr>
              <w:t>3,589,580</w:t>
            </w:r>
          </w:p>
        </w:tc>
        <w:tc>
          <w:tcPr>
            <w:tcW w:w="20" w:type="dxa"/>
            <w:vAlign w:val="bottom"/>
          </w:tcPr>
          <w:p>
            <w:pPr>
              <w:spacing w:after="0"/>
              <w:rPr>
                <w:sz w:val="18"/>
                <w:szCs w:val="18"/>
                <w:color w:val="auto"/>
              </w:rPr>
            </w:pPr>
          </w:p>
        </w:tc>
      </w:tr>
      <w:tr>
        <w:trPr>
          <w:trHeight w:val="216"/>
        </w:trPr>
        <w:tc>
          <w:tcPr>
            <w:tcW w:w="8600" w:type="dxa"/>
            <w:vAlign w:val="bottom"/>
            <w:shd w:val="clear" w:color="auto" w:fill="CCEEFF"/>
          </w:tcPr>
          <w:p>
            <w:pPr>
              <w:spacing w:after="0"/>
              <w:rPr>
                <w:sz w:val="20"/>
                <w:szCs w:val="20"/>
                <w:color w:val="auto"/>
              </w:rPr>
            </w:pPr>
            <w:r>
              <w:rPr>
                <w:rFonts w:ascii="Arial" w:cs="Arial" w:eastAsia="Arial" w:hAnsi="Arial"/>
                <w:sz w:val="18"/>
                <w:szCs w:val="18"/>
                <w:color w:val="auto"/>
              </w:rPr>
              <w:t>Warrant</w:t>
            </w: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5,079,254</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5,079,254</w:t>
            </w:r>
          </w:p>
        </w:tc>
        <w:tc>
          <w:tcPr>
            <w:tcW w:w="20" w:type="dxa"/>
            <w:vAlign w:val="bottom"/>
          </w:tcPr>
          <w:p>
            <w:pPr>
              <w:spacing w:after="0"/>
              <w:rPr>
                <w:sz w:val="18"/>
                <w:szCs w:val="18"/>
                <w:color w:val="auto"/>
              </w:rPr>
            </w:pPr>
          </w:p>
        </w:tc>
      </w:tr>
    </w:tbl>
    <w:p>
      <w:pPr>
        <w:spacing w:after="0" w:line="154"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In connection with the acquisition of the Company’s business from Hynix Semiconductor Inc. on October 6, 2004, by Citigroup Venture Capital Equity Partners, L.P., or CVC, Francisco Partners L.P., or Francisco Partners, CVC Asia Pacific Limited, or CVC Asia Pacific (the “Original Acquisition”), the Company issued a warrant to Hynix which enables Hynix to purchase 5,079,254 common units of the Company at an exercise price of $1.00 per unit. This warrant has not been exercised and expires on October 6, 2006.</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459" w:right="23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MagnaChip Semiconductor LLC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tabular dollars in thousands, except unit data)</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Equity Incentive Plans</w:t>
      </w:r>
    </w:p>
    <w:p>
      <w:pPr>
        <w:spacing w:after="0" w:line="96"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The Company adopted two equity incentive plans effective October 6, 2004 and March 21, 2005, respectively, which are administered by the Compensation Committee designated by the board of directors. Employees, consultants and non-employee directors are eligible for the grant of options to purchase the Company’s common units or restricted common units subject to terms and conditions determined by the Committee. The term of options in no event exceed ten years from the date of grant. As of July 2, 2006, an aggregate maximum of 7,890,864 common units were authorized and reserved for all future and outstanding grants of options.</w:t>
      </w:r>
    </w:p>
    <w:p>
      <w:pPr>
        <w:spacing w:after="0" w:line="143" w:lineRule="exact"/>
        <w:rPr>
          <w:sz w:val="20"/>
          <w:szCs w:val="20"/>
          <w:color w:val="auto"/>
        </w:rPr>
      </w:pPr>
    </w:p>
    <w:p>
      <w:pPr>
        <w:ind w:right="180" w:firstLine="456"/>
        <w:spacing w:after="0" w:line="256" w:lineRule="auto"/>
        <w:rPr>
          <w:sz w:val="20"/>
          <w:szCs w:val="20"/>
          <w:color w:val="auto"/>
        </w:rPr>
      </w:pPr>
      <w:r>
        <w:rPr>
          <w:rFonts w:ascii="Arial" w:cs="Arial" w:eastAsia="Arial" w:hAnsi="Arial"/>
          <w:sz w:val="18"/>
          <w:szCs w:val="18"/>
          <w:color w:val="auto"/>
        </w:rPr>
        <w:t>Unit options are generally granted with exercise prices of no less than the fair market value of the Company’s common units on the grant date. Generally, options vest and become exercisable in periodic installments, with 25% of the options vesting on the first anniversary of the grant date and 6.25% of options vesting on the last day of each calendar quarter thereafter. In most cases, the requisite service period, or the period during which a grantee is required to provide service in exchange for option grants, coincides with the vesting period.</w:t>
      </w:r>
    </w:p>
    <w:p>
      <w:pPr>
        <w:spacing w:after="0" w:line="143"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Restricted units are issued upon the exercise of certain options to purchase restricted common units. Restricted units issued are subject to restrictions which generally lapse in installments over a four-year period.</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summarizes unit option and restricted unit activities for the six months ended July 2, 2006:</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54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w w:val="85"/>
              </w:rPr>
              <w:t>Weighted average</w:t>
            </w:r>
          </w:p>
        </w:tc>
        <w:tc>
          <w:tcPr>
            <w:tcW w:w="106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w w:val="85"/>
              </w:rPr>
              <w:t>Weighted average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260" w:type="dxa"/>
            <w:vAlign w:val="bottom"/>
          </w:tcPr>
          <w:p>
            <w:pPr>
              <w:spacing w:after="0"/>
              <w:rPr>
                <w:sz w:val="12"/>
                <w:szCs w:val="12"/>
                <w:color w:val="auto"/>
              </w:rPr>
            </w:pPr>
          </w:p>
        </w:tc>
        <w:tc>
          <w:tcPr>
            <w:tcW w:w="1380" w:type="dxa"/>
            <w:vAlign w:val="bottom"/>
            <w:gridSpan w:val="2"/>
          </w:tcPr>
          <w:p>
            <w:pPr>
              <w:ind w:left="140"/>
              <w:spacing w:after="0" w:line="149" w:lineRule="exact"/>
              <w:rPr>
                <w:sz w:val="20"/>
                <w:szCs w:val="20"/>
                <w:color w:val="auto"/>
              </w:rPr>
            </w:pPr>
            <w:r>
              <w:rPr>
                <w:rFonts w:ascii="Arial" w:cs="Arial" w:eastAsia="Arial" w:hAnsi="Arial"/>
                <w:sz w:val="14"/>
                <w:szCs w:val="14"/>
                <w:b w:val="1"/>
                <w:bCs w:val="1"/>
                <w:color w:val="auto"/>
              </w:rPr>
              <w:t>Number of</w:t>
            </w:r>
          </w:p>
        </w:tc>
        <w:tc>
          <w:tcPr>
            <w:tcW w:w="700" w:type="dxa"/>
            <w:vAlign w:val="bottom"/>
          </w:tcPr>
          <w:p>
            <w:pPr>
              <w:jc w:val="right"/>
              <w:spacing w:after="0" w:line="149" w:lineRule="exact"/>
              <w:rPr>
                <w:sz w:val="20"/>
                <w:szCs w:val="20"/>
                <w:color w:val="auto"/>
              </w:rPr>
            </w:pPr>
            <w:r>
              <w:rPr>
                <w:rFonts w:ascii="Arial" w:cs="Arial" w:eastAsia="Arial" w:hAnsi="Arial"/>
                <w:sz w:val="14"/>
                <w:szCs w:val="14"/>
                <w:b w:val="1"/>
                <w:bCs w:val="1"/>
                <w:color w:val="auto"/>
                <w:w w:val="91"/>
              </w:rPr>
              <w:t>Number of</w:t>
            </w:r>
          </w:p>
        </w:tc>
        <w:tc>
          <w:tcPr>
            <w:tcW w:w="480" w:type="dxa"/>
            <w:vAlign w:val="bottom"/>
          </w:tcPr>
          <w:p>
            <w:pPr>
              <w:spacing w:after="0"/>
              <w:rPr>
                <w:sz w:val="12"/>
                <w:szCs w:val="12"/>
                <w:color w:val="auto"/>
              </w:rPr>
            </w:pPr>
          </w:p>
        </w:tc>
        <w:tc>
          <w:tcPr>
            <w:tcW w:w="1540" w:type="dxa"/>
            <w:vAlign w:val="bottom"/>
            <w:gridSpan w:val="2"/>
          </w:tcPr>
          <w:p>
            <w:pPr>
              <w:jc w:val="right"/>
              <w:ind w:right="620"/>
              <w:spacing w:after="0" w:line="149" w:lineRule="exact"/>
              <w:rPr>
                <w:sz w:val="20"/>
                <w:szCs w:val="20"/>
                <w:color w:val="auto"/>
              </w:rPr>
            </w:pPr>
            <w:r>
              <w:rPr>
                <w:rFonts w:ascii="Arial" w:cs="Arial" w:eastAsia="Arial" w:hAnsi="Arial"/>
                <w:sz w:val="14"/>
                <w:szCs w:val="14"/>
                <w:b w:val="1"/>
                <w:bCs w:val="1"/>
                <w:color w:val="auto"/>
                <w:w w:val="96"/>
              </w:rPr>
              <w:t>exercise price</w:t>
            </w:r>
          </w:p>
        </w:tc>
        <w:tc>
          <w:tcPr>
            <w:tcW w:w="1060" w:type="dxa"/>
            <w:vAlign w:val="bottom"/>
            <w:gridSpan w:val="2"/>
          </w:tcPr>
          <w:p>
            <w:pPr>
              <w:jc w:val="right"/>
              <w:ind w:right="240"/>
              <w:spacing w:after="0" w:line="149" w:lineRule="exact"/>
              <w:rPr>
                <w:sz w:val="20"/>
                <w:szCs w:val="20"/>
                <w:color w:val="auto"/>
              </w:rPr>
            </w:pPr>
            <w:r>
              <w:rPr>
                <w:rFonts w:ascii="Arial" w:cs="Arial" w:eastAsia="Arial" w:hAnsi="Arial"/>
                <w:sz w:val="14"/>
                <w:szCs w:val="14"/>
                <w:b w:val="1"/>
                <w:bCs w:val="1"/>
                <w:color w:val="auto"/>
              </w:rPr>
              <w:t>remaining</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6260" w:type="dxa"/>
            <w:vAlign w:val="bottom"/>
          </w:tcPr>
          <w:p>
            <w:pPr>
              <w:spacing w:after="0"/>
              <w:rPr>
                <w:sz w:val="15"/>
                <w:szCs w:val="15"/>
                <w:color w:val="auto"/>
              </w:rPr>
            </w:pPr>
          </w:p>
        </w:tc>
        <w:tc>
          <w:tcPr>
            <w:tcW w:w="138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w w:val="84"/>
              </w:rPr>
              <w:t>restricted units</w:t>
            </w:r>
          </w:p>
        </w:tc>
        <w:tc>
          <w:tcPr>
            <w:tcW w:w="700" w:type="dxa"/>
            <w:vAlign w:val="bottom"/>
          </w:tcPr>
          <w:p>
            <w:pPr>
              <w:jc w:val="right"/>
              <w:ind w:right="55"/>
              <w:spacing w:after="0"/>
              <w:rPr>
                <w:sz w:val="20"/>
                <w:szCs w:val="20"/>
                <w:color w:val="auto"/>
              </w:rPr>
            </w:pPr>
            <w:r>
              <w:rPr>
                <w:rFonts w:ascii="Arial" w:cs="Arial" w:eastAsia="Arial" w:hAnsi="Arial"/>
                <w:sz w:val="14"/>
                <w:szCs w:val="14"/>
                <w:b w:val="1"/>
                <w:bCs w:val="1"/>
                <w:color w:val="auto"/>
              </w:rPr>
              <w:t>options</w:t>
            </w:r>
          </w:p>
        </w:tc>
        <w:tc>
          <w:tcPr>
            <w:tcW w:w="480" w:type="dxa"/>
            <w:vAlign w:val="bottom"/>
          </w:tcPr>
          <w:p>
            <w:pPr>
              <w:spacing w:after="0"/>
              <w:rPr>
                <w:sz w:val="15"/>
                <w:szCs w:val="15"/>
                <w:color w:val="auto"/>
              </w:rPr>
            </w:pPr>
          </w:p>
        </w:tc>
        <w:tc>
          <w:tcPr>
            <w:tcW w:w="1540" w:type="dxa"/>
            <w:vAlign w:val="bottom"/>
            <w:gridSpan w:val="2"/>
          </w:tcPr>
          <w:p>
            <w:pPr>
              <w:jc w:val="right"/>
              <w:ind w:right="620"/>
              <w:spacing w:after="0"/>
              <w:rPr>
                <w:sz w:val="20"/>
                <w:szCs w:val="20"/>
                <w:color w:val="auto"/>
              </w:rPr>
            </w:pPr>
            <w:r>
              <w:rPr>
                <w:rFonts w:ascii="Arial" w:cs="Arial" w:eastAsia="Arial" w:hAnsi="Arial"/>
                <w:sz w:val="14"/>
                <w:szCs w:val="14"/>
                <w:b w:val="1"/>
                <w:bCs w:val="1"/>
                <w:color w:val="auto"/>
              </w:rPr>
              <w:t>(in US dollar)</w:t>
            </w:r>
          </w:p>
        </w:tc>
        <w:tc>
          <w:tcPr>
            <w:tcW w:w="106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w w:val="94"/>
              </w:rPr>
              <w:t>contractual life</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626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626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January 1, 2006</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1,726,062</w:t>
            </w:r>
          </w:p>
        </w:tc>
        <w:tc>
          <w:tcPr>
            <w:tcW w:w="5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3,780,643</w:t>
            </w:r>
          </w:p>
        </w:tc>
        <w:tc>
          <w:tcPr>
            <w:tcW w:w="48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1.6</w:t>
            </w:r>
          </w:p>
        </w:tc>
        <w:tc>
          <w:tcPr>
            <w:tcW w:w="10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tcPr>
          <w:p>
            <w:pPr>
              <w:ind w:left="420"/>
              <w:spacing w:after="0"/>
              <w:rPr>
                <w:sz w:val="20"/>
                <w:szCs w:val="20"/>
                <w:color w:val="auto"/>
              </w:rPr>
            </w:pPr>
            <w:r>
              <w:rPr>
                <w:rFonts w:ascii="Arial" w:cs="Arial" w:eastAsia="Arial" w:hAnsi="Arial"/>
                <w:sz w:val="18"/>
                <w:szCs w:val="18"/>
                <w:color w:val="auto"/>
              </w:rPr>
              <w:t>Granted</w:t>
            </w:r>
          </w:p>
        </w:tc>
        <w:tc>
          <w:tcPr>
            <w:tcW w:w="1380" w:type="dxa"/>
            <w:vAlign w:val="bottom"/>
            <w:gridSpan w:val="2"/>
          </w:tcPr>
          <w:p>
            <w:pPr>
              <w:ind w:left="62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570,500</w:t>
            </w:r>
          </w:p>
        </w:tc>
        <w:tc>
          <w:tcPr>
            <w:tcW w:w="2020" w:type="dxa"/>
            <w:vAlign w:val="bottom"/>
            <w:gridSpan w:val="3"/>
          </w:tcPr>
          <w:p>
            <w:pPr>
              <w:jc w:val="right"/>
              <w:ind w:right="500"/>
              <w:spacing w:after="0"/>
              <w:rPr>
                <w:sz w:val="20"/>
                <w:szCs w:val="20"/>
                <w:color w:val="auto"/>
              </w:rPr>
            </w:pPr>
            <w:r>
              <w:rPr>
                <w:rFonts w:ascii="Arial" w:cs="Arial" w:eastAsia="Arial" w:hAnsi="Arial"/>
                <w:sz w:val="18"/>
                <w:szCs w:val="18"/>
                <w:color w:val="auto"/>
              </w:rPr>
              <w:t>1.4</w:t>
            </w:r>
          </w:p>
        </w:tc>
        <w:tc>
          <w:tcPr>
            <w:tcW w:w="10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Exercised</w:t>
            </w:r>
          </w:p>
        </w:tc>
        <w:tc>
          <w:tcPr>
            <w:tcW w:w="1380" w:type="dxa"/>
            <w:vAlign w:val="bottom"/>
            <w:gridSpan w:val="2"/>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38,875</w:t>
            </w:r>
          </w:p>
        </w:tc>
        <w:tc>
          <w:tcPr>
            <w:tcW w:w="202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color w:val="auto"/>
              </w:rPr>
              <w:t>1.9</w:t>
            </w:r>
          </w:p>
        </w:tc>
        <w:tc>
          <w:tcPr>
            <w:tcW w:w="10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tcPr>
          <w:p>
            <w:pPr>
              <w:ind w:left="420"/>
              <w:spacing w:after="0"/>
              <w:rPr>
                <w:sz w:val="20"/>
                <w:szCs w:val="20"/>
                <w:color w:val="auto"/>
              </w:rPr>
            </w:pPr>
            <w:r>
              <w:rPr>
                <w:rFonts w:ascii="Arial" w:cs="Arial" w:eastAsia="Arial" w:hAnsi="Arial"/>
                <w:sz w:val="18"/>
                <w:szCs w:val="18"/>
                <w:color w:val="auto"/>
              </w:rPr>
              <w:t>Forfeited / Repurchased</w:t>
            </w:r>
          </w:p>
        </w:tc>
        <w:tc>
          <w:tcPr>
            <w:tcW w:w="1380" w:type="dxa"/>
            <w:vAlign w:val="bottom"/>
            <w:gridSpan w:val="2"/>
          </w:tcPr>
          <w:p>
            <w:pPr>
              <w:ind w:left="62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175,688</w:t>
            </w:r>
          </w:p>
        </w:tc>
        <w:tc>
          <w:tcPr>
            <w:tcW w:w="2020" w:type="dxa"/>
            <w:vAlign w:val="bottom"/>
            <w:gridSpan w:val="3"/>
          </w:tcPr>
          <w:p>
            <w:pPr>
              <w:jc w:val="right"/>
              <w:ind w:right="500"/>
              <w:spacing w:after="0"/>
              <w:rPr>
                <w:sz w:val="20"/>
                <w:szCs w:val="20"/>
                <w:color w:val="auto"/>
              </w:rPr>
            </w:pPr>
            <w:r>
              <w:rPr>
                <w:rFonts w:ascii="Arial" w:cs="Arial" w:eastAsia="Arial" w:hAnsi="Arial"/>
                <w:sz w:val="18"/>
                <w:szCs w:val="18"/>
                <w:color w:val="auto"/>
              </w:rPr>
              <w:t>2.1</w:t>
            </w:r>
          </w:p>
        </w:tc>
        <w:tc>
          <w:tcPr>
            <w:tcW w:w="10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Released from restriction</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156,631</w:t>
            </w:r>
          </w:p>
        </w:tc>
        <w:tc>
          <w:tcPr>
            <w:tcW w:w="500" w:type="dxa"/>
            <w:vAlign w:val="bottom"/>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280" w:type="dxa"/>
            <w:vAlign w:val="bottom"/>
            <w:gridSpan w:val="2"/>
          </w:tcPr>
          <w:p>
            <w:pPr>
              <w:spacing w:after="0"/>
              <w:rPr>
                <w:sz w:val="20"/>
                <w:szCs w:val="20"/>
                <w:color w:val="auto"/>
              </w:rPr>
            </w:pPr>
            <w:r>
              <w:rPr>
                <w:rFonts w:ascii="Arial" w:cs="Arial" w:eastAsia="Arial" w:hAnsi="Arial"/>
                <w:sz w:val="18"/>
                <w:szCs w:val="18"/>
                <w:color w:val="auto"/>
              </w:rPr>
              <w:t>Outstanding at April 2, 2006</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1,569,431</w:t>
            </w:r>
          </w:p>
        </w:tc>
        <w:tc>
          <w:tcPr>
            <w:tcW w:w="500" w:type="dxa"/>
            <w:vAlign w:val="bottom"/>
          </w:tcPr>
          <w:p>
            <w:pPr>
              <w:spacing w:after="0"/>
              <w:rPr>
                <w:sz w:val="20"/>
                <w:szCs w:val="20"/>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4"/>
              </w:rPr>
              <w:t>4,136,580</w:t>
            </w:r>
          </w:p>
        </w:tc>
        <w:tc>
          <w:tcPr>
            <w:tcW w:w="2020" w:type="dxa"/>
            <w:vAlign w:val="bottom"/>
            <w:gridSpan w:val="3"/>
          </w:tcPr>
          <w:p>
            <w:pPr>
              <w:jc w:val="right"/>
              <w:ind w:right="500"/>
              <w:spacing w:after="0"/>
              <w:rPr>
                <w:sz w:val="20"/>
                <w:szCs w:val="20"/>
                <w:color w:val="auto"/>
              </w:rPr>
            </w:pPr>
            <w:r>
              <w:rPr>
                <w:rFonts w:ascii="Arial" w:cs="Arial" w:eastAsia="Arial" w:hAnsi="Arial"/>
                <w:sz w:val="18"/>
                <w:szCs w:val="18"/>
                <w:color w:val="auto"/>
              </w:rPr>
              <w:t>1.5</w:t>
            </w:r>
          </w:p>
        </w:tc>
        <w:tc>
          <w:tcPr>
            <w:tcW w:w="10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Granted</w:t>
            </w:r>
          </w:p>
        </w:tc>
        <w:tc>
          <w:tcPr>
            <w:tcW w:w="1380" w:type="dxa"/>
            <w:vAlign w:val="bottom"/>
            <w:gridSpan w:val="2"/>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1,238,000</w:t>
            </w:r>
          </w:p>
        </w:tc>
        <w:tc>
          <w:tcPr>
            <w:tcW w:w="202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color w:val="auto"/>
              </w:rPr>
              <w:t>1.4</w:t>
            </w:r>
          </w:p>
        </w:tc>
        <w:tc>
          <w:tcPr>
            <w:tcW w:w="10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tcPr>
          <w:p>
            <w:pPr>
              <w:ind w:left="420"/>
              <w:spacing w:after="0"/>
              <w:rPr>
                <w:sz w:val="20"/>
                <w:szCs w:val="20"/>
                <w:color w:val="auto"/>
              </w:rPr>
            </w:pPr>
            <w:r>
              <w:rPr>
                <w:rFonts w:ascii="Arial" w:cs="Arial" w:eastAsia="Arial" w:hAnsi="Arial"/>
                <w:sz w:val="18"/>
                <w:szCs w:val="18"/>
                <w:color w:val="auto"/>
              </w:rPr>
              <w:t>Exercised</w:t>
            </w:r>
          </w:p>
        </w:tc>
        <w:tc>
          <w:tcPr>
            <w:tcW w:w="1380" w:type="dxa"/>
            <w:vAlign w:val="bottom"/>
            <w:gridSpan w:val="2"/>
          </w:tcPr>
          <w:p>
            <w:pPr>
              <w:ind w:left="62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2,813</w:t>
            </w:r>
          </w:p>
        </w:tc>
        <w:tc>
          <w:tcPr>
            <w:tcW w:w="2020" w:type="dxa"/>
            <w:vAlign w:val="bottom"/>
            <w:gridSpan w:val="3"/>
          </w:tcPr>
          <w:p>
            <w:pPr>
              <w:jc w:val="right"/>
              <w:ind w:right="500"/>
              <w:spacing w:after="0"/>
              <w:rPr>
                <w:sz w:val="20"/>
                <w:szCs w:val="20"/>
                <w:color w:val="auto"/>
              </w:rPr>
            </w:pPr>
            <w:r>
              <w:rPr>
                <w:rFonts w:ascii="Arial" w:cs="Arial" w:eastAsia="Arial" w:hAnsi="Arial"/>
                <w:sz w:val="18"/>
                <w:szCs w:val="18"/>
                <w:color w:val="auto"/>
              </w:rPr>
              <w:t>2.9</w:t>
            </w:r>
          </w:p>
        </w:tc>
        <w:tc>
          <w:tcPr>
            <w:tcW w:w="10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Forfeited / Repurchased</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409,348</w:t>
            </w:r>
          </w:p>
        </w:tc>
        <w:tc>
          <w:tcPr>
            <w:tcW w:w="5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263,881</w:t>
            </w:r>
          </w:p>
        </w:tc>
        <w:tc>
          <w:tcPr>
            <w:tcW w:w="202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color w:val="auto"/>
              </w:rPr>
              <w:t>1.3</w:t>
            </w:r>
          </w:p>
        </w:tc>
        <w:tc>
          <w:tcPr>
            <w:tcW w:w="10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260" w:type="dxa"/>
            <w:vAlign w:val="bottom"/>
          </w:tcPr>
          <w:p>
            <w:pPr>
              <w:ind w:left="420"/>
              <w:spacing w:after="0"/>
              <w:rPr>
                <w:sz w:val="20"/>
                <w:szCs w:val="20"/>
                <w:color w:val="auto"/>
              </w:rPr>
            </w:pPr>
            <w:r>
              <w:rPr>
                <w:rFonts w:ascii="Arial" w:cs="Arial" w:eastAsia="Arial" w:hAnsi="Arial"/>
                <w:sz w:val="18"/>
                <w:szCs w:val="18"/>
                <w:color w:val="auto"/>
              </w:rPr>
              <w:t>Released from restriction</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361,305</w:t>
            </w:r>
          </w:p>
        </w:tc>
        <w:tc>
          <w:tcPr>
            <w:tcW w:w="500" w:type="dxa"/>
            <w:vAlign w:val="bottom"/>
          </w:tcPr>
          <w:p>
            <w:pPr>
              <w:spacing w:after="0"/>
              <w:rPr>
                <w:sz w:val="19"/>
                <w:szCs w:val="19"/>
                <w:color w:val="auto"/>
              </w:rPr>
            </w:pPr>
          </w:p>
        </w:tc>
        <w:tc>
          <w:tcPr>
            <w:tcW w:w="70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July 2, 2006</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798,778</w:t>
            </w:r>
          </w:p>
        </w:tc>
        <w:tc>
          <w:tcPr>
            <w:tcW w:w="500" w:type="dxa"/>
            <w:vAlign w:val="bottom"/>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5,107,886</w:t>
            </w:r>
          </w:p>
        </w:tc>
        <w:tc>
          <w:tcPr>
            <w:tcW w:w="202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color w:val="auto"/>
              </w:rPr>
              <w:t>1.5</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 years</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280" w:type="dxa"/>
            <w:vAlign w:val="bottom"/>
            <w:gridSpan w:val="2"/>
            <w:vMerge w:val="restart"/>
          </w:tcPr>
          <w:p>
            <w:pPr>
              <w:spacing w:after="0"/>
              <w:rPr>
                <w:sz w:val="20"/>
                <w:szCs w:val="20"/>
                <w:color w:val="auto"/>
              </w:rPr>
            </w:pPr>
            <w:r>
              <w:rPr>
                <w:rFonts w:ascii="Arial" w:cs="Arial" w:eastAsia="Arial" w:hAnsi="Arial"/>
                <w:sz w:val="18"/>
                <w:szCs w:val="18"/>
                <w:color w:val="auto"/>
              </w:rPr>
              <w:t>Exercisable at July 2, 2006</w:t>
            </w:r>
          </w:p>
        </w:tc>
        <w:tc>
          <w:tcPr>
            <w:tcW w:w="880" w:type="dxa"/>
            <w:vAlign w:val="bottom"/>
            <w:tcBorders>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20" w:type="dxa"/>
            <w:vAlign w:val="bottom"/>
            <w:gridSpan w:val="3"/>
            <w:vMerge w:val="restart"/>
          </w:tcPr>
          <w:p>
            <w:pPr>
              <w:jc w:val="right"/>
              <w:ind w:right="500"/>
              <w:spacing w:after="0"/>
              <w:rPr>
                <w:sz w:val="20"/>
                <w:szCs w:val="20"/>
                <w:color w:val="auto"/>
              </w:rPr>
            </w:pPr>
            <w:r>
              <w:rPr>
                <w:rFonts w:ascii="Arial" w:cs="Arial" w:eastAsia="Arial" w:hAnsi="Arial"/>
                <w:sz w:val="18"/>
                <w:szCs w:val="18"/>
                <w:color w:val="auto"/>
              </w:rPr>
              <w:t>1.6</w:t>
            </w:r>
          </w:p>
        </w:tc>
        <w:tc>
          <w:tcPr>
            <w:tcW w:w="1060" w:type="dxa"/>
            <w:vAlign w:val="bottom"/>
            <w:gridSpan w:val="2"/>
            <w:vMerge w:val="restart"/>
          </w:tcPr>
          <w:p>
            <w:pPr>
              <w:jc w:val="right"/>
              <w:ind w:right="20"/>
              <w:spacing w:after="0"/>
              <w:rPr>
                <w:sz w:val="20"/>
                <w:szCs w:val="20"/>
                <w:color w:val="auto"/>
              </w:rPr>
            </w:pPr>
            <w:r>
              <w:rPr>
                <w:rFonts w:ascii="Arial" w:cs="Arial" w:eastAsia="Arial" w:hAnsi="Arial"/>
                <w:sz w:val="18"/>
                <w:szCs w:val="18"/>
                <w:color w:val="auto"/>
              </w:rPr>
              <w:t>8.3 years</w:t>
            </w:r>
          </w:p>
        </w:tc>
        <w:tc>
          <w:tcPr>
            <w:tcW w:w="0" w:type="dxa"/>
            <w:vAlign w:val="bottom"/>
          </w:tcPr>
          <w:p>
            <w:pPr>
              <w:spacing w:after="0" w:line="20" w:lineRule="exact"/>
              <w:rPr>
                <w:sz w:val="1"/>
                <w:szCs w:val="1"/>
                <w:color w:val="auto"/>
              </w:rPr>
            </w:pPr>
          </w:p>
        </w:tc>
      </w:tr>
      <w:tr>
        <w:trPr>
          <w:trHeight w:val="209"/>
        </w:trPr>
        <w:tc>
          <w:tcPr>
            <w:tcW w:w="6280" w:type="dxa"/>
            <w:vAlign w:val="bottom"/>
            <w:gridSpan w:val="2"/>
            <w:vMerge w:val="continue"/>
          </w:tcPr>
          <w:p>
            <w:pPr>
              <w:spacing w:after="0"/>
              <w:rPr>
                <w:sz w:val="18"/>
                <w:szCs w:val="18"/>
                <w:color w:val="auto"/>
              </w:rPr>
            </w:pPr>
          </w:p>
        </w:tc>
        <w:tc>
          <w:tcPr>
            <w:tcW w:w="1380" w:type="dxa"/>
            <w:vAlign w:val="bottom"/>
            <w:gridSpan w:val="2"/>
          </w:tcPr>
          <w:p>
            <w:pPr>
              <w:jc w:val="right"/>
              <w:ind w:right="500"/>
              <w:spacing w:after="0"/>
              <w:rPr>
                <w:sz w:val="20"/>
                <w:szCs w:val="20"/>
                <w:color w:val="auto"/>
              </w:rPr>
            </w:pPr>
            <w:r>
              <w:rPr>
                <w:rFonts w:ascii="Arial" w:cs="Arial" w:eastAsia="Arial" w:hAnsi="Arial"/>
                <w:sz w:val="18"/>
                <w:szCs w:val="18"/>
                <w:color w:val="auto"/>
              </w:rPr>
              <w:t>n/a</w:t>
            </w:r>
          </w:p>
        </w:tc>
        <w:tc>
          <w:tcPr>
            <w:tcW w:w="700" w:type="dxa"/>
            <w:vAlign w:val="bottom"/>
          </w:tcPr>
          <w:p>
            <w:pPr>
              <w:jc w:val="right"/>
              <w:spacing w:after="0"/>
              <w:rPr>
                <w:sz w:val="20"/>
                <w:szCs w:val="20"/>
                <w:color w:val="auto"/>
              </w:rPr>
            </w:pPr>
            <w:r>
              <w:rPr>
                <w:rFonts w:ascii="Arial" w:cs="Arial" w:eastAsia="Arial" w:hAnsi="Arial"/>
                <w:sz w:val="18"/>
                <w:szCs w:val="18"/>
                <w:color w:val="auto"/>
                <w:w w:val="84"/>
              </w:rPr>
              <w:t>1,297,216</w:t>
            </w:r>
          </w:p>
        </w:tc>
        <w:tc>
          <w:tcPr>
            <w:tcW w:w="2020" w:type="dxa"/>
            <w:vAlign w:val="bottom"/>
            <w:gridSpan w:val="3"/>
            <w:vMerge w:val="continue"/>
          </w:tcPr>
          <w:p>
            <w:pPr>
              <w:spacing w:after="0"/>
              <w:rPr>
                <w:sz w:val="18"/>
                <w:szCs w:val="18"/>
                <w:color w:val="auto"/>
              </w:rPr>
            </w:pPr>
          </w:p>
        </w:tc>
        <w:tc>
          <w:tcPr>
            <w:tcW w:w="106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26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 xml:space="preserve">Effective January 1, 2006, the Company adopted SFAS 123(R), </w:t>
      </w:r>
      <w:r>
        <w:rPr>
          <w:rFonts w:ascii="Arial" w:cs="Arial" w:eastAsia="Arial" w:hAnsi="Arial"/>
          <w:sz w:val="18"/>
          <w:szCs w:val="18"/>
          <w:i w:val="1"/>
          <w:iCs w:val="1"/>
          <w:color w:val="auto"/>
        </w:rPr>
        <w:t>Share-Based Payment (revised 2004).</w:t>
      </w:r>
      <w:r>
        <w:rPr>
          <w:rFonts w:ascii="Arial" w:cs="Arial" w:eastAsia="Arial" w:hAnsi="Arial"/>
          <w:sz w:val="18"/>
          <w:szCs w:val="18"/>
          <w:color w:val="auto"/>
        </w:rPr>
        <w:t xml:space="preserve"> As the Company elected to use the modified prospective application method, no restatement was made to the condensed consolidated statements of operations for prior interim periods or fiscal years. Under SFAS 123(R), the Company is required to measure compensation cost for all unit-based awards at fair value on the date of grant and recognize compensation expense over the grantee’s requisite service period. As permitted under SFAS No. 123(R), the Company elected to recognize compensation expense for all options with graded vesting based on the graded attribution method.</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459" w:right="23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MagnaChip Semiconductor LLC and Subsidiaries</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(Unaudited; tabular dollars in thousands, except unit data)</w:t>
      </w:r>
    </w:p>
    <w:p>
      <w:pPr>
        <w:spacing w:after="0" w:line="151" w:lineRule="exact"/>
        <w:rPr>
          <w:sz w:val="20"/>
          <w:szCs w:val="20"/>
          <w:color w:val="auto"/>
        </w:rPr>
      </w:pPr>
    </w:p>
    <w:p>
      <w:pPr>
        <w:ind w:right="100" w:firstLine="456"/>
        <w:spacing w:after="0" w:line="332" w:lineRule="auto"/>
        <w:rPr>
          <w:sz w:val="20"/>
          <w:szCs w:val="20"/>
          <w:color w:val="auto"/>
        </w:rPr>
      </w:pPr>
      <w:r>
        <w:rPr>
          <w:rFonts w:ascii="Arial" w:cs="Arial" w:eastAsia="Arial" w:hAnsi="Arial"/>
          <w:sz w:val="16"/>
          <w:szCs w:val="16"/>
          <w:color w:val="auto"/>
        </w:rPr>
        <w:t>Total compensation expense for the three and six months ended July 2, 2006 were $28 thousand and $102 thousand, respectively. As of July 2, 2006, total unrecognized compensation cost of $548 thousand is expected to be recognized over a weighted average future period of 1.7 years.</w:t>
      </w:r>
    </w:p>
    <w:p>
      <w:pPr>
        <w:spacing w:after="0" w:line="85" w:lineRule="exact"/>
        <w:rPr>
          <w:sz w:val="20"/>
          <w:szCs w:val="20"/>
          <w:color w:val="auto"/>
        </w:rPr>
      </w:pPr>
    </w:p>
    <w:p>
      <w:pPr>
        <w:ind w:left="460"/>
        <w:spacing w:after="0"/>
        <w:rPr>
          <w:sz w:val="20"/>
          <w:szCs w:val="20"/>
          <w:color w:val="auto"/>
        </w:rPr>
      </w:pPr>
      <w:r>
        <w:rPr>
          <w:rFonts w:ascii="Arial" w:cs="Arial" w:eastAsia="Arial" w:hAnsi="Arial"/>
          <w:sz w:val="16"/>
          <w:szCs w:val="16"/>
          <w:color w:val="auto"/>
        </w:rPr>
        <w:t>Prior to the first quarter of 2006, the Company accounted for its unit-based compensation using the intrinsic value method prescribed in APB Opinion</w:t>
      </w:r>
    </w:p>
    <w:p>
      <w:pPr>
        <w:spacing w:after="0" w:line="38" w:lineRule="exact"/>
        <w:rPr>
          <w:sz w:val="20"/>
          <w:szCs w:val="20"/>
          <w:color w:val="auto"/>
        </w:rPr>
      </w:pPr>
    </w:p>
    <w:p>
      <w:pPr>
        <w:spacing w:after="0"/>
        <w:rPr>
          <w:sz w:val="20"/>
          <w:szCs w:val="20"/>
          <w:color w:val="auto"/>
        </w:rPr>
      </w:pPr>
      <w:r>
        <w:rPr>
          <w:rFonts w:ascii="Arial" w:cs="Arial" w:eastAsia="Arial" w:hAnsi="Arial"/>
          <w:sz w:val="15"/>
          <w:szCs w:val="15"/>
          <w:color w:val="auto"/>
        </w:rPr>
        <w:t xml:space="preserve">No. 25, </w:t>
      </w:r>
      <w:r>
        <w:rPr>
          <w:rFonts w:ascii="Arial" w:cs="Arial" w:eastAsia="Arial" w:hAnsi="Arial"/>
          <w:sz w:val="15"/>
          <w:szCs w:val="15"/>
          <w:i w:val="1"/>
          <w:iCs w:val="1"/>
          <w:color w:val="auto"/>
        </w:rPr>
        <w:t>Accounting for Stock Issued to Employees,</w:t>
      </w:r>
      <w:r>
        <w:rPr>
          <w:rFonts w:ascii="Arial" w:cs="Arial" w:eastAsia="Arial" w:hAnsi="Arial"/>
          <w:sz w:val="15"/>
          <w:szCs w:val="15"/>
          <w:color w:val="auto"/>
        </w:rPr>
        <w:t xml:space="preserve"> and provided the required pro forma disclosures of SFAS No. 123, </w:t>
      </w:r>
      <w:r>
        <w:rPr>
          <w:rFonts w:ascii="Arial" w:cs="Arial" w:eastAsia="Arial" w:hAnsi="Arial"/>
          <w:sz w:val="15"/>
          <w:szCs w:val="15"/>
          <w:i w:val="1"/>
          <w:iCs w:val="1"/>
          <w:color w:val="auto"/>
        </w:rPr>
        <w:t>Accounting for Stock-Based Compensation.</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The following presents pro forma net loss and per unit data as if the fair value based method had been applied to account for the unit-based compensation for</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three and six months ended July 3, 2005:</w:t>
      </w:r>
    </w:p>
    <w:p>
      <w:pPr>
        <w:spacing w:after="0" w:line="188"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68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680" w:type="dxa"/>
            <w:vAlign w:val="bottom"/>
            <w:gridSpan w:val="3"/>
          </w:tcPr>
          <w:p>
            <w:pPr>
              <w:spacing w:after="0"/>
              <w:rPr>
                <w:sz w:val="20"/>
                <w:szCs w:val="20"/>
                <w:color w:val="auto"/>
              </w:rPr>
            </w:pPr>
            <w:r>
              <w:rPr>
                <w:rFonts w:ascii="Arial" w:cs="Arial" w:eastAsia="Arial" w:hAnsi="Arial"/>
                <w:sz w:val="14"/>
                <w:szCs w:val="14"/>
                <w:b w:val="1"/>
                <w:bCs w:val="1"/>
                <w:color w:val="auto"/>
              </w:rPr>
              <w:t>Three months ended</w:t>
            </w:r>
          </w:p>
        </w:tc>
        <w:tc>
          <w:tcPr>
            <w:tcW w:w="400" w:type="dxa"/>
            <w:vAlign w:val="bottom"/>
          </w:tcPr>
          <w:p>
            <w:pPr>
              <w:spacing w:after="0"/>
              <w:rPr>
                <w:sz w:val="14"/>
                <w:szCs w:val="14"/>
                <w:color w:val="auto"/>
              </w:rPr>
            </w:pPr>
          </w:p>
        </w:tc>
        <w:tc>
          <w:tcPr>
            <w:tcW w:w="1100" w:type="dxa"/>
            <w:vAlign w:val="bottom"/>
            <w:gridSpan w:val="3"/>
          </w:tcPr>
          <w:p>
            <w:pPr>
              <w:spacing w:after="0"/>
              <w:rPr>
                <w:sz w:val="20"/>
                <w:szCs w:val="20"/>
                <w:color w:val="auto"/>
              </w:rPr>
            </w:pPr>
            <w:r>
              <w:rPr>
                <w:rFonts w:ascii="Arial" w:cs="Arial" w:eastAsia="Arial" w:hAnsi="Arial"/>
                <w:sz w:val="14"/>
                <w:szCs w:val="14"/>
                <w:b w:val="1"/>
                <w:bCs w:val="1"/>
                <w:color w:val="auto"/>
                <w:w w:val="89"/>
              </w:rPr>
              <w:t>Six months ended</w:t>
            </w:r>
          </w:p>
        </w:tc>
        <w:tc>
          <w:tcPr>
            <w:tcW w:w="0" w:type="dxa"/>
            <w:vAlign w:val="bottom"/>
          </w:tcPr>
          <w:p>
            <w:pPr>
              <w:spacing w:after="0"/>
              <w:rPr>
                <w:sz w:val="1"/>
                <w:szCs w:val="1"/>
                <w:color w:val="auto"/>
              </w:rPr>
            </w:pPr>
          </w:p>
        </w:tc>
      </w:tr>
      <w:tr>
        <w:trPr>
          <w:trHeight w:val="175"/>
        </w:trPr>
        <w:tc>
          <w:tcPr>
            <w:tcW w:w="68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176"/>
              <w:spacing w:after="0"/>
              <w:rPr>
                <w:sz w:val="20"/>
                <w:szCs w:val="20"/>
                <w:color w:val="auto"/>
              </w:rPr>
            </w:pPr>
            <w:r>
              <w:rPr>
                <w:rFonts w:ascii="Arial" w:cs="Arial" w:eastAsia="Arial" w:hAnsi="Arial"/>
                <w:sz w:val="14"/>
                <w:szCs w:val="14"/>
                <w:b w:val="1"/>
                <w:bCs w:val="1"/>
                <w:color w:val="auto"/>
                <w:w w:val="94"/>
              </w:rPr>
              <w:t>July 3, 2005</w:t>
            </w:r>
          </w:p>
        </w:tc>
        <w:tc>
          <w:tcPr>
            <w:tcW w:w="4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96"/>
              <w:spacing w:after="0"/>
              <w:rPr>
                <w:sz w:val="20"/>
                <w:szCs w:val="20"/>
                <w:color w:val="auto"/>
              </w:rPr>
            </w:pPr>
            <w:r>
              <w:rPr>
                <w:rFonts w:ascii="Arial" w:cs="Arial" w:eastAsia="Arial" w:hAnsi="Arial"/>
                <w:sz w:val="14"/>
                <w:szCs w:val="14"/>
                <w:b w:val="1"/>
                <w:bCs w:val="1"/>
                <w:color w:val="auto"/>
                <w:w w:val="88"/>
              </w:rPr>
              <w:t>July 3, 2005</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6880" w:type="dxa"/>
            <w:vAlign w:val="bottom"/>
            <w:shd w:val="clear" w:color="auto" w:fill="CCEEFF"/>
          </w:tcPr>
          <w:p>
            <w:pPr>
              <w:spacing w:after="0"/>
              <w:rPr>
                <w:sz w:val="20"/>
                <w:szCs w:val="20"/>
                <w:color w:val="auto"/>
              </w:rPr>
            </w:pPr>
            <w:r>
              <w:rPr>
                <w:rFonts w:ascii="Arial" w:cs="Arial" w:eastAsia="Arial" w:hAnsi="Arial"/>
                <w:sz w:val="18"/>
                <w:szCs w:val="18"/>
                <w:color w:val="auto"/>
              </w:rPr>
              <w:t>As reported net loss</w:t>
            </w:r>
          </w:p>
        </w:tc>
        <w:tc>
          <w:tcPr>
            <w:tcW w:w="62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15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(33,484)</w:t>
            </w:r>
          </w:p>
        </w:tc>
        <w:tc>
          <w:tcPr>
            <w:tcW w:w="54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(64,762)</w:t>
            </w:r>
          </w:p>
        </w:tc>
        <w:tc>
          <w:tcPr>
            <w:tcW w:w="0" w:type="dxa"/>
            <w:vAlign w:val="bottom"/>
          </w:tcPr>
          <w:p>
            <w:pPr>
              <w:spacing w:after="0"/>
              <w:rPr>
                <w:sz w:val="1"/>
                <w:szCs w:val="1"/>
                <w:color w:val="auto"/>
              </w:rPr>
            </w:pPr>
          </w:p>
        </w:tc>
      </w:tr>
      <w:tr>
        <w:trPr>
          <w:trHeight w:val="208"/>
        </w:trPr>
        <w:tc>
          <w:tcPr>
            <w:tcW w:w="6880" w:type="dxa"/>
            <w:vAlign w:val="bottom"/>
          </w:tcPr>
          <w:p>
            <w:pPr>
              <w:spacing w:after="0"/>
              <w:rPr>
                <w:sz w:val="20"/>
                <w:szCs w:val="20"/>
                <w:color w:val="auto"/>
              </w:rPr>
            </w:pPr>
            <w:r>
              <w:rPr>
                <w:rFonts w:ascii="Arial" w:cs="Arial" w:eastAsia="Arial" w:hAnsi="Arial"/>
                <w:sz w:val="18"/>
                <w:szCs w:val="18"/>
                <w:color w:val="auto"/>
                <w:w w:val="96"/>
              </w:rPr>
              <w:t>Add: Amortization of non-cash deferred unit compensation expense determined under the</w:t>
            </w: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6880" w:type="dxa"/>
            <w:vAlign w:val="bottom"/>
          </w:tcPr>
          <w:p>
            <w:pPr>
              <w:ind w:left="220"/>
              <w:spacing w:after="0"/>
              <w:rPr>
                <w:sz w:val="20"/>
                <w:szCs w:val="20"/>
                <w:color w:val="auto"/>
              </w:rPr>
            </w:pPr>
            <w:r>
              <w:rPr>
                <w:rFonts w:ascii="Arial" w:cs="Arial" w:eastAsia="Arial" w:hAnsi="Arial"/>
                <w:sz w:val="18"/>
                <w:szCs w:val="18"/>
                <w:color w:val="auto"/>
              </w:rPr>
              <w:t>intrinsic value method as reported in net loss, net of tax</w:t>
            </w:r>
          </w:p>
        </w:tc>
        <w:tc>
          <w:tcPr>
            <w:tcW w:w="4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00" w:type="dxa"/>
            <w:vAlign w:val="bottom"/>
            <w:gridSpan w:val="2"/>
          </w:tcPr>
          <w:p>
            <w:pPr>
              <w:jc w:val="right"/>
              <w:ind w:right="58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6880" w:type="dxa"/>
            <w:vAlign w:val="bottom"/>
            <w:shd w:val="clear" w:color="auto" w:fill="CCEEFF"/>
          </w:tcPr>
          <w:p>
            <w:pPr>
              <w:spacing w:after="0"/>
              <w:rPr>
                <w:sz w:val="20"/>
                <w:szCs w:val="20"/>
                <w:color w:val="auto"/>
              </w:rPr>
            </w:pPr>
            <w:r>
              <w:rPr>
                <w:rFonts w:ascii="Arial" w:cs="Arial" w:eastAsia="Arial" w:hAnsi="Arial"/>
                <w:sz w:val="18"/>
                <w:szCs w:val="18"/>
                <w:color w:val="auto"/>
                <w:w w:val="93"/>
              </w:rPr>
              <w:t>Deduct: Total unit-based compensation expense determined under the fair value method for</w:t>
            </w:r>
          </w:p>
        </w:tc>
        <w:tc>
          <w:tcPr>
            <w:tcW w:w="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68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all awards, net of tax</w:t>
            </w:r>
          </w:p>
        </w:tc>
        <w:tc>
          <w:tcPr>
            <w:tcW w:w="4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(84)</w:t>
            </w:r>
          </w:p>
        </w:tc>
        <w:tc>
          <w:tcPr>
            <w:tcW w:w="4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(218)</w:t>
            </w:r>
          </w:p>
        </w:tc>
        <w:tc>
          <w:tcPr>
            <w:tcW w:w="0" w:type="dxa"/>
            <w:vAlign w:val="bottom"/>
          </w:tcPr>
          <w:p>
            <w:pPr>
              <w:spacing w:after="0"/>
              <w:rPr>
                <w:sz w:val="1"/>
                <w:szCs w:val="1"/>
                <w:color w:val="auto"/>
              </w:rPr>
            </w:pPr>
          </w:p>
        </w:tc>
      </w:tr>
      <w:tr>
        <w:trPr>
          <w:trHeight w:val="20"/>
        </w:trPr>
        <w:tc>
          <w:tcPr>
            <w:tcW w:w="6880" w:type="dxa"/>
            <w:vAlign w:val="bottom"/>
            <w:vMerge w:val="restart"/>
          </w:tcPr>
          <w:p>
            <w:pPr>
              <w:spacing w:after="0"/>
              <w:rPr>
                <w:sz w:val="20"/>
                <w:szCs w:val="20"/>
                <w:color w:val="auto"/>
              </w:rPr>
            </w:pPr>
            <w:r>
              <w:rPr>
                <w:rFonts w:ascii="Arial" w:cs="Arial" w:eastAsia="Arial" w:hAnsi="Arial"/>
                <w:sz w:val="18"/>
                <w:szCs w:val="18"/>
                <w:color w:val="auto"/>
              </w:rPr>
              <w:t>Pro forma net loss</w:t>
            </w:r>
          </w:p>
        </w:tc>
        <w:tc>
          <w:tcPr>
            <w:tcW w:w="4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6880" w:type="dxa"/>
            <w:vAlign w:val="bottom"/>
            <w:vMerge w:val="continue"/>
          </w:tcPr>
          <w:p>
            <w:pPr>
              <w:spacing w:after="0"/>
              <w:rPr>
                <w:sz w:val="19"/>
                <w:szCs w:val="19"/>
                <w:color w:val="auto"/>
              </w:rPr>
            </w:pPr>
          </w:p>
        </w:tc>
        <w:tc>
          <w:tcPr>
            <w:tcW w:w="440" w:type="dxa"/>
            <w:vAlign w:val="bottom"/>
          </w:tcPr>
          <w:p>
            <w:pPr>
              <w:spacing w:after="0"/>
              <w:rPr>
                <w:sz w:val="19"/>
                <w:szCs w:val="19"/>
                <w:color w:val="auto"/>
              </w:rPr>
            </w:pP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1500" w:type="dxa"/>
            <w:vAlign w:val="bottom"/>
            <w:gridSpan w:val="2"/>
          </w:tcPr>
          <w:p>
            <w:pPr>
              <w:jc w:val="right"/>
              <w:ind w:right="420"/>
              <w:spacing w:after="0"/>
              <w:rPr>
                <w:sz w:val="20"/>
                <w:szCs w:val="20"/>
                <w:color w:val="auto"/>
              </w:rPr>
            </w:pPr>
            <w:r>
              <w:rPr>
                <w:rFonts w:ascii="Arial" w:cs="Arial" w:eastAsia="Arial" w:hAnsi="Arial"/>
                <w:sz w:val="18"/>
                <w:szCs w:val="18"/>
                <w:color w:val="auto"/>
              </w:rPr>
              <w:t>(33,568)</w:t>
            </w:r>
          </w:p>
        </w:tc>
        <w:tc>
          <w:tcPr>
            <w:tcW w:w="54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(64,980)</w:t>
            </w:r>
          </w:p>
        </w:tc>
        <w:tc>
          <w:tcPr>
            <w:tcW w:w="0" w:type="dxa"/>
            <w:vAlign w:val="bottom"/>
          </w:tcPr>
          <w:p>
            <w:pPr>
              <w:spacing w:after="0"/>
              <w:rPr>
                <w:sz w:val="1"/>
                <w:szCs w:val="1"/>
                <w:color w:val="auto"/>
              </w:rPr>
            </w:pPr>
          </w:p>
        </w:tc>
      </w:tr>
      <w:tr>
        <w:trPr>
          <w:trHeight w:val="20"/>
        </w:trPr>
        <w:tc>
          <w:tcPr>
            <w:tcW w:w="68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6880" w:type="dxa"/>
            <w:vAlign w:val="bottom"/>
            <w:shd w:val="clear" w:color="auto" w:fill="CCEEFF"/>
          </w:tcPr>
          <w:p>
            <w:pPr>
              <w:spacing w:after="0"/>
              <w:rPr>
                <w:sz w:val="20"/>
                <w:szCs w:val="20"/>
                <w:color w:val="auto"/>
              </w:rPr>
            </w:pPr>
            <w:r>
              <w:rPr>
                <w:rFonts w:ascii="Arial" w:cs="Arial" w:eastAsia="Arial" w:hAnsi="Arial"/>
                <w:sz w:val="18"/>
                <w:szCs w:val="18"/>
                <w:color w:val="auto"/>
              </w:rPr>
              <w:t>Pro forma loss per unit</w:t>
            </w:r>
          </w:p>
        </w:tc>
        <w:tc>
          <w:tcPr>
            <w:tcW w:w="62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15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(0.68)</w:t>
            </w:r>
          </w:p>
        </w:tc>
        <w:tc>
          <w:tcPr>
            <w:tcW w:w="54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(1.32)</w:t>
            </w:r>
          </w:p>
        </w:tc>
        <w:tc>
          <w:tcPr>
            <w:tcW w:w="0" w:type="dxa"/>
            <w:vAlign w:val="bottom"/>
          </w:tcPr>
          <w:p>
            <w:pPr>
              <w:spacing w:after="0"/>
              <w:rPr>
                <w:sz w:val="1"/>
                <w:szCs w:val="1"/>
                <w:color w:val="auto"/>
              </w:rPr>
            </w:pPr>
          </w:p>
        </w:tc>
      </w:tr>
      <w:tr>
        <w:trPr>
          <w:trHeight w:val="20"/>
        </w:trPr>
        <w:tc>
          <w:tcPr>
            <w:tcW w:w="68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20" w:firstLine="456"/>
        <w:spacing w:after="0" w:line="332" w:lineRule="auto"/>
        <w:rPr>
          <w:sz w:val="20"/>
          <w:szCs w:val="20"/>
          <w:color w:val="auto"/>
        </w:rPr>
      </w:pPr>
      <w:r>
        <w:rPr>
          <w:rFonts w:ascii="Arial" w:cs="Arial" w:eastAsia="Arial" w:hAnsi="Arial"/>
          <w:sz w:val="16"/>
          <w:szCs w:val="16"/>
          <w:color w:val="auto"/>
        </w:rPr>
        <w:t>The Company utilizes the Black-Scholes option-pricing model to measure the fair value of each option grant. The following summarizes the grant-date fair value of options granted during the specified periods and assumptions used in the Black-Scholes option-pricing model on a weighted average basis:</w:t>
      </w:r>
    </w:p>
    <w:p>
      <w:pPr>
        <w:spacing w:after="0" w:line="121"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8420" w:type="dxa"/>
            <w:vAlign w:val="bottom"/>
          </w:tcPr>
          <w:p>
            <w:pPr>
              <w:spacing w:after="0"/>
              <w:rPr>
                <w:sz w:val="14"/>
                <w:szCs w:val="14"/>
                <w:color w:val="auto"/>
              </w:rPr>
            </w:pPr>
          </w:p>
        </w:tc>
        <w:tc>
          <w:tcPr>
            <w:tcW w:w="2080" w:type="dxa"/>
            <w:vAlign w:val="bottom"/>
            <w:gridSpan w:val="4"/>
          </w:tcPr>
          <w:p>
            <w:pPr>
              <w:jc w:val="right"/>
              <w:ind w:right="520"/>
              <w:spacing w:after="0"/>
              <w:rPr>
                <w:sz w:val="20"/>
                <w:szCs w:val="20"/>
                <w:color w:val="auto"/>
              </w:rPr>
            </w:pPr>
            <w:r>
              <w:rPr>
                <w:rFonts w:ascii="Arial" w:cs="Arial" w:eastAsia="Arial" w:hAnsi="Arial"/>
                <w:sz w:val="14"/>
                <w:szCs w:val="14"/>
                <w:b w:val="1"/>
                <w:bCs w:val="1"/>
                <w:color w:val="auto"/>
              </w:rPr>
              <w:t>Three months ended</w:t>
            </w:r>
          </w:p>
        </w:tc>
      </w:tr>
      <w:tr>
        <w:trPr>
          <w:trHeight w:val="142"/>
        </w:trPr>
        <w:tc>
          <w:tcPr>
            <w:tcW w:w="8420" w:type="dxa"/>
            <w:vAlign w:val="bottom"/>
          </w:tcPr>
          <w:p>
            <w:pPr>
              <w:spacing w:after="0"/>
              <w:rPr>
                <w:sz w:val="12"/>
                <w:szCs w:val="12"/>
                <w:color w:val="auto"/>
              </w:rPr>
            </w:pPr>
          </w:p>
        </w:tc>
        <w:tc>
          <w:tcPr>
            <w:tcW w:w="1240" w:type="dxa"/>
            <w:vAlign w:val="bottom"/>
            <w:tcBorders>
              <w:top w:val="single" w:sz="8" w:color="auto"/>
            </w:tcBorders>
            <w:gridSpan w:val="2"/>
          </w:tcPr>
          <w:p>
            <w:pPr>
              <w:jc w:val="right"/>
              <w:ind w:right="560"/>
              <w:spacing w:after="0" w:line="142" w:lineRule="exact"/>
              <w:rPr>
                <w:sz w:val="20"/>
                <w:szCs w:val="20"/>
                <w:color w:val="auto"/>
              </w:rPr>
            </w:pPr>
            <w:r>
              <w:rPr>
                <w:rFonts w:ascii="Arial" w:cs="Arial" w:eastAsia="Arial" w:hAnsi="Arial"/>
                <w:sz w:val="14"/>
                <w:szCs w:val="14"/>
                <w:b w:val="1"/>
                <w:bCs w:val="1"/>
                <w:color w:val="auto"/>
                <w:w w:val="83"/>
              </w:rPr>
              <w:t>July 2, 2006</w:t>
            </w:r>
          </w:p>
        </w:tc>
        <w:tc>
          <w:tcPr>
            <w:tcW w:w="70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6"/>
              </w:rPr>
              <w:t>July 3, 2005</w:t>
            </w:r>
          </w:p>
        </w:tc>
        <w:tc>
          <w:tcPr>
            <w:tcW w:w="140" w:type="dxa"/>
            <w:vAlign w:val="bottom"/>
          </w:tcPr>
          <w:p>
            <w:pPr>
              <w:spacing w:after="0"/>
              <w:rPr>
                <w:sz w:val="12"/>
                <w:szCs w:val="12"/>
                <w:color w:val="auto"/>
              </w:rPr>
            </w:pPr>
          </w:p>
        </w:tc>
      </w:tr>
      <w:tr>
        <w:trPr>
          <w:trHeight w:val="20"/>
        </w:trPr>
        <w:tc>
          <w:tcPr>
            <w:tcW w:w="842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10"/>
        </w:trPr>
        <w:tc>
          <w:tcPr>
            <w:tcW w:w="8420" w:type="dxa"/>
            <w:vAlign w:val="bottom"/>
            <w:shd w:val="clear" w:color="auto" w:fill="CCEEFF"/>
          </w:tcPr>
          <w:p>
            <w:pPr>
              <w:spacing w:after="0"/>
              <w:rPr>
                <w:sz w:val="20"/>
                <w:szCs w:val="20"/>
                <w:color w:val="auto"/>
              </w:rPr>
            </w:pPr>
            <w:r>
              <w:rPr>
                <w:rFonts w:ascii="Arial" w:cs="Arial" w:eastAsia="Arial" w:hAnsi="Arial"/>
                <w:sz w:val="18"/>
                <w:szCs w:val="18"/>
                <w:color w:val="auto"/>
              </w:rPr>
              <w:t>Grant-date fair value of options (in US dollar)</w:t>
            </w:r>
          </w:p>
        </w:tc>
        <w:tc>
          <w:tcPr>
            <w:tcW w:w="124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0.26</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0.25</w:t>
            </w:r>
          </w:p>
        </w:tc>
        <w:tc>
          <w:tcPr>
            <w:tcW w:w="140" w:type="dxa"/>
            <w:vAlign w:val="bottom"/>
            <w:shd w:val="clear" w:color="auto" w:fill="CCEEFF"/>
          </w:tcPr>
          <w:p>
            <w:pPr>
              <w:spacing w:after="0"/>
              <w:rPr>
                <w:sz w:val="18"/>
                <w:szCs w:val="18"/>
                <w:color w:val="auto"/>
              </w:rPr>
            </w:pPr>
          </w:p>
        </w:tc>
      </w:tr>
      <w:tr>
        <w:trPr>
          <w:trHeight w:val="216"/>
        </w:trPr>
        <w:tc>
          <w:tcPr>
            <w:tcW w:w="8420" w:type="dxa"/>
            <w:vAlign w:val="bottom"/>
          </w:tcPr>
          <w:p>
            <w:pPr>
              <w:spacing w:after="0"/>
              <w:rPr>
                <w:sz w:val="20"/>
                <w:szCs w:val="20"/>
                <w:color w:val="auto"/>
              </w:rPr>
            </w:pPr>
            <w:r>
              <w:rPr>
                <w:rFonts w:ascii="Arial" w:cs="Arial" w:eastAsia="Arial" w:hAnsi="Arial"/>
                <w:sz w:val="18"/>
                <w:szCs w:val="18"/>
                <w:color w:val="auto"/>
              </w:rPr>
              <w:t>Expected term</w:t>
            </w:r>
          </w:p>
        </w:tc>
        <w:tc>
          <w:tcPr>
            <w:tcW w:w="1240" w:type="dxa"/>
            <w:vAlign w:val="bottom"/>
            <w:gridSpan w:val="2"/>
          </w:tcPr>
          <w:p>
            <w:pPr>
              <w:jc w:val="right"/>
              <w:ind w:right="560"/>
              <w:spacing w:after="0"/>
              <w:rPr>
                <w:sz w:val="20"/>
                <w:szCs w:val="20"/>
                <w:color w:val="auto"/>
              </w:rPr>
            </w:pPr>
            <w:r>
              <w:rPr>
                <w:rFonts w:ascii="Arial" w:cs="Arial" w:eastAsia="Arial" w:hAnsi="Arial"/>
                <w:sz w:val="18"/>
                <w:szCs w:val="18"/>
                <w:color w:val="auto"/>
                <w:w w:val="85"/>
              </w:rPr>
              <w:t>2.2 Years</w:t>
            </w:r>
          </w:p>
        </w:tc>
        <w:tc>
          <w:tcPr>
            <w:tcW w:w="840" w:type="dxa"/>
            <w:vAlign w:val="bottom"/>
            <w:gridSpan w:val="2"/>
          </w:tcPr>
          <w:p>
            <w:pPr>
              <w:jc w:val="right"/>
              <w:ind w:right="140"/>
              <w:spacing w:after="0"/>
              <w:rPr>
                <w:sz w:val="20"/>
                <w:szCs w:val="20"/>
                <w:color w:val="auto"/>
              </w:rPr>
            </w:pPr>
            <w:r>
              <w:rPr>
                <w:rFonts w:ascii="Arial" w:cs="Arial" w:eastAsia="Arial" w:hAnsi="Arial"/>
                <w:sz w:val="18"/>
                <w:szCs w:val="18"/>
                <w:color w:val="auto"/>
                <w:w w:val="88"/>
              </w:rPr>
              <w:t>2.1 Years</w:t>
            </w:r>
          </w:p>
        </w:tc>
      </w:tr>
      <w:tr>
        <w:trPr>
          <w:trHeight w:val="216"/>
        </w:trPr>
        <w:tc>
          <w:tcPr>
            <w:tcW w:w="8420" w:type="dxa"/>
            <w:vAlign w:val="bottom"/>
            <w:shd w:val="clear" w:color="auto" w:fill="CCEEFF"/>
          </w:tcPr>
          <w:p>
            <w:pPr>
              <w:spacing w:after="0"/>
              <w:rPr>
                <w:sz w:val="20"/>
                <w:szCs w:val="20"/>
                <w:color w:val="auto"/>
              </w:rPr>
            </w:pPr>
            <w:r>
              <w:rPr>
                <w:rFonts w:ascii="Arial" w:cs="Arial" w:eastAsia="Arial" w:hAnsi="Arial"/>
                <w:sz w:val="18"/>
                <w:szCs w:val="18"/>
                <w:color w:val="auto"/>
              </w:rPr>
              <w:t>Risk-free interest rate</w:t>
            </w:r>
          </w:p>
        </w:tc>
        <w:tc>
          <w:tcPr>
            <w:tcW w:w="12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5.0%</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3.6%</w:t>
            </w:r>
          </w:p>
        </w:tc>
      </w:tr>
      <w:tr>
        <w:trPr>
          <w:trHeight w:val="216"/>
        </w:trPr>
        <w:tc>
          <w:tcPr>
            <w:tcW w:w="8420" w:type="dxa"/>
            <w:vAlign w:val="bottom"/>
          </w:tcPr>
          <w:p>
            <w:pPr>
              <w:spacing w:after="0"/>
              <w:rPr>
                <w:sz w:val="20"/>
                <w:szCs w:val="20"/>
                <w:color w:val="auto"/>
              </w:rPr>
            </w:pPr>
            <w:r>
              <w:rPr>
                <w:rFonts w:ascii="Arial" w:cs="Arial" w:eastAsia="Arial" w:hAnsi="Arial"/>
                <w:sz w:val="18"/>
                <w:szCs w:val="18"/>
                <w:color w:val="auto"/>
              </w:rPr>
              <w:t>Expected volatility</w:t>
            </w:r>
          </w:p>
        </w:tc>
        <w:tc>
          <w:tcPr>
            <w:tcW w:w="1240" w:type="dxa"/>
            <w:vAlign w:val="bottom"/>
            <w:gridSpan w:val="2"/>
          </w:tcPr>
          <w:p>
            <w:pPr>
              <w:jc w:val="right"/>
              <w:ind w:right="400"/>
              <w:spacing w:after="0"/>
              <w:rPr>
                <w:sz w:val="20"/>
                <w:szCs w:val="20"/>
                <w:color w:val="auto"/>
              </w:rPr>
            </w:pPr>
            <w:r>
              <w:rPr>
                <w:rFonts w:ascii="Arial" w:cs="Arial" w:eastAsia="Arial" w:hAnsi="Arial"/>
                <w:sz w:val="18"/>
                <w:szCs w:val="18"/>
                <w:color w:val="auto"/>
              </w:rPr>
              <w:t>45.7%</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57.0%</w:t>
            </w:r>
          </w:p>
        </w:tc>
      </w:tr>
      <w:tr>
        <w:trPr>
          <w:trHeight w:val="216"/>
        </w:trPr>
        <w:tc>
          <w:tcPr>
            <w:tcW w:w="8420" w:type="dxa"/>
            <w:vAlign w:val="bottom"/>
            <w:shd w:val="clear" w:color="auto" w:fill="CCEEFF"/>
          </w:tcPr>
          <w:p>
            <w:pPr>
              <w:spacing w:after="0"/>
              <w:rPr>
                <w:sz w:val="20"/>
                <w:szCs w:val="20"/>
                <w:color w:val="auto"/>
              </w:rPr>
            </w:pPr>
            <w:r>
              <w:rPr>
                <w:rFonts w:ascii="Arial" w:cs="Arial" w:eastAsia="Arial" w:hAnsi="Arial"/>
                <w:sz w:val="18"/>
                <w:szCs w:val="18"/>
                <w:color w:val="auto"/>
              </w:rPr>
              <w:t>Expected dividends</w:t>
            </w:r>
          </w:p>
        </w:tc>
        <w:tc>
          <w:tcPr>
            <w:tcW w:w="124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r>
      <w:tr>
        <w:trPr>
          <w:trHeight w:val="351"/>
        </w:trPr>
        <w:tc>
          <w:tcPr>
            <w:tcW w:w="8420" w:type="dxa"/>
            <w:vAlign w:val="bottom"/>
          </w:tcPr>
          <w:p>
            <w:pPr>
              <w:spacing w:after="0"/>
              <w:rPr>
                <w:sz w:val="24"/>
                <w:szCs w:val="24"/>
                <w:color w:val="auto"/>
              </w:rPr>
            </w:pPr>
          </w:p>
        </w:tc>
        <w:tc>
          <w:tcPr>
            <w:tcW w:w="2080" w:type="dxa"/>
            <w:vAlign w:val="bottom"/>
            <w:gridSpan w:val="4"/>
          </w:tcPr>
          <w:p>
            <w:pPr>
              <w:jc w:val="right"/>
              <w:ind w:right="600"/>
              <w:spacing w:after="0"/>
              <w:rPr>
                <w:sz w:val="20"/>
                <w:szCs w:val="20"/>
                <w:color w:val="auto"/>
              </w:rPr>
            </w:pPr>
            <w:r>
              <w:rPr>
                <w:rFonts w:ascii="Arial" w:cs="Arial" w:eastAsia="Arial" w:hAnsi="Arial"/>
                <w:sz w:val="14"/>
                <w:szCs w:val="14"/>
                <w:b w:val="1"/>
                <w:bCs w:val="1"/>
                <w:color w:val="auto"/>
              </w:rPr>
              <w:t>Six months ended</w:t>
            </w:r>
          </w:p>
        </w:tc>
      </w:tr>
      <w:tr>
        <w:trPr>
          <w:trHeight w:val="142"/>
        </w:trPr>
        <w:tc>
          <w:tcPr>
            <w:tcW w:w="8420" w:type="dxa"/>
            <w:vAlign w:val="bottom"/>
          </w:tcPr>
          <w:p>
            <w:pPr>
              <w:spacing w:after="0"/>
              <w:rPr>
                <w:sz w:val="12"/>
                <w:szCs w:val="12"/>
                <w:color w:val="auto"/>
              </w:rPr>
            </w:pPr>
          </w:p>
        </w:tc>
        <w:tc>
          <w:tcPr>
            <w:tcW w:w="1240" w:type="dxa"/>
            <w:vAlign w:val="bottom"/>
            <w:tcBorders>
              <w:top w:val="single" w:sz="8" w:color="auto"/>
            </w:tcBorders>
            <w:gridSpan w:val="2"/>
          </w:tcPr>
          <w:p>
            <w:pPr>
              <w:jc w:val="right"/>
              <w:ind w:right="560"/>
              <w:spacing w:after="0" w:line="142" w:lineRule="exact"/>
              <w:rPr>
                <w:sz w:val="20"/>
                <w:szCs w:val="20"/>
                <w:color w:val="auto"/>
              </w:rPr>
            </w:pPr>
            <w:r>
              <w:rPr>
                <w:rFonts w:ascii="Arial" w:cs="Arial" w:eastAsia="Arial" w:hAnsi="Arial"/>
                <w:sz w:val="14"/>
                <w:szCs w:val="14"/>
                <w:b w:val="1"/>
                <w:bCs w:val="1"/>
                <w:color w:val="auto"/>
                <w:w w:val="83"/>
              </w:rPr>
              <w:t>July 2, 2006</w:t>
            </w:r>
          </w:p>
        </w:tc>
        <w:tc>
          <w:tcPr>
            <w:tcW w:w="70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6"/>
              </w:rPr>
              <w:t>July 3, 2005</w:t>
            </w:r>
          </w:p>
        </w:tc>
        <w:tc>
          <w:tcPr>
            <w:tcW w:w="140" w:type="dxa"/>
            <w:vAlign w:val="bottom"/>
          </w:tcPr>
          <w:p>
            <w:pPr>
              <w:spacing w:after="0"/>
              <w:rPr>
                <w:sz w:val="12"/>
                <w:szCs w:val="12"/>
                <w:color w:val="auto"/>
              </w:rPr>
            </w:pPr>
          </w:p>
        </w:tc>
      </w:tr>
      <w:tr>
        <w:trPr>
          <w:trHeight w:val="20"/>
        </w:trPr>
        <w:tc>
          <w:tcPr>
            <w:tcW w:w="842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10"/>
        </w:trPr>
        <w:tc>
          <w:tcPr>
            <w:tcW w:w="8420" w:type="dxa"/>
            <w:vAlign w:val="bottom"/>
            <w:shd w:val="clear" w:color="auto" w:fill="CCEEFF"/>
          </w:tcPr>
          <w:p>
            <w:pPr>
              <w:spacing w:after="0"/>
              <w:rPr>
                <w:sz w:val="20"/>
                <w:szCs w:val="20"/>
                <w:color w:val="auto"/>
              </w:rPr>
            </w:pPr>
            <w:r>
              <w:rPr>
                <w:rFonts w:ascii="Arial" w:cs="Arial" w:eastAsia="Arial" w:hAnsi="Arial"/>
                <w:sz w:val="18"/>
                <w:szCs w:val="18"/>
                <w:color w:val="auto"/>
              </w:rPr>
              <w:t>Grant-date fair value of options (in US dollar)</w:t>
            </w:r>
          </w:p>
        </w:tc>
        <w:tc>
          <w:tcPr>
            <w:tcW w:w="124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0.25</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0.22</w:t>
            </w:r>
          </w:p>
        </w:tc>
        <w:tc>
          <w:tcPr>
            <w:tcW w:w="140" w:type="dxa"/>
            <w:vAlign w:val="bottom"/>
            <w:shd w:val="clear" w:color="auto" w:fill="CCEEFF"/>
          </w:tcPr>
          <w:p>
            <w:pPr>
              <w:spacing w:after="0"/>
              <w:rPr>
                <w:sz w:val="18"/>
                <w:szCs w:val="18"/>
                <w:color w:val="auto"/>
              </w:rPr>
            </w:pPr>
          </w:p>
        </w:tc>
      </w:tr>
      <w:tr>
        <w:trPr>
          <w:trHeight w:val="216"/>
        </w:trPr>
        <w:tc>
          <w:tcPr>
            <w:tcW w:w="8420" w:type="dxa"/>
            <w:vAlign w:val="bottom"/>
          </w:tcPr>
          <w:p>
            <w:pPr>
              <w:spacing w:after="0"/>
              <w:rPr>
                <w:sz w:val="20"/>
                <w:szCs w:val="20"/>
                <w:color w:val="auto"/>
              </w:rPr>
            </w:pPr>
            <w:r>
              <w:rPr>
                <w:rFonts w:ascii="Arial" w:cs="Arial" w:eastAsia="Arial" w:hAnsi="Arial"/>
                <w:sz w:val="18"/>
                <w:szCs w:val="18"/>
                <w:color w:val="auto"/>
              </w:rPr>
              <w:t>Expected term</w:t>
            </w:r>
          </w:p>
        </w:tc>
        <w:tc>
          <w:tcPr>
            <w:tcW w:w="1240" w:type="dxa"/>
            <w:vAlign w:val="bottom"/>
            <w:gridSpan w:val="2"/>
          </w:tcPr>
          <w:p>
            <w:pPr>
              <w:jc w:val="right"/>
              <w:ind w:right="560"/>
              <w:spacing w:after="0"/>
              <w:rPr>
                <w:sz w:val="20"/>
                <w:szCs w:val="20"/>
                <w:color w:val="auto"/>
              </w:rPr>
            </w:pPr>
            <w:r>
              <w:rPr>
                <w:rFonts w:ascii="Arial" w:cs="Arial" w:eastAsia="Arial" w:hAnsi="Arial"/>
                <w:sz w:val="18"/>
                <w:szCs w:val="18"/>
                <w:color w:val="auto"/>
                <w:w w:val="85"/>
              </w:rPr>
              <w:t>2.3 Years</w:t>
            </w:r>
          </w:p>
        </w:tc>
        <w:tc>
          <w:tcPr>
            <w:tcW w:w="840" w:type="dxa"/>
            <w:vAlign w:val="bottom"/>
            <w:gridSpan w:val="2"/>
          </w:tcPr>
          <w:p>
            <w:pPr>
              <w:jc w:val="right"/>
              <w:ind w:right="140"/>
              <w:spacing w:after="0"/>
              <w:rPr>
                <w:sz w:val="20"/>
                <w:szCs w:val="20"/>
                <w:color w:val="auto"/>
              </w:rPr>
            </w:pPr>
            <w:r>
              <w:rPr>
                <w:rFonts w:ascii="Arial" w:cs="Arial" w:eastAsia="Arial" w:hAnsi="Arial"/>
                <w:sz w:val="18"/>
                <w:szCs w:val="18"/>
                <w:color w:val="auto"/>
                <w:w w:val="88"/>
              </w:rPr>
              <w:t>2.1 Years</w:t>
            </w:r>
          </w:p>
        </w:tc>
      </w:tr>
      <w:tr>
        <w:trPr>
          <w:trHeight w:val="216"/>
        </w:trPr>
        <w:tc>
          <w:tcPr>
            <w:tcW w:w="8420" w:type="dxa"/>
            <w:vAlign w:val="bottom"/>
            <w:shd w:val="clear" w:color="auto" w:fill="CCEEFF"/>
          </w:tcPr>
          <w:p>
            <w:pPr>
              <w:spacing w:after="0"/>
              <w:rPr>
                <w:sz w:val="20"/>
                <w:szCs w:val="20"/>
                <w:color w:val="auto"/>
              </w:rPr>
            </w:pPr>
            <w:r>
              <w:rPr>
                <w:rFonts w:ascii="Arial" w:cs="Arial" w:eastAsia="Arial" w:hAnsi="Arial"/>
                <w:sz w:val="18"/>
                <w:szCs w:val="18"/>
                <w:color w:val="auto"/>
              </w:rPr>
              <w:t>Risk-free interest rate</w:t>
            </w:r>
          </w:p>
        </w:tc>
        <w:tc>
          <w:tcPr>
            <w:tcW w:w="12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4.9%</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3.0%</w:t>
            </w:r>
          </w:p>
        </w:tc>
      </w:tr>
      <w:tr>
        <w:trPr>
          <w:trHeight w:val="216"/>
        </w:trPr>
        <w:tc>
          <w:tcPr>
            <w:tcW w:w="8420" w:type="dxa"/>
            <w:vAlign w:val="bottom"/>
          </w:tcPr>
          <w:p>
            <w:pPr>
              <w:spacing w:after="0"/>
              <w:rPr>
                <w:sz w:val="20"/>
                <w:szCs w:val="20"/>
                <w:color w:val="auto"/>
              </w:rPr>
            </w:pPr>
            <w:r>
              <w:rPr>
                <w:rFonts w:ascii="Arial" w:cs="Arial" w:eastAsia="Arial" w:hAnsi="Arial"/>
                <w:sz w:val="18"/>
                <w:szCs w:val="18"/>
                <w:color w:val="auto"/>
              </w:rPr>
              <w:t>Expected volatility</w:t>
            </w:r>
          </w:p>
        </w:tc>
        <w:tc>
          <w:tcPr>
            <w:tcW w:w="1240" w:type="dxa"/>
            <w:vAlign w:val="bottom"/>
            <w:gridSpan w:val="2"/>
          </w:tcPr>
          <w:p>
            <w:pPr>
              <w:jc w:val="right"/>
              <w:ind w:right="400"/>
              <w:spacing w:after="0"/>
              <w:rPr>
                <w:sz w:val="20"/>
                <w:szCs w:val="20"/>
                <w:color w:val="auto"/>
              </w:rPr>
            </w:pPr>
            <w:r>
              <w:rPr>
                <w:rFonts w:ascii="Arial" w:cs="Arial" w:eastAsia="Arial" w:hAnsi="Arial"/>
                <w:sz w:val="18"/>
                <w:szCs w:val="18"/>
                <w:color w:val="auto"/>
              </w:rPr>
              <w:t>46.7%</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60.9%</w:t>
            </w:r>
          </w:p>
        </w:tc>
      </w:tr>
      <w:tr>
        <w:trPr>
          <w:trHeight w:val="216"/>
        </w:trPr>
        <w:tc>
          <w:tcPr>
            <w:tcW w:w="8420" w:type="dxa"/>
            <w:vAlign w:val="bottom"/>
            <w:shd w:val="clear" w:color="auto" w:fill="CCEEFF"/>
          </w:tcPr>
          <w:p>
            <w:pPr>
              <w:spacing w:after="0"/>
              <w:rPr>
                <w:sz w:val="20"/>
                <w:szCs w:val="20"/>
                <w:color w:val="auto"/>
              </w:rPr>
            </w:pPr>
            <w:r>
              <w:rPr>
                <w:rFonts w:ascii="Arial" w:cs="Arial" w:eastAsia="Arial" w:hAnsi="Arial"/>
                <w:sz w:val="18"/>
                <w:szCs w:val="18"/>
                <w:color w:val="auto"/>
              </w:rPr>
              <w:t>Expected dividends</w:t>
            </w:r>
          </w:p>
        </w:tc>
        <w:tc>
          <w:tcPr>
            <w:tcW w:w="124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r>
    </w:tbl>
    <w:p>
      <w:pPr>
        <w:spacing w:after="0" w:line="154" w:lineRule="exact"/>
        <w:rPr>
          <w:sz w:val="20"/>
          <w:szCs w:val="20"/>
          <w:color w:val="auto"/>
        </w:rPr>
      </w:pPr>
    </w:p>
    <w:p>
      <w:pPr>
        <w:ind w:right="160" w:firstLine="456"/>
        <w:spacing w:after="0" w:line="306" w:lineRule="auto"/>
        <w:rPr>
          <w:sz w:val="20"/>
          <w:szCs w:val="20"/>
          <w:color w:val="auto"/>
        </w:rPr>
      </w:pPr>
      <w:r>
        <w:rPr>
          <w:rFonts w:ascii="Arial" w:cs="Arial" w:eastAsia="Arial" w:hAnsi="Arial"/>
          <w:sz w:val="16"/>
          <w:szCs w:val="16"/>
          <w:color w:val="auto"/>
        </w:rPr>
        <w:t>The expected term of each option grant was based on employees’ expected exercises and post-vesting employment termination behavior and the risk free interest rate was based on the U.S. Treasury yield curve for the period corresponding to the expected term at the time of grant. The expected volatility was estimated using historical volatility of share prices of similar public entities. No dividends were assumed for this calculation of option value.</w:t>
      </w:r>
    </w:p>
    <w:p>
      <w:pPr>
        <w:spacing w:after="0" w:line="107"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The total cash received from employees as a result of option exercises was $8 thousand and $82 thousand for the three and six months ended July 2, 2006, respectively. None of the options exercised during these periods had any intrinsic value.</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380"/>
          </w:cols>
          <w:pgMar w:left="240" w:top="459" w:right="27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MagnaChip Semiconductor LLC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tabular dollars in thousands, except unit data)</w:t>
      </w:r>
    </w:p>
    <w:p>
      <w:pPr>
        <w:spacing w:after="0" w:line="145" w:lineRule="exact"/>
        <w:rPr>
          <w:sz w:val="20"/>
          <w:szCs w:val="20"/>
          <w:color w:val="auto"/>
        </w:rPr>
      </w:pPr>
    </w:p>
    <w:p>
      <w:pPr>
        <w:ind w:right="8160" w:firstLine="8"/>
        <w:spacing w:after="0" w:line="391" w:lineRule="auto"/>
        <w:tabs>
          <w:tab w:leader="none" w:pos="254" w:val="left"/>
        </w:tabs>
        <w:numPr>
          <w:ilvl w:val="0"/>
          <w:numId w:val="5"/>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Restructuring and Impairment Charges </w:t>
      </w:r>
      <w:r>
        <w:rPr>
          <w:rFonts w:ascii="Arial" w:cs="Arial" w:eastAsia="Arial" w:hAnsi="Arial"/>
          <w:sz w:val="16"/>
          <w:szCs w:val="16"/>
          <w:b w:val="1"/>
          <w:bCs w:val="1"/>
          <w:i w:val="1"/>
          <w:iCs w:val="1"/>
          <w:color w:val="auto"/>
        </w:rPr>
        <w:t>Assets impairment</w:t>
      </w:r>
    </w:p>
    <w:p>
      <w:pPr>
        <w:spacing w:after="0" w:line="1" w:lineRule="exact"/>
        <w:rPr>
          <w:sz w:val="20"/>
          <w:szCs w:val="20"/>
          <w:color w:val="auto"/>
        </w:rPr>
      </w:pPr>
    </w:p>
    <w:p>
      <w:pPr>
        <w:ind w:right="180" w:firstLine="456"/>
        <w:spacing w:after="0" w:line="259" w:lineRule="auto"/>
        <w:rPr>
          <w:sz w:val="20"/>
          <w:szCs w:val="20"/>
          <w:color w:val="auto"/>
        </w:rPr>
      </w:pPr>
      <w:r>
        <w:rPr>
          <w:rFonts w:ascii="Arial" w:cs="Arial" w:eastAsia="Arial" w:hAnsi="Arial"/>
          <w:sz w:val="18"/>
          <w:szCs w:val="18"/>
          <w:color w:val="auto"/>
        </w:rPr>
        <w:t xml:space="preserve">During the three months ended July 2, 2006, the Company recorded impairment charges of $92,540 thousand related to one of the Company’s fabrication facilities (the “Fab”) and certain related technology and customer-based intangible assets (the “asset group”) in accordance with SFAS 144, </w:t>
      </w:r>
      <w:r>
        <w:rPr>
          <w:rFonts w:ascii="Arial" w:cs="Arial" w:eastAsia="Arial" w:hAnsi="Arial"/>
          <w:sz w:val="18"/>
          <w:szCs w:val="18"/>
          <w:i w:val="1"/>
          <w:iCs w:val="1"/>
          <w:color w:val="auto"/>
        </w:rPr>
        <w:t>Accounting for the</w:t>
      </w:r>
      <w:r>
        <w:rPr>
          <w:rFonts w:ascii="Arial" w:cs="Arial" w:eastAsia="Arial" w:hAnsi="Arial"/>
          <w:sz w:val="18"/>
          <w:szCs w:val="18"/>
          <w:color w:val="auto"/>
        </w:rPr>
        <w:t xml:space="preserve"> </w:t>
      </w:r>
      <w:r>
        <w:rPr>
          <w:rFonts w:ascii="Arial" w:cs="Arial" w:eastAsia="Arial" w:hAnsi="Arial"/>
          <w:sz w:val="18"/>
          <w:szCs w:val="18"/>
          <w:i w:val="1"/>
          <w:iCs w:val="1"/>
          <w:color w:val="auto"/>
        </w:rPr>
        <w:t>Impairment or Disposal of Long-lived assets</w:t>
      </w:r>
      <w:r>
        <w:rPr>
          <w:rFonts w:ascii="Arial" w:cs="Arial" w:eastAsia="Arial" w:hAnsi="Arial"/>
          <w:sz w:val="18"/>
          <w:szCs w:val="18"/>
          <w:color w:val="auto"/>
        </w:rPr>
        <w:t>.</w:t>
      </w:r>
    </w:p>
    <w:p>
      <w:pPr>
        <w:spacing w:after="0" w:line="140" w:lineRule="exact"/>
        <w:rPr>
          <w:sz w:val="20"/>
          <w:szCs w:val="20"/>
          <w:color w:val="auto"/>
        </w:rPr>
      </w:pPr>
    </w:p>
    <w:p>
      <w:pPr>
        <w:ind w:right="140" w:firstLine="456"/>
        <w:spacing w:after="0" w:line="290" w:lineRule="auto"/>
        <w:rPr>
          <w:sz w:val="20"/>
          <w:szCs w:val="20"/>
          <w:color w:val="auto"/>
        </w:rPr>
      </w:pPr>
      <w:r>
        <w:rPr>
          <w:rFonts w:ascii="Arial" w:cs="Arial" w:eastAsia="Arial" w:hAnsi="Arial"/>
          <w:sz w:val="16"/>
          <w:szCs w:val="16"/>
          <w:color w:val="auto"/>
        </w:rPr>
        <w:t>SFAS 144 requires the Company to evaluate the recoverability of certain long-lived assets whenever events or changes in circumstances indicate that the carrying amount may not be recoverable. From the fourth quarter of 2005 through the end of March 2006, the capacity utilization of the Fab had been under the level that the Company believes to be normal. This was primarily due to a transition in product mix coupled with a seasonal decrease in market demand, which the Company deemed to be temporary and recoverable. However, in the second quarter of 2006, the Company determined, based on revised forecasting, that the projected demand for certain of its products was significantly less than previously forecasted and that this decline was not temporary or seasonal. Therefore, the Company assessed whether there had been a material impairment on the asset group pursuant to SFAS 144 and recorded impairment charges based on such assessment. The net book value of the asset group before the impairment charges was approximately $185,985 thousand.</w:t>
      </w:r>
    </w:p>
    <w:p>
      <w:pPr>
        <w:spacing w:after="0" w:line="118"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The impairment charge was measured as an excess of the carrying value of the asset group over its fair value. The fair value of the asset group was estimated using a present value technique, where expected future cash flows from the use and eventual disposal of the asset group were discounted by an interest rate commensurate with the risk of the cash flows.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Restructuring</w:t>
      </w:r>
    </w:p>
    <w:p>
      <w:pPr>
        <w:spacing w:after="0" w:line="90"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 xml:space="preserve">During the three months ended July 2, 2006, the Company recorded restructuring charges of $1,144 thousand in accordance with SFAS 146, </w:t>
      </w:r>
      <w:r>
        <w:rPr>
          <w:rFonts w:ascii="Arial" w:cs="Arial" w:eastAsia="Arial" w:hAnsi="Arial"/>
          <w:sz w:val="18"/>
          <w:szCs w:val="18"/>
          <w:i w:val="1"/>
          <w:iCs w:val="1"/>
          <w:color w:val="auto"/>
        </w:rPr>
        <w:t>Accounting for</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Costs Associated with Exit or Disposal Activities. </w:t>
      </w:r>
      <w:r>
        <w:rPr>
          <w:rFonts w:ascii="Arial" w:cs="Arial" w:eastAsia="Arial" w:hAnsi="Arial"/>
          <w:sz w:val="18"/>
          <w:szCs w:val="18"/>
          <w:color w:val="auto"/>
        </w:rPr>
        <w:t>These charges were incurred in association with changes in certain of the Company’s management and related</w:t>
      </w:r>
      <w:r>
        <w:rPr>
          <w:rFonts w:ascii="Arial" w:cs="Arial" w:eastAsia="Arial" w:hAnsi="Arial"/>
          <w:sz w:val="18"/>
          <w:szCs w:val="18"/>
          <w:i w:val="1"/>
          <w:iCs w:val="1"/>
          <w:color w:val="auto"/>
        </w:rPr>
        <w:t xml:space="preserve"> </w:t>
      </w:r>
      <w:r>
        <w:rPr>
          <w:rFonts w:ascii="Arial" w:cs="Arial" w:eastAsia="Arial" w:hAnsi="Arial"/>
          <w:sz w:val="18"/>
          <w:szCs w:val="18"/>
          <w:color w:val="auto"/>
        </w:rPr>
        <w:t>severance agreements.</w:t>
      </w:r>
    </w:p>
    <w:p>
      <w:pPr>
        <w:spacing w:after="0" w:line="221" w:lineRule="exact"/>
        <w:rPr>
          <w:sz w:val="20"/>
          <w:szCs w:val="20"/>
          <w:color w:val="auto"/>
        </w:rPr>
      </w:pPr>
    </w:p>
    <w:p>
      <w:pPr>
        <w:ind w:left="20"/>
        <w:spacing w:after="0"/>
        <w:rPr>
          <w:sz w:val="20"/>
          <w:szCs w:val="20"/>
          <w:color w:val="auto"/>
        </w:rPr>
      </w:pPr>
      <w:r>
        <w:rPr>
          <w:rFonts w:ascii="Arial" w:cs="Arial" w:eastAsia="Arial" w:hAnsi="Arial"/>
          <w:sz w:val="18"/>
          <w:szCs w:val="18"/>
          <w:b w:val="1"/>
          <w:bCs w:val="1"/>
          <w:i w:val="1"/>
          <w:iCs w:val="1"/>
          <w:color w:val="auto"/>
        </w:rPr>
        <w:t>Assets held-for-sale</w:t>
      </w:r>
    </w:p>
    <w:p>
      <w:pPr>
        <w:spacing w:after="0" w:line="90"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In connection with the sale of the Company’s application processor business, which was finalized in January 2006, the Company identified and segregated related tangible assets as “held-for-sale” and ceased depreciating for such assets. As of July 2, 2006, the remaining amount of held-for-sale assets was $4,437 thousand in total.</w:t>
      </w:r>
    </w:p>
    <w:p>
      <w:pPr>
        <w:spacing w:after="0" w:line="215" w:lineRule="exact"/>
        <w:rPr>
          <w:sz w:val="20"/>
          <w:szCs w:val="20"/>
          <w:color w:val="auto"/>
        </w:rPr>
      </w:pPr>
    </w:p>
    <w:p>
      <w:pPr>
        <w:ind w:left="460" w:right="8320" w:hanging="452"/>
        <w:spacing w:after="0" w:line="445" w:lineRule="auto"/>
        <w:tabs>
          <w:tab w:leader="none" w:pos="267" w:val="left"/>
        </w:tabs>
        <w:numPr>
          <w:ilvl w:val="0"/>
          <w:numId w:val="6"/>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Comprehensive Income </w:t>
      </w:r>
      <w:r>
        <w:rPr>
          <w:rFonts w:ascii="Arial" w:cs="Arial" w:eastAsia="Arial" w:hAnsi="Arial"/>
          <w:sz w:val="16"/>
          <w:szCs w:val="16"/>
          <w:color w:val="auto"/>
        </w:rPr>
        <w:t>Comprehensive income is as follows:</w:t>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40" w:type="dxa"/>
            <w:vAlign w:val="bottom"/>
          </w:tcPr>
          <w:p>
            <w:pPr>
              <w:spacing w:after="0"/>
              <w:rPr>
                <w:sz w:val="14"/>
                <w:szCs w:val="14"/>
                <w:color w:val="auto"/>
              </w:rPr>
            </w:pPr>
          </w:p>
        </w:tc>
        <w:tc>
          <w:tcPr>
            <w:tcW w:w="3300" w:type="dxa"/>
            <w:vAlign w:val="bottom"/>
          </w:tcPr>
          <w:p>
            <w:pPr>
              <w:spacing w:after="0"/>
              <w:rPr>
                <w:sz w:val="14"/>
                <w:szCs w:val="14"/>
                <w:color w:val="auto"/>
              </w:rPr>
            </w:pPr>
          </w:p>
        </w:tc>
        <w:tc>
          <w:tcPr>
            <w:tcW w:w="2200" w:type="dxa"/>
            <w:vAlign w:val="bottom"/>
            <w:gridSpan w:val="4"/>
          </w:tcPr>
          <w:p>
            <w:pPr>
              <w:jc w:val="right"/>
              <w:ind w:right="700"/>
              <w:spacing w:after="0"/>
              <w:rPr>
                <w:sz w:val="20"/>
                <w:szCs w:val="20"/>
                <w:color w:val="auto"/>
              </w:rPr>
            </w:pPr>
            <w:r>
              <w:rPr>
                <w:rFonts w:ascii="Arial" w:cs="Arial" w:eastAsia="Arial" w:hAnsi="Arial"/>
                <w:sz w:val="14"/>
                <w:szCs w:val="14"/>
                <w:b w:val="1"/>
                <w:bCs w:val="1"/>
                <w:color w:val="auto"/>
              </w:rPr>
              <w:t>Three months ended</w:t>
            </w:r>
          </w:p>
        </w:tc>
        <w:tc>
          <w:tcPr>
            <w:tcW w:w="1880" w:type="dxa"/>
            <w:vAlign w:val="bottom"/>
            <w:gridSpan w:val="5"/>
          </w:tcPr>
          <w:p>
            <w:pPr>
              <w:jc w:val="right"/>
              <w:ind w:right="46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42"/>
        </w:trPr>
        <w:tc>
          <w:tcPr>
            <w:tcW w:w="4040" w:type="dxa"/>
            <w:vAlign w:val="bottom"/>
          </w:tcPr>
          <w:p>
            <w:pPr>
              <w:spacing w:after="0"/>
              <w:rPr>
                <w:sz w:val="12"/>
                <w:szCs w:val="12"/>
                <w:color w:val="auto"/>
              </w:rPr>
            </w:pPr>
          </w:p>
        </w:tc>
        <w:tc>
          <w:tcPr>
            <w:tcW w:w="3300" w:type="dxa"/>
            <w:vAlign w:val="bottom"/>
          </w:tcPr>
          <w:p>
            <w:pPr>
              <w:spacing w:after="0"/>
              <w:rPr>
                <w:sz w:val="12"/>
                <w:szCs w:val="12"/>
                <w:color w:val="auto"/>
              </w:rPr>
            </w:pPr>
          </w:p>
        </w:tc>
        <w:tc>
          <w:tcPr>
            <w:tcW w:w="7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6"/>
              </w:rPr>
              <w:t>July 2, 2006</w:t>
            </w:r>
          </w:p>
        </w:tc>
        <w:tc>
          <w:tcPr>
            <w:tcW w:w="380" w:type="dxa"/>
            <w:vAlign w:val="bottom"/>
            <w:tcBorders>
              <w:top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6"/>
              </w:rPr>
              <w:t>July 3, 2005</w:t>
            </w:r>
          </w:p>
        </w:tc>
        <w:tc>
          <w:tcPr>
            <w:tcW w:w="380" w:type="dxa"/>
            <w:vAlign w:val="bottom"/>
          </w:tcPr>
          <w:p>
            <w:pPr>
              <w:spacing w:after="0"/>
              <w:rPr>
                <w:sz w:val="12"/>
                <w:szCs w:val="12"/>
                <w:color w:val="auto"/>
              </w:rPr>
            </w:pPr>
          </w:p>
        </w:tc>
        <w:tc>
          <w:tcPr>
            <w:tcW w:w="7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8"/>
              </w:rPr>
              <w:t>July 2, 2006</w:t>
            </w:r>
          </w:p>
        </w:tc>
        <w:tc>
          <w:tcPr>
            <w:tcW w:w="22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6"/>
              </w:rPr>
              <w:t>July 3, 2005</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404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442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$(132,063)</w:t>
            </w:r>
          </w:p>
        </w:tc>
        <w:tc>
          <w:tcPr>
            <w:tcW w:w="10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87"/>
              </w:rPr>
              <w:t>$ (33,484)</w:t>
            </w: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89"/>
              </w:rPr>
              <w:t>$(135,954)</w:t>
            </w:r>
          </w:p>
        </w:tc>
        <w:tc>
          <w:tcPr>
            <w:tcW w:w="9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 (64,762)</w:t>
            </w:r>
          </w:p>
        </w:tc>
        <w:tc>
          <w:tcPr>
            <w:tcW w:w="0" w:type="dxa"/>
            <w:vAlign w:val="bottom"/>
          </w:tcPr>
          <w:p>
            <w:pPr>
              <w:spacing w:after="0"/>
              <w:rPr>
                <w:sz w:val="1"/>
                <w:szCs w:val="1"/>
                <w:color w:val="auto"/>
              </w:rPr>
            </w:pPr>
          </w:p>
        </w:tc>
      </w:tr>
      <w:tr>
        <w:trPr>
          <w:trHeight w:val="216"/>
        </w:trPr>
        <w:tc>
          <w:tcPr>
            <w:tcW w:w="4040" w:type="dxa"/>
            <w:vAlign w:val="bottom"/>
          </w:tcPr>
          <w:p>
            <w:pPr>
              <w:spacing w:after="0"/>
              <w:rPr>
                <w:sz w:val="20"/>
                <w:szCs w:val="20"/>
                <w:color w:val="auto"/>
              </w:rPr>
            </w:pPr>
            <w:r>
              <w:rPr>
                <w:rFonts w:ascii="Arial" w:cs="Arial" w:eastAsia="Arial" w:hAnsi="Arial"/>
                <w:sz w:val="18"/>
                <w:szCs w:val="18"/>
                <w:color w:val="auto"/>
              </w:rPr>
              <w:t>Change in fair value of derivatives</w:t>
            </w:r>
          </w:p>
        </w:tc>
        <w:tc>
          <w:tcPr>
            <w:tcW w:w="4040" w:type="dxa"/>
            <w:vAlign w:val="bottom"/>
            <w:gridSpan w:val="2"/>
          </w:tcPr>
          <w:p>
            <w:pPr>
              <w:jc w:val="right"/>
              <w:spacing w:after="0"/>
              <w:rPr>
                <w:sz w:val="20"/>
                <w:szCs w:val="20"/>
                <w:color w:val="auto"/>
              </w:rPr>
            </w:pPr>
            <w:r>
              <w:rPr>
                <w:rFonts w:ascii="Arial" w:cs="Arial" w:eastAsia="Arial" w:hAnsi="Arial"/>
                <w:sz w:val="18"/>
                <w:szCs w:val="18"/>
                <w:color w:val="auto"/>
              </w:rPr>
              <w:t>1,141</w:t>
            </w:r>
          </w:p>
        </w:tc>
        <w:tc>
          <w:tcPr>
            <w:tcW w:w="380" w:type="dxa"/>
            <w:vAlign w:val="bottom"/>
          </w:tcPr>
          <w:p>
            <w:pPr>
              <w:spacing w:after="0"/>
              <w:rPr>
                <w:sz w:val="18"/>
                <w:szCs w:val="18"/>
                <w:color w:val="auto"/>
              </w:rPr>
            </w:pPr>
          </w:p>
        </w:tc>
        <w:tc>
          <w:tcPr>
            <w:tcW w:w="108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3,310</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040" w:type="dxa"/>
            <w:vAlign w:val="bottom"/>
            <w:shd w:val="clear" w:color="auto" w:fill="CCEEFF"/>
          </w:tcPr>
          <w:p>
            <w:pPr>
              <w:spacing w:after="0"/>
              <w:rPr>
                <w:sz w:val="20"/>
                <w:szCs w:val="20"/>
                <w:color w:val="auto"/>
              </w:rPr>
            </w:pPr>
            <w:r>
              <w:rPr>
                <w:rFonts w:ascii="Arial" w:cs="Arial" w:eastAsia="Arial" w:hAnsi="Arial"/>
                <w:sz w:val="18"/>
                <w:szCs w:val="18"/>
                <w:color w:val="auto"/>
              </w:rPr>
              <w:t>Foreign currency translation effect</w:t>
            </w:r>
          </w:p>
        </w:tc>
        <w:tc>
          <w:tcPr>
            <w:tcW w:w="33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1,142</w:t>
            </w:r>
          </w:p>
        </w:tc>
        <w:tc>
          <w:tcPr>
            <w:tcW w:w="3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(2,232)</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4,889</w:t>
            </w:r>
          </w:p>
        </w:tc>
        <w:tc>
          <w:tcPr>
            <w:tcW w:w="2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2,615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040" w:type="dxa"/>
            <w:vAlign w:val="bottom"/>
            <w:vMerge w:val="restart"/>
          </w:tcPr>
          <w:p>
            <w:pPr>
              <w:spacing w:after="0"/>
              <w:rPr>
                <w:sz w:val="20"/>
                <w:szCs w:val="20"/>
                <w:color w:val="auto"/>
              </w:rPr>
            </w:pPr>
            <w:r>
              <w:rPr>
                <w:rFonts w:ascii="Arial" w:cs="Arial" w:eastAsia="Arial" w:hAnsi="Arial"/>
                <w:sz w:val="18"/>
                <w:szCs w:val="18"/>
                <w:color w:val="auto"/>
              </w:rPr>
              <w:t>Comprehensive loss</w:t>
            </w:r>
          </w:p>
        </w:tc>
        <w:tc>
          <w:tcPr>
            <w:tcW w:w="330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4040" w:type="dxa"/>
            <w:vAlign w:val="bottom"/>
            <w:vMerge w:val="continue"/>
          </w:tcPr>
          <w:p>
            <w:pPr>
              <w:spacing w:after="0"/>
              <w:rPr>
                <w:sz w:val="19"/>
                <w:szCs w:val="19"/>
                <w:color w:val="auto"/>
              </w:rPr>
            </w:pPr>
          </w:p>
        </w:tc>
        <w:tc>
          <w:tcPr>
            <w:tcW w:w="3300" w:type="dxa"/>
            <w:vAlign w:val="bottom"/>
          </w:tcPr>
          <w:p>
            <w:pPr>
              <w:spacing w:after="0"/>
              <w:rPr>
                <w:sz w:val="19"/>
                <w:szCs w:val="19"/>
                <w:color w:val="auto"/>
              </w:rPr>
            </w:pPr>
          </w:p>
        </w:tc>
        <w:tc>
          <w:tcPr>
            <w:tcW w:w="1120" w:type="dxa"/>
            <w:vAlign w:val="bottom"/>
            <w:gridSpan w:val="2"/>
          </w:tcPr>
          <w:p>
            <w:pPr>
              <w:jc w:val="right"/>
              <w:ind w:right="340"/>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(129,780)</w:t>
            </w:r>
          </w:p>
        </w:tc>
        <w:tc>
          <w:tcPr>
            <w:tcW w:w="1080" w:type="dxa"/>
            <w:vAlign w:val="bottom"/>
            <w:gridSpan w:val="2"/>
          </w:tcPr>
          <w:p>
            <w:pPr>
              <w:jc w:val="right"/>
              <w:ind w:right="340"/>
              <w:spacing w:after="0"/>
              <w:rPr>
                <w:sz w:val="20"/>
                <w:szCs w:val="20"/>
                <w:color w:val="auto"/>
              </w:rPr>
            </w:pPr>
            <w:r>
              <w:rPr>
                <w:rFonts w:ascii="Arial" w:cs="Arial" w:eastAsia="Arial" w:hAnsi="Arial"/>
                <w:sz w:val="18"/>
                <w:szCs w:val="18"/>
                <w:color w:val="auto"/>
                <w:w w:val="87"/>
              </w:rPr>
              <w:t>$ (35,716)</w:t>
            </w:r>
          </w:p>
        </w:tc>
        <w:tc>
          <w:tcPr>
            <w:tcW w:w="960" w:type="dxa"/>
            <w:vAlign w:val="bottom"/>
            <w:gridSpan w:val="2"/>
          </w:tcPr>
          <w:p>
            <w:pPr>
              <w:jc w:val="right"/>
              <w:ind w:right="160"/>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(127,755)</w:t>
            </w:r>
          </w:p>
        </w:tc>
        <w:tc>
          <w:tcPr>
            <w:tcW w:w="920" w:type="dxa"/>
            <w:vAlign w:val="bottom"/>
            <w:gridSpan w:val="3"/>
          </w:tcPr>
          <w:p>
            <w:pPr>
              <w:jc w:val="right"/>
              <w:spacing w:after="0"/>
              <w:rPr>
                <w:sz w:val="20"/>
                <w:szCs w:val="20"/>
                <w:color w:val="auto"/>
              </w:rPr>
            </w:pPr>
            <w:r>
              <w:rPr>
                <w:rFonts w:ascii="Arial" w:cs="Arial" w:eastAsia="Arial" w:hAnsi="Arial"/>
                <w:sz w:val="18"/>
                <w:szCs w:val="18"/>
                <w:color w:val="auto"/>
              </w:rPr>
              <w:t>$ (62,147)</w:t>
            </w:r>
          </w:p>
        </w:tc>
        <w:tc>
          <w:tcPr>
            <w:tcW w:w="0" w:type="dxa"/>
            <w:vAlign w:val="bottom"/>
          </w:tcPr>
          <w:p>
            <w:pPr>
              <w:spacing w:after="0"/>
              <w:rPr>
                <w:sz w:val="1"/>
                <w:szCs w:val="1"/>
                <w:color w:val="auto"/>
              </w:rPr>
            </w:pPr>
          </w:p>
        </w:tc>
      </w:tr>
      <w:tr>
        <w:trPr>
          <w:trHeight w:val="20"/>
        </w:trPr>
        <w:tc>
          <w:tcPr>
            <w:tcW w:w="4040" w:type="dxa"/>
            <w:vAlign w:val="bottom"/>
          </w:tcPr>
          <w:p>
            <w:pPr>
              <w:spacing w:after="0" w:line="20" w:lineRule="exact"/>
              <w:rPr>
                <w:sz w:val="1"/>
                <w:szCs w:val="1"/>
                <w:color w:val="auto"/>
              </w:rPr>
            </w:pPr>
          </w:p>
        </w:tc>
        <w:tc>
          <w:tcPr>
            <w:tcW w:w="3300" w:type="dxa"/>
            <w:vAlign w:val="bottom"/>
            <w:vMerge w:val="restart"/>
          </w:tcPr>
          <w:p>
            <w:pPr>
              <w:jc w:val="right"/>
              <w:ind w:right="1452"/>
              <w:spacing w:after="0"/>
              <w:rPr>
                <w:sz w:val="20"/>
                <w:szCs w:val="20"/>
                <w:color w:val="auto"/>
              </w:rPr>
            </w:pPr>
            <w:r>
              <w:rPr>
                <w:rFonts w:ascii="Arial" w:cs="Arial" w:eastAsia="Arial" w:hAnsi="Arial"/>
                <w:sz w:val="18"/>
                <w:szCs w:val="18"/>
                <w:color w:val="auto"/>
              </w:rPr>
              <w:t>14</w:t>
            </w:r>
          </w:p>
        </w:tc>
        <w:tc>
          <w:tcPr>
            <w:tcW w:w="7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4040" w:type="dxa"/>
            <w:vAlign w:val="bottom"/>
          </w:tcPr>
          <w:p>
            <w:pPr>
              <w:spacing w:after="0"/>
              <w:rPr>
                <w:sz w:val="24"/>
                <w:szCs w:val="24"/>
                <w:color w:val="auto"/>
              </w:rPr>
            </w:pPr>
          </w:p>
        </w:tc>
        <w:tc>
          <w:tcPr>
            <w:tcW w:w="3300" w:type="dxa"/>
            <w:vAlign w:val="bottom"/>
            <w:vMerge w:val="continue"/>
          </w:tcPr>
          <w:p>
            <w:pPr>
              <w:spacing w:after="0"/>
              <w:rPr>
                <w:sz w:val="24"/>
                <w:szCs w:val="24"/>
                <w:color w:val="auto"/>
              </w:rPr>
            </w:pPr>
          </w:p>
        </w:tc>
        <w:tc>
          <w:tcPr>
            <w:tcW w:w="7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MagnaChip Semiconductor LLC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tabular dollars in thousands, except unit data)</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Condensed Consolidating Financial Statements</w:t>
      </w:r>
    </w:p>
    <w:p>
      <w:pPr>
        <w:spacing w:after="0" w:line="96"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The senior secured credit facility and Second Priority Senior Secured Notes are each fully and unconditionally guaranteed by the Company and all of its subsidiaries, except for MagnaChip Semiconductor (Shanghai) Company Limited. The Senior Subordinated Notes are fully and unconditionally guaranteed by the Company and all of its subsidiaries, except for MagnaChip Semiconductor, Ltd. (Korea) and MagnaChip Semiconductor (Shanghai) Company Limited. Below are condensed consolidating balance sheets as of July 2, 2006 and December 31, 2005, condensed consolidating statements of operations for the three and six months ended July 2, 2006 and July 3, 2005 and condensed consolidating statements of cash flows for the six months ended July 2, 2006 and July 3, 2005 of those entities that guarantee the Senior Subordinated Notes, those that do not, MagnaChip Semiconductor LLC, and the co-issuers.</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459" w:right="23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MagnaChip Semiconductor LLC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tabular dollars in thousands, except unit data)</w:t>
      </w:r>
    </w:p>
    <w:p>
      <w:pPr>
        <w:spacing w:after="0" w:line="1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Statement of Operations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three months ended July 2, 2006</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8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w w:val="90"/>
              </w:rPr>
              <w:t>MagnaChip</w:t>
            </w: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340" w:type="dxa"/>
            <w:vAlign w:val="bottom"/>
          </w:tcPr>
          <w:p>
            <w:pPr>
              <w:spacing w:after="0"/>
              <w:rPr>
                <w:sz w:val="12"/>
                <w:szCs w:val="12"/>
                <w:color w:val="auto"/>
              </w:rPr>
            </w:pPr>
          </w:p>
        </w:tc>
        <w:tc>
          <w:tcPr>
            <w:tcW w:w="116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Semiconductor</w:t>
            </w: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80" w:type="dxa"/>
            <w:vAlign w:val="bottom"/>
            <w:gridSpan w:val="2"/>
          </w:tcPr>
          <w:p>
            <w:pPr>
              <w:jc w:val="right"/>
              <w:ind w:right="580"/>
              <w:spacing w:after="0" w:line="149" w:lineRule="exact"/>
              <w:rPr>
                <w:sz w:val="20"/>
                <w:szCs w:val="20"/>
                <w:color w:val="auto"/>
              </w:rPr>
            </w:pPr>
            <w:r>
              <w:rPr>
                <w:rFonts w:ascii="Arial" w:cs="Arial" w:eastAsia="Arial" w:hAnsi="Arial"/>
                <w:sz w:val="14"/>
                <w:szCs w:val="14"/>
                <w:b w:val="1"/>
                <w:bCs w:val="1"/>
                <w:color w:val="auto"/>
              </w:rPr>
              <w:t>LLC</w:t>
            </w: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gridSpan w:val="2"/>
          </w:tcPr>
          <w:p>
            <w:pPr>
              <w:jc w:val="right"/>
              <w:ind w:right="500"/>
              <w:spacing w:after="0" w:line="149" w:lineRule="exact"/>
              <w:rPr>
                <w:sz w:val="20"/>
                <w:szCs w:val="20"/>
                <w:color w:val="auto"/>
              </w:rPr>
            </w:pPr>
            <w:r>
              <w:rPr>
                <w:rFonts w:ascii="Arial" w:cs="Arial" w:eastAsia="Arial" w:hAnsi="Arial"/>
                <w:sz w:val="14"/>
                <w:szCs w:val="14"/>
                <w:b w:val="1"/>
                <w:bCs w:val="1"/>
                <w:color w:val="auto"/>
              </w:rPr>
              <w:t>Non-</w:t>
            </w:r>
          </w:p>
        </w:tc>
        <w:tc>
          <w:tcPr>
            <w:tcW w:w="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534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115"/>
              <w:spacing w:after="0"/>
              <w:rPr>
                <w:sz w:val="20"/>
                <w:szCs w:val="20"/>
                <w:color w:val="auto"/>
              </w:rPr>
            </w:pPr>
            <w:r>
              <w:rPr>
                <w:rFonts w:ascii="Arial" w:cs="Arial" w:eastAsia="Arial" w:hAnsi="Arial"/>
                <w:sz w:val="14"/>
                <w:szCs w:val="14"/>
                <w:b w:val="1"/>
                <w:bCs w:val="1"/>
                <w:color w:val="auto"/>
              </w:rPr>
              <w:t>(Parent)</w:t>
            </w:r>
          </w:p>
        </w:tc>
        <w:tc>
          <w:tcPr>
            <w:tcW w:w="280" w:type="dxa"/>
            <w:vAlign w:val="bottom"/>
          </w:tcPr>
          <w:p>
            <w:pPr>
              <w:spacing w:after="0"/>
              <w:rPr>
                <w:sz w:val="15"/>
                <w:szCs w:val="15"/>
                <w:color w:val="auto"/>
              </w:rPr>
            </w:pPr>
          </w:p>
        </w:tc>
        <w:tc>
          <w:tcPr>
            <w:tcW w:w="7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88"/>
              </w:rPr>
              <w:t>Co-Issuers</w:t>
            </w: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0"/>
              </w:rPr>
              <w:t>Guarantors</w:t>
            </w:r>
          </w:p>
        </w:tc>
        <w:tc>
          <w:tcPr>
            <w:tcW w:w="280" w:type="dxa"/>
            <w:vAlign w:val="bottom"/>
          </w:tcPr>
          <w:p>
            <w:pPr>
              <w:spacing w:after="0"/>
              <w:rPr>
                <w:sz w:val="15"/>
                <w:szCs w:val="15"/>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0"/>
              </w:rPr>
              <w:t>Guarantors</w:t>
            </w: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w w:val="86"/>
              </w:rPr>
              <w:t>Eliminations</w:t>
            </w: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w w:val="85"/>
              </w:rPr>
              <w:t>Consolidated</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340" w:type="dxa"/>
            <w:vAlign w:val="bottom"/>
            <w:shd w:val="clear" w:color="auto" w:fill="CCEEFF"/>
          </w:tcPr>
          <w:p>
            <w:pPr>
              <w:spacing w:after="0"/>
              <w:rPr>
                <w:sz w:val="20"/>
                <w:szCs w:val="20"/>
                <w:color w:val="auto"/>
              </w:rPr>
            </w:pPr>
            <w:r>
              <w:rPr>
                <w:rFonts w:ascii="Arial" w:cs="Arial" w:eastAsia="Arial" w:hAnsi="Arial"/>
                <w:sz w:val="18"/>
                <w:szCs w:val="18"/>
                <w:color w:val="auto"/>
              </w:rPr>
              <w:t>Net sales</w:t>
            </w: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12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$ 189,395</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$ 101,591</w:t>
            </w:r>
          </w:p>
        </w:tc>
        <w:tc>
          <w:tcPr>
            <w:tcW w:w="160" w:type="dxa"/>
            <w:vAlign w:val="bottom"/>
            <w:shd w:val="clear" w:color="auto" w:fill="CCEEFF"/>
          </w:tcPr>
          <w:p>
            <w:pPr>
              <w:spacing w:after="0"/>
              <w:rPr>
                <w:sz w:val="18"/>
                <w:szCs w:val="18"/>
                <w:color w:val="auto"/>
              </w:rPr>
            </w:pPr>
          </w:p>
        </w:tc>
        <w:tc>
          <w:tcPr>
            <w:tcW w:w="2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99"/>
              </w:rPr>
              <w:t>$</w:t>
            </w: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8"/>
              </w:rPr>
              <w:t>(93,373)</w:t>
            </w:r>
          </w:p>
        </w:tc>
        <w:tc>
          <w:tcPr>
            <w:tcW w:w="22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w w:val="9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197,613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tcPr>
          <w:p>
            <w:pPr>
              <w:spacing w:after="0"/>
              <w:rPr>
                <w:sz w:val="20"/>
                <w:szCs w:val="20"/>
                <w:color w:val="auto"/>
              </w:rPr>
            </w:pPr>
            <w:r>
              <w:rPr>
                <w:rFonts w:ascii="Arial" w:cs="Arial" w:eastAsia="Arial" w:hAnsi="Arial"/>
                <w:sz w:val="18"/>
                <w:szCs w:val="18"/>
                <w:color w:val="auto"/>
              </w:rPr>
              <w:t>Cost of sales</w:t>
            </w:r>
          </w:p>
        </w:tc>
        <w:tc>
          <w:tcPr>
            <w:tcW w:w="80" w:type="dxa"/>
            <w:vAlign w:val="bottom"/>
          </w:tcPr>
          <w:p>
            <w:pPr>
              <w:spacing w:after="0"/>
              <w:rPr>
                <w:sz w:val="18"/>
                <w:szCs w:val="18"/>
                <w:color w:val="auto"/>
              </w:rPr>
            </w:pPr>
          </w:p>
        </w:tc>
        <w:tc>
          <w:tcPr>
            <w:tcW w:w="800" w:type="dxa"/>
            <w:vAlign w:val="bottom"/>
          </w:tcPr>
          <w:p>
            <w:pPr>
              <w:jc w:val="right"/>
              <w:ind w:right="15"/>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174,434</w:t>
            </w:r>
          </w:p>
        </w:tc>
        <w:tc>
          <w:tcPr>
            <w:tcW w:w="2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93,489</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w w:val="98"/>
              </w:rPr>
              <w:t>(90,581)</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98"/>
              </w:rPr>
              <w:t>177,342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3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4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14,961</w:t>
            </w:r>
          </w:p>
        </w:tc>
        <w:tc>
          <w:tcPr>
            <w:tcW w:w="2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8,102</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(2,792)</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20,271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5360" w:type="dxa"/>
            <w:vAlign w:val="bottom"/>
            <w:gridSpan w:val="2"/>
          </w:tcPr>
          <w:p>
            <w:pPr>
              <w:spacing w:after="0"/>
              <w:rPr>
                <w:sz w:val="20"/>
                <w:szCs w:val="20"/>
                <w:color w:val="auto"/>
              </w:rPr>
            </w:pPr>
            <w:r>
              <w:rPr>
                <w:rFonts w:ascii="Arial" w:cs="Arial" w:eastAsia="Arial" w:hAnsi="Arial"/>
                <w:sz w:val="18"/>
                <w:szCs w:val="18"/>
                <w:color w:val="auto"/>
              </w:rPr>
              <w:t>Selling, general and administrative expenses</w:t>
            </w:r>
          </w:p>
        </w:tc>
        <w:tc>
          <w:tcPr>
            <w:tcW w:w="8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35</w:t>
            </w:r>
          </w:p>
        </w:tc>
        <w:tc>
          <w:tcPr>
            <w:tcW w:w="2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269</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19,115</w:t>
            </w:r>
          </w:p>
        </w:tc>
        <w:tc>
          <w:tcPr>
            <w:tcW w:w="280" w:type="dxa"/>
            <w:vAlign w:val="bottom"/>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2,606</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22,025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34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 expenses</w:t>
            </w: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12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34,003</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3,573</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(3,642)</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33,934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340" w:type="dxa"/>
            <w:vAlign w:val="bottom"/>
          </w:tcPr>
          <w:p>
            <w:pPr>
              <w:spacing w:after="0"/>
              <w:rPr>
                <w:sz w:val="20"/>
                <w:szCs w:val="20"/>
                <w:color w:val="auto"/>
              </w:rPr>
            </w:pPr>
            <w:r>
              <w:rPr>
                <w:rFonts w:ascii="Arial" w:cs="Arial" w:eastAsia="Arial" w:hAnsi="Arial"/>
                <w:sz w:val="18"/>
                <w:szCs w:val="18"/>
                <w:color w:val="auto"/>
              </w:rPr>
              <w:t>Restructuring and Impairment charges</w:t>
            </w:r>
          </w:p>
        </w:tc>
        <w:tc>
          <w:tcPr>
            <w:tcW w:w="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93,459</w:t>
            </w:r>
          </w:p>
        </w:tc>
        <w:tc>
          <w:tcPr>
            <w:tcW w:w="280" w:type="dxa"/>
            <w:vAlign w:val="bottom"/>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225</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93,684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 (loss)</w:t>
            </w: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(35)</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(269)</w:t>
            </w:r>
          </w:p>
        </w:tc>
        <w:tc>
          <w:tcPr>
            <w:tcW w:w="112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(131,616)</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1,698</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850</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0"/>
              </w:rPr>
              <w:t>(129,372)</w:t>
            </w:r>
          </w:p>
        </w:tc>
        <w:tc>
          <w:tcPr>
            <w:tcW w:w="0" w:type="dxa"/>
            <w:vAlign w:val="bottom"/>
          </w:tcPr>
          <w:p>
            <w:pPr>
              <w:spacing w:after="0"/>
              <w:rPr>
                <w:sz w:val="1"/>
                <w:szCs w:val="1"/>
                <w:color w:val="auto"/>
              </w:rPr>
            </w:pPr>
          </w:p>
        </w:tc>
      </w:tr>
      <w:tr>
        <w:trPr>
          <w:trHeight w:val="20"/>
        </w:trPr>
        <w:tc>
          <w:tcPr>
            <w:tcW w:w="5360" w:type="dxa"/>
            <w:vAlign w:val="bottom"/>
            <w:gridSpan w:val="2"/>
            <w:vMerge w:val="restart"/>
          </w:tcPr>
          <w:p>
            <w:pPr>
              <w:spacing w:after="0"/>
              <w:rPr>
                <w:sz w:val="20"/>
                <w:szCs w:val="20"/>
                <w:color w:val="auto"/>
              </w:rPr>
            </w:pPr>
            <w:r>
              <w:rPr>
                <w:rFonts w:ascii="Arial" w:cs="Arial" w:eastAsia="Arial" w:hAnsi="Arial"/>
                <w:sz w:val="18"/>
                <w:szCs w:val="18"/>
                <w:color w:val="auto"/>
              </w:rPr>
              <w:t>Other income (expenses)</w:t>
            </w:r>
          </w:p>
        </w:tc>
        <w:tc>
          <w:tcPr>
            <w:tcW w:w="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5360" w:type="dxa"/>
            <w:vAlign w:val="bottom"/>
            <w:gridSpan w:val="2"/>
            <w:vMerge w:val="continue"/>
          </w:tcPr>
          <w:p>
            <w:pPr>
              <w:spacing w:after="0"/>
              <w:rPr>
                <w:sz w:val="20"/>
                <w:szCs w:val="20"/>
                <w:color w:val="auto"/>
              </w:rPr>
            </w:pPr>
          </w:p>
        </w:tc>
        <w:tc>
          <w:tcPr>
            <w:tcW w:w="80" w:type="dxa"/>
            <w:vAlign w:val="bottom"/>
          </w:tcPr>
          <w:p>
            <w:pPr>
              <w:spacing w:after="0"/>
              <w:rPr>
                <w:sz w:val="20"/>
                <w:szCs w:val="20"/>
                <w:color w:val="auto"/>
              </w:rPr>
            </w:pPr>
          </w:p>
        </w:tc>
        <w:tc>
          <w:tcPr>
            <w:tcW w:w="800" w:type="dxa"/>
            <w:vAlign w:val="bottom"/>
          </w:tcPr>
          <w:p>
            <w:pPr>
              <w:jc w:val="right"/>
              <w:ind w:right="15"/>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6,106</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2,058</w:t>
            </w:r>
          </w:p>
        </w:tc>
        <w:tc>
          <w:tcPr>
            <w:tcW w:w="280" w:type="dxa"/>
            <w:vAlign w:val="bottom"/>
          </w:tcPr>
          <w:p>
            <w:pPr>
              <w:spacing w:after="0"/>
              <w:rPr>
                <w:sz w:val="20"/>
                <w:szCs w:val="20"/>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(7,996)</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168</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340" w:type="dxa"/>
            <w:vAlign w:val="bottom"/>
            <w:shd w:val="clear" w:color="auto" w:fill="CCEEFF"/>
          </w:tcPr>
          <w:p>
            <w:pPr>
              <w:spacing w:after="0"/>
              <w:rPr>
                <w:sz w:val="20"/>
                <w:szCs w:val="20"/>
                <w:color w:val="auto"/>
              </w:rPr>
            </w:pPr>
            <w:r>
              <w:rPr>
                <w:rFonts w:ascii="Arial" w:cs="Arial" w:eastAsia="Arial" w:hAnsi="Arial"/>
                <w:sz w:val="18"/>
                <w:szCs w:val="18"/>
                <w:color w:val="auto"/>
              </w:rPr>
              <w:t>Income (loss) before income taxes, equity in loss of related equity</w:t>
            </w:r>
          </w:p>
        </w:tc>
        <w:tc>
          <w:tcPr>
            <w:tcW w:w="8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53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investment</w:t>
            </w:r>
          </w:p>
        </w:tc>
        <w:tc>
          <w:tcPr>
            <w:tcW w:w="8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(35)</w:t>
            </w: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5,837</w:t>
            </w:r>
          </w:p>
        </w:tc>
        <w:tc>
          <w:tcPr>
            <w:tcW w:w="180" w:type="dxa"/>
            <w:vAlign w:val="bottom"/>
            <w:shd w:val="clear" w:color="auto" w:fill="CCEEFF"/>
          </w:tcPr>
          <w:p>
            <w:pPr>
              <w:spacing w:after="0"/>
              <w:rPr>
                <w:sz w:val="19"/>
                <w:szCs w:val="19"/>
                <w:color w:val="auto"/>
              </w:rPr>
            </w:pPr>
          </w:p>
        </w:tc>
        <w:tc>
          <w:tcPr>
            <w:tcW w:w="112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(129,558)</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(6,298)</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850</w:t>
            </w: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0"/>
              </w:rPr>
              <w:t>(129,204)</w:t>
            </w:r>
          </w:p>
        </w:tc>
        <w:tc>
          <w:tcPr>
            <w:tcW w:w="0" w:type="dxa"/>
            <w:vAlign w:val="bottom"/>
          </w:tcPr>
          <w:p>
            <w:pPr>
              <w:spacing w:after="0"/>
              <w:rPr>
                <w:sz w:val="1"/>
                <w:szCs w:val="1"/>
                <w:color w:val="auto"/>
              </w:rPr>
            </w:pPr>
          </w:p>
        </w:tc>
      </w:tr>
      <w:tr>
        <w:trPr>
          <w:trHeight w:val="230"/>
        </w:trPr>
        <w:tc>
          <w:tcPr>
            <w:tcW w:w="5360" w:type="dxa"/>
            <w:vAlign w:val="bottom"/>
            <w:gridSpan w:val="2"/>
          </w:tcPr>
          <w:p>
            <w:pPr>
              <w:spacing w:after="0"/>
              <w:rPr>
                <w:sz w:val="20"/>
                <w:szCs w:val="20"/>
                <w:color w:val="auto"/>
              </w:rPr>
            </w:pPr>
            <w:r>
              <w:rPr>
                <w:rFonts w:ascii="Arial" w:cs="Arial" w:eastAsia="Arial" w:hAnsi="Arial"/>
                <w:sz w:val="18"/>
                <w:szCs w:val="18"/>
                <w:color w:val="auto"/>
              </w:rPr>
              <w:t>Income tax expenses</w:t>
            </w:r>
          </w:p>
        </w:tc>
        <w:tc>
          <w:tcPr>
            <w:tcW w:w="80" w:type="dxa"/>
            <w:vAlign w:val="bottom"/>
            <w:tcBorders>
              <w:top w:val="single" w:sz="8" w:color="auto"/>
              <w:bottom w:val="single" w:sz="8" w:color="auto"/>
            </w:tcBorders>
          </w:tcPr>
          <w:p>
            <w:pPr>
              <w:spacing w:after="0"/>
              <w:rPr>
                <w:sz w:val="20"/>
                <w:szCs w:val="20"/>
                <w:color w:val="auto"/>
              </w:rPr>
            </w:pPr>
          </w:p>
        </w:tc>
        <w:tc>
          <w:tcPr>
            <w:tcW w:w="800" w:type="dxa"/>
            <w:vAlign w:val="bottom"/>
            <w:tcBorders>
              <w:top w:val="single" w:sz="8" w:color="auto"/>
              <w:bottom w:val="single" w:sz="8" w:color="auto"/>
            </w:tcBorders>
          </w:tcPr>
          <w:p>
            <w:pPr>
              <w:jc w:val="right"/>
              <w:ind w:right="15"/>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41</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0"/>
                <w:szCs w:val="20"/>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2,818</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2,859</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shd w:val="clear" w:color="auto" w:fill="CCEEFF"/>
          </w:tcPr>
          <w:p>
            <w:pPr>
              <w:spacing w:after="0"/>
              <w:rPr>
                <w:sz w:val="20"/>
                <w:szCs w:val="20"/>
                <w:color w:val="auto"/>
              </w:rPr>
            </w:pPr>
            <w:r>
              <w:rPr>
                <w:rFonts w:ascii="Arial" w:cs="Arial" w:eastAsia="Arial" w:hAnsi="Arial"/>
                <w:sz w:val="18"/>
                <w:szCs w:val="18"/>
                <w:color w:val="auto"/>
              </w:rPr>
              <w:t>Income (loss) before equity in loss of related Investment</w:t>
            </w: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(35)</w:t>
            </w: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5,796</w:t>
            </w:r>
          </w:p>
        </w:tc>
        <w:tc>
          <w:tcPr>
            <w:tcW w:w="18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(129,558)</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(9,116)</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850</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0"/>
              </w:rPr>
              <w:t>(132,063)</w:t>
            </w:r>
          </w:p>
        </w:tc>
        <w:tc>
          <w:tcPr>
            <w:tcW w:w="0" w:type="dxa"/>
            <w:vAlign w:val="bottom"/>
          </w:tcPr>
          <w:p>
            <w:pPr>
              <w:spacing w:after="0"/>
              <w:rPr>
                <w:sz w:val="1"/>
                <w:szCs w:val="1"/>
                <w:color w:val="auto"/>
              </w:rPr>
            </w:pPr>
          </w:p>
        </w:tc>
      </w:tr>
      <w:tr>
        <w:trPr>
          <w:trHeight w:val="20"/>
        </w:trPr>
        <w:tc>
          <w:tcPr>
            <w:tcW w:w="5360" w:type="dxa"/>
            <w:vAlign w:val="bottom"/>
            <w:gridSpan w:val="2"/>
            <w:vMerge w:val="restart"/>
          </w:tcPr>
          <w:p>
            <w:pPr>
              <w:spacing w:after="0"/>
              <w:rPr>
                <w:sz w:val="20"/>
                <w:szCs w:val="20"/>
                <w:color w:val="auto"/>
              </w:rPr>
            </w:pPr>
            <w:r>
              <w:rPr>
                <w:rFonts w:ascii="Arial" w:cs="Arial" w:eastAsia="Arial" w:hAnsi="Arial"/>
                <w:sz w:val="18"/>
                <w:szCs w:val="18"/>
                <w:color w:val="auto"/>
              </w:rPr>
              <w:t>Loss of related investment</w:t>
            </w:r>
          </w:p>
        </w:tc>
        <w:tc>
          <w:tcPr>
            <w:tcW w:w="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5360" w:type="dxa"/>
            <w:vAlign w:val="bottom"/>
            <w:gridSpan w:val="2"/>
            <w:vMerge w:val="continue"/>
          </w:tcPr>
          <w:p>
            <w:pPr>
              <w:spacing w:after="0"/>
              <w:rPr>
                <w:sz w:val="19"/>
                <w:szCs w:val="19"/>
                <w:color w:val="auto"/>
              </w:rPr>
            </w:pPr>
          </w:p>
        </w:tc>
        <w:tc>
          <w:tcPr>
            <w:tcW w:w="80" w:type="dxa"/>
            <w:vAlign w:val="bottom"/>
          </w:tcPr>
          <w:p>
            <w:pPr>
              <w:spacing w:after="0"/>
              <w:rPr>
                <w:sz w:val="19"/>
                <w:szCs w:val="19"/>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(132,028)</w:t>
            </w:r>
          </w:p>
        </w:tc>
        <w:tc>
          <w:tcPr>
            <w:tcW w:w="100" w:type="dxa"/>
            <w:vAlign w:val="bottom"/>
          </w:tcPr>
          <w:p>
            <w:pPr>
              <w:spacing w:after="0"/>
              <w:rPr>
                <w:sz w:val="19"/>
                <w:szCs w:val="19"/>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w w:val="85"/>
              </w:rPr>
              <w:t>(138,126)</w:t>
            </w:r>
          </w:p>
        </w:tc>
        <w:tc>
          <w:tcPr>
            <w:tcW w:w="120" w:type="dxa"/>
            <w:vAlign w:val="bottom"/>
          </w:tcPr>
          <w:p>
            <w:pPr>
              <w:spacing w:after="0"/>
              <w:rPr>
                <w:sz w:val="19"/>
                <w:szCs w:val="19"/>
                <w:color w:val="auto"/>
              </w:rPr>
            </w:pPr>
          </w:p>
        </w:tc>
        <w:tc>
          <w:tcPr>
            <w:tcW w:w="100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(129,642)</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92"/>
              </w:rPr>
              <w:t>399,796</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53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4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(132,063)</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1920" w:type="dxa"/>
            <w:vAlign w:val="bottom"/>
            <w:gridSpan w:val="5"/>
            <w:shd w:val="clear" w:color="auto" w:fill="CCEEFF"/>
          </w:tcPr>
          <w:p>
            <w:pPr>
              <w:jc w:val="right"/>
              <w:ind w:right="220"/>
              <w:spacing w:after="0"/>
              <w:rPr>
                <w:sz w:val="20"/>
                <w:szCs w:val="20"/>
                <w:color w:val="auto"/>
              </w:rPr>
            </w:pPr>
            <w:r>
              <w:rPr>
                <w:rFonts w:ascii="Arial" w:cs="Arial" w:eastAsia="Arial" w:hAnsi="Arial"/>
                <w:sz w:val="18"/>
                <w:szCs w:val="18"/>
                <w:color w:val="auto"/>
                <w:w w:val="93"/>
              </w:rPr>
              <w:t xml:space="preserve">(132,330)   </w:t>
            </w:r>
            <w:r>
              <w:rPr>
                <w:rFonts w:ascii="Arial" w:cs="Arial" w:eastAsia="Arial" w:hAnsi="Arial"/>
                <w:sz w:val="18"/>
                <w:szCs w:val="18"/>
                <w:u w:val="single" w:color="auto"/>
                <w:color w:val="auto"/>
                <w:w w:val="93"/>
              </w:rPr>
              <w:t>$</w:t>
            </w:r>
            <w:r>
              <w:rPr>
                <w:rFonts w:ascii="Arial" w:cs="Arial" w:eastAsia="Arial" w:hAnsi="Arial"/>
                <w:sz w:val="18"/>
                <w:szCs w:val="18"/>
                <w:color w:val="auto"/>
                <w:w w:val="93"/>
              </w:rPr>
              <w:t>(129,558)</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(138,758)</w:t>
            </w:r>
          </w:p>
        </w:tc>
        <w:tc>
          <w:tcPr>
            <w:tcW w:w="2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9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400,646</w:t>
            </w:r>
          </w:p>
        </w:tc>
        <w:tc>
          <w:tcPr>
            <w:tcW w:w="180" w:type="dxa"/>
            <w:vAlign w:val="bottom"/>
            <w:shd w:val="clear" w:color="auto" w:fill="CCEEFF"/>
          </w:tcPr>
          <w:p>
            <w:pPr>
              <w:spacing w:after="0"/>
              <w:rPr>
                <w:sz w:val="18"/>
                <w:szCs w:val="18"/>
                <w:color w:val="auto"/>
              </w:rPr>
            </w:pPr>
          </w:p>
        </w:tc>
        <w:tc>
          <w:tcPr>
            <w:tcW w:w="22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w w:val="99"/>
              </w:rPr>
              <w:t>$</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0"/>
              </w:rPr>
              <w:t>(132,063)</w:t>
            </w:r>
          </w:p>
        </w:tc>
        <w:tc>
          <w:tcPr>
            <w:tcW w:w="0" w:type="dxa"/>
            <w:vAlign w:val="bottom"/>
          </w:tcPr>
          <w:p>
            <w:pPr>
              <w:spacing w:after="0"/>
              <w:rPr>
                <w:sz w:val="1"/>
                <w:szCs w:val="1"/>
                <w:color w:val="auto"/>
              </w:rPr>
            </w:pPr>
          </w:p>
        </w:tc>
      </w:tr>
      <w:tr>
        <w:trPr>
          <w:trHeight w:val="20"/>
        </w:trPr>
        <w:tc>
          <w:tcPr>
            <w:tcW w:w="5360" w:type="dxa"/>
            <w:vAlign w:val="bottom"/>
            <w:gridSpan w:val="2"/>
            <w:vMerge w:val="restart"/>
          </w:tcPr>
          <w:p>
            <w:pPr>
              <w:spacing w:after="0"/>
              <w:rPr>
                <w:sz w:val="20"/>
                <w:szCs w:val="20"/>
                <w:color w:val="auto"/>
              </w:rPr>
            </w:pPr>
            <w:r>
              <w:rPr>
                <w:rFonts w:ascii="Arial" w:cs="Arial" w:eastAsia="Arial" w:hAnsi="Arial"/>
                <w:sz w:val="18"/>
                <w:szCs w:val="18"/>
                <w:color w:val="auto"/>
              </w:rPr>
              <w:t>Dividends accrued on preferred units</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5360" w:type="dxa"/>
            <w:vAlign w:val="bottom"/>
            <w:gridSpan w:val="2"/>
            <w:vMerge w:val="continue"/>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2,706</w:t>
            </w:r>
          </w:p>
        </w:tc>
        <w:tc>
          <w:tcPr>
            <w:tcW w:w="2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74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2,706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shd w:val="clear" w:color="auto" w:fill="CCEEFF"/>
          </w:tcPr>
          <w:p>
            <w:pPr>
              <w:spacing w:after="0"/>
              <w:rPr>
                <w:sz w:val="20"/>
                <w:szCs w:val="20"/>
                <w:color w:val="auto"/>
              </w:rPr>
            </w:pPr>
            <w:r>
              <w:rPr>
                <w:rFonts w:ascii="Arial" w:cs="Arial" w:eastAsia="Arial" w:hAnsi="Arial"/>
                <w:sz w:val="18"/>
                <w:szCs w:val="18"/>
                <w:color w:val="auto"/>
              </w:rPr>
              <w:t>Net loss attributable to common units</w:t>
            </w: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(134,769)</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5"/>
              </w:rPr>
              <w:t>(132,330)</w:t>
            </w:r>
          </w:p>
        </w:tc>
        <w:tc>
          <w:tcPr>
            <w:tcW w:w="112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(129,558)</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(138,758)</w:t>
            </w:r>
          </w:p>
        </w:tc>
        <w:tc>
          <w:tcPr>
            <w:tcW w:w="2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9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400,646</w:t>
            </w:r>
          </w:p>
        </w:tc>
        <w:tc>
          <w:tcPr>
            <w:tcW w:w="180" w:type="dxa"/>
            <w:vAlign w:val="bottom"/>
            <w:shd w:val="clear" w:color="auto" w:fill="CCEEFF"/>
          </w:tcPr>
          <w:p>
            <w:pPr>
              <w:spacing w:after="0"/>
              <w:rPr>
                <w:sz w:val="18"/>
                <w:szCs w:val="18"/>
                <w:color w:val="auto"/>
              </w:rPr>
            </w:pPr>
          </w:p>
        </w:tc>
        <w:tc>
          <w:tcPr>
            <w:tcW w:w="22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w w:val="99"/>
              </w:rPr>
              <w:t>$</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0"/>
              </w:rPr>
              <w:t>(134,769)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20" w:type="dxa"/>
            <w:vAlign w:val="bottom"/>
          </w:tcPr>
          <w:p>
            <w:pPr>
              <w:spacing w:after="0"/>
              <w:rPr>
                <w:sz w:val="24"/>
                <w:szCs w:val="24"/>
                <w:color w:val="auto"/>
              </w:rPr>
            </w:pPr>
          </w:p>
        </w:tc>
        <w:tc>
          <w:tcPr>
            <w:tcW w:w="5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0" w:type="dxa"/>
            <w:vAlign w:val="bottom"/>
          </w:tcPr>
          <w:p>
            <w:pPr>
              <w:jc w:val="right"/>
              <w:ind w:right="355"/>
              <w:spacing w:after="0"/>
              <w:rPr>
                <w:sz w:val="20"/>
                <w:szCs w:val="20"/>
                <w:color w:val="auto"/>
              </w:rPr>
            </w:pPr>
            <w:r>
              <w:rPr>
                <w:rFonts w:ascii="Arial" w:cs="Arial" w:eastAsia="Arial" w:hAnsi="Arial"/>
                <w:sz w:val="18"/>
                <w:szCs w:val="18"/>
                <w:color w:val="auto"/>
              </w:rPr>
              <w:t>16</w:t>
            </w: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MagnaChip Semiconductor LLC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tabular dollars in thousands, except unit data)</w:t>
      </w:r>
    </w:p>
    <w:p>
      <w:pPr>
        <w:spacing w:after="0" w:line="1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Statement of Operations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six months ended July 2, 2006</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8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w w:val="90"/>
              </w:rPr>
              <w:t>MagnaChip</w:t>
            </w: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340" w:type="dxa"/>
            <w:vAlign w:val="bottom"/>
          </w:tcPr>
          <w:p>
            <w:pPr>
              <w:spacing w:after="0"/>
              <w:rPr>
                <w:sz w:val="12"/>
                <w:szCs w:val="12"/>
                <w:color w:val="auto"/>
              </w:rPr>
            </w:pPr>
          </w:p>
        </w:tc>
        <w:tc>
          <w:tcPr>
            <w:tcW w:w="116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Semiconductor</w:t>
            </w: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80" w:type="dxa"/>
            <w:vAlign w:val="bottom"/>
            <w:gridSpan w:val="2"/>
          </w:tcPr>
          <w:p>
            <w:pPr>
              <w:jc w:val="right"/>
              <w:ind w:right="580"/>
              <w:spacing w:after="0" w:line="149" w:lineRule="exact"/>
              <w:rPr>
                <w:sz w:val="20"/>
                <w:szCs w:val="20"/>
                <w:color w:val="auto"/>
              </w:rPr>
            </w:pPr>
            <w:r>
              <w:rPr>
                <w:rFonts w:ascii="Arial" w:cs="Arial" w:eastAsia="Arial" w:hAnsi="Arial"/>
                <w:sz w:val="14"/>
                <w:szCs w:val="14"/>
                <w:b w:val="1"/>
                <w:bCs w:val="1"/>
                <w:color w:val="auto"/>
              </w:rPr>
              <w:t>LLC</w:t>
            </w: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gridSpan w:val="2"/>
          </w:tcPr>
          <w:p>
            <w:pPr>
              <w:jc w:val="right"/>
              <w:ind w:right="500"/>
              <w:spacing w:after="0" w:line="149" w:lineRule="exact"/>
              <w:rPr>
                <w:sz w:val="20"/>
                <w:szCs w:val="20"/>
                <w:color w:val="auto"/>
              </w:rPr>
            </w:pPr>
            <w:r>
              <w:rPr>
                <w:rFonts w:ascii="Arial" w:cs="Arial" w:eastAsia="Arial" w:hAnsi="Arial"/>
                <w:sz w:val="14"/>
                <w:szCs w:val="14"/>
                <w:b w:val="1"/>
                <w:bCs w:val="1"/>
                <w:color w:val="auto"/>
              </w:rPr>
              <w:t>Non-</w:t>
            </w:r>
          </w:p>
        </w:tc>
        <w:tc>
          <w:tcPr>
            <w:tcW w:w="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534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115"/>
              <w:spacing w:after="0"/>
              <w:rPr>
                <w:sz w:val="20"/>
                <w:szCs w:val="20"/>
                <w:color w:val="auto"/>
              </w:rPr>
            </w:pPr>
            <w:r>
              <w:rPr>
                <w:rFonts w:ascii="Arial" w:cs="Arial" w:eastAsia="Arial" w:hAnsi="Arial"/>
                <w:sz w:val="14"/>
                <w:szCs w:val="14"/>
                <w:b w:val="1"/>
                <w:bCs w:val="1"/>
                <w:color w:val="auto"/>
              </w:rPr>
              <w:t>(Parent)</w:t>
            </w:r>
          </w:p>
        </w:tc>
        <w:tc>
          <w:tcPr>
            <w:tcW w:w="280" w:type="dxa"/>
            <w:vAlign w:val="bottom"/>
          </w:tcPr>
          <w:p>
            <w:pPr>
              <w:spacing w:after="0"/>
              <w:rPr>
                <w:sz w:val="15"/>
                <w:szCs w:val="15"/>
                <w:color w:val="auto"/>
              </w:rPr>
            </w:pPr>
          </w:p>
        </w:tc>
        <w:tc>
          <w:tcPr>
            <w:tcW w:w="7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88"/>
              </w:rPr>
              <w:t>Co-Issuers</w:t>
            </w: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0"/>
              </w:rPr>
              <w:t>Guarantors</w:t>
            </w:r>
          </w:p>
        </w:tc>
        <w:tc>
          <w:tcPr>
            <w:tcW w:w="280" w:type="dxa"/>
            <w:vAlign w:val="bottom"/>
          </w:tcPr>
          <w:p>
            <w:pPr>
              <w:spacing w:after="0"/>
              <w:rPr>
                <w:sz w:val="15"/>
                <w:szCs w:val="15"/>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0"/>
              </w:rPr>
              <w:t>Guarantors</w:t>
            </w: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w w:val="86"/>
              </w:rPr>
              <w:t>Eliminations</w:t>
            </w: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w w:val="85"/>
              </w:rPr>
              <w:t>Consolidated</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340" w:type="dxa"/>
            <w:vAlign w:val="bottom"/>
            <w:shd w:val="clear" w:color="auto" w:fill="CCEEFF"/>
          </w:tcPr>
          <w:p>
            <w:pPr>
              <w:spacing w:after="0"/>
              <w:rPr>
                <w:sz w:val="20"/>
                <w:szCs w:val="20"/>
                <w:color w:val="auto"/>
              </w:rPr>
            </w:pPr>
            <w:r>
              <w:rPr>
                <w:rFonts w:ascii="Arial" w:cs="Arial" w:eastAsia="Arial" w:hAnsi="Arial"/>
                <w:sz w:val="18"/>
                <w:szCs w:val="18"/>
                <w:color w:val="auto"/>
              </w:rPr>
              <w:t>Net sales</w:t>
            </w: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12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$ 397,823</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$ 200,385</w:t>
            </w:r>
          </w:p>
        </w:tc>
        <w:tc>
          <w:tcPr>
            <w:tcW w:w="160" w:type="dxa"/>
            <w:vAlign w:val="bottom"/>
            <w:shd w:val="clear" w:color="auto" w:fill="CCEEFF"/>
          </w:tcPr>
          <w:p>
            <w:pPr>
              <w:spacing w:after="0"/>
              <w:rPr>
                <w:sz w:val="18"/>
                <w:szCs w:val="18"/>
                <w:color w:val="auto"/>
              </w:rPr>
            </w:pPr>
          </w:p>
        </w:tc>
        <w:tc>
          <w:tcPr>
            <w:tcW w:w="2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8"/>
              </w:rPr>
              <w:t>(187,452)</w:t>
            </w:r>
          </w:p>
        </w:tc>
        <w:tc>
          <w:tcPr>
            <w:tcW w:w="22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w w:val="9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410,756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tcPr>
          <w:p>
            <w:pPr>
              <w:spacing w:after="0"/>
              <w:rPr>
                <w:sz w:val="20"/>
                <w:szCs w:val="20"/>
                <w:color w:val="auto"/>
              </w:rPr>
            </w:pPr>
            <w:r>
              <w:rPr>
                <w:rFonts w:ascii="Arial" w:cs="Arial" w:eastAsia="Arial" w:hAnsi="Arial"/>
                <w:sz w:val="18"/>
                <w:szCs w:val="18"/>
                <w:color w:val="auto"/>
              </w:rPr>
              <w:t>Cost of sales</w:t>
            </w:r>
          </w:p>
        </w:tc>
        <w:tc>
          <w:tcPr>
            <w:tcW w:w="80" w:type="dxa"/>
            <w:vAlign w:val="bottom"/>
          </w:tcPr>
          <w:p>
            <w:pPr>
              <w:spacing w:after="0"/>
              <w:rPr>
                <w:sz w:val="18"/>
                <w:szCs w:val="18"/>
                <w:color w:val="auto"/>
              </w:rPr>
            </w:pPr>
          </w:p>
        </w:tc>
        <w:tc>
          <w:tcPr>
            <w:tcW w:w="800" w:type="dxa"/>
            <w:vAlign w:val="bottom"/>
          </w:tcPr>
          <w:p>
            <w:pPr>
              <w:jc w:val="right"/>
              <w:ind w:right="15"/>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346,877</w:t>
            </w:r>
          </w:p>
        </w:tc>
        <w:tc>
          <w:tcPr>
            <w:tcW w:w="2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185,853</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w w:val="88"/>
              </w:rPr>
              <w:t>(182,573)</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98"/>
              </w:rPr>
              <w:t>350,157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3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4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50,946</w:t>
            </w:r>
          </w:p>
        </w:tc>
        <w:tc>
          <w:tcPr>
            <w:tcW w:w="2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14,532</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(4,879)</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60,599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5360" w:type="dxa"/>
            <w:vAlign w:val="bottom"/>
            <w:gridSpan w:val="2"/>
          </w:tcPr>
          <w:p>
            <w:pPr>
              <w:spacing w:after="0"/>
              <w:rPr>
                <w:sz w:val="20"/>
                <w:szCs w:val="20"/>
                <w:color w:val="auto"/>
              </w:rPr>
            </w:pPr>
            <w:r>
              <w:rPr>
                <w:rFonts w:ascii="Arial" w:cs="Arial" w:eastAsia="Arial" w:hAnsi="Arial"/>
                <w:sz w:val="18"/>
                <w:szCs w:val="18"/>
                <w:color w:val="auto"/>
              </w:rPr>
              <w:t>Selling, general and administrative expenses</w:t>
            </w:r>
          </w:p>
        </w:tc>
        <w:tc>
          <w:tcPr>
            <w:tcW w:w="8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68</w:t>
            </w:r>
          </w:p>
        </w:tc>
        <w:tc>
          <w:tcPr>
            <w:tcW w:w="2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517</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37,772</w:t>
            </w:r>
          </w:p>
        </w:tc>
        <w:tc>
          <w:tcPr>
            <w:tcW w:w="280" w:type="dxa"/>
            <w:vAlign w:val="bottom"/>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5,199</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43,556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34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 expenses</w:t>
            </w: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12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62,745</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6,985</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(5,878)</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63,852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340" w:type="dxa"/>
            <w:vAlign w:val="bottom"/>
          </w:tcPr>
          <w:p>
            <w:pPr>
              <w:spacing w:after="0"/>
              <w:rPr>
                <w:sz w:val="20"/>
                <w:szCs w:val="20"/>
                <w:color w:val="auto"/>
              </w:rPr>
            </w:pPr>
            <w:r>
              <w:rPr>
                <w:rFonts w:ascii="Arial" w:cs="Arial" w:eastAsia="Arial" w:hAnsi="Arial"/>
                <w:sz w:val="18"/>
                <w:szCs w:val="18"/>
                <w:color w:val="auto"/>
              </w:rPr>
              <w:t>Restructuring and Impairment charges</w:t>
            </w:r>
          </w:p>
        </w:tc>
        <w:tc>
          <w:tcPr>
            <w:tcW w:w="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93,459</w:t>
            </w:r>
          </w:p>
        </w:tc>
        <w:tc>
          <w:tcPr>
            <w:tcW w:w="280" w:type="dxa"/>
            <w:vAlign w:val="bottom"/>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225</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93,684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 (loss)</w:t>
            </w: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(68)</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(517)</w:t>
            </w:r>
          </w:p>
        </w:tc>
        <w:tc>
          <w:tcPr>
            <w:tcW w:w="112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(143,030)</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2,123</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999</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0"/>
              </w:rPr>
              <w:t>(140,493)</w:t>
            </w:r>
          </w:p>
        </w:tc>
        <w:tc>
          <w:tcPr>
            <w:tcW w:w="0" w:type="dxa"/>
            <w:vAlign w:val="bottom"/>
          </w:tcPr>
          <w:p>
            <w:pPr>
              <w:spacing w:after="0"/>
              <w:rPr>
                <w:sz w:val="1"/>
                <w:szCs w:val="1"/>
                <w:color w:val="auto"/>
              </w:rPr>
            </w:pPr>
          </w:p>
        </w:tc>
      </w:tr>
      <w:tr>
        <w:trPr>
          <w:trHeight w:val="20"/>
        </w:trPr>
        <w:tc>
          <w:tcPr>
            <w:tcW w:w="5360" w:type="dxa"/>
            <w:vAlign w:val="bottom"/>
            <w:gridSpan w:val="2"/>
            <w:vMerge w:val="restart"/>
          </w:tcPr>
          <w:p>
            <w:pPr>
              <w:spacing w:after="0"/>
              <w:rPr>
                <w:sz w:val="20"/>
                <w:szCs w:val="20"/>
                <w:color w:val="auto"/>
              </w:rPr>
            </w:pPr>
            <w:r>
              <w:rPr>
                <w:rFonts w:ascii="Arial" w:cs="Arial" w:eastAsia="Arial" w:hAnsi="Arial"/>
                <w:sz w:val="18"/>
                <w:szCs w:val="18"/>
                <w:color w:val="auto"/>
              </w:rPr>
              <w:t>Other income (expenses)</w:t>
            </w:r>
          </w:p>
        </w:tc>
        <w:tc>
          <w:tcPr>
            <w:tcW w:w="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5360" w:type="dxa"/>
            <w:vAlign w:val="bottom"/>
            <w:gridSpan w:val="2"/>
            <w:vMerge w:val="continue"/>
          </w:tcPr>
          <w:p>
            <w:pPr>
              <w:spacing w:after="0"/>
              <w:rPr>
                <w:sz w:val="20"/>
                <w:szCs w:val="20"/>
                <w:color w:val="auto"/>
              </w:rPr>
            </w:pPr>
          </w:p>
        </w:tc>
        <w:tc>
          <w:tcPr>
            <w:tcW w:w="80" w:type="dxa"/>
            <w:vAlign w:val="bottom"/>
          </w:tcPr>
          <w:p>
            <w:pPr>
              <w:spacing w:after="0"/>
              <w:rPr>
                <w:sz w:val="20"/>
                <w:szCs w:val="20"/>
                <w:color w:val="auto"/>
              </w:rPr>
            </w:pPr>
          </w:p>
        </w:tc>
        <w:tc>
          <w:tcPr>
            <w:tcW w:w="800" w:type="dxa"/>
            <w:vAlign w:val="bottom"/>
          </w:tcPr>
          <w:p>
            <w:pPr>
              <w:jc w:val="right"/>
              <w:ind w:right="15"/>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10,421</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13,268</w:t>
            </w:r>
          </w:p>
        </w:tc>
        <w:tc>
          <w:tcPr>
            <w:tcW w:w="280" w:type="dxa"/>
            <w:vAlign w:val="bottom"/>
          </w:tcPr>
          <w:p>
            <w:pPr>
              <w:spacing w:after="0"/>
              <w:rPr>
                <w:sz w:val="20"/>
                <w:szCs w:val="20"/>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(14,017)</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9,672</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340" w:type="dxa"/>
            <w:vAlign w:val="bottom"/>
            <w:shd w:val="clear" w:color="auto" w:fill="CCEEFF"/>
          </w:tcPr>
          <w:p>
            <w:pPr>
              <w:spacing w:after="0"/>
              <w:rPr>
                <w:sz w:val="20"/>
                <w:szCs w:val="20"/>
                <w:color w:val="auto"/>
              </w:rPr>
            </w:pPr>
            <w:r>
              <w:rPr>
                <w:rFonts w:ascii="Arial" w:cs="Arial" w:eastAsia="Arial" w:hAnsi="Arial"/>
                <w:sz w:val="18"/>
                <w:szCs w:val="18"/>
                <w:color w:val="auto"/>
              </w:rPr>
              <w:t>Income (loss) before income taxes, equity in loss of related equity</w:t>
            </w:r>
          </w:p>
        </w:tc>
        <w:tc>
          <w:tcPr>
            <w:tcW w:w="8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53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investment</w:t>
            </w:r>
          </w:p>
        </w:tc>
        <w:tc>
          <w:tcPr>
            <w:tcW w:w="8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(68)</w:t>
            </w: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9,904</w:t>
            </w:r>
          </w:p>
        </w:tc>
        <w:tc>
          <w:tcPr>
            <w:tcW w:w="180" w:type="dxa"/>
            <w:vAlign w:val="bottom"/>
            <w:shd w:val="clear" w:color="auto" w:fill="CCEEFF"/>
          </w:tcPr>
          <w:p>
            <w:pPr>
              <w:spacing w:after="0"/>
              <w:rPr>
                <w:sz w:val="19"/>
                <w:szCs w:val="19"/>
                <w:color w:val="auto"/>
              </w:rPr>
            </w:pPr>
          </w:p>
        </w:tc>
        <w:tc>
          <w:tcPr>
            <w:tcW w:w="112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(129,762)</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(11,894)</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999</w:t>
            </w: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0"/>
              </w:rPr>
              <w:t>(130,821)</w:t>
            </w:r>
          </w:p>
        </w:tc>
        <w:tc>
          <w:tcPr>
            <w:tcW w:w="0" w:type="dxa"/>
            <w:vAlign w:val="bottom"/>
          </w:tcPr>
          <w:p>
            <w:pPr>
              <w:spacing w:after="0"/>
              <w:rPr>
                <w:sz w:val="1"/>
                <w:szCs w:val="1"/>
                <w:color w:val="auto"/>
              </w:rPr>
            </w:pPr>
          </w:p>
        </w:tc>
      </w:tr>
      <w:tr>
        <w:trPr>
          <w:trHeight w:val="230"/>
        </w:trPr>
        <w:tc>
          <w:tcPr>
            <w:tcW w:w="5360" w:type="dxa"/>
            <w:vAlign w:val="bottom"/>
            <w:gridSpan w:val="2"/>
          </w:tcPr>
          <w:p>
            <w:pPr>
              <w:spacing w:after="0"/>
              <w:rPr>
                <w:sz w:val="20"/>
                <w:szCs w:val="20"/>
                <w:color w:val="auto"/>
              </w:rPr>
            </w:pPr>
            <w:r>
              <w:rPr>
                <w:rFonts w:ascii="Arial" w:cs="Arial" w:eastAsia="Arial" w:hAnsi="Arial"/>
                <w:sz w:val="18"/>
                <w:szCs w:val="18"/>
                <w:color w:val="auto"/>
              </w:rPr>
              <w:t>Income tax expenses</w:t>
            </w:r>
          </w:p>
        </w:tc>
        <w:tc>
          <w:tcPr>
            <w:tcW w:w="80" w:type="dxa"/>
            <w:vAlign w:val="bottom"/>
            <w:tcBorders>
              <w:top w:val="single" w:sz="8" w:color="auto"/>
              <w:bottom w:val="single" w:sz="8" w:color="auto"/>
            </w:tcBorders>
          </w:tcPr>
          <w:p>
            <w:pPr>
              <w:spacing w:after="0"/>
              <w:rPr>
                <w:sz w:val="20"/>
                <w:szCs w:val="20"/>
                <w:color w:val="auto"/>
              </w:rPr>
            </w:pPr>
          </w:p>
        </w:tc>
        <w:tc>
          <w:tcPr>
            <w:tcW w:w="800" w:type="dxa"/>
            <w:vAlign w:val="bottom"/>
            <w:tcBorders>
              <w:top w:val="single" w:sz="8" w:color="auto"/>
              <w:bottom w:val="single" w:sz="8" w:color="auto"/>
            </w:tcBorders>
          </w:tcPr>
          <w:p>
            <w:pPr>
              <w:jc w:val="right"/>
              <w:ind w:right="15"/>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82</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0"/>
                <w:szCs w:val="20"/>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5,051</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5,133</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shd w:val="clear" w:color="auto" w:fill="CCEEFF"/>
          </w:tcPr>
          <w:p>
            <w:pPr>
              <w:spacing w:after="0"/>
              <w:rPr>
                <w:sz w:val="20"/>
                <w:szCs w:val="20"/>
                <w:color w:val="auto"/>
              </w:rPr>
            </w:pPr>
            <w:r>
              <w:rPr>
                <w:rFonts w:ascii="Arial" w:cs="Arial" w:eastAsia="Arial" w:hAnsi="Arial"/>
                <w:sz w:val="18"/>
                <w:szCs w:val="18"/>
                <w:color w:val="auto"/>
              </w:rPr>
              <w:t>Income (loss) before equity in loss of related Investment</w:t>
            </w: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(68)</w:t>
            </w: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9,822</w:t>
            </w:r>
          </w:p>
        </w:tc>
        <w:tc>
          <w:tcPr>
            <w:tcW w:w="18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(129,762)</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(16,945)</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999</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0"/>
              </w:rPr>
              <w:t>(135,954)</w:t>
            </w:r>
          </w:p>
        </w:tc>
        <w:tc>
          <w:tcPr>
            <w:tcW w:w="0" w:type="dxa"/>
            <w:vAlign w:val="bottom"/>
          </w:tcPr>
          <w:p>
            <w:pPr>
              <w:spacing w:after="0"/>
              <w:rPr>
                <w:sz w:val="1"/>
                <w:szCs w:val="1"/>
                <w:color w:val="auto"/>
              </w:rPr>
            </w:pPr>
          </w:p>
        </w:tc>
      </w:tr>
      <w:tr>
        <w:trPr>
          <w:trHeight w:val="20"/>
        </w:trPr>
        <w:tc>
          <w:tcPr>
            <w:tcW w:w="5360" w:type="dxa"/>
            <w:vAlign w:val="bottom"/>
            <w:gridSpan w:val="2"/>
            <w:vMerge w:val="restart"/>
          </w:tcPr>
          <w:p>
            <w:pPr>
              <w:spacing w:after="0"/>
              <w:rPr>
                <w:sz w:val="20"/>
                <w:szCs w:val="20"/>
                <w:color w:val="auto"/>
              </w:rPr>
            </w:pPr>
            <w:r>
              <w:rPr>
                <w:rFonts w:ascii="Arial" w:cs="Arial" w:eastAsia="Arial" w:hAnsi="Arial"/>
                <w:sz w:val="18"/>
                <w:szCs w:val="18"/>
                <w:color w:val="auto"/>
              </w:rPr>
              <w:t>Loss of related investment</w:t>
            </w:r>
          </w:p>
        </w:tc>
        <w:tc>
          <w:tcPr>
            <w:tcW w:w="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5360" w:type="dxa"/>
            <w:vAlign w:val="bottom"/>
            <w:gridSpan w:val="2"/>
            <w:vMerge w:val="continue"/>
          </w:tcPr>
          <w:p>
            <w:pPr>
              <w:spacing w:after="0"/>
              <w:rPr>
                <w:sz w:val="19"/>
                <w:szCs w:val="19"/>
                <w:color w:val="auto"/>
              </w:rPr>
            </w:pPr>
          </w:p>
        </w:tc>
        <w:tc>
          <w:tcPr>
            <w:tcW w:w="80" w:type="dxa"/>
            <w:vAlign w:val="bottom"/>
          </w:tcPr>
          <w:p>
            <w:pPr>
              <w:spacing w:after="0"/>
              <w:rPr>
                <w:sz w:val="19"/>
                <w:szCs w:val="19"/>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(135,886)</w:t>
            </w:r>
          </w:p>
        </w:tc>
        <w:tc>
          <w:tcPr>
            <w:tcW w:w="100" w:type="dxa"/>
            <w:vAlign w:val="bottom"/>
          </w:tcPr>
          <w:p>
            <w:pPr>
              <w:spacing w:after="0"/>
              <w:rPr>
                <w:sz w:val="19"/>
                <w:szCs w:val="19"/>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w w:val="85"/>
              </w:rPr>
              <w:t>(144,867)</w:t>
            </w:r>
          </w:p>
        </w:tc>
        <w:tc>
          <w:tcPr>
            <w:tcW w:w="120" w:type="dxa"/>
            <w:vAlign w:val="bottom"/>
          </w:tcPr>
          <w:p>
            <w:pPr>
              <w:spacing w:after="0"/>
              <w:rPr>
                <w:sz w:val="19"/>
                <w:szCs w:val="19"/>
                <w:color w:val="auto"/>
              </w:rPr>
            </w:pPr>
          </w:p>
        </w:tc>
        <w:tc>
          <w:tcPr>
            <w:tcW w:w="100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(130,138)</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410,891</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53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4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(135,954)</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5"/>
              </w:rPr>
              <w:t>(135,045)</w:t>
            </w:r>
          </w:p>
        </w:tc>
        <w:tc>
          <w:tcPr>
            <w:tcW w:w="2020" w:type="dxa"/>
            <w:vAlign w:val="bottom"/>
            <w:gridSpan w:val="5"/>
            <w:shd w:val="clear" w:color="auto" w:fill="CCEEFF"/>
          </w:tcPr>
          <w:p>
            <w:pPr>
              <w:jc w:val="right"/>
              <w:ind w:right="10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 xml:space="preserve">(129,762)   </w:t>
            </w:r>
            <w:r>
              <w:rPr>
                <w:rFonts w:ascii="Arial" w:cs="Arial" w:eastAsia="Arial" w:hAnsi="Arial"/>
                <w:sz w:val="18"/>
                <w:szCs w:val="18"/>
                <w:u w:val="single" w:color="auto"/>
                <w:color w:val="auto"/>
              </w:rPr>
              <w:t>$</w:t>
            </w:r>
            <w:r>
              <w:rPr>
                <w:rFonts w:ascii="Arial" w:cs="Arial" w:eastAsia="Arial" w:hAnsi="Arial"/>
                <w:sz w:val="18"/>
                <w:szCs w:val="18"/>
                <w:color w:val="auto"/>
              </w:rPr>
              <w:t>(147,083)</w:t>
            </w:r>
          </w:p>
        </w:tc>
        <w:tc>
          <w:tcPr>
            <w:tcW w:w="2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411,890</w:t>
            </w:r>
          </w:p>
        </w:tc>
        <w:tc>
          <w:tcPr>
            <w:tcW w:w="180" w:type="dxa"/>
            <w:vAlign w:val="bottom"/>
            <w:shd w:val="clear" w:color="auto" w:fill="CCEEFF"/>
          </w:tcPr>
          <w:p>
            <w:pPr>
              <w:spacing w:after="0"/>
              <w:rPr>
                <w:sz w:val="18"/>
                <w:szCs w:val="18"/>
                <w:color w:val="auto"/>
              </w:rPr>
            </w:pPr>
          </w:p>
        </w:tc>
        <w:tc>
          <w:tcPr>
            <w:tcW w:w="22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w w:val="99"/>
              </w:rPr>
              <w:t>$</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0"/>
              </w:rPr>
              <w:t>(135,954)</w:t>
            </w:r>
          </w:p>
        </w:tc>
        <w:tc>
          <w:tcPr>
            <w:tcW w:w="0" w:type="dxa"/>
            <w:vAlign w:val="bottom"/>
          </w:tcPr>
          <w:p>
            <w:pPr>
              <w:spacing w:after="0"/>
              <w:rPr>
                <w:sz w:val="1"/>
                <w:szCs w:val="1"/>
                <w:color w:val="auto"/>
              </w:rPr>
            </w:pPr>
          </w:p>
        </w:tc>
      </w:tr>
      <w:tr>
        <w:trPr>
          <w:trHeight w:val="20"/>
        </w:trPr>
        <w:tc>
          <w:tcPr>
            <w:tcW w:w="5360" w:type="dxa"/>
            <w:vAlign w:val="bottom"/>
            <w:gridSpan w:val="2"/>
            <w:vMerge w:val="restart"/>
          </w:tcPr>
          <w:p>
            <w:pPr>
              <w:spacing w:after="0"/>
              <w:rPr>
                <w:sz w:val="20"/>
                <w:szCs w:val="20"/>
                <w:color w:val="auto"/>
              </w:rPr>
            </w:pPr>
            <w:r>
              <w:rPr>
                <w:rFonts w:ascii="Arial" w:cs="Arial" w:eastAsia="Arial" w:hAnsi="Arial"/>
                <w:sz w:val="18"/>
                <w:szCs w:val="18"/>
                <w:color w:val="auto"/>
              </w:rPr>
              <w:t>Dividends accrued on preferred units</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5360" w:type="dxa"/>
            <w:vAlign w:val="bottom"/>
            <w:gridSpan w:val="2"/>
            <w:vMerge w:val="continue"/>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5,339</w:t>
            </w:r>
          </w:p>
        </w:tc>
        <w:tc>
          <w:tcPr>
            <w:tcW w:w="2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74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5,339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shd w:val="clear" w:color="auto" w:fill="CCEEFF"/>
          </w:tcPr>
          <w:p>
            <w:pPr>
              <w:spacing w:after="0"/>
              <w:rPr>
                <w:sz w:val="20"/>
                <w:szCs w:val="20"/>
                <w:color w:val="auto"/>
              </w:rPr>
            </w:pPr>
            <w:r>
              <w:rPr>
                <w:rFonts w:ascii="Arial" w:cs="Arial" w:eastAsia="Arial" w:hAnsi="Arial"/>
                <w:sz w:val="18"/>
                <w:szCs w:val="18"/>
                <w:color w:val="auto"/>
              </w:rPr>
              <w:t>Net loss attributable to common units</w:t>
            </w: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(141,293)</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5"/>
              </w:rPr>
              <w:t>(135,045)</w:t>
            </w:r>
          </w:p>
        </w:tc>
        <w:tc>
          <w:tcPr>
            <w:tcW w:w="112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(129,762)</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(147,083)</w:t>
            </w:r>
          </w:p>
        </w:tc>
        <w:tc>
          <w:tcPr>
            <w:tcW w:w="2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411,890</w:t>
            </w:r>
          </w:p>
        </w:tc>
        <w:tc>
          <w:tcPr>
            <w:tcW w:w="180" w:type="dxa"/>
            <w:vAlign w:val="bottom"/>
            <w:shd w:val="clear" w:color="auto" w:fill="CCEEFF"/>
          </w:tcPr>
          <w:p>
            <w:pPr>
              <w:spacing w:after="0"/>
              <w:rPr>
                <w:sz w:val="18"/>
                <w:szCs w:val="18"/>
                <w:color w:val="auto"/>
              </w:rPr>
            </w:pPr>
          </w:p>
        </w:tc>
        <w:tc>
          <w:tcPr>
            <w:tcW w:w="22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w w:val="99"/>
              </w:rPr>
              <w:t>$</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0"/>
              </w:rPr>
              <w:t>(141,293)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20" w:type="dxa"/>
            <w:vAlign w:val="bottom"/>
          </w:tcPr>
          <w:p>
            <w:pPr>
              <w:spacing w:after="0"/>
              <w:rPr>
                <w:sz w:val="24"/>
                <w:szCs w:val="24"/>
                <w:color w:val="auto"/>
              </w:rPr>
            </w:pPr>
          </w:p>
        </w:tc>
        <w:tc>
          <w:tcPr>
            <w:tcW w:w="5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0" w:type="dxa"/>
            <w:vAlign w:val="bottom"/>
          </w:tcPr>
          <w:p>
            <w:pPr>
              <w:jc w:val="right"/>
              <w:ind w:right="355"/>
              <w:spacing w:after="0"/>
              <w:rPr>
                <w:sz w:val="20"/>
                <w:szCs w:val="20"/>
                <w:color w:val="auto"/>
              </w:rPr>
            </w:pPr>
            <w:r>
              <w:rPr>
                <w:rFonts w:ascii="Arial" w:cs="Arial" w:eastAsia="Arial" w:hAnsi="Arial"/>
                <w:sz w:val="18"/>
                <w:szCs w:val="18"/>
                <w:color w:val="auto"/>
              </w:rPr>
              <w:t>17</w:t>
            </w: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MagnaChip Semiconductor LLC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tabular dollars in thousands, except unit data)</w:t>
      </w:r>
    </w:p>
    <w:p>
      <w:pPr>
        <w:spacing w:after="0" w:line="1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Statement of Operations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three months ended July 3, 2005</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w w:val="87"/>
              </w:rPr>
              <w:t>MagnaChip</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520" w:type="dxa"/>
            <w:vAlign w:val="bottom"/>
          </w:tcPr>
          <w:p>
            <w:pPr>
              <w:spacing w:after="0"/>
              <w:rPr>
                <w:sz w:val="12"/>
                <w:szCs w:val="12"/>
                <w:color w:val="auto"/>
              </w:rPr>
            </w:pPr>
          </w:p>
        </w:tc>
        <w:tc>
          <w:tcPr>
            <w:tcW w:w="106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Semiconductor</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gridSpan w:val="2"/>
          </w:tcPr>
          <w:p>
            <w:pPr>
              <w:jc w:val="right"/>
              <w:ind w:right="480"/>
              <w:spacing w:after="0" w:line="149" w:lineRule="exact"/>
              <w:rPr>
                <w:sz w:val="20"/>
                <w:szCs w:val="20"/>
                <w:color w:val="auto"/>
              </w:rPr>
            </w:pPr>
            <w:r>
              <w:rPr>
                <w:rFonts w:ascii="Arial" w:cs="Arial" w:eastAsia="Arial" w:hAnsi="Arial"/>
                <w:sz w:val="14"/>
                <w:szCs w:val="14"/>
                <w:b w:val="1"/>
                <w:bCs w:val="1"/>
                <w:color w:val="auto"/>
              </w:rPr>
              <w:t>LLC</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gridSpan w:val="2"/>
          </w:tcPr>
          <w:p>
            <w:pPr>
              <w:jc w:val="right"/>
              <w:ind w:right="480"/>
              <w:spacing w:after="0" w:line="149" w:lineRule="exact"/>
              <w:rPr>
                <w:sz w:val="20"/>
                <w:szCs w:val="20"/>
                <w:color w:val="auto"/>
              </w:rPr>
            </w:pPr>
            <w:r>
              <w:rPr>
                <w:rFonts w:ascii="Arial" w:cs="Arial" w:eastAsia="Arial" w:hAnsi="Arial"/>
                <w:sz w:val="14"/>
                <w:szCs w:val="14"/>
                <w:b w:val="1"/>
                <w:bCs w:val="1"/>
                <w:color w:val="auto"/>
              </w:rPr>
              <w:t>Non-</w:t>
            </w: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5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jc w:val="right"/>
              <w:ind w:right="116"/>
              <w:spacing w:after="0"/>
              <w:rPr>
                <w:sz w:val="20"/>
                <w:szCs w:val="20"/>
                <w:color w:val="auto"/>
              </w:rPr>
            </w:pPr>
            <w:r>
              <w:rPr>
                <w:rFonts w:ascii="Arial" w:cs="Arial" w:eastAsia="Arial" w:hAnsi="Arial"/>
                <w:sz w:val="14"/>
                <w:szCs w:val="14"/>
                <w:b w:val="1"/>
                <w:bCs w:val="1"/>
                <w:color w:val="auto"/>
              </w:rPr>
              <w:t>(Parent)</w:t>
            </w: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gridSpan w:val="2"/>
          </w:tcPr>
          <w:p>
            <w:pPr>
              <w:ind w:left="20"/>
              <w:spacing w:after="0"/>
              <w:rPr>
                <w:sz w:val="20"/>
                <w:szCs w:val="20"/>
                <w:color w:val="auto"/>
              </w:rPr>
            </w:pPr>
            <w:r>
              <w:rPr>
                <w:rFonts w:ascii="Arial" w:cs="Arial" w:eastAsia="Arial" w:hAnsi="Arial"/>
                <w:sz w:val="14"/>
                <w:szCs w:val="14"/>
                <w:b w:val="1"/>
                <w:bCs w:val="1"/>
                <w:color w:val="auto"/>
                <w:w w:val="85"/>
              </w:rPr>
              <w:t>Co-Issuers</w:t>
            </w:r>
          </w:p>
        </w:tc>
        <w:tc>
          <w:tcPr>
            <w:tcW w:w="160" w:type="dxa"/>
            <w:vAlign w:val="bottom"/>
          </w:tcPr>
          <w:p>
            <w:pPr>
              <w:spacing w:after="0"/>
              <w:rPr>
                <w:sz w:val="15"/>
                <w:szCs w:val="15"/>
                <w:color w:val="auto"/>
              </w:rPr>
            </w:pPr>
          </w:p>
        </w:tc>
        <w:tc>
          <w:tcPr>
            <w:tcW w:w="1080" w:type="dxa"/>
            <w:vAlign w:val="bottom"/>
            <w:gridSpan w:val="3"/>
          </w:tcPr>
          <w:p>
            <w:pPr>
              <w:jc w:val="right"/>
              <w:ind w:right="280"/>
              <w:spacing w:after="0"/>
              <w:rPr>
                <w:sz w:val="20"/>
                <w:szCs w:val="20"/>
                <w:color w:val="auto"/>
              </w:rPr>
            </w:pPr>
            <w:r>
              <w:rPr>
                <w:rFonts w:ascii="Arial" w:cs="Arial" w:eastAsia="Arial" w:hAnsi="Arial"/>
                <w:sz w:val="14"/>
                <w:szCs w:val="14"/>
                <w:b w:val="1"/>
                <w:bCs w:val="1"/>
                <w:color w:val="auto"/>
              </w:rPr>
              <w:t>Guarantors</w:t>
            </w:r>
          </w:p>
        </w:tc>
        <w:tc>
          <w:tcPr>
            <w:tcW w:w="84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w w:val="87"/>
              </w:rPr>
              <w:t>Guarantors</w:t>
            </w:r>
          </w:p>
        </w:tc>
        <w:tc>
          <w:tcPr>
            <w:tcW w:w="120" w:type="dxa"/>
            <w:vAlign w:val="bottom"/>
          </w:tcPr>
          <w:p>
            <w:pPr>
              <w:spacing w:after="0"/>
              <w:rPr>
                <w:sz w:val="15"/>
                <w:szCs w:val="15"/>
                <w:color w:val="auto"/>
              </w:rPr>
            </w:pPr>
          </w:p>
        </w:tc>
        <w:tc>
          <w:tcPr>
            <w:tcW w:w="920" w:type="dxa"/>
            <w:vAlign w:val="bottom"/>
            <w:gridSpan w:val="3"/>
          </w:tcPr>
          <w:p>
            <w:pPr>
              <w:spacing w:after="0"/>
              <w:rPr>
                <w:sz w:val="20"/>
                <w:szCs w:val="20"/>
                <w:color w:val="auto"/>
              </w:rPr>
            </w:pPr>
            <w:r>
              <w:rPr>
                <w:rFonts w:ascii="Arial" w:cs="Arial" w:eastAsia="Arial" w:hAnsi="Arial"/>
                <w:sz w:val="14"/>
                <w:szCs w:val="14"/>
                <w:b w:val="1"/>
                <w:bCs w:val="1"/>
                <w:color w:val="auto"/>
              </w:rPr>
              <w:t>Eliminations</w:t>
            </w:r>
          </w:p>
        </w:tc>
        <w:tc>
          <w:tcPr>
            <w:tcW w:w="100" w:type="dxa"/>
            <w:vAlign w:val="bottom"/>
          </w:tcPr>
          <w:p>
            <w:pPr>
              <w:spacing w:after="0"/>
              <w:rPr>
                <w:sz w:val="15"/>
                <w:szCs w:val="15"/>
                <w:color w:val="auto"/>
              </w:rPr>
            </w:pPr>
          </w:p>
        </w:tc>
        <w:tc>
          <w:tcPr>
            <w:tcW w:w="840" w:type="dxa"/>
            <w:vAlign w:val="bottom"/>
            <w:gridSpan w:val="3"/>
          </w:tcPr>
          <w:p>
            <w:pPr>
              <w:spacing w:after="0"/>
              <w:rPr>
                <w:sz w:val="20"/>
                <w:szCs w:val="20"/>
                <w:color w:val="auto"/>
              </w:rPr>
            </w:pPr>
            <w:r>
              <w:rPr>
                <w:rFonts w:ascii="Arial" w:cs="Arial" w:eastAsia="Arial" w:hAnsi="Arial"/>
                <w:sz w:val="14"/>
                <w:szCs w:val="14"/>
                <w:b w:val="1"/>
                <w:bCs w:val="1"/>
                <w:color w:val="auto"/>
                <w:w w:val="92"/>
              </w:rPr>
              <w:t>Consolidated</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55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5520" w:type="dxa"/>
            <w:vAlign w:val="bottom"/>
            <w:shd w:val="clear" w:color="auto" w:fill="CCEEFF"/>
          </w:tcPr>
          <w:p>
            <w:pPr>
              <w:spacing w:after="0"/>
              <w:rPr>
                <w:sz w:val="20"/>
                <w:szCs w:val="20"/>
                <w:color w:val="auto"/>
              </w:rPr>
            </w:pPr>
            <w:r>
              <w:rPr>
                <w:rFonts w:ascii="Arial" w:cs="Arial" w:eastAsia="Arial" w:hAnsi="Arial"/>
                <w:sz w:val="18"/>
                <w:szCs w:val="18"/>
                <w:color w:val="auto"/>
              </w:rPr>
              <w:t>Net sales</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$226,550</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$109,527</w:t>
            </w:r>
          </w:p>
        </w:tc>
        <w:tc>
          <w:tcPr>
            <w:tcW w:w="160" w:type="dxa"/>
            <w:vAlign w:val="bottom"/>
            <w:shd w:val="clear" w:color="auto" w:fill="CCEEFF"/>
          </w:tcPr>
          <w:p>
            <w:pPr>
              <w:spacing w:after="0"/>
              <w:rPr>
                <w:sz w:val="18"/>
                <w:szCs w:val="18"/>
                <w:color w:val="auto"/>
              </w:rPr>
            </w:pPr>
          </w:p>
        </w:tc>
        <w:tc>
          <w:tcPr>
            <w:tcW w:w="2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8"/>
              </w:rPr>
              <w:t>(100,054)</w:t>
            </w:r>
          </w:p>
        </w:tc>
        <w:tc>
          <w:tcPr>
            <w:tcW w:w="24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236,023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520" w:type="dxa"/>
            <w:vAlign w:val="bottom"/>
          </w:tcPr>
          <w:p>
            <w:pPr>
              <w:spacing w:after="0"/>
              <w:rPr>
                <w:sz w:val="20"/>
                <w:szCs w:val="20"/>
                <w:color w:val="auto"/>
              </w:rPr>
            </w:pPr>
            <w:r>
              <w:rPr>
                <w:rFonts w:ascii="Arial" w:cs="Arial" w:eastAsia="Arial" w:hAnsi="Arial"/>
                <w:sz w:val="18"/>
                <w:szCs w:val="18"/>
                <w:color w:val="auto"/>
              </w:rPr>
              <w:t>Cost of sales</w:t>
            </w:r>
          </w:p>
        </w:tc>
        <w:tc>
          <w:tcPr>
            <w:tcW w:w="1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171,005</w:t>
            </w:r>
          </w:p>
        </w:tc>
        <w:tc>
          <w:tcPr>
            <w:tcW w:w="2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104,776</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w w:val="88"/>
              </w:rPr>
              <w:t>(100,162)</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175,619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560" w:type="dxa"/>
            <w:vAlign w:val="bottom"/>
            <w:tcBorders>
              <w:top w:val="single" w:sz="8" w:color="auto"/>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55,545</w:t>
            </w:r>
          </w:p>
        </w:tc>
        <w:tc>
          <w:tcPr>
            <w:tcW w:w="280" w:type="dxa"/>
            <w:vAlign w:val="bottom"/>
            <w:shd w:val="clear" w:color="auto" w:fill="CCEEFF"/>
          </w:tcPr>
          <w:p>
            <w:pPr>
              <w:spacing w:after="0"/>
              <w:rPr>
                <w:sz w:val="18"/>
                <w:szCs w:val="18"/>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4,751</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108</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60,404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5540" w:type="dxa"/>
            <w:vAlign w:val="bottom"/>
            <w:gridSpan w:val="2"/>
          </w:tcPr>
          <w:p>
            <w:pPr>
              <w:spacing w:after="0"/>
              <w:rPr>
                <w:sz w:val="20"/>
                <w:szCs w:val="20"/>
                <w:color w:val="auto"/>
              </w:rPr>
            </w:pPr>
            <w:r>
              <w:rPr>
                <w:rFonts w:ascii="Arial" w:cs="Arial" w:eastAsia="Arial" w:hAnsi="Arial"/>
                <w:sz w:val="18"/>
                <w:szCs w:val="18"/>
                <w:color w:val="auto"/>
              </w:rPr>
              <w:t>Selling, general and administrative expenses</w:t>
            </w:r>
          </w:p>
        </w:tc>
        <w:tc>
          <w:tcPr>
            <w:tcW w:w="1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112</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366</w:t>
            </w:r>
          </w:p>
        </w:tc>
        <w:tc>
          <w:tcPr>
            <w:tcW w:w="160" w:type="dxa"/>
            <w:vAlign w:val="bottom"/>
          </w:tcPr>
          <w:p>
            <w:pPr>
              <w:spacing w:after="0"/>
              <w:rPr>
                <w:sz w:val="19"/>
                <w:szCs w:val="19"/>
                <w:color w:val="auto"/>
              </w:rPr>
            </w:pPr>
          </w:p>
        </w:tc>
        <w:tc>
          <w:tcPr>
            <w:tcW w:w="1080" w:type="dxa"/>
            <w:vAlign w:val="bottom"/>
            <w:gridSpan w:val="3"/>
          </w:tcPr>
          <w:p>
            <w:pPr>
              <w:jc w:val="right"/>
              <w:ind w:right="280"/>
              <w:spacing w:after="0"/>
              <w:rPr>
                <w:sz w:val="20"/>
                <w:szCs w:val="20"/>
                <w:color w:val="auto"/>
              </w:rPr>
            </w:pPr>
            <w:r>
              <w:rPr>
                <w:rFonts w:ascii="Arial" w:cs="Arial" w:eastAsia="Arial" w:hAnsi="Arial"/>
                <w:sz w:val="18"/>
                <w:szCs w:val="18"/>
                <w:color w:val="auto"/>
              </w:rPr>
              <w:t>25,413</w:t>
            </w:r>
          </w:p>
        </w:tc>
        <w:tc>
          <w:tcPr>
            <w:tcW w:w="680" w:type="dxa"/>
            <w:vAlign w:val="bottom"/>
          </w:tcPr>
          <w:p>
            <w:pPr>
              <w:jc w:val="right"/>
              <w:spacing w:after="0"/>
              <w:rPr>
                <w:sz w:val="20"/>
                <w:szCs w:val="20"/>
                <w:color w:val="auto"/>
              </w:rPr>
            </w:pPr>
            <w:r>
              <w:rPr>
                <w:rFonts w:ascii="Arial" w:cs="Arial" w:eastAsia="Arial" w:hAnsi="Arial"/>
                <w:sz w:val="18"/>
                <w:szCs w:val="18"/>
                <w:color w:val="auto"/>
              </w:rPr>
              <w:t>5,823</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804</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32,518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52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 expenses</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08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25,174</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3,118</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(804)</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27,488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520" w:type="dxa"/>
            <w:vAlign w:val="bottom"/>
          </w:tcPr>
          <w:p>
            <w:pPr>
              <w:spacing w:after="0"/>
              <w:rPr>
                <w:sz w:val="20"/>
                <w:szCs w:val="20"/>
                <w:color w:val="auto"/>
              </w:rPr>
            </w:pPr>
            <w:r>
              <w:rPr>
                <w:rFonts w:ascii="Arial" w:cs="Arial" w:eastAsia="Arial" w:hAnsi="Arial"/>
                <w:sz w:val="18"/>
                <w:szCs w:val="18"/>
                <w:color w:val="auto"/>
              </w:rPr>
              <w:t>Restructuring and impairment charges</w:t>
            </w:r>
          </w:p>
        </w:tc>
        <w:tc>
          <w:tcPr>
            <w:tcW w:w="1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8,720</w:t>
            </w:r>
          </w:p>
        </w:tc>
        <w:tc>
          <w:tcPr>
            <w:tcW w:w="280" w:type="dxa"/>
            <w:vAlign w:val="bottom"/>
          </w:tcPr>
          <w:p>
            <w:pPr>
              <w:spacing w:after="0"/>
              <w:rPr>
                <w:sz w:val="19"/>
                <w:szCs w:val="19"/>
                <w:color w:val="auto"/>
              </w:rPr>
            </w:pPr>
          </w:p>
        </w:tc>
        <w:tc>
          <w:tcPr>
            <w:tcW w:w="68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8,720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shd w:val="clear" w:color="auto" w:fill="CCEEFF"/>
          </w:tcPr>
          <w:p>
            <w:pPr>
              <w:spacing w:after="0"/>
              <w:rPr>
                <w:sz w:val="20"/>
                <w:szCs w:val="20"/>
                <w:color w:val="auto"/>
              </w:rPr>
            </w:pPr>
            <w:r>
              <w:rPr>
                <w:rFonts w:ascii="Arial" w:cs="Arial" w:eastAsia="Arial" w:hAnsi="Arial"/>
                <w:sz w:val="18"/>
                <w:szCs w:val="18"/>
                <w:color w:val="auto"/>
              </w:rPr>
              <w:t>Operating loss</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(112)</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(366)</w:t>
            </w:r>
          </w:p>
        </w:tc>
        <w:tc>
          <w:tcPr>
            <w:tcW w:w="108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(3,762)</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(4,190)</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(8,322)</w:t>
            </w:r>
          </w:p>
        </w:tc>
        <w:tc>
          <w:tcPr>
            <w:tcW w:w="0" w:type="dxa"/>
            <w:vAlign w:val="bottom"/>
          </w:tcPr>
          <w:p>
            <w:pPr>
              <w:spacing w:after="0"/>
              <w:rPr>
                <w:sz w:val="1"/>
                <w:szCs w:val="1"/>
                <w:color w:val="auto"/>
              </w:rPr>
            </w:pPr>
          </w:p>
        </w:tc>
      </w:tr>
      <w:tr>
        <w:trPr>
          <w:trHeight w:val="20"/>
        </w:trPr>
        <w:tc>
          <w:tcPr>
            <w:tcW w:w="5540" w:type="dxa"/>
            <w:vAlign w:val="bottom"/>
            <w:gridSpan w:val="2"/>
            <w:vMerge w:val="restart"/>
          </w:tcPr>
          <w:p>
            <w:pPr>
              <w:spacing w:after="0"/>
              <w:rPr>
                <w:sz w:val="20"/>
                <w:szCs w:val="20"/>
                <w:color w:val="auto"/>
              </w:rPr>
            </w:pPr>
            <w:r>
              <w:rPr>
                <w:rFonts w:ascii="Arial" w:cs="Arial" w:eastAsia="Arial" w:hAnsi="Arial"/>
                <w:sz w:val="18"/>
                <w:szCs w:val="18"/>
                <w:color w:val="auto"/>
              </w:rPr>
              <w:t>Other income (expenses)</w:t>
            </w: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5540" w:type="dxa"/>
            <w:vAlign w:val="bottom"/>
            <w:gridSpan w:val="2"/>
            <w:vMerge w:val="continue"/>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(8,667)</w:t>
            </w:r>
          </w:p>
        </w:tc>
        <w:tc>
          <w:tcPr>
            <w:tcW w:w="1080" w:type="dxa"/>
            <w:vAlign w:val="bottom"/>
            <w:gridSpan w:val="3"/>
          </w:tcPr>
          <w:p>
            <w:pPr>
              <w:jc w:val="right"/>
              <w:ind w:right="220"/>
              <w:spacing w:after="0"/>
              <w:rPr>
                <w:sz w:val="20"/>
                <w:szCs w:val="20"/>
                <w:color w:val="auto"/>
              </w:rPr>
            </w:pPr>
            <w:r>
              <w:rPr>
                <w:rFonts w:ascii="Arial" w:cs="Arial" w:eastAsia="Arial" w:hAnsi="Arial"/>
                <w:sz w:val="18"/>
                <w:szCs w:val="18"/>
                <w:color w:val="auto"/>
              </w:rPr>
              <w:t>(25,344)</w:t>
            </w:r>
          </w:p>
        </w:tc>
        <w:tc>
          <w:tcPr>
            <w:tcW w:w="680" w:type="dxa"/>
            <w:vAlign w:val="bottom"/>
          </w:tcPr>
          <w:p>
            <w:pPr>
              <w:jc w:val="right"/>
              <w:spacing w:after="0"/>
              <w:rPr>
                <w:sz w:val="20"/>
                <w:szCs w:val="20"/>
                <w:color w:val="auto"/>
              </w:rPr>
            </w:pPr>
            <w:r>
              <w:rPr>
                <w:rFonts w:ascii="Arial" w:cs="Arial" w:eastAsia="Arial" w:hAnsi="Arial"/>
                <w:sz w:val="18"/>
                <w:szCs w:val="18"/>
                <w:color w:val="auto"/>
              </w:rPr>
              <w:t>7,223</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(26,786)</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520" w:type="dxa"/>
            <w:vAlign w:val="bottom"/>
            <w:shd w:val="clear" w:color="auto" w:fill="CCEEFF"/>
          </w:tcPr>
          <w:p>
            <w:pPr>
              <w:spacing w:after="0"/>
              <w:rPr>
                <w:sz w:val="20"/>
                <w:szCs w:val="20"/>
                <w:color w:val="auto"/>
              </w:rPr>
            </w:pPr>
            <w:r>
              <w:rPr>
                <w:rFonts w:ascii="Arial" w:cs="Arial" w:eastAsia="Arial" w:hAnsi="Arial"/>
                <w:sz w:val="18"/>
                <w:szCs w:val="18"/>
                <w:color w:val="auto"/>
              </w:rPr>
              <w:t>Income (loss) before income taxes, equity in loss of related equity</w:t>
            </w:r>
          </w:p>
        </w:tc>
        <w:tc>
          <w:tcPr>
            <w:tcW w:w="10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55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investment</w:t>
            </w:r>
          </w:p>
        </w:tc>
        <w:tc>
          <w:tcPr>
            <w:tcW w:w="10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(110)</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(9,033)</w:t>
            </w:r>
          </w:p>
        </w:tc>
        <w:tc>
          <w:tcPr>
            <w:tcW w:w="108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(29,106)</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3,033</w:t>
            </w: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w:t>
            </w: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(35,108)</w:t>
            </w:r>
          </w:p>
        </w:tc>
        <w:tc>
          <w:tcPr>
            <w:tcW w:w="0" w:type="dxa"/>
            <w:vAlign w:val="bottom"/>
          </w:tcPr>
          <w:p>
            <w:pPr>
              <w:spacing w:after="0"/>
              <w:rPr>
                <w:sz w:val="1"/>
                <w:szCs w:val="1"/>
                <w:color w:val="auto"/>
              </w:rPr>
            </w:pPr>
          </w:p>
        </w:tc>
      </w:tr>
      <w:tr>
        <w:trPr>
          <w:trHeight w:val="20"/>
        </w:trPr>
        <w:tc>
          <w:tcPr>
            <w:tcW w:w="5540" w:type="dxa"/>
            <w:vAlign w:val="bottom"/>
            <w:gridSpan w:val="2"/>
            <w:vMerge w:val="restart"/>
          </w:tcPr>
          <w:p>
            <w:pPr>
              <w:spacing w:after="0"/>
              <w:rPr>
                <w:sz w:val="20"/>
                <w:szCs w:val="20"/>
                <w:color w:val="auto"/>
              </w:rPr>
            </w:pPr>
            <w:r>
              <w:rPr>
                <w:rFonts w:ascii="Arial" w:cs="Arial" w:eastAsia="Arial" w:hAnsi="Arial"/>
                <w:sz w:val="18"/>
                <w:szCs w:val="18"/>
                <w:color w:val="auto"/>
              </w:rPr>
              <w:t>Income tax expenses (benefits)</w:t>
            </w: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5540" w:type="dxa"/>
            <w:vAlign w:val="bottom"/>
            <w:gridSpan w:val="2"/>
            <w:vMerge w:val="continue"/>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81</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jc w:val="right"/>
              <w:ind w:right="15"/>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(1,705)</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(1,624)</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55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20" w:type="dxa"/>
            <w:vAlign w:val="bottom"/>
            <w:shd w:val="clear" w:color="auto" w:fill="CCEEFF"/>
          </w:tcPr>
          <w:p>
            <w:pPr>
              <w:spacing w:after="0"/>
              <w:rPr>
                <w:sz w:val="20"/>
                <w:szCs w:val="20"/>
                <w:color w:val="auto"/>
              </w:rPr>
            </w:pPr>
            <w:r>
              <w:rPr>
                <w:rFonts w:ascii="Arial" w:cs="Arial" w:eastAsia="Arial" w:hAnsi="Arial"/>
                <w:sz w:val="18"/>
                <w:szCs w:val="18"/>
                <w:color w:val="auto"/>
              </w:rPr>
              <w:t>Income (loss) before equity in loss of related Investment</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(110)</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(9,114)</w:t>
            </w:r>
          </w:p>
        </w:tc>
        <w:tc>
          <w:tcPr>
            <w:tcW w:w="108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(29,106)</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4,738</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(33,484)</w:t>
            </w:r>
          </w:p>
        </w:tc>
        <w:tc>
          <w:tcPr>
            <w:tcW w:w="0" w:type="dxa"/>
            <w:vAlign w:val="bottom"/>
          </w:tcPr>
          <w:p>
            <w:pPr>
              <w:spacing w:after="0"/>
              <w:rPr>
                <w:sz w:val="1"/>
                <w:szCs w:val="1"/>
                <w:color w:val="auto"/>
              </w:rPr>
            </w:pPr>
          </w:p>
        </w:tc>
      </w:tr>
      <w:tr>
        <w:trPr>
          <w:trHeight w:val="20"/>
        </w:trPr>
        <w:tc>
          <w:tcPr>
            <w:tcW w:w="5540" w:type="dxa"/>
            <w:vAlign w:val="bottom"/>
            <w:gridSpan w:val="2"/>
            <w:vMerge w:val="restart"/>
          </w:tcPr>
          <w:p>
            <w:pPr>
              <w:spacing w:after="0"/>
              <w:rPr>
                <w:sz w:val="20"/>
                <w:szCs w:val="20"/>
                <w:color w:val="auto"/>
              </w:rPr>
            </w:pPr>
            <w:r>
              <w:rPr>
                <w:rFonts w:ascii="Arial" w:cs="Arial" w:eastAsia="Arial" w:hAnsi="Arial"/>
                <w:sz w:val="18"/>
                <w:szCs w:val="18"/>
                <w:color w:val="auto"/>
              </w:rPr>
              <w:t>Loss of related investment</w:t>
            </w: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5540" w:type="dxa"/>
            <w:vAlign w:val="bottom"/>
            <w:gridSpan w:val="2"/>
            <w:vMerge w:val="continue"/>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(33,374)</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w w:val="89"/>
              </w:rPr>
              <w:t>(20,131)</w:t>
            </w:r>
          </w:p>
        </w:tc>
        <w:tc>
          <w:tcPr>
            <w:tcW w:w="120" w:type="dxa"/>
            <w:vAlign w:val="bottom"/>
          </w:tcPr>
          <w:p>
            <w:pPr>
              <w:spacing w:after="0"/>
              <w:rPr>
                <w:sz w:val="19"/>
                <w:szCs w:val="19"/>
                <w:color w:val="auto"/>
              </w:rPr>
            </w:pPr>
          </w:p>
        </w:tc>
        <w:tc>
          <w:tcPr>
            <w:tcW w:w="96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(29,231)</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82,736</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55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2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(33,484)</w:t>
            </w:r>
          </w:p>
        </w:tc>
        <w:tc>
          <w:tcPr>
            <w:tcW w:w="200" w:type="dxa"/>
            <w:vAlign w:val="bottom"/>
            <w:gridSpan w:val="2"/>
            <w:shd w:val="clear" w:color="auto" w:fill="CCEEFF"/>
          </w:tcPr>
          <w:p>
            <w:pPr>
              <w:ind w:left="100"/>
              <w:spacing w:after="0"/>
              <w:rPr>
                <w:sz w:val="20"/>
                <w:szCs w:val="20"/>
                <w:color w:val="auto"/>
              </w:rPr>
            </w:pPr>
            <w:r>
              <w:rPr>
                <w:rFonts w:ascii="Arial" w:cs="Arial" w:eastAsia="Arial" w:hAnsi="Arial"/>
                <w:sz w:val="18"/>
                <w:szCs w:val="18"/>
                <w:u w:val="single" w:color="auto"/>
                <w:color w:val="auto"/>
                <w:w w:val="79"/>
              </w:rPr>
              <w:t>$</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(29,245)</w:t>
            </w:r>
          </w:p>
        </w:tc>
        <w:tc>
          <w:tcPr>
            <w:tcW w:w="108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 (29,106)</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7"/>
              </w:rPr>
              <w:t>$ (24,493)</w:t>
            </w:r>
          </w:p>
        </w:tc>
        <w:tc>
          <w:tcPr>
            <w:tcW w:w="2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82,844</w:t>
            </w:r>
          </w:p>
        </w:tc>
        <w:tc>
          <w:tcPr>
            <w:tcW w:w="180" w:type="dxa"/>
            <w:vAlign w:val="bottom"/>
            <w:shd w:val="clear" w:color="auto" w:fill="CCEEFF"/>
          </w:tcPr>
          <w:p>
            <w:pPr>
              <w:spacing w:after="0"/>
              <w:rPr>
                <w:sz w:val="18"/>
                <w:szCs w:val="18"/>
                <w:color w:val="auto"/>
              </w:rPr>
            </w:pPr>
          </w:p>
        </w:tc>
        <w:tc>
          <w:tcPr>
            <w:tcW w:w="24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(33,484)</w:t>
            </w:r>
          </w:p>
        </w:tc>
        <w:tc>
          <w:tcPr>
            <w:tcW w:w="0" w:type="dxa"/>
            <w:vAlign w:val="bottom"/>
          </w:tcPr>
          <w:p>
            <w:pPr>
              <w:spacing w:after="0"/>
              <w:rPr>
                <w:sz w:val="1"/>
                <w:szCs w:val="1"/>
                <w:color w:val="auto"/>
              </w:rPr>
            </w:pPr>
          </w:p>
        </w:tc>
      </w:tr>
      <w:tr>
        <w:trPr>
          <w:trHeight w:val="20"/>
        </w:trPr>
        <w:tc>
          <w:tcPr>
            <w:tcW w:w="5540" w:type="dxa"/>
            <w:vAlign w:val="bottom"/>
            <w:gridSpan w:val="2"/>
            <w:vMerge w:val="restart"/>
          </w:tcPr>
          <w:p>
            <w:pPr>
              <w:spacing w:after="0"/>
              <w:rPr>
                <w:sz w:val="20"/>
                <w:szCs w:val="20"/>
                <w:color w:val="auto"/>
              </w:rPr>
            </w:pPr>
            <w:r>
              <w:rPr>
                <w:rFonts w:ascii="Arial" w:cs="Arial" w:eastAsia="Arial" w:hAnsi="Arial"/>
                <w:sz w:val="18"/>
                <w:szCs w:val="18"/>
                <w:color w:val="auto"/>
              </w:rPr>
              <w:t>Dividends accrued on preferred units</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5540" w:type="dxa"/>
            <w:vAlign w:val="bottom"/>
            <w:gridSpan w:val="2"/>
            <w:vMerge w:val="continue"/>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2,478</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68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2,478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shd w:val="clear" w:color="auto" w:fill="CCEEFF"/>
          </w:tcPr>
          <w:p>
            <w:pPr>
              <w:spacing w:after="0"/>
              <w:rPr>
                <w:sz w:val="20"/>
                <w:szCs w:val="20"/>
                <w:color w:val="auto"/>
              </w:rPr>
            </w:pPr>
            <w:r>
              <w:rPr>
                <w:rFonts w:ascii="Arial" w:cs="Arial" w:eastAsia="Arial" w:hAnsi="Arial"/>
                <w:sz w:val="18"/>
                <w:szCs w:val="18"/>
                <w:color w:val="auto"/>
              </w:rPr>
              <w:t>Net loss attributable to common units</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(35,962)</w:t>
            </w:r>
          </w:p>
        </w:tc>
        <w:tc>
          <w:tcPr>
            <w:tcW w:w="200" w:type="dxa"/>
            <w:vAlign w:val="bottom"/>
            <w:gridSpan w:val="2"/>
            <w:shd w:val="clear" w:color="auto" w:fill="CCEEFF"/>
          </w:tcPr>
          <w:p>
            <w:pPr>
              <w:ind w:left="100"/>
              <w:spacing w:after="0"/>
              <w:rPr>
                <w:sz w:val="20"/>
                <w:szCs w:val="20"/>
                <w:color w:val="auto"/>
              </w:rPr>
            </w:pPr>
            <w:r>
              <w:rPr>
                <w:rFonts w:ascii="Arial" w:cs="Arial" w:eastAsia="Arial" w:hAnsi="Arial"/>
                <w:sz w:val="18"/>
                <w:szCs w:val="18"/>
                <w:u w:val="single" w:color="auto"/>
                <w:color w:val="auto"/>
                <w:w w:val="79"/>
              </w:rPr>
              <w:t>$</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(29,245)</w:t>
            </w:r>
          </w:p>
        </w:tc>
        <w:tc>
          <w:tcPr>
            <w:tcW w:w="108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 (29,106)</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7"/>
              </w:rPr>
              <w:t>$ (24,493)</w:t>
            </w:r>
          </w:p>
        </w:tc>
        <w:tc>
          <w:tcPr>
            <w:tcW w:w="2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82,844</w:t>
            </w:r>
          </w:p>
        </w:tc>
        <w:tc>
          <w:tcPr>
            <w:tcW w:w="180" w:type="dxa"/>
            <w:vAlign w:val="bottom"/>
            <w:shd w:val="clear" w:color="auto" w:fill="CCEEFF"/>
          </w:tcPr>
          <w:p>
            <w:pPr>
              <w:spacing w:after="0"/>
              <w:rPr>
                <w:sz w:val="18"/>
                <w:szCs w:val="18"/>
                <w:color w:val="auto"/>
              </w:rPr>
            </w:pPr>
          </w:p>
        </w:tc>
        <w:tc>
          <w:tcPr>
            <w:tcW w:w="24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(35,962)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52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20" w:type="dxa"/>
            <w:vAlign w:val="bottom"/>
          </w:tcPr>
          <w:p>
            <w:pPr>
              <w:spacing w:after="0"/>
              <w:rPr>
                <w:sz w:val="24"/>
                <w:szCs w:val="24"/>
                <w:color w:val="auto"/>
              </w:rPr>
            </w:pPr>
          </w:p>
        </w:tc>
        <w:tc>
          <w:tcPr>
            <w:tcW w:w="5520" w:type="dxa"/>
            <w:vAlign w:val="bottom"/>
          </w:tcPr>
          <w:p>
            <w:pPr>
              <w:spacing w:after="0"/>
              <w:rPr>
                <w:sz w:val="24"/>
                <w:szCs w:val="24"/>
                <w:color w:val="auto"/>
              </w:rPr>
            </w:pPr>
          </w:p>
        </w:tc>
        <w:tc>
          <w:tcPr>
            <w:tcW w:w="880" w:type="dxa"/>
            <w:vAlign w:val="bottom"/>
            <w:gridSpan w:val="2"/>
          </w:tcPr>
          <w:p>
            <w:pPr>
              <w:jc w:val="right"/>
              <w:ind w:right="536"/>
              <w:spacing w:after="0"/>
              <w:rPr>
                <w:sz w:val="20"/>
                <w:szCs w:val="20"/>
                <w:color w:val="auto"/>
              </w:rPr>
            </w:pPr>
            <w:r>
              <w:rPr>
                <w:rFonts w:ascii="Arial" w:cs="Arial" w:eastAsia="Arial" w:hAnsi="Arial"/>
                <w:sz w:val="18"/>
                <w:szCs w:val="18"/>
                <w:color w:val="auto"/>
              </w:rPr>
              <w:t>18</w:t>
            </w: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MagnaChip Semiconductor LLC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tabular dollars in thousands, except unit data)</w:t>
      </w:r>
    </w:p>
    <w:p>
      <w:pPr>
        <w:spacing w:after="0" w:line="1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Statement of Operations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six months ended July 3, 2005</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w w:val="87"/>
              </w:rPr>
              <w:t>MagnaChip</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520" w:type="dxa"/>
            <w:vAlign w:val="bottom"/>
          </w:tcPr>
          <w:p>
            <w:pPr>
              <w:spacing w:after="0"/>
              <w:rPr>
                <w:sz w:val="12"/>
                <w:szCs w:val="12"/>
                <w:color w:val="auto"/>
              </w:rPr>
            </w:pPr>
          </w:p>
        </w:tc>
        <w:tc>
          <w:tcPr>
            <w:tcW w:w="106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Semiconductor</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gridSpan w:val="2"/>
          </w:tcPr>
          <w:p>
            <w:pPr>
              <w:jc w:val="right"/>
              <w:ind w:right="480"/>
              <w:spacing w:after="0" w:line="149" w:lineRule="exact"/>
              <w:rPr>
                <w:sz w:val="20"/>
                <w:szCs w:val="20"/>
                <w:color w:val="auto"/>
              </w:rPr>
            </w:pPr>
            <w:r>
              <w:rPr>
                <w:rFonts w:ascii="Arial" w:cs="Arial" w:eastAsia="Arial" w:hAnsi="Arial"/>
                <w:sz w:val="14"/>
                <w:szCs w:val="14"/>
                <w:b w:val="1"/>
                <w:bCs w:val="1"/>
                <w:color w:val="auto"/>
              </w:rPr>
              <w:t>LLC</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gridSpan w:val="2"/>
          </w:tcPr>
          <w:p>
            <w:pPr>
              <w:jc w:val="right"/>
              <w:ind w:right="480"/>
              <w:spacing w:after="0" w:line="149" w:lineRule="exact"/>
              <w:rPr>
                <w:sz w:val="20"/>
                <w:szCs w:val="20"/>
                <w:color w:val="auto"/>
              </w:rPr>
            </w:pPr>
            <w:r>
              <w:rPr>
                <w:rFonts w:ascii="Arial" w:cs="Arial" w:eastAsia="Arial" w:hAnsi="Arial"/>
                <w:sz w:val="14"/>
                <w:szCs w:val="14"/>
                <w:b w:val="1"/>
                <w:bCs w:val="1"/>
                <w:color w:val="auto"/>
              </w:rPr>
              <w:t>Non-</w:t>
            </w: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5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jc w:val="right"/>
              <w:ind w:right="116"/>
              <w:spacing w:after="0"/>
              <w:rPr>
                <w:sz w:val="20"/>
                <w:szCs w:val="20"/>
                <w:color w:val="auto"/>
              </w:rPr>
            </w:pPr>
            <w:r>
              <w:rPr>
                <w:rFonts w:ascii="Arial" w:cs="Arial" w:eastAsia="Arial" w:hAnsi="Arial"/>
                <w:sz w:val="14"/>
                <w:szCs w:val="14"/>
                <w:b w:val="1"/>
                <w:bCs w:val="1"/>
                <w:color w:val="auto"/>
              </w:rPr>
              <w:t>(Parent)</w:t>
            </w: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gridSpan w:val="2"/>
          </w:tcPr>
          <w:p>
            <w:pPr>
              <w:ind w:left="20"/>
              <w:spacing w:after="0"/>
              <w:rPr>
                <w:sz w:val="20"/>
                <w:szCs w:val="20"/>
                <w:color w:val="auto"/>
              </w:rPr>
            </w:pPr>
            <w:r>
              <w:rPr>
                <w:rFonts w:ascii="Arial" w:cs="Arial" w:eastAsia="Arial" w:hAnsi="Arial"/>
                <w:sz w:val="14"/>
                <w:szCs w:val="14"/>
                <w:b w:val="1"/>
                <w:bCs w:val="1"/>
                <w:color w:val="auto"/>
                <w:w w:val="85"/>
              </w:rPr>
              <w:t>Co-Issuers</w:t>
            </w:r>
          </w:p>
        </w:tc>
        <w:tc>
          <w:tcPr>
            <w:tcW w:w="160" w:type="dxa"/>
            <w:vAlign w:val="bottom"/>
          </w:tcPr>
          <w:p>
            <w:pPr>
              <w:spacing w:after="0"/>
              <w:rPr>
                <w:sz w:val="15"/>
                <w:szCs w:val="15"/>
                <w:color w:val="auto"/>
              </w:rPr>
            </w:pPr>
          </w:p>
        </w:tc>
        <w:tc>
          <w:tcPr>
            <w:tcW w:w="1080" w:type="dxa"/>
            <w:vAlign w:val="bottom"/>
            <w:gridSpan w:val="3"/>
          </w:tcPr>
          <w:p>
            <w:pPr>
              <w:jc w:val="right"/>
              <w:ind w:right="280"/>
              <w:spacing w:after="0"/>
              <w:rPr>
                <w:sz w:val="20"/>
                <w:szCs w:val="20"/>
                <w:color w:val="auto"/>
              </w:rPr>
            </w:pPr>
            <w:r>
              <w:rPr>
                <w:rFonts w:ascii="Arial" w:cs="Arial" w:eastAsia="Arial" w:hAnsi="Arial"/>
                <w:sz w:val="14"/>
                <w:szCs w:val="14"/>
                <w:b w:val="1"/>
                <w:bCs w:val="1"/>
                <w:color w:val="auto"/>
              </w:rPr>
              <w:t>Guarantors</w:t>
            </w:r>
          </w:p>
        </w:tc>
        <w:tc>
          <w:tcPr>
            <w:tcW w:w="84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w w:val="87"/>
              </w:rPr>
              <w:t>Guarantors</w:t>
            </w:r>
          </w:p>
        </w:tc>
        <w:tc>
          <w:tcPr>
            <w:tcW w:w="120" w:type="dxa"/>
            <w:vAlign w:val="bottom"/>
          </w:tcPr>
          <w:p>
            <w:pPr>
              <w:spacing w:after="0"/>
              <w:rPr>
                <w:sz w:val="15"/>
                <w:szCs w:val="15"/>
                <w:color w:val="auto"/>
              </w:rPr>
            </w:pPr>
          </w:p>
        </w:tc>
        <w:tc>
          <w:tcPr>
            <w:tcW w:w="920" w:type="dxa"/>
            <w:vAlign w:val="bottom"/>
            <w:gridSpan w:val="3"/>
          </w:tcPr>
          <w:p>
            <w:pPr>
              <w:spacing w:after="0"/>
              <w:rPr>
                <w:sz w:val="20"/>
                <w:szCs w:val="20"/>
                <w:color w:val="auto"/>
              </w:rPr>
            </w:pPr>
            <w:r>
              <w:rPr>
                <w:rFonts w:ascii="Arial" w:cs="Arial" w:eastAsia="Arial" w:hAnsi="Arial"/>
                <w:sz w:val="14"/>
                <w:szCs w:val="14"/>
                <w:b w:val="1"/>
                <w:bCs w:val="1"/>
                <w:color w:val="auto"/>
              </w:rPr>
              <w:t>Eliminations</w:t>
            </w:r>
          </w:p>
        </w:tc>
        <w:tc>
          <w:tcPr>
            <w:tcW w:w="100" w:type="dxa"/>
            <w:vAlign w:val="bottom"/>
          </w:tcPr>
          <w:p>
            <w:pPr>
              <w:spacing w:after="0"/>
              <w:rPr>
                <w:sz w:val="15"/>
                <w:szCs w:val="15"/>
                <w:color w:val="auto"/>
              </w:rPr>
            </w:pPr>
          </w:p>
        </w:tc>
        <w:tc>
          <w:tcPr>
            <w:tcW w:w="840" w:type="dxa"/>
            <w:vAlign w:val="bottom"/>
            <w:gridSpan w:val="3"/>
          </w:tcPr>
          <w:p>
            <w:pPr>
              <w:spacing w:after="0"/>
              <w:rPr>
                <w:sz w:val="20"/>
                <w:szCs w:val="20"/>
                <w:color w:val="auto"/>
              </w:rPr>
            </w:pPr>
            <w:r>
              <w:rPr>
                <w:rFonts w:ascii="Arial" w:cs="Arial" w:eastAsia="Arial" w:hAnsi="Arial"/>
                <w:sz w:val="14"/>
                <w:szCs w:val="14"/>
                <w:b w:val="1"/>
                <w:bCs w:val="1"/>
                <w:color w:val="auto"/>
                <w:w w:val="92"/>
              </w:rPr>
              <w:t>Consolidated</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55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5520" w:type="dxa"/>
            <w:vAlign w:val="bottom"/>
            <w:shd w:val="clear" w:color="auto" w:fill="CCEEFF"/>
          </w:tcPr>
          <w:p>
            <w:pPr>
              <w:spacing w:after="0"/>
              <w:rPr>
                <w:sz w:val="20"/>
                <w:szCs w:val="20"/>
                <w:color w:val="auto"/>
              </w:rPr>
            </w:pPr>
            <w:r>
              <w:rPr>
                <w:rFonts w:ascii="Arial" w:cs="Arial" w:eastAsia="Arial" w:hAnsi="Arial"/>
                <w:sz w:val="18"/>
                <w:szCs w:val="18"/>
                <w:color w:val="auto"/>
              </w:rPr>
              <w:t>Net sales</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$434,515</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$203,149</w:t>
            </w:r>
          </w:p>
        </w:tc>
        <w:tc>
          <w:tcPr>
            <w:tcW w:w="160" w:type="dxa"/>
            <w:vAlign w:val="bottom"/>
            <w:shd w:val="clear" w:color="auto" w:fill="CCEEFF"/>
          </w:tcPr>
          <w:p>
            <w:pPr>
              <w:spacing w:after="0"/>
              <w:rPr>
                <w:sz w:val="18"/>
                <w:szCs w:val="18"/>
                <w:color w:val="auto"/>
              </w:rPr>
            </w:pPr>
          </w:p>
        </w:tc>
        <w:tc>
          <w:tcPr>
            <w:tcW w:w="2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8"/>
              </w:rPr>
              <w:t>(188,251)</w:t>
            </w:r>
          </w:p>
        </w:tc>
        <w:tc>
          <w:tcPr>
            <w:tcW w:w="24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449,413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520" w:type="dxa"/>
            <w:vAlign w:val="bottom"/>
          </w:tcPr>
          <w:p>
            <w:pPr>
              <w:spacing w:after="0"/>
              <w:rPr>
                <w:sz w:val="20"/>
                <w:szCs w:val="20"/>
                <w:color w:val="auto"/>
              </w:rPr>
            </w:pPr>
            <w:r>
              <w:rPr>
                <w:rFonts w:ascii="Arial" w:cs="Arial" w:eastAsia="Arial" w:hAnsi="Arial"/>
                <w:sz w:val="18"/>
                <w:szCs w:val="18"/>
                <w:color w:val="auto"/>
              </w:rPr>
              <w:t>Cost of sales</w:t>
            </w:r>
          </w:p>
        </w:tc>
        <w:tc>
          <w:tcPr>
            <w:tcW w:w="1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357,725</w:t>
            </w:r>
          </w:p>
        </w:tc>
        <w:tc>
          <w:tcPr>
            <w:tcW w:w="2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194,278</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w w:val="88"/>
              </w:rPr>
              <w:t>(188,946)</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363,057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560" w:type="dxa"/>
            <w:vAlign w:val="bottom"/>
            <w:tcBorders>
              <w:top w:val="single" w:sz="8" w:color="auto"/>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76,790</w:t>
            </w:r>
          </w:p>
        </w:tc>
        <w:tc>
          <w:tcPr>
            <w:tcW w:w="280" w:type="dxa"/>
            <w:vAlign w:val="bottom"/>
            <w:shd w:val="clear" w:color="auto" w:fill="CCEEFF"/>
          </w:tcPr>
          <w:p>
            <w:pPr>
              <w:spacing w:after="0"/>
              <w:rPr>
                <w:sz w:val="18"/>
                <w:szCs w:val="18"/>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8,871</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695</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86,356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5540" w:type="dxa"/>
            <w:vAlign w:val="bottom"/>
            <w:gridSpan w:val="2"/>
          </w:tcPr>
          <w:p>
            <w:pPr>
              <w:spacing w:after="0"/>
              <w:rPr>
                <w:sz w:val="20"/>
                <w:szCs w:val="20"/>
                <w:color w:val="auto"/>
              </w:rPr>
            </w:pPr>
            <w:r>
              <w:rPr>
                <w:rFonts w:ascii="Arial" w:cs="Arial" w:eastAsia="Arial" w:hAnsi="Arial"/>
                <w:sz w:val="18"/>
                <w:szCs w:val="18"/>
                <w:color w:val="auto"/>
              </w:rPr>
              <w:t>Selling, general and administrative expenses</w:t>
            </w:r>
          </w:p>
        </w:tc>
        <w:tc>
          <w:tcPr>
            <w:tcW w:w="1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115</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586</w:t>
            </w:r>
          </w:p>
        </w:tc>
        <w:tc>
          <w:tcPr>
            <w:tcW w:w="160" w:type="dxa"/>
            <w:vAlign w:val="bottom"/>
          </w:tcPr>
          <w:p>
            <w:pPr>
              <w:spacing w:after="0"/>
              <w:rPr>
                <w:sz w:val="19"/>
                <w:szCs w:val="19"/>
                <w:color w:val="auto"/>
              </w:rPr>
            </w:pPr>
          </w:p>
        </w:tc>
        <w:tc>
          <w:tcPr>
            <w:tcW w:w="1080" w:type="dxa"/>
            <w:vAlign w:val="bottom"/>
            <w:gridSpan w:val="3"/>
          </w:tcPr>
          <w:p>
            <w:pPr>
              <w:jc w:val="right"/>
              <w:ind w:right="280"/>
              <w:spacing w:after="0"/>
              <w:rPr>
                <w:sz w:val="20"/>
                <w:szCs w:val="20"/>
                <w:color w:val="auto"/>
              </w:rPr>
            </w:pPr>
            <w:r>
              <w:rPr>
                <w:rFonts w:ascii="Arial" w:cs="Arial" w:eastAsia="Arial" w:hAnsi="Arial"/>
                <w:sz w:val="18"/>
                <w:szCs w:val="18"/>
                <w:color w:val="auto"/>
              </w:rPr>
              <w:t>50,774</w:t>
            </w:r>
          </w:p>
        </w:tc>
        <w:tc>
          <w:tcPr>
            <w:tcW w:w="680" w:type="dxa"/>
            <w:vAlign w:val="bottom"/>
          </w:tcPr>
          <w:p>
            <w:pPr>
              <w:jc w:val="right"/>
              <w:spacing w:after="0"/>
              <w:rPr>
                <w:sz w:val="20"/>
                <w:szCs w:val="20"/>
                <w:color w:val="auto"/>
              </w:rPr>
            </w:pPr>
            <w:r>
              <w:rPr>
                <w:rFonts w:ascii="Arial" w:cs="Arial" w:eastAsia="Arial" w:hAnsi="Arial"/>
                <w:sz w:val="18"/>
                <w:szCs w:val="18"/>
                <w:color w:val="auto"/>
              </w:rPr>
              <w:t>8,383</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1,139</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60,997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52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 expenses</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08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51,608</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3,118</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(1,139)</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53,587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520" w:type="dxa"/>
            <w:vAlign w:val="bottom"/>
          </w:tcPr>
          <w:p>
            <w:pPr>
              <w:spacing w:after="0"/>
              <w:rPr>
                <w:sz w:val="20"/>
                <w:szCs w:val="20"/>
                <w:color w:val="auto"/>
              </w:rPr>
            </w:pPr>
            <w:r>
              <w:rPr>
                <w:rFonts w:ascii="Arial" w:cs="Arial" w:eastAsia="Arial" w:hAnsi="Arial"/>
                <w:sz w:val="18"/>
                <w:szCs w:val="18"/>
                <w:color w:val="auto"/>
              </w:rPr>
              <w:t>Restructuring and impairment charges</w:t>
            </w:r>
          </w:p>
        </w:tc>
        <w:tc>
          <w:tcPr>
            <w:tcW w:w="1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8,720</w:t>
            </w:r>
          </w:p>
        </w:tc>
        <w:tc>
          <w:tcPr>
            <w:tcW w:w="280" w:type="dxa"/>
            <w:vAlign w:val="bottom"/>
          </w:tcPr>
          <w:p>
            <w:pPr>
              <w:spacing w:after="0"/>
              <w:rPr>
                <w:sz w:val="19"/>
                <w:szCs w:val="19"/>
                <w:color w:val="auto"/>
              </w:rPr>
            </w:pPr>
          </w:p>
        </w:tc>
        <w:tc>
          <w:tcPr>
            <w:tcW w:w="68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8,720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shd w:val="clear" w:color="auto" w:fill="CCEEFF"/>
          </w:tcPr>
          <w:p>
            <w:pPr>
              <w:spacing w:after="0"/>
              <w:rPr>
                <w:sz w:val="20"/>
                <w:szCs w:val="20"/>
                <w:color w:val="auto"/>
              </w:rPr>
            </w:pPr>
            <w:r>
              <w:rPr>
                <w:rFonts w:ascii="Arial" w:cs="Arial" w:eastAsia="Arial" w:hAnsi="Arial"/>
                <w:sz w:val="18"/>
                <w:szCs w:val="18"/>
                <w:color w:val="auto"/>
              </w:rPr>
              <w:t>Operating loss</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(115)</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(586)</w:t>
            </w:r>
          </w:p>
        </w:tc>
        <w:tc>
          <w:tcPr>
            <w:tcW w:w="108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(34,312)</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(2,630)</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695</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(36,948)</w:t>
            </w:r>
          </w:p>
        </w:tc>
        <w:tc>
          <w:tcPr>
            <w:tcW w:w="0" w:type="dxa"/>
            <w:vAlign w:val="bottom"/>
          </w:tcPr>
          <w:p>
            <w:pPr>
              <w:spacing w:after="0"/>
              <w:rPr>
                <w:sz w:val="1"/>
                <w:szCs w:val="1"/>
                <w:color w:val="auto"/>
              </w:rPr>
            </w:pPr>
          </w:p>
        </w:tc>
      </w:tr>
      <w:tr>
        <w:trPr>
          <w:trHeight w:val="20"/>
        </w:trPr>
        <w:tc>
          <w:tcPr>
            <w:tcW w:w="5540" w:type="dxa"/>
            <w:vAlign w:val="bottom"/>
            <w:gridSpan w:val="2"/>
            <w:vMerge w:val="restart"/>
          </w:tcPr>
          <w:p>
            <w:pPr>
              <w:spacing w:after="0"/>
              <w:rPr>
                <w:sz w:val="20"/>
                <w:szCs w:val="20"/>
                <w:color w:val="auto"/>
              </w:rPr>
            </w:pPr>
            <w:r>
              <w:rPr>
                <w:rFonts w:ascii="Arial" w:cs="Arial" w:eastAsia="Arial" w:hAnsi="Arial"/>
                <w:sz w:val="18"/>
                <w:szCs w:val="18"/>
                <w:color w:val="auto"/>
              </w:rPr>
              <w:t>Other income (expenses)</w:t>
            </w: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5540" w:type="dxa"/>
            <w:vAlign w:val="bottom"/>
            <w:gridSpan w:val="2"/>
            <w:vMerge w:val="continue"/>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w w:val="89"/>
              </w:rPr>
              <w:t>(16,829)</w:t>
            </w:r>
          </w:p>
        </w:tc>
        <w:tc>
          <w:tcPr>
            <w:tcW w:w="1080" w:type="dxa"/>
            <w:vAlign w:val="bottom"/>
            <w:gridSpan w:val="3"/>
          </w:tcPr>
          <w:p>
            <w:pPr>
              <w:jc w:val="right"/>
              <w:ind w:right="220"/>
              <w:spacing w:after="0"/>
              <w:rPr>
                <w:sz w:val="20"/>
                <w:szCs w:val="20"/>
                <w:color w:val="auto"/>
              </w:rPr>
            </w:pPr>
            <w:r>
              <w:rPr>
                <w:rFonts w:ascii="Arial" w:cs="Arial" w:eastAsia="Arial" w:hAnsi="Arial"/>
                <w:sz w:val="18"/>
                <w:szCs w:val="18"/>
                <w:color w:val="auto"/>
              </w:rPr>
              <w:t>(24,652)</w:t>
            </w:r>
          </w:p>
        </w:tc>
        <w:tc>
          <w:tcPr>
            <w:tcW w:w="680" w:type="dxa"/>
            <w:vAlign w:val="bottom"/>
          </w:tcPr>
          <w:p>
            <w:pPr>
              <w:jc w:val="right"/>
              <w:spacing w:after="0"/>
              <w:rPr>
                <w:sz w:val="20"/>
                <w:szCs w:val="20"/>
                <w:color w:val="auto"/>
              </w:rPr>
            </w:pPr>
            <w:r>
              <w:rPr>
                <w:rFonts w:ascii="Arial" w:cs="Arial" w:eastAsia="Arial" w:hAnsi="Arial"/>
                <w:sz w:val="18"/>
                <w:szCs w:val="18"/>
                <w:color w:val="auto"/>
              </w:rPr>
              <w:t>14,390</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(27,086)</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520" w:type="dxa"/>
            <w:vAlign w:val="bottom"/>
            <w:shd w:val="clear" w:color="auto" w:fill="CCEEFF"/>
          </w:tcPr>
          <w:p>
            <w:pPr>
              <w:spacing w:after="0"/>
              <w:rPr>
                <w:sz w:val="20"/>
                <w:szCs w:val="20"/>
                <w:color w:val="auto"/>
              </w:rPr>
            </w:pPr>
            <w:r>
              <w:rPr>
                <w:rFonts w:ascii="Arial" w:cs="Arial" w:eastAsia="Arial" w:hAnsi="Arial"/>
                <w:sz w:val="18"/>
                <w:szCs w:val="18"/>
                <w:color w:val="auto"/>
              </w:rPr>
              <w:t>Income (loss) before income taxes, equity in loss of related equity</w:t>
            </w:r>
          </w:p>
        </w:tc>
        <w:tc>
          <w:tcPr>
            <w:tcW w:w="10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55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investment</w:t>
            </w:r>
          </w:p>
        </w:tc>
        <w:tc>
          <w:tcPr>
            <w:tcW w:w="10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(110)</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(17,415)</w:t>
            </w:r>
          </w:p>
        </w:tc>
        <w:tc>
          <w:tcPr>
            <w:tcW w:w="108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(58,964)</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11,760</w:t>
            </w: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695</w:t>
            </w: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(64,034)</w:t>
            </w:r>
          </w:p>
        </w:tc>
        <w:tc>
          <w:tcPr>
            <w:tcW w:w="0" w:type="dxa"/>
            <w:vAlign w:val="bottom"/>
          </w:tcPr>
          <w:p>
            <w:pPr>
              <w:spacing w:after="0"/>
              <w:rPr>
                <w:sz w:val="1"/>
                <w:szCs w:val="1"/>
                <w:color w:val="auto"/>
              </w:rPr>
            </w:pPr>
          </w:p>
        </w:tc>
      </w:tr>
      <w:tr>
        <w:trPr>
          <w:trHeight w:val="230"/>
        </w:trPr>
        <w:tc>
          <w:tcPr>
            <w:tcW w:w="5540" w:type="dxa"/>
            <w:vAlign w:val="bottom"/>
            <w:gridSpan w:val="2"/>
          </w:tcPr>
          <w:p>
            <w:pPr>
              <w:spacing w:after="0"/>
              <w:rPr>
                <w:sz w:val="20"/>
                <w:szCs w:val="20"/>
                <w:color w:val="auto"/>
              </w:rPr>
            </w:pPr>
            <w:r>
              <w:rPr>
                <w:rFonts w:ascii="Arial" w:cs="Arial" w:eastAsia="Arial" w:hAnsi="Arial"/>
                <w:sz w:val="18"/>
                <w:szCs w:val="18"/>
                <w:color w:val="auto"/>
              </w:rPr>
              <w:t>Income tax expenses</w:t>
            </w:r>
          </w:p>
        </w:tc>
        <w:tc>
          <w:tcPr>
            <w:tcW w:w="100" w:type="dxa"/>
            <w:vAlign w:val="bottom"/>
            <w:tcBorders>
              <w:top w:val="single" w:sz="8" w:color="auto"/>
              <w:bottom w:val="single" w:sz="8" w:color="auto"/>
            </w:tcBorders>
          </w:tcPr>
          <w:p>
            <w:pPr>
              <w:spacing w:after="0"/>
              <w:rPr>
                <w:sz w:val="20"/>
                <w:szCs w:val="20"/>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108</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tcBorders>
              <w:top w:val="single" w:sz="8" w:color="auto"/>
              <w:bottom w:val="single" w:sz="8" w:color="auto"/>
            </w:tcBorders>
          </w:tcPr>
          <w:p>
            <w:pPr>
              <w:jc w:val="right"/>
              <w:ind w:right="15"/>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0"/>
                <w:szCs w:val="20"/>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620</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728</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shd w:val="clear" w:color="auto" w:fill="CCEEFF"/>
          </w:tcPr>
          <w:p>
            <w:pPr>
              <w:spacing w:after="0"/>
              <w:rPr>
                <w:sz w:val="20"/>
                <w:szCs w:val="20"/>
                <w:color w:val="auto"/>
              </w:rPr>
            </w:pPr>
            <w:r>
              <w:rPr>
                <w:rFonts w:ascii="Arial" w:cs="Arial" w:eastAsia="Arial" w:hAnsi="Arial"/>
                <w:sz w:val="18"/>
                <w:szCs w:val="18"/>
                <w:color w:val="auto"/>
              </w:rPr>
              <w:t>Income (loss) before equity in loss of related Investment</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(110)</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(17,523)</w:t>
            </w:r>
          </w:p>
        </w:tc>
        <w:tc>
          <w:tcPr>
            <w:tcW w:w="108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(58,964)</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11,140</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695</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(64,762)</w:t>
            </w:r>
          </w:p>
        </w:tc>
        <w:tc>
          <w:tcPr>
            <w:tcW w:w="0" w:type="dxa"/>
            <w:vAlign w:val="bottom"/>
          </w:tcPr>
          <w:p>
            <w:pPr>
              <w:spacing w:after="0"/>
              <w:rPr>
                <w:sz w:val="1"/>
                <w:szCs w:val="1"/>
                <w:color w:val="auto"/>
              </w:rPr>
            </w:pPr>
          </w:p>
        </w:tc>
      </w:tr>
      <w:tr>
        <w:trPr>
          <w:trHeight w:val="20"/>
        </w:trPr>
        <w:tc>
          <w:tcPr>
            <w:tcW w:w="5540" w:type="dxa"/>
            <w:vAlign w:val="bottom"/>
            <w:gridSpan w:val="2"/>
            <w:vMerge w:val="restart"/>
          </w:tcPr>
          <w:p>
            <w:pPr>
              <w:spacing w:after="0"/>
              <w:rPr>
                <w:sz w:val="20"/>
                <w:szCs w:val="20"/>
                <w:color w:val="auto"/>
              </w:rPr>
            </w:pPr>
            <w:r>
              <w:rPr>
                <w:rFonts w:ascii="Arial" w:cs="Arial" w:eastAsia="Arial" w:hAnsi="Arial"/>
                <w:sz w:val="18"/>
                <w:szCs w:val="18"/>
                <w:color w:val="auto"/>
              </w:rPr>
              <w:t>Loss of related investment</w:t>
            </w: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5540" w:type="dxa"/>
            <w:vAlign w:val="bottom"/>
            <w:gridSpan w:val="2"/>
            <w:vMerge w:val="continue"/>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(64,652)</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w w:val="89"/>
              </w:rPr>
              <w:t>(43,136)</w:t>
            </w:r>
          </w:p>
        </w:tc>
        <w:tc>
          <w:tcPr>
            <w:tcW w:w="120" w:type="dxa"/>
            <w:vAlign w:val="bottom"/>
          </w:tcPr>
          <w:p>
            <w:pPr>
              <w:spacing w:after="0"/>
              <w:rPr>
                <w:sz w:val="19"/>
                <w:szCs w:val="19"/>
                <w:color w:val="auto"/>
              </w:rPr>
            </w:pPr>
          </w:p>
        </w:tc>
        <w:tc>
          <w:tcPr>
            <w:tcW w:w="96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(60,164)</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167,952</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55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2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(64,762)</w:t>
            </w:r>
          </w:p>
        </w:tc>
        <w:tc>
          <w:tcPr>
            <w:tcW w:w="200" w:type="dxa"/>
            <w:vAlign w:val="bottom"/>
            <w:gridSpan w:val="2"/>
            <w:shd w:val="clear" w:color="auto" w:fill="CCEEFF"/>
          </w:tcPr>
          <w:p>
            <w:pPr>
              <w:ind w:left="100"/>
              <w:spacing w:after="0"/>
              <w:rPr>
                <w:sz w:val="20"/>
                <w:szCs w:val="20"/>
                <w:color w:val="auto"/>
              </w:rPr>
            </w:pPr>
            <w:r>
              <w:rPr>
                <w:rFonts w:ascii="Arial" w:cs="Arial" w:eastAsia="Arial" w:hAnsi="Arial"/>
                <w:sz w:val="18"/>
                <w:szCs w:val="18"/>
                <w:u w:val="single" w:color="auto"/>
                <w:color w:val="auto"/>
                <w:w w:val="79"/>
              </w:rPr>
              <w:t>$</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(60,659)</w:t>
            </w:r>
          </w:p>
        </w:tc>
        <w:tc>
          <w:tcPr>
            <w:tcW w:w="108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 (58,964)</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7"/>
              </w:rPr>
              <w:t>$ (49,024)</w:t>
            </w:r>
          </w:p>
        </w:tc>
        <w:tc>
          <w:tcPr>
            <w:tcW w:w="2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168,647</w:t>
            </w:r>
          </w:p>
        </w:tc>
        <w:tc>
          <w:tcPr>
            <w:tcW w:w="180" w:type="dxa"/>
            <w:vAlign w:val="bottom"/>
            <w:shd w:val="clear" w:color="auto" w:fill="CCEEFF"/>
          </w:tcPr>
          <w:p>
            <w:pPr>
              <w:spacing w:after="0"/>
              <w:rPr>
                <w:sz w:val="18"/>
                <w:szCs w:val="18"/>
                <w:color w:val="auto"/>
              </w:rPr>
            </w:pPr>
          </w:p>
        </w:tc>
        <w:tc>
          <w:tcPr>
            <w:tcW w:w="24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(64,762)</w:t>
            </w:r>
          </w:p>
        </w:tc>
        <w:tc>
          <w:tcPr>
            <w:tcW w:w="0" w:type="dxa"/>
            <w:vAlign w:val="bottom"/>
          </w:tcPr>
          <w:p>
            <w:pPr>
              <w:spacing w:after="0"/>
              <w:rPr>
                <w:sz w:val="1"/>
                <w:szCs w:val="1"/>
                <w:color w:val="auto"/>
              </w:rPr>
            </w:pPr>
          </w:p>
        </w:tc>
      </w:tr>
      <w:tr>
        <w:trPr>
          <w:trHeight w:val="20"/>
        </w:trPr>
        <w:tc>
          <w:tcPr>
            <w:tcW w:w="5540" w:type="dxa"/>
            <w:vAlign w:val="bottom"/>
            <w:gridSpan w:val="2"/>
            <w:vMerge w:val="restart"/>
          </w:tcPr>
          <w:p>
            <w:pPr>
              <w:spacing w:after="0"/>
              <w:rPr>
                <w:sz w:val="20"/>
                <w:szCs w:val="20"/>
                <w:color w:val="auto"/>
              </w:rPr>
            </w:pPr>
            <w:r>
              <w:rPr>
                <w:rFonts w:ascii="Arial" w:cs="Arial" w:eastAsia="Arial" w:hAnsi="Arial"/>
                <w:sz w:val="18"/>
                <w:szCs w:val="18"/>
                <w:color w:val="auto"/>
              </w:rPr>
              <w:t>Dividends accrued on preferred units</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5540" w:type="dxa"/>
            <w:vAlign w:val="bottom"/>
            <w:gridSpan w:val="2"/>
            <w:vMerge w:val="continue"/>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4,873</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68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4,873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shd w:val="clear" w:color="auto" w:fill="CCEEFF"/>
          </w:tcPr>
          <w:p>
            <w:pPr>
              <w:spacing w:after="0"/>
              <w:rPr>
                <w:sz w:val="20"/>
                <w:szCs w:val="20"/>
                <w:color w:val="auto"/>
              </w:rPr>
            </w:pPr>
            <w:r>
              <w:rPr>
                <w:rFonts w:ascii="Arial" w:cs="Arial" w:eastAsia="Arial" w:hAnsi="Arial"/>
                <w:sz w:val="18"/>
                <w:szCs w:val="18"/>
                <w:color w:val="auto"/>
              </w:rPr>
              <w:t>Net loss attributable to common units</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(69,635)</w:t>
            </w:r>
          </w:p>
        </w:tc>
        <w:tc>
          <w:tcPr>
            <w:tcW w:w="200" w:type="dxa"/>
            <w:vAlign w:val="bottom"/>
            <w:gridSpan w:val="2"/>
            <w:shd w:val="clear" w:color="auto" w:fill="CCEEFF"/>
          </w:tcPr>
          <w:p>
            <w:pPr>
              <w:ind w:left="100"/>
              <w:spacing w:after="0"/>
              <w:rPr>
                <w:sz w:val="20"/>
                <w:szCs w:val="20"/>
                <w:color w:val="auto"/>
              </w:rPr>
            </w:pPr>
            <w:r>
              <w:rPr>
                <w:rFonts w:ascii="Arial" w:cs="Arial" w:eastAsia="Arial" w:hAnsi="Arial"/>
                <w:sz w:val="18"/>
                <w:szCs w:val="18"/>
                <w:u w:val="single" w:color="auto"/>
                <w:color w:val="auto"/>
                <w:w w:val="79"/>
              </w:rPr>
              <w:t>$</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(60,659)</w:t>
            </w:r>
          </w:p>
        </w:tc>
        <w:tc>
          <w:tcPr>
            <w:tcW w:w="108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 (58,964)</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7"/>
              </w:rPr>
              <w:t>$ (49,024)</w:t>
            </w:r>
          </w:p>
        </w:tc>
        <w:tc>
          <w:tcPr>
            <w:tcW w:w="2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168,647</w:t>
            </w:r>
          </w:p>
        </w:tc>
        <w:tc>
          <w:tcPr>
            <w:tcW w:w="180" w:type="dxa"/>
            <w:vAlign w:val="bottom"/>
            <w:shd w:val="clear" w:color="auto" w:fill="CCEEFF"/>
          </w:tcPr>
          <w:p>
            <w:pPr>
              <w:spacing w:after="0"/>
              <w:rPr>
                <w:sz w:val="18"/>
                <w:szCs w:val="18"/>
                <w:color w:val="auto"/>
              </w:rPr>
            </w:pPr>
          </w:p>
        </w:tc>
        <w:tc>
          <w:tcPr>
            <w:tcW w:w="24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(69,635)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52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20" w:type="dxa"/>
            <w:vAlign w:val="bottom"/>
          </w:tcPr>
          <w:p>
            <w:pPr>
              <w:spacing w:after="0"/>
              <w:rPr>
                <w:sz w:val="24"/>
                <w:szCs w:val="24"/>
                <w:color w:val="auto"/>
              </w:rPr>
            </w:pPr>
          </w:p>
        </w:tc>
        <w:tc>
          <w:tcPr>
            <w:tcW w:w="5520" w:type="dxa"/>
            <w:vAlign w:val="bottom"/>
          </w:tcPr>
          <w:p>
            <w:pPr>
              <w:spacing w:after="0"/>
              <w:rPr>
                <w:sz w:val="24"/>
                <w:szCs w:val="24"/>
                <w:color w:val="auto"/>
              </w:rPr>
            </w:pPr>
          </w:p>
        </w:tc>
        <w:tc>
          <w:tcPr>
            <w:tcW w:w="880" w:type="dxa"/>
            <w:vAlign w:val="bottom"/>
            <w:gridSpan w:val="2"/>
          </w:tcPr>
          <w:p>
            <w:pPr>
              <w:jc w:val="right"/>
              <w:ind w:right="536"/>
              <w:spacing w:after="0"/>
              <w:rPr>
                <w:sz w:val="20"/>
                <w:szCs w:val="20"/>
                <w:color w:val="auto"/>
              </w:rPr>
            </w:pPr>
            <w:r>
              <w:rPr>
                <w:rFonts w:ascii="Arial" w:cs="Arial" w:eastAsia="Arial" w:hAnsi="Arial"/>
                <w:sz w:val="18"/>
                <w:szCs w:val="18"/>
                <w:color w:val="auto"/>
              </w:rPr>
              <w:t>19</w:t>
            </w: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MagnaChip Semiconductor LLC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tabular dollars in thousands, except unit data)</w:t>
      </w:r>
    </w:p>
    <w:p>
      <w:pPr>
        <w:spacing w:after="0" w:line="1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Balance Sheet</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July 2, 2006</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w w:val="90"/>
              </w:rPr>
              <w:t>MagnaChip</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220" w:type="dxa"/>
            <w:vAlign w:val="bottom"/>
          </w:tcPr>
          <w:p>
            <w:pPr>
              <w:spacing w:after="0"/>
              <w:rPr>
                <w:sz w:val="12"/>
                <w:szCs w:val="12"/>
                <w:color w:val="auto"/>
              </w:rPr>
            </w:pPr>
          </w:p>
        </w:tc>
        <w:tc>
          <w:tcPr>
            <w:tcW w:w="104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Semiconductor</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gridSpan w:val="2"/>
          </w:tcPr>
          <w:p>
            <w:pPr>
              <w:jc w:val="right"/>
              <w:ind w:right="460"/>
              <w:spacing w:after="0" w:line="149" w:lineRule="exact"/>
              <w:rPr>
                <w:sz w:val="20"/>
                <w:szCs w:val="20"/>
                <w:color w:val="auto"/>
              </w:rPr>
            </w:pPr>
            <w:r>
              <w:rPr>
                <w:rFonts w:ascii="Arial" w:cs="Arial" w:eastAsia="Arial" w:hAnsi="Arial"/>
                <w:sz w:val="14"/>
                <w:szCs w:val="14"/>
                <w:b w:val="1"/>
                <w:bCs w:val="1"/>
                <w:color w:val="auto"/>
              </w:rPr>
              <w:t>LLC</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2"/>
          </w:tcPr>
          <w:p>
            <w:pPr>
              <w:jc w:val="right"/>
              <w:ind w:right="500"/>
              <w:spacing w:after="0" w:line="149" w:lineRule="exact"/>
              <w:rPr>
                <w:sz w:val="20"/>
                <w:szCs w:val="20"/>
                <w:color w:val="auto"/>
              </w:rPr>
            </w:pPr>
            <w:r>
              <w:rPr>
                <w:rFonts w:ascii="Arial" w:cs="Arial" w:eastAsia="Arial" w:hAnsi="Arial"/>
                <w:sz w:val="14"/>
                <w:szCs w:val="14"/>
                <w:b w:val="1"/>
                <w:bCs w:val="1"/>
                <w:color w:val="auto"/>
              </w:rPr>
              <w:t>Non-</w:t>
            </w: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5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6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(Parent)</w:t>
            </w:r>
          </w:p>
        </w:tc>
        <w:tc>
          <w:tcPr>
            <w:tcW w:w="120" w:type="dxa"/>
            <w:vAlign w:val="bottom"/>
          </w:tcPr>
          <w:p>
            <w:pPr>
              <w:spacing w:after="0"/>
              <w:rPr>
                <w:sz w:val="15"/>
                <w:szCs w:val="15"/>
                <w:color w:val="auto"/>
              </w:rPr>
            </w:pPr>
          </w:p>
        </w:tc>
        <w:tc>
          <w:tcPr>
            <w:tcW w:w="1000" w:type="dxa"/>
            <w:vAlign w:val="bottom"/>
            <w:gridSpan w:val="3"/>
          </w:tcPr>
          <w:p>
            <w:pPr>
              <w:jc w:val="right"/>
              <w:ind w:right="340"/>
              <w:spacing w:after="0"/>
              <w:rPr>
                <w:sz w:val="20"/>
                <w:szCs w:val="20"/>
                <w:color w:val="auto"/>
              </w:rPr>
            </w:pPr>
            <w:r>
              <w:rPr>
                <w:rFonts w:ascii="Arial" w:cs="Arial" w:eastAsia="Arial" w:hAnsi="Arial"/>
                <w:sz w:val="14"/>
                <w:szCs w:val="14"/>
                <w:b w:val="1"/>
                <w:bCs w:val="1"/>
                <w:color w:val="auto"/>
                <w:w w:val="88"/>
              </w:rPr>
              <w:t>Co-Issuers</w:t>
            </w:r>
          </w:p>
        </w:tc>
        <w:tc>
          <w:tcPr>
            <w:tcW w:w="1020" w:type="dxa"/>
            <w:vAlign w:val="bottom"/>
            <w:gridSpan w:val="3"/>
          </w:tcPr>
          <w:p>
            <w:pPr>
              <w:jc w:val="right"/>
              <w:ind w:right="300"/>
              <w:spacing w:after="0"/>
              <w:rPr>
                <w:sz w:val="20"/>
                <w:szCs w:val="20"/>
                <w:color w:val="auto"/>
              </w:rPr>
            </w:pPr>
            <w:r>
              <w:rPr>
                <w:rFonts w:ascii="Arial" w:cs="Arial" w:eastAsia="Arial" w:hAnsi="Arial"/>
                <w:sz w:val="14"/>
                <w:szCs w:val="14"/>
                <w:b w:val="1"/>
                <w:bCs w:val="1"/>
                <w:color w:val="auto"/>
                <w:w w:val="92"/>
              </w:rPr>
              <w:t>Guarantors</w:t>
            </w:r>
          </w:p>
        </w:tc>
        <w:tc>
          <w:tcPr>
            <w:tcW w:w="900" w:type="dxa"/>
            <w:vAlign w:val="bottom"/>
            <w:gridSpan w:val="3"/>
          </w:tcPr>
          <w:p>
            <w:pPr>
              <w:jc w:val="right"/>
              <w:ind w:right="200"/>
              <w:spacing w:after="0"/>
              <w:rPr>
                <w:sz w:val="20"/>
                <w:szCs w:val="20"/>
                <w:color w:val="auto"/>
              </w:rPr>
            </w:pPr>
            <w:r>
              <w:rPr>
                <w:rFonts w:ascii="Arial" w:cs="Arial" w:eastAsia="Arial" w:hAnsi="Arial"/>
                <w:sz w:val="14"/>
                <w:szCs w:val="14"/>
                <w:b w:val="1"/>
                <w:bCs w:val="1"/>
                <w:color w:val="auto"/>
                <w:w w:val="90"/>
              </w:rPr>
              <w:t>Guarantors</w:t>
            </w:r>
          </w:p>
        </w:tc>
        <w:tc>
          <w:tcPr>
            <w:tcW w:w="120" w:type="dxa"/>
            <w:vAlign w:val="bottom"/>
          </w:tcPr>
          <w:p>
            <w:pPr>
              <w:spacing w:after="0"/>
              <w:rPr>
                <w:sz w:val="15"/>
                <w:szCs w:val="15"/>
                <w:color w:val="auto"/>
              </w:rPr>
            </w:pPr>
          </w:p>
        </w:tc>
        <w:tc>
          <w:tcPr>
            <w:tcW w:w="1040" w:type="dxa"/>
            <w:vAlign w:val="bottom"/>
            <w:gridSpan w:val="3"/>
          </w:tcPr>
          <w:p>
            <w:pPr>
              <w:jc w:val="right"/>
              <w:ind w:right="240"/>
              <w:spacing w:after="0"/>
              <w:rPr>
                <w:sz w:val="20"/>
                <w:szCs w:val="20"/>
                <w:color w:val="auto"/>
              </w:rPr>
            </w:pPr>
            <w:r>
              <w:rPr>
                <w:rFonts w:ascii="Arial" w:cs="Arial" w:eastAsia="Arial" w:hAnsi="Arial"/>
                <w:sz w:val="14"/>
                <w:szCs w:val="14"/>
                <w:b w:val="1"/>
                <w:bCs w:val="1"/>
                <w:color w:val="auto"/>
                <w:w w:val="93"/>
              </w:rPr>
              <w:t>Eliminations</w:t>
            </w:r>
          </w:p>
        </w:tc>
        <w:tc>
          <w:tcPr>
            <w:tcW w:w="100" w:type="dxa"/>
            <w:vAlign w:val="bottom"/>
          </w:tcPr>
          <w:p>
            <w:pPr>
              <w:spacing w:after="0"/>
              <w:rPr>
                <w:sz w:val="15"/>
                <w:szCs w:val="15"/>
                <w:color w:val="auto"/>
              </w:rPr>
            </w:pPr>
          </w:p>
        </w:tc>
        <w:tc>
          <w:tcPr>
            <w:tcW w:w="840" w:type="dxa"/>
            <w:vAlign w:val="bottom"/>
            <w:gridSpan w:val="3"/>
          </w:tcPr>
          <w:p>
            <w:pPr>
              <w:spacing w:after="0"/>
              <w:rPr>
                <w:sz w:val="20"/>
                <w:szCs w:val="20"/>
                <w:color w:val="auto"/>
              </w:rPr>
            </w:pPr>
            <w:r>
              <w:rPr>
                <w:rFonts w:ascii="Arial" w:cs="Arial" w:eastAsia="Arial" w:hAnsi="Arial"/>
                <w:sz w:val="14"/>
                <w:szCs w:val="14"/>
                <w:b w:val="1"/>
                <w:bCs w:val="1"/>
                <w:color w:val="auto"/>
                <w:w w:val="92"/>
              </w:rPr>
              <w:t>Consolidated</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2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8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tcPr>
          <w:p>
            <w:pPr>
              <w:spacing w:after="0"/>
              <w:rPr>
                <w:sz w:val="20"/>
                <w:szCs w:val="20"/>
                <w:color w:val="auto"/>
              </w:rPr>
            </w:pPr>
            <w:r>
              <w:rPr>
                <w:rFonts w:ascii="Arial" w:cs="Arial" w:eastAsia="Arial" w:hAnsi="Arial"/>
                <w:sz w:val="18"/>
                <w:szCs w:val="18"/>
                <w:color w:val="auto"/>
              </w:rPr>
              <w:t>Current assets</w:t>
            </w: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Cash and cash equivalents</w:t>
            </w: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278</w:t>
            </w:r>
          </w:p>
        </w:tc>
        <w:tc>
          <w:tcPr>
            <w:tcW w:w="16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441</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65,812</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19,957</w:t>
            </w:r>
          </w:p>
        </w:tc>
        <w:tc>
          <w:tcPr>
            <w:tcW w:w="16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2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w w:val="9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86,488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tcPr>
          <w:p>
            <w:pPr>
              <w:ind w:left="420"/>
              <w:spacing w:after="0"/>
              <w:rPr>
                <w:sz w:val="20"/>
                <w:szCs w:val="20"/>
                <w:color w:val="auto"/>
              </w:rPr>
            </w:pPr>
            <w:r>
              <w:rPr>
                <w:rFonts w:ascii="Arial" w:cs="Arial" w:eastAsia="Arial" w:hAnsi="Arial"/>
                <w:sz w:val="18"/>
                <w:szCs w:val="18"/>
                <w:color w:val="auto"/>
              </w:rPr>
              <w:t>Restricted cash</w:t>
            </w:r>
          </w:p>
        </w:tc>
        <w:tc>
          <w:tcPr>
            <w:tcW w:w="80" w:type="dxa"/>
            <w:vAlign w:val="bottom"/>
          </w:tcPr>
          <w:p>
            <w:pPr>
              <w:spacing w:after="0"/>
              <w:rPr>
                <w:sz w:val="18"/>
                <w:szCs w:val="18"/>
                <w:color w:val="auto"/>
              </w:rPr>
            </w:pPr>
          </w:p>
        </w:tc>
        <w:tc>
          <w:tcPr>
            <w:tcW w:w="9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920" w:type="dxa"/>
            <w:vAlign w:val="bottom"/>
            <w:gridSpan w:val="2"/>
          </w:tcPr>
          <w:p>
            <w:pPr>
              <w:jc w:val="right"/>
              <w:ind w:right="280"/>
              <w:spacing w:after="0"/>
              <w:rPr>
                <w:sz w:val="20"/>
                <w:szCs w:val="20"/>
                <w:color w:val="auto"/>
              </w:rPr>
            </w:pPr>
            <w:r>
              <w:rPr>
                <w:rFonts w:ascii="Arial" w:cs="Arial" w:eastAsia="Arial" w:hAnsi="Arial"/>
                <w:sz w:val="18"/>
                <w:szCs w:val="18"/>
                <w:color w:val="auto"/>
              </w:rPr>
              <w:t>1,118</w:t>
            </w:r>
          </w:p>
        </w:tc>
        <w:tc>
          <w:tcPr>
            <w:tcW w:w="100" w:type="dxa"/>
            <w:vAlign w:val="bottom"/>
          </w:tcPr>
          <w:p>
            <w:pPr>
              <w:spacing w:after="0"/>
              <w:rPr>
                <w:sz w:val="18"/>
                <w:szCs w:val="18"/>
                <w:color w:val="auto"/>
              </w:rPr>
            </w:pPr>
          </w:p>
        </w:tc>
        <w:tc>
          <w:tcPr>
            <w:tcW w:w="8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1,118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Accounts receivable, net</w:t>
            </w:r>
          </w:p>
        </w:tc>
        <w:tc>
          <w:tcPr>
            <w:tcW w:w="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5"/>
              </w:rPr>
              <w:t>125,269</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50,820</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(80,099)</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95,990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tcPr>
          <w:p>
            <w:pPr>
              <w:ind w:left="420"/>
              <w:spacing w:after="0"/>
              <w:rPr>
                <w:sz w:val="20"/>
                <w:szCs w:val="20"/>
                <w:color w:val="auto"/>
              </w:rPr>
            </w:pPr>
            <w:r>
              <w:rPr>
                <w:rFonts w:ascii="Arial" w:cs="Arial" w:eastAsia="Arial" w:hAnsi="Arial"/>
                <w:sz w:val="18"/>
                <w:szCs w:val="18"/>
                <w:color w:val="auto"/>
              </w:rPr>
              <w:t>Inventories, net</w:t>
            </w:r>
          </w:p>
        </w:tc>
        <w:tc>
          <w:tcPr>
            <w:tcW w:w="80" w:type="dxa"/>
            <w:vAlign w:val="bottom"/>
          </w:tcPr>
          <w:p>
            <w:pPr>
              <w:spacing w:after="0"/>
              <w:rPr>
                <w:sz w:val="18"/>
                <w:szCs w:val="18"/>
                <w:color w:val="auto"/>
              </w:rPr>
            </w:pPr>
          </w:p>
        </w:tc>
        <w:tc>
          <w:tcPr>
            <w:tcW w:w="9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920" w:type="dxa"/>
            <w:vAlign w:val="bottom"/>
            <w:gridSpan w:val="2"/>
          </w:tcPr>
          <w:p>
            <w:pPr>
              <w:jc w:val="right"/>
              <w:ind w:right="280"/>
              <w:spacing w:after="0"/>
              <w:rPr>
                <w:sz w:val="20"/>
                <w:szCs w:val="20"/>
                <w:color w:val="auto"/>
              </w:rPr>
            </w:pPr>
            <w:r>
              <w:rPr>
                <w:rFonts w:ascii="Arial" w:cs="Arial" w:eastAsia="Arial" w:hAnsi="Arial"/>
                <w:sz w:val="18"/>
                <w:szCs w:val="18"/>
                <w:color w:val="auto"/>
              </w:rPr>
              <w:t>56,996</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5,513</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(352)</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62,157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 receivables</w:t>
            </w: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34,578</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718</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5,571</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22,325</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(55,849)</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7,343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tcPr>
          <w:p>
            <w:pPr>
              <w:ind w:left="420"/>
              <w:spacing w:after="0"/>
              <w:rPr>
                <w:sz w:val="20"/>
                <w:szCs w:val="20"/>
                <w:color w:val="auto"/>
              </w:rPr>
            </w:pPr>
            <w:r>
              <w:rPr>
                <w:rFonts w:ascii="Arial" w:cs="Arial" w:eastAsia="Arial" w:hAnsi="Arial"/>
                <w:sz w:val="18"/>
                <w:szCs w:val="18"/>
                <w:color w:val="auto"/>
              </w:rPr>
              <w:t>Other current assets</w:t>
            </w:r>
          </w:p>
        </w:tc>
        <w:tc>
          <w:tcPr>
            <w:tcW w:w="80" w:type="dxa"/>
            <w:vAlign w:val="bottom"/>
          </w:tcPr>
          <w:p>
            <w:pPr>
              <w:spacing w:after="0"/>
              <w:rPr>
                <w:sz w:val="18"/>
                <w:szCs w:val="18"/>
                <w:color w:val="auto"/>
              </w:rPr>
            </w:pPr>
          </w:p>
        </w:tc>
        <w:tc>
          <w:tcPr>
            <w:tcW w:w="80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21,576</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12,043</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11,579</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(33,057)</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12,141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2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current assets</w:t>
            </w: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34,856</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22,735</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266,809</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110,194</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(169,357)</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265,237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5240" w:type="dxa"/>
            <w:vAlign w:val="bottom"/>
            <w:gridSpan w:val="2"/>
          </w:tcPr>
          <w:p>
            <w:pPr>
              <w:spacing w:after="0"/>
              <w:rPr>
                <w:sz w:val="20"/>
                <w:szCs w:val="20"/>
                <w:color w:val="auto"/>
              </w:rPr>
            </w:pPr>
            <w:r>
              <w:rPr>
                <w:rFonts w:ascii="Arial" w:cs="Arial" w:eastAsia="Arial" w:hAnsi="Arial"/>
                <w:sz w:val="18"/>
                <w:szCs w:val="18"/>
                <w:color w:val="auto"/>
              </w:rPr>
              <w:t>Property, plant and equipment, net</w:t>
            </w:r>
          </w:p>
        </w:tc>
        <w:tc>
          <w:tcPr>
            <w:tcW w:w="8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5"/>
              </w:rPr>
              <w:t>381,532</w:t>
            </w:r>
          </w:p>
        </w:tc>
        <w:tc>
          <w:tcPr>
            <w:tcW w:w="2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1,333</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8"/>
              </w:rPr>
              <w:t>382,865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220" w:type="dxa"/>
            <w:vAlign w:val="bottom"/>
            <w:shd w:val="clear" w:color="auto" w:fill="CCEEFF"/>
          </w:tcPr>
          <w:p>
            <w:pPr>
              <w:spacing w:after="0"/>
              <w:rPr>
                <w:sz w:val="20"/>
                <w:szCs w:val="20"/>
                <w:color w:val="auto"/>
              </w:rPr>
            </w:pPr>
            <w:r>
              <w:rPr>
                <w:rFonts w:ascii="Arial" w:cs="Arial" w:eastAsia="Arial" w:hAnsi="Arial"/>
                <w:sz w:val="18"/>
                <w:szCs w:val="18"/>
                <w:color w:val="auto"/>
              </w:rPr>
              <w:t>Intangibles, net</w:t>
            </w:r>
          </w:p>
        </w:tc>
        <w:tc>
          <w:tcPr>
            <w:tcW w:w="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5"/>
              </w:rPr>
              <w:t>129,137</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24,230</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153,367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tcPr>
          <w:p>
            <w:pPr>
              <w:spacing w:after="0"/>
              <w:rPr>
                <w:sz w:val="20"/>
                <w:szCs w:val="20"/>
                <w:color w:val="auto"/>
              </w:rPr>
            </w:pPr>
            <w:r>
              <w:rPr>
                <w:rFonts w:ascii="Arial" w:cs="Arial" w:eastAsia="Arial" w:hAnsi="Arial"/>
                <w:sz w:val="18"/>
                <w:szCs w:val="18"/>
                <w:color w:val="auto"/>
              </w:rPr>
              <w:t>Investments in subsidiaries</w:t>
            </w:r>
          </w:p>
        </w:tc>
        <w:tc>
          <w:tcPr>
            <w:tcW w:w="8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(101,827)</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w w:val="85"/>
              </w:rPr>
              <w:t>(178,798)</w:t>
            </w:r>
          </w:p>
        </w:tc>
        <w:tc>
          <w:tcPr>
            <w:tcW w:w="100" w:type="dxa"/>
            <w:vAlign w:val="bottom"/>
          </w:tcPr>
          <w:p>
            <w:pPr>
              <w:spacing w:after="0"/>
              <w:rPr>
                <w:sz w:val="18"/>
                <w:szCs w:val="18"/>
                <w:color w:val="auto"/>
              </w:rPr>
            </w:pPr>
          </w:p>
        </w:tc>
        <w:tc>
          <w:tcPr>
            <w:tcW w:w="92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19,178</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261,447</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shd w:val="clear" w:color="auto" w:fill="CCEEFF"/>
          </w:tcPr>
          <w:p>
            <w:pPr>
              <w:spacing w:after="0"/>
              <w:rPr>
                <w:sz w:val="20"/>
                <w:szCs w:val="20"/>
                <w:color w:val="auto"/>
              </w:rPr>
            </w:pPr>
            <w:r>
              <w:rPr>
                <w:rFonts w:ascii="Arial" w:cs="Arial" w:eastAsia="Arial" w:hAnsi="Arial"/>
                <w:sz w:val="18"/>
                <w:szCs w:val="18"/>
                <w:color w:val="auto"/>
              </w:rPr>
              <w:t>Long-term inter-company loans</w:t>
            </w:r>
          </w:p>
        </w:tc>
        <w:tc>
          <w:tcPr>
            <w:tcW w:w="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786,265</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5"/>
              </w:rPr>
              <w:t>621,311</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6"/>
              </w:rPr>
              <w:t>(1,407,576)</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tcPr>
          <w:p>
            <w:pPr>
              <w:spacing w:after="0"/>
              <w:rPr>
                <w:sz w:val="20"/>
                <w:szCs w:val="20"/>
                <w:color w:val="auto"/>
              </w:rPr>
            </w:pPr>
            <w:r>
              <w:rPr>
                <w:rFonts w:ascii="Arial" w:cs="Arial" w:eastAsia="Arial" w:hAnsi="Arial"/>
                <w:sz w:val="18"/>
                <w:szCs w:val="18"/>
                <w:color w:val="auto"/>
              </w:rPr>
              <w:t>Other non-current assets</w:t>
            </w:r>
          </w:p>
        </w:tc>
        <w:tc>
          <w:tcPr>
            <w:tcW w:w="80" w:type="dxa"/>
            <w:vAlign w:val="bottom"/>
          </w:tcPr>
          <w:p>
            <w:pPr>
              <w:spacing w:after="0"/>
              <w:rPr>
                <w:sz w:val="18"/>
                <w:szCs w:val="18"/>
                <w:color w:val="auto"/>
              </w:rPr>
            </w:pPr>
          </w:p>
        </w:tc>
        <w:tc>
          <w:tcPr>
            <w:tcW w:w="80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26,265</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44,627</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10,876</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(24,648)</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57,120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2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assets</w:t>
            </w: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(66,971)</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656,467</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5"/>
              </w:rPr>
              <w:t>822,105</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787,122</w:t>
            </w:r>
          </w:p>
        </w:tc>
        <w:tc>
          <w:tcPr>
            <w:tcW w:w="16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6"/>
              </w:rPr>
              <w:t>(1,340,134)</w:t>
            </w:r>
          </w:p>
        </w:tc>
        <w:tc>
          <w:tcPr>
            <w:tcW w:w="22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w w:val="9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858,589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24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Liabilities and Unitholders’ equity</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5240" w:type="dxa"/>
            <w:vAlign w:val="bottom"/>
            <w:gridSpan w:val="2"/>
            <w:vMerge w:val="continue"/>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22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tcPr>
          <w:p>
            <w:pPr>
              <w:ind w:left="420"/>
              <w:spacing w:after="0"/>
              <w:rPr>
                <w:sz w:val="20"/>
                <w:szCs w:val="20"/>
                <w:color w:val="auto"/>
              </w:rPr>
            </w:pPr>
            <w:r>
              <w:rPr>
                <w:rFonts w:ascii="Arial" w:cs="Arial" w:eastAsia="Arial" w:hAnsi="Arial"/>
                <w:sz w:val="18"/>
                <w:szCs w:val="18"/>
                <w:color w:val="auto"/>
              </w:rPr>
              <w:t>Accounts payable</w:t>
            </w: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9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280"/>
              <w:spacing w:after="0"/>
              <w:rPr>
                <w:sz w:val="20"/>
                <w:szCs w:val="20"/>
                <w:color w:val="auto"/>
              </w:rPr>
            </w:pPr>
            <w:r>
              <w:rPr>
                <w:rFonts w:ascii="Arial" w:cs="Arial" w:eastAsia="Arial" w:hAnsi="Arial"/>
                <w:sz w:val="18"/>
                <w:szCs w:val="18"/>
                <w:color w:val="auto"/>
              </w:rPr>
              <w:t>56,055</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77,169</w:t>
            </w:r>
          </w:p>
        </w:tc>
        <w:tc>
          <w:tcPr>
            <w:tcW w:w="160" w:type="dxa"/>
            <w:vAlign w:val="bottom"/>
          </w:tcPr>
          <w:p>
            <w:pPr>
              <w:spacing w:after="0"/>
              <w:rPr>
                <w:sz w:val="18"/>
                <w:szCs w:val="18"/>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(80,099)</w:t>
            </w:r>
          </w:p>
        </w:tc>
        <w:tc>
          <w:tcPr>
            <w:tcW w:w="220" w:type="dxa"/>
            <w:vAlign w:val="bottom"/>
            <w:gridSpan w:val="2"/>
          </w:tcPr>
          <w:p>
            <w:pPr>
              <w:ind w:left="100"/>
              <w:spacing w:after="0"/>
              <w:rPr>
                <w:sz w:val="20"/>
                <w:szCs w:val="20"/>
                <w:color w:val="auto"/>
              </w:rPr>
            </w:pPr>
            <w:r>
              <w:rPr>
                <w:rFonts w:ascii="Arial" w:cs="Arial" w:eastAsia="Arial" w:hAnsi="Arial"/>
                <w:sz w:val="18"/>
                <w:szCs w:val="18"/>
                <w:color w:val="auto"/>
                <w:w w:val="99"/>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53,125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 accounts payable</w:t>
            </w: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1,035</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59,474</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20,444</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(55,849)</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25,109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tcPr>
          <w:p>
            <w:pPr>
              <w:ind w:left="420"/>
              <w:spacing w:after="0"/>
              <w:rPr>
                <w:sz w:val="20"/>
                <w:szCs w:val="20"/>
                <w:color w:val="auto"/>
              </w:rPr>
            </w:pPr>
            <w:r>
              <w:rPr>
                <w:rFonts w:ascii="Arial" w:cs="Arial" w:eastAsia="Arial" w:hAnsi="Arial"/>
                <w:sz w:val="18"/>
                <w:szCs w:val="18"/>
                <w:color w:val="auto"/>
              </w:rPr>
              <w:t>Accrued expenses</w:t>
            </w:r>
          </w:p>
        </w:tc>
        <w:tc>
          <w:tcPr>
            <w:tcW w:w="80" w:type="dxa"/>
            <w:vAlign w:val="bottom"/>
          </w:tcPr>
          <w:p>
            <w:pPr>
              <w:spacing w:after="0"/>
              <w:rPr>
                <w:sz w:val="18"/>
                <w:szCs w:val="18"/>
                <w:color w:val="auto"/>
              </w:rPr>
            </w:pPr>
          </w:p>
        </w:tc>
        <w:tc>
          <w:tcPr>
            <w:tcW w:w="9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3,332</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280"/>
              <w:spacing w:after="0"/>
              <w:rPr>
                <w:sz w:val="20"/>
                <w:szCs w:val="20"/>
                <w:color w:val="auto"/>
              </w:rPr>
            </w:pPr>
            <w:r>
              <w:rPr>
                <w:rFonts w:ascii="Arial" w:cs="Arial" w:eastAsia="Arial" w:hAnsi="Arial"/>
                <w:sz w:val="18"/>
                <w:szCs w:val="18"/>
                <w:color w:val="auto"/>
              </w:rPr>
              <w:t>25,748</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23,802</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(24,335)</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28,547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 current liabilities</w:t>
            </w: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243</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2,112</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11,086</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(8,722)</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4,719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20" w:type="dxa"/>
            <w:vAlign w:val="bottom"/>
            <w:vMerge w:val="restart"/>
          </w:tcPr>
          <w:p>
            <w:pPr>
              <w:ind w:left="860"/>
              <w:spacing w:after="0"/>
              <w:rPr>
                <w:sz w:val="20"/>
                <w:szCs w:val="20"/>
                <w:color w:val="auto"/>
              </w:rPr>
            </w:pPr>
            <w:r>
              <w:rPr>
                <w:rFonts w:ascii="Arial" w:cs="Arial" w:eastAsia="Arial" w:hAnsi="Arial"/>
                <w:sz w:val="18"/>
                <w:szCs w:val="18"/>
                <w:color w:val="auto"/>
              </w:rPr>
              <w:t>Total current liabilities</w:t>
            </w:r>
          </w:p>
        </w:tc>
        <w:tc>
          <w:tcPr>
            <w:tcW w:w="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522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1,035</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3,580</w:t>
            </w: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143,389</w:t>
            </w: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132,501</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(169,005)</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98"/>
              </w:rPr>
              <w:t>111,500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52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20" w:type="dxa"/>
            <w:vAlign w:val="bottom"/>
            <w:shd w:val="clear" w:color="auto" w:fill="CCEEFF"/>
          </w:tcPr>
          <w:p>
            <w:pPr>
              <w:spacing w:after="0"/>
              <w:rPr>
                <w:sz w:val="20"/>
                <w:szCs w:val="20"/>
                <w:color w:val="auto"/>
              </w:rPr>
            </w:pPr>
            <w:r>
              <w:rPr>
                <w:rFonts w:ascii="Arial" w:cs="Arial" w:eastAsia="Arial" w:hAnsi="Arial"/>
                <w:sz w:val="18"/>
                <w:szCs w:val="18"/>
                <w:color w:val="auto"/>
              </w:rPr>
              <w:t>Long-term borrowings</w:t>
            </w: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750,000</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621,311</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786,265</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6"/>
              </w:rPr>
              <w:t>(1,407,576)</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750,000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tcPr>
          <w:p>
            <w:pPr>
              <w:spacing w:after="0"/>
              <w:rPr>
                <w:sz w:val="20"/>
                <w:szCs w:val="20"/>
                <w:color w:val="auto"/>
              </w:rPr>
            </w:pPr>
            <w:r>
              <w:rPr>
                <w:rFonts w:ascii="Arial" w:cs="Arial" w:eastAsia="Arial" w:hAnsi="Arial"/>
                <w:sz w:val="18"/>
                <w:szCs w:val="18"/>
                <w:color w:val="auto"/>
              </w:rPr>
              <w:t>Accrued severance benefits, net</w:t>
            </w:r>
          </w:p>
        </w:tc>
        <w:tc>
          <w:tcPr>
            <w:tcW w:w="80" w:type="dxa"/>
            <w:vAlign w:val="bottom"/>
          </w:tcPr>
          <w:p>
            <w:pPr>
              <w:spacing w:after="0"/>
              <w:rPr>
                <w:sz w:val="18"/>
                <w:szCs w:val="18"/>
                <w:color w:val="auto"/>
              </w:rPr>
            </w:pPr>
          </w:p>
        </w:tc>
        <w:tc>
          <w:tcPr>
            <w:tcW w:w="9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920" w:type="dxa"/>
            <w:vAlign w:val="bottom"/>
            <w:gridSpan w:val="2"/>
          </w:tcPr>
          <w:p>
            <w:pPr>
              <w:jc w:val="right"/>
              <w:ind w:right="280"/>
              <w:spacing w:after="0"/>
              <w:rPr>
                <w:sz w:val="20"/>
                <w:szCs w:val="20"/>
                <w:color w:val="auto"/>
              </w:rPr>
            </w:pPr>
            <w:r>
              <w:rPr>
                <w:rFonts w:ascii="Arial" w:cs="Arial" w:eastAsia="Arial" w:hAnsi="Arial"/>
                <w:sz w:val="18"/>
                <w:szCs w:val="18"/>
                <w:color w:val="auto"/>
              </w:rPr>
              <w:t>58,637</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321</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58,958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shd w:val="clear" w:color="auto" w:fill="CCEEFF"/>
          </w:tcPr>
          <w:p>
            <w:pPr>
              <w:spacing w:after="0"/>
              <w:rPr>
                <w:sz w:val="20"/>
                <w:szCs w:val="20"/>
                <w:color w:val="auto"/>
              </w:rPr>
            </w:pPr>
            <w:r>
              <w:rPr>
                <w:rFonts w:ascii="Arial" w:cs="Arial" w:eastAsia="Arial" w:hAnsi="Arial"/>
                <w:sz w:val="18"/>
                <w:szCs w:val="18"/>
                <w:color w:val="auto"/>
              </w:rPr>
              <w:t>Other non-current liabilities</w:t>
            </w: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4,261</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26,524</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(24,648)</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6,137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20" w:type="dxa"/>
            <w:vAlign w:val="bottom"/>
            <w:vMerge w:val="restart"/>
          </w:tcPr>
          <w:p>
            <w:pPr>
              <w:ind w:left="860"/>
              <w:spacing w:after="0"/>
              <w:rPr>
                <w:sz w:val="20"/>
                <w:szCs w:val="20"/>
                <w:color w:val="auto"/>
              </w:rPr>
            </w:pPr>
            <w:r>
              <w:rPr>
                <w:rFonts w:ascii="Arial" w:cs="Arial" w:eastAsia="Arial" w:hAnsi="Arial"/>
                <w:sz w:val="18"/>
                <w:szCs w:val="18"/>
                <w:color w:val="auto"/>
              </w:rPr>
              <w:t>Total liabilities</w:t>
            </w:r>
          </w:p>
        </w:tc>
        <w:tc>
          <w:tcPr>
            <w:tcW w:w="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tcPr>
          <w:p>
            <w:pPr>
              <w:spacing w:after="0"/>
              <w:rPr>
                <w:sz w:val="20"/>
                <w:szCs w:val="20"/>
                <w:color w:val="auto"/>
              </w:rPr>
            </w:pPr>
          </w:p>
        </w:tc>
        <w:tc>
          <w:tcPr>
            <w:tcW w:w="5220" w:type="dxa"/>
            <w:vAlign w:val="bottom"/>
            <w:vMerge w:val="continue"/>
          </w:tcPr>
          <w:p>
            <w:pPr>
              <w:spacing w:after="0"/>
              <w:rPr>
                <w:sz w:val="20"/>
                <w:szCs w:val="20"/>
                <w:color w:val="auto"/>
              </w:rPr>
            </w:pPr>
          </w:p>
        </w:tc>
        <w:tc>
          <w:tcPr>
            <w:tcW w:w="8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1,035</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92"/>
              </w:rPr>
              <w:t>753,580</w:t>
            </w: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827,598</w:t>
            </w: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945,611</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w w:val="86"/>
              </w:rPr>
              <w:t>(1,601,229)</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98"/>
              </w:rPr>
              <w:t>926,595</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shd w:val="clear" w:color="auto" w:fill="CCEEFF"/>
          </w:tcPr>
          <w:p>
            <w:pPr>
              <w:spacing w:after="0"/>
              <w:rPr>
                <w:sz w:val="20"/>
                <w:szCs w:val="20"/>
                <w:color w:val="auto"/>
              </w:rPr>
            </w:pPr>
            <w:r>
              <w:rPr>
                <w:rFonts w:ascii="Arial" w:cs="Arial" w:eastAsia="Arial" w:hAnsi="Arial"/>
                <w:sz w:val="18"/>
                <w:szCs w:val="18"/>
                <w:color w:val="auto"/>
              </w:rPr>
              <w:t>Commitments and contingencies</w:t>
            </w:r>
          </w:p>
        </w:tc>
        <w:tc>
          <w:tcPr>
            <w:tcW w:w="8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tcPr>
          <w:p>
            <w:pPr>
              <w:ind w:left="420"/>
              <w:spacing w:after="0"/>
              <w:rPr>
                <w:sz w:val="20"/>
                <w:szCs w:val="20"/>
                <w:color w:val="auto"/>
              </w:rPr>
            </w:pPr>
            <w:r>
              <w:rPr>
                <w:rFonts w:ascii="Arial" w:cs="Arial" w:eastAsia="Arial" w:hAnsi="Arial"/>
                <w:sz w:val="18"/>
                <w:szCs w:val="18"/>
                <w:color w:val="auto"/>
              </w:rPr>
              <w:t>Series A redeemable convertible preferred units</w:t>
            </w:r>
          </w:p>
        </w:tc>
        <w:tc>
          <w:tcPr>
            <w:tcW w:w="80" w:type="dxa"/>
            <w:vAlign w:val="bottom"/>
          </w:tcPr>
          <w:p>
            <w:pPr>
              <w:spacing w:after="0"/>
              <w:rPr>
                <w:sz w:val="18"/>
                <w:szCs w:val="18"/>
                <w:color w:val="auto"/>
              </w:rPr>
            </w:pPr>
          </w:p>
        </w:tc>
        <w:tc>
          <w:tcPr>
            <w:tcW w:w="9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92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Series B redeemable convertible preferred unites</w:t>
            </w:r>
          </w:p>
        </w:tc>
        <w:tc>
          <w:tcPr>
            <w:tcW w:w="8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111,801</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111,801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220" w:type="dxa"/>
            <w:vAlign w:val="bottom"/>
          </w:tcPr>
          <w:p>
            <w:pPr>
              <w:ind w:left="860"/>
              <w:spacing w:after="0"/>
              <w:rPr>
                <w:sz w:val="20"/>
                <w:szCs w:val="20"/>
                <w:color w:val="auto"/>
              </w:rPr>
            </w:pPr>
            <w:r>
              <w:rPr>
                <w:rFonts w:ascii="Arial" w:cs="Arial" w:eastAsia="Arial" w:hAnsi="Arial"/>
                <w:sz w:val="18"/>
                <w:szCs w:val="18"/>
                <w:color w:val="auto"/>
              </w:rPr>
              <w:t>Total redeemable convertible preferred units</w:t>
            </w:r>
          </w:p>
        </w:tc>
        <w:tc>
          <w:tcPr>
            <w:tcW w:w="8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111,801</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92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8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98"/>
              </w:rPr>
              <w:t>111,801</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shd w:val="clear" w:color="auto" w:fill="CCEEFF"/>
          </w:tcPr>
          <w:p>
            <w:pPr>
              <w:spacing w:after="0"/>
              <w:rPr>
                <w:sz w:val="20"/>
                <w:szCs w:val="20"/>
                <w:color w:val="auto"/>
              </w:rPr>
            </w:pPr>
            <w:r>
              <w:rPr>
                <w:rFonts w:ascii="Arial" w:cs="Arial" w:eastAsia="Arial" w:hAnsi="Arial"/>
                <w:sz w:val="18"/>
                <w:szCs w:val="18"/>
                <w:color w:val="auto"/>
              </w:rPr>
              <w:t>Unitholders’ equity</w:t>
            </w:r>
          </w:p>
        </w:tc>
        <w:tc>
          <w:tcPr>
            <w:tcW w:w="8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tcPr>
          <w:p>
            <w:pPr>
              <w:spacing w:after="0"/>
              <w:rPr>
                <w:sz w:val="20"/>
                <w:szCs w:val="20"/>
                <w:color w:val="auto"/>
              </w:rPr>
            </w:pPr>
            <w:r>
              <w:rPr>
                <w:rFonts w:ascii="Arial" w:cs="Arial" w:eastAsia="Arial" w:hAnsi="Arial"/>
                <w:sz w:val="18"/>
                <w:szCs w:val="18"/>
                <w:color w:val="auto"/>
              </w:rPr>
              <w:t>Common units</w:t>
            </w:r>
          </w:p>
        </w:tc>
        <w:tc>
          <w:tcPr>
            <w:tcW w:w="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52,721</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92"/>
              </w:rPr>
              <w:t>102,986</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280"/>
              <w:spacing w:after="0"/>
              <w:rPr>
                <w:sz w:val="20"/>
                <w:szCs w:val="20"/>
                <w:color w:val="auto"/>
              </w:rPr>
            </w:pPr>
            <w:r>
              <w:rPr>
                <w:rFonts w:ascii="Arial" w:cs="Arial" w:eastAsia="Arial" w:hAnsi="Arial"/>
                <w:sz w:val="18"/>
                <w:szCs w:val="18"/>
                <w:color w:val="auto"/>
              </w:rPr>
              <w:t>39,005</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55,773</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(197,764)</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52,721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shd w:val="clear" w:color="auto" w:fill="CCEEFF"/>
          </w:tcPr>
          <w:p>
            <w:pPr>
              <w:spacing w:after="0"/>
              <w:rPr>
                <w:sz w:val="20"/>
                <w:szCs w:val="20"/>
                <w:color w:val="auto"/>
              </w:rPr>
            </w:pPr>
            <w:r>
              <w:rPr>
                <w:rFonts w:ascii="Arial" w:cs="Arial" w:eastAsia="Arial" w:hAnsi="Arial"/>
                <w:sz w:val="18"/>
                <w:szCs w:val="18"/>
                <w:color w:val="auto"/>
              </w:rPr>
              <w:t>Additional paid-in capital</w:t>
            </w: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2,311</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1,115</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5"/>
              </w:rPr>
              <w:t>155,297</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74,685</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(231,097)</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2,311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tcPr>
          <w:p>
            <w:pPr>
              <w:spacing w:after="0"/>
              <w:rPr>
                <w:sz w:val="20"/>
                <w:szCs w:val="20"/>
                <w:color w:val="auto"/>
              </w:rPr>
            </w:pPr>
            <w:r>
              <w:rPr>
                <w:rFonts w:ascii="Arial" w:cs="Arial" w:eastAsia="Arial" w:hAnsi="Arial"/>
                <w:sz w:val="18"/>
                <w:szCs w:val="18"/>
                <w:color w:val="auto"/>
              </w:rPr>
              <w:t>Accumulated deficit</w:t>
            </w:r>
          </w:p>
        </w:tc>
        <w:tc>
          <w:tcPr>
            <w:tcW w:w="8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(271,385)</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w w:val="85"/>
              </w:rPr>
              <w:t>(237,975)</w:t>
            </w:r>
          </w:p>
        </w:tc>
        <w:tc>
          <w:tcPr>
            <w:tcW w:w="100" w:type="dxa"/>
            <w:vAlign w:val="bottom"/>
          </w:tcPr>
          <w:p>
            <w:pPr>
              <w:spacing w:after="0"/>
              <w:rPr>
                <w:sz w:val="18"/>
                <w:szCs w:val="18"/>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w w:val="88"/>
              </w:rPr>
              <w:t>(229,428)</w:t>
            </w:r>
          </w:p>
        </w:tc>
        <w:tc>
          <w:tcPr>
            <w:tcW w:w="100" w:type="dxa"/>
            <w:vAlign w:val="bottom"/>
          </w:tcPr>
          <w:p>
            <w:pPr>
              <w:spacing w:after="0"/>
              <w:rPr>
                <w:sz w:val="18"/>
                <w:szCs w:val="18"/>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w w:val="85"/>
              </w:rPr>
              <w:t>(319,121)</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786,524</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w w:val="90"/>
              </w:rPr>
              <w:t>(271,385)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shd w:val="clear" w:color="auto" w:fill="CCEEFF"/>
          </w:tcPr>
          <w:p>
            <w:pPr>
              <w:spacing w:after="0"/>
              <w:rPr>
                <w:sz w:val="20"/>
                <w:szCs w:val="20"/>
                <w:color w:val="auto"/>
              </w:rPr>
            </w:pPr>
            <w:r>
              <w:rPr>
                <w:rFonts w:ascii="Arial" w:cs="Arial" w:eastAsia="Arial" w:hAnsi="Arial"/>
                <w:sz w:val="18"/>
                <w:szCs w:val="18"/>
                <w:color w:val="auto"/>
              </w:rPr>
              <w:t>Accumulated other comprehensive income</w:t>
            </w: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36,546</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36,761</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29,633</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30,174</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(96,568)</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36,546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20" w:type="dxa"/>
            <w:vAlign w:val="bottom"/>
            <w:vMerge w:val="restart"/>
          </w:tcPr>
          <w:p>
            <w:pPr>
              <w:ind w:left="860"/>
              <w:spacing w:after="0"/>
              <w:rPr>
                <w:sz w:val="20"/>
                <w:szCs w:val="20"/>
                <w:color w:val="auto"/>
              </w:rPr>
            </w:pPr>
            <w:r>
              <w:rPr>
                <w:rFonts w:ascii="Arial" w:cs="Arial" w:eastAsia="Arial" w:hAnsi="Arial"/>
                <w:sz w:val="18"/>
                <w:szCs w:val="18"/>
                <w:color w:val="auto"/>
              </w:rPr>
              <w:t>Total unitholders’ equity</w:t>
            </w:r>
          </w:p>
        </w:tc>
        <w:tc>
          <w:tcPr>
            <w:tcW w:w="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tcPr>
          <w:p>
            <w:pPr>
              <w:spacing w:after="0"/>
              <w:rPr>
                <w:sz w:val="20"/>
                <w:szCs w:val="20"/>
                <w:color w:val="auto"/>
              </w:rPr>
            </w:pPr>
          </w:p>
        </w:tc>
        <w:tc>
          <w:tcPr>
            <w:tcW w:w="5220" w:type="dxa"/>
            <w:vAlign w:val="bottom"/>
            <w:vMerge w:val="continue"/>
          </w:tcPr>
          <w:p>
            <w:pPr>
              <w:spacing w:after="0"/>
              <w:rPr>
                <w:sz w:val="20"/>
                <w:szCs w:val="20"/>
                <w:color w:val="auto"/>
              </w:rPr>
            </w:pPr>
          </w:p>
        </w:tc>
        <w:tc>
          <w:tcPr>
            <w:tcW w:w="80" w:type="dxa"/>
            <w:vAlign w:val="bottom"/>
          </w:tcPr>
          <w:p>
            <w:pPr>
              <w:spacing w:after="0"/>
              <w:rPr>
                <w:sz w:val="20"/>
                <w:szCs w:val="20"/>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(179,807)</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w w:val="98"/>
              </w:rPr>
              <w:t>(97,113)</w:t>
            </w:r>
          </w:p>
        </w:tc>
        <w:tc>
          <w:tcPr>
            <w:tcW w:w="100" w:type="dxa"/>
            <w:vAlign w:val="bottom"/>
          </w:tcPr>
          <w:p>
            <w:pPr>
              <w:spacing w:after="0"/>
              <w:rPr>
                <w:sz w:val="20"/>
                <w:szCs w:val="20"/>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(5,493)</w:t>
            </w:r>
          </w:p>
        </w:tc>
        <w:tc>
          <w:tcPr>
            <w:tcW w:w="100" w:type="dxa"/>
            <w:vAlign w:val="bottom"/>
          </w:tcPr>
          <w:p>
            <w:pPr>
              <w:spacing w:after="0"/>
              <w:rPr>
                <w:sz w:val="20"/>
                <w:szCs w:val="20"/>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w w:val="85"/>
              </w:rPr>
              <w:t>(158,489)</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261,095</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w w:val="90"/>
              </w:rPr>
              <w:t>(179,807)</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2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liabilities, redeemable convertible preferred units</w:t>
            </w:r>
          </w:p>
        </w:tc>
        <w:tc>
          <w:tcPr>
            <w:tcW w:w="8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5220" w:type="dxa"/>
            <w:vAlign w:val="bottom"/>
            <w:shd w:val="clear" w:color="auto" w:fill="CCEEFF"/>
          </w:tcPr>
          <w:p>
            <w:pPr>
              <w:ind w:left="1060"/>
              <w:spacing w:after="0"/>
              <w:rPr>
                <w:sz w:val="20"/>
                <w:szCs w:val="20"/>
                <w:color w:val="auto"/>
              </w:rPr>
            </w:pPr>
            <w:r>
              <w:rPr>
                <w:rFonts w:ascii="Arial" w:cs="Arial" w:eastAsia="Arial" w:hAnsi="Arial"/>
                <w:sz w:val="18"/>
                <w:szCs w:val="18"/>
                <w:color w:val="auto"/>
              </w:rPr>
              <w:t>and unitholders’ equity</w:t>
            </w: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(66,971)</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656,467</w:t>
            </w:r>
          </w:p>
        </w:tc>
        <w:tc>
          <w:tcPr>
            <w:tcW w:w="28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5"/>
              </w:rPr>
              <w:t>822,105</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787,122</w:t>
            </w:r>
          </w:p>
        </w:tc>
        <w:tc>
          <w:tcPr>
            <w:tcW w:w="160" w:type="dxa"/>
            <w:vAlign w:val="bottom"/>
            <w:shd w:val="clear" w:color="auto" w:fill="CCEEFF"/>
          </w:tcPr>
          <w:p>
            <w:pPr>
              <w:spacing w:after="0"/>
              <w:rPr>
                <w:sz w:val="19"/>
                <w:szCs w:val="19"/>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6"/>
              </w:rPr>
              <w:t>(1,340,134)</w:t>
            </w:r>
          </w:p>
        </w:tc>
        <w:tc>
          <w:tcPr>
            <w:tcW w:w="22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w w:val="9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858,589</w:t>
            </w: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20" w:type="dxa"/>
            <w:vAlign w:val="bottom"/>
          </w:tcPr>
          <w:p>
            <w:pPr>
              <w:spacing w:after="0"/>
              <w:rPr>
                <w:sz w:val="24"/>
                <w:szCs w:val="24"/>
                <w:color w:val="auto"/>
              </w:rPr>
            </w:pPr>
          </w:p>
        </w:tc>
        <w:tc>
          <w:tcPr>
            <w:tcW w:w="5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0" w:type="dxa"/>
            <w:vAlign w:val="bottom"/>
          </w:tcPr>
          <w:p>
            <w:pPr>
              <w:jc w:val="right"/>
              <w:ind w:right="234"/>
              <w:spacing w:after="0"/>
              <w:rPr>
                <w:sz w:val="20"/>
                <w:szCs w:val="20"/>
                <w:color w:val="auto"/>
              </w:rPr>
            </w:pPr>
            <w:r>
              <w:rPr>
                <w:rFonts w:ascii="Arial" w:cs="Arial" w:eastAsia="Arial" w:hAnsi="Arial"/>
                <w:sz w:val="18"/>
                <w:szCs w:val="18"/>
                <w:color w:val="auto"/>
              </w:rPr>
              <w:t>20</w:t>
            </w: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MagnaChip Semiconductor LLC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tabular dollars in thousands, except unit data)</w:t>
      </w:r>
    </w:p>
    <w:p>
      <w:pPr>
        <w:spacing w:after="0" w:line="1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Balance Sheet</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2005</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w w:val="90"/>
              </w:rPr>
              <w:t>MagnaChip</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220" w:type="dxa"/>
            <w:vAlign w:val="bottom"/>
          </w:tcPr>
          <w:p>
            <w:pPr>
              <w:spacing w:after="0"/>
              <w:rPr>
                <w:sz w:val="12"/>
                <w:szCs w:val="12"/>
                <w:color w:val="auto"/>
              </w:rPr>
            </w:pPr>
          </w:p>
        </w:tc>
        <w:tc>
          <w:tcPr>
            <w:tcW w:w="104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Semiconductor</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gridSpan w:val="2"/>
          </w:tcPr>
          <w:p>
            <w:pPr>
              <w:jc w:val="right"/>
              <w:ind w:right="460"/>
              <w:spacing w:after="0" w:line="149" w:lineRule="exact"/>
              <w:rPr>
                <w:sz w:val="20"/>
                <w:szCs w:val="20"/>
                <w:color w:val="auto"/>
              </w:rPr>
            </w:pPr>
            <w:r>
              <w:rPr>
                <w:rFonts w:ascii="Arial" w:cs="Arial" w:eastAsia="Arial" w:hAnsi="Arial"/>
                <w:sz w:val="14"/>
                <w:szCs w:val="14"/>
                <w:b w:val="1"/>
                <w:bCs w:val="1"/>
                <w:color w:val="auto"/>
              </w:rPr>
              <w:t>LLC</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gridSpan w:val="2"/>
          </w:tcPr>
          <w:p>
            <w:pPr>
              <w:jc w:val="right"/>
              <w:ind w:right="500"/>
              <w:spacing w:after="0" w:line="149" w:lineRule="exact"/>
              <w:rPr>
                <w:sz w:val="20"/>
                <w:szCs w:val="20"/>
                <w:color w:val="auto"/>
              </w:rPr>
            </w:pPr>
            <w:r>
              <w:rPr>
                <w:rFonts w:ascii="Arial" w:cs="Arial" w:eastAsia="Arial" w:hAnsi="Arial"/>
                <w:sz w:val="14"/>
                <w:szCs w:val="14"/>
                <w:b w:val="1"/>
                <w:bCs w:val="1"/>
                <w:color w:val="auto"/>
              </w:rPr>
              <w:t>Non-</w:t>
            </w: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5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6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(Parent)</w:t>
            </w:r>
          </w:p>
        </w:tc>
        <w:tc>
          <w:tcPr>
            <w:tcW w:w="120" w:type="dxa"/>
            <w:vAlign w:val="bottom"/>
          </w:tcPr>
          <w:p>
            <w:pPr>
              <w:spacing w:after="0"/>
              <w:rPr>
                <w:sz w:val="15"/>
                <w:szCs w:val="15"/>
                <w:color w:val="auto"/>
              </w:rPr>
            </w:pPr>
          </w:p>
        </w:tc>
        <w:tc>
          <w:tcPr>
            <w:tcW w:w="1000" w:type="dxa"/>
            <w:vAlign w:val="bottom"/>
            <w:gridSpan w:val="3"/>
          </w:tcPr>
          <w:p>
            <w:pPr>
              <w:jc w:val="right"/>
              <w:ind w:right="340"/>
              <w:spacing w:after="0"/>
              <w:rPr>
                <w:sz w:val="20"/>
                <w:szCs w:val="20"/>
                <w:color w:val="auto"/>
              </w:rPr>
            </w:pPr>
            <w:r>
              <w:rPr>
                <w:rFonts w:ascii="Arial" w:cs="Arial" w:eastAsia="Arial" w:hAnsi="Arial"/>
                <w:sz w:val="14"/>
                <w:szCs w:val="14"/>
                <w:b w:val="1"/>
                <w:bCs w:val="1"/>
                <w:color w:val="auto"/>
                <w:w w:val="88"/>
              </w:rPr>
              <w:t>Co-Issuers</w:t>
            </w:r>
          </w:p>
        </w:tc>
        <w:tc>
          <w:tcPr>
            <w:tcW w:w="1000" w:type="dxa"/>
            <w:vAlign w:val="bottom"/>
            <w:gridSpan w:val="3"/>
          </w:tcPr>
          <w:p>
            <w:pPr>
              <w:ind w:left="20"/>
              <w:spacing w:after="0"/>
              <w:rPr>
                <w:sz w:val="20"/>
                <w:szCs w:val="20"/>
                <w:color w:val="auto"/>
              </w:rPr>
            </w:pPr>
            <w:r>
              <w:rPr>
                <w:rFonts w:ascii="Arial" w:cs="Arial" w:eastAsia="Arial" w:hAnsi="Arial"/>
                <w:sz w:val="14"/>
                <w:szCs w:val="14"/>
                <w:b w:val="1"/>
                <w:bCs w:val="1"/>
                <w:color w:val="auto"/>
              </w:rPr>
              <w:t>Guarantors</w:t>
            </w:r>
          </w:p>
        </w:tc>
        <w:tc>
          <w:tcPr>
            <w:tcW w:w="900" w:type="dxa"/>
            <w:vAlign w:val="bottom"/>
            <w:gridSpan w:val="3"/>
          </w:tcPr>
          <w:p>
            <w:pPr>
              <w:jc w:val="right"/>
              <w:ind w:right="200"/>
              <w:spacing w:after="0"/>
              <w:rPr>
                <w:sz w:val="20"/>
                <w:szCs w:val="20"/>
                <w:color w:val="auto"/>
              </w:rPr>
            </w:pPr>
            <w:r>
              <w:rPr>
                <w:rFonts w:ascii="Arial" w:cs="Arial" w:eastAsia="Arial" w:hAnsi="Arial"/>
                <w:sz w:val="14"/>
                <w:szCs w:val="14"/>
                <w:b w:val="1"/>
                <w:bCs w:val="1"/>
                <w:color w:val="auto"/>
                <w:w w:val="90"/>
              </w:rPr>
              <w:t>Guarantors</w:t>
            </w:r>
          </w:p>
        </w:tc>
        <w:tc>
          <w:tcPr>
            <w:tcW w:w="100" w:type="dxa"/>
            <w:vAlign w:val="bottom"/>
          </w:tcPr>
          <w:p>
            <w:pPr>
              <w:spacing w:after="0"/>
              <w:rPr>
                <w:sz w:val="15"/>
                <w:szCs w:val="15"/>
                <w:color w:val="auto"/>
              </w:rPr>
            </w:pPr>
          </w:p>
        </w:tc>
        <w:tc>
          <w:tcPr>
            <w:tcW w:w="1040" w:type="dxa"/>
            <w:vAlign w:val="bottom"/>
            <w:gridSpan w:val="3"/>
          </w:tcPr>
          <w:p>
            <w:pPr>
              <w:jc w:val="right"/>
              <w:ind w:right="240"/>
              <w:spacing w:after="0"/>
              <w:rPr>
                <w:sz w:val="20"/>
                <w:szCs w:val="20"/>
                <w:color w:val="auto"/>
              </w:rPr>
            </w:pPr>
            <w:r>
              <w:rPr>
                <w:rFonts w:ascii="Arial" w:cs="Arial" w:eastAsia="Arial" w:hAnsi="Arial"/>
                <w:sz w:val="14"/>
                <w:szCs w:val="14"/>
                <w:b w:val="1"/>
                <w:bCs w:val="1"/>
                <w:color w:val="auto"/>
                <w:w w:val="93"/>
              </w:rPr>
              <w:t>Eliminations</w:t>
            </w:r>
          </w:p>
        </w:tc>
        <w:tc>
          <w:tcPr>
            <w:tcW w:w="120" w:type="dxa"/>
            <w:vAlign w:val="bottom"/>
          </w:tcPr>
          <w:p>
            <w:pPr>
              <w:spacing w:after="0"/>
              <w:rPr>
                <w:sz w:val="15"/>
                <w:szCs w:val="15"/>
                <w:color w:val="auto"/>
              </w:rPr>
            </w:pPr>
          </w:p>
        </w:tc>
        <w:tc>
          <w:tcPr>
            <w:tcW w:w="860" w:type="dxa"/>
            <w:vAlign w:val="bottom"/>
            <w:gridSpan w:val="3"/>
          </w:tcPr>
          <w:p>
            <w:pPr>
              <w:ind w:left="20"/>
              <w:spacing w:after="0"/>
              <w:rPr>
                <w:sz w:val="20"/>
                <w:szCs w:val="20"/>
                <w:color w:val="auto"/>
              </w:rPr>
            </w:pPr>
            <w:r>
              <w:rPr>
                <w:rFonts w:ascii="Arial" w:cs="Arial" w:eastAsia="Arial" w:hAnsi="Arial"/>
                <w:sz w:val="14"/>
                <w:szCs w:val="14"/>
                <w:b w:val="1"/>
                <w:bCs w:val="1"/>
                <w:color w:val="auto"/>
                <w:w w:val="92"/>
              </w:rPr>
              <w:t>Consolidated</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2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8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tcPr>
          <w:p>
            <w:pPr>
              <w:spacing w:after="0"/>
              <w:rPr>
                <w:sz w:val="20"/>
                <w:szCs w:val="20"/>
                <w:color w:val="auto"/>
              </w:rPr>
            </w:pPr>
            <w:r>
              <w:rPr>
                <w:rFonts w:ascii="Arial" w:cs="Arial" w:eastAsia="Arial" w:hAnsi="Arial"/>
                <w:sz w:val="18"/>
                <w:szCs w:val="18"/>
                <w:color w:val="auto"/>
              </w:rPr>
              <w:t>Current assets</w:t>
            </w: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Cash and cash equivalents</w:t>
            </w: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209</w:t>
            </w:r>
          </w:p>
        </w:tc>
        <w:tc>
          <w:tcPr>
            <w:tcW w:w="16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841</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8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63,435</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22,089</w:t>
            </w:r>
          </w:p>
        </w:tc>
        <w:tc>
          <w:tcPr>
            <w:tcW w:w="18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00" w:type="dxa"/>
            <w:vAlign w:val="bottom"/>
            <w:gridSpan w:val="2"/>
            <w:shd w:val="clear" w:color="auto" w:fill="CCEEFF"/>
          </w:tcPr>
          <w:p>
            <w:pPr>
              <w:ind w:left="120"/>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86,574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tcPr>
          <w:p>
            <w:pPr>
              <w:ind w:left="420"/>
              <w:spacing w:after="0"/>
              <w:rPr>
                <w:sz w:val="20"/>
                <w:szCs w:val="20"/>
                <w:color w:val="auto"/>
              </w:rPr>
            </w:pPr>
            <w:r>
              <w:rPr>
                <w:rFonts w:ascii="Arial" w:cs="Arial" w:eastAsia="Arial" w:hAnsi="Arial"/>
                <w:sz w:val="18"/>
                <w:szCs w:val="18"/>
                <w:color w:val="auto"/>
              </w:rPr>
              <w:t>Restricted cash</w:t>
            </w:r>
          </w:p>
        </w:tc>
        <w:tc>
          <w:tcPr>
            <w:tcW w:w="80" w:type="dxa"/>
            <w:vAlign w:val="bottom"/>
          </w:tcPr>
          <w:p>
            <w:pPr>
              <w:spacing w:after="0"/>
              <w:rPr>
                <w:sz w:val="18"/>
                <w:szCs w:val="18"/>
                <w:color w:val="auto"/>
              </w:rPr>
            </w:pPr>
          </w:p>
        </w:tc>
        <w:tc>
          <w:tcPr>
            <w:tcW w:w="9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80" w:type="dxa"/>
            <w:vAlign w:val="bottom"/>
            <w:gridSpan w:val="2"/>
          </w:tcPr>
          <w:p>
            <w:pPr>
              <w:jc w:val="right"/>
              <w:ind w:right="280"/>
              <w:spacing w:after="0"/>
              <w:rPr>
                <w:sz w:val="20"/>
                <w:szCs w:val="20"/>
                <w:color w:val="auto"/>
              </w:rPr>
            </w:pPr>
            <w:r>
              <w:rPr>
                <w:rFonts w:ascii="Arial" w:cs="Arial" w:eastAsia="Arial" w:hAnsi="Arial"/>
                <w:sz w:val="18"/>
                <w:szCs w:val="18"/>
                <w:color w:val="auto"/>
              </w:rPr>
              <w:t>2,837</w:t>
            </w:r>
          </w:p>
        </w:tc>
        <w:tc>
          <w:tcPr>
            <w:tcW w:w="80" w:type="dxa"/>
            <w:vAlign w:val="bottom"/>
          </w:tcPr>
          <w:p>
            <w:pPr>
              <w:spacing w:after="0"/>
              <w:rPr>
                <w:sz w:val="18"/>
                <w:szCs w:val="18"/>
                <w:color w:val="auto"/>
              </w:rPr>
            </w:pPr>
          </w:p>
        </w:tc>
        <w:tc>
          <w:tcPr>
            <w:tcW w:w="8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2,837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Accounts receivable, net</w:t>
            </w:r>
          </w:p>
        </w:tc>
        <w:tc>
          <w:tcPr>
            <w:tcW w:w="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89"/>
              </w:rPr>
              <w:t>131,669</w:t>
            </w: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55,057</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(74,673)</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112,053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tcPr>
          <w:p>
            <w:pPr>
              <w:ind w:left="420"/>
              <w:spacing w:after="0"/>
              <w:rPr>
                <w:sz w:val="20"/>
                <w:szCs w:val="20"/>
                <w:color w:val="auto"/>
              </w:rPr>
            </w:pPr>
            <w:r>
              <w:rPr>
                <w:rFonts w:ascii="Arial" w:cs="Arial" w:eastAsia="Arial" w:hAnsi="Arial"/>
                <w:sz w:val="18"/>
                <w:szCs w:val="18"/>
                <w:color w:val="auto"/>
              </w:rPr>
              <w:t>Inventories, net</w:t>
            </w:r>
          </w:p>
        </w:tc>
        <w:tc>
          <w:tcPr>
            <w:tcW w:w="80" w:type="dxa"/>
            <w:vAlign w:val="bottom"/>
          </w:tcPr>
          <w:p>
            <w:pPr>
              <w:spacing w:after="0"/>
              <w:rPr>
                <w:sz w:val="18"/>
                <w:szCs w:val="18"/>
                <w:color w:val="auto"/>
              </w:rPr>
            </w:pPr>
          </w:p>
        </w:tc>
        <w:tc>
          <w:tcPr>
            <w:tcW w:w="9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80" w:type="dxa"/>
            <w:vAlign w:val="bottom"/>
            <w:gridSpan w:val="2"/>
          </w:tcPr>
          <w:p>
            <w:pPr>
              <w:jc w:val="right"/>
              <w:ind w:right="280"/>
              <w:spacing w:after="0"/>
              <w:rPr>
                <w:sz w:val="20"/>
                <w:szCs w:val="20"/>
                <w:color w:val="auto"/>
              </w:rPr>
            </w:pPr>
            <w:r>
              <w:rPr>
                <w:rFonts w:ascii="Arial" w:cs="Arial" w:eastAsia="Arial" w:hAnsi="Arial"/>
                <w:sz w:val="18"/>
                <w:szCs w:val="18"/>
                <w:color w:val="auto"/>
              </w:rPr>
              <w:t>82,348</w:t>
            </w:r>
          </w:p>
        </w:tc>
        <w:tc>
          <w:tcPr>
            <w:tcW w:w="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7,638</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(1,309)</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88,677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 receivables</w:t>
            </w: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35,013</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718</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7,792</w:t>
            </w: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20,097</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(54,119)</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9,501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tcPr>
          <w:p>
            <w:pPr>
              <w:ind w:left="420"/>
              <w:spacing w:after="0"/>
              <w:rPr>
                <w:sz w:val="20"/>
                <w:szCs w:val="20"/>
                <w:color w:val="auto"/>
              </w:rPr>
            </w:pPr>
            <w:r>
              <w:rPr>
                <w:rFonts w:ascii="Arial" w:cs="Arial" w:eastAsia="Arial" w:hAnsi="Arial"/>
                <w:sz w:val="18"/>
                <w:szCs w:val="18"/>
                <w:color w:val="auto"/>
              </w:rPr>
              <w:t>Other current assets</w:t>
            </w:r>
          </w:p>
        </w:tc>
        <w:tc>
          <w:tcPr>
            <w:tcW w:w="80" w:type="dxa"/>
            <w:vAlign w:val="bottom"/>
          </w:tcPr>
          <w:p>
            <w:pPr>
              <w:spacing w:after="0"/>
              <w:rPr>
                <w:sz w:val="18"/>
                <w:szCs w:val="18"/>
                <w:color w:val="auto"/>
              </w:rPr>
            </w:pPr>
          </w:p>
        </w:tc>
        <w:tc>
          <w:tcPr>
            <w:tcW w:w="80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22,382</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9,987</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6,063</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(28,284)</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10,148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2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current assets</w:t>
            </w: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35,222</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23,941</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298,068</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110,944</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(158,385)</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309,790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5240" w:type="dxa"/>
            <w:vAlign w:val="bottom"/>
            <w:gridSpan w:val="2"/>
          </w:tcPr>
          <w:p>
            <w:pPr>
              <w:spacing w:after="0"/>
              <w:rPr>
                <w:sz w:val="20"/>
                <w:szCs w:val="20"/>
                <w:color w:val="auto"/>
              </w:rPr>
            </w:pPr>
            <w:r>
              <w:rPr>
                <w:rFonts w:ascii="Arial" w:cs="Arial" w:eastAsia="Arial" w:hAnsi="Arial"/>
                <w:sz w:val="18"/>
                <w:szCs w:val="18"/>
                <w:color w:val="auto"/>
              </w:rPr>
              <w:t>Property, plant and equipment, net</w:t>
            </w:r>
          </w:p>
        </w:tc>
        <w:tc>
          <w:tcPr>
            <w:tcW w:w="8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9"/>
              </w:rPr>
              <w:t>484,019</w:t>
            </w:r>
          </w:p>
        </w:tc>
        <w:tc>
          <w:tcPr>
            <w:tcW w:w="28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1,058</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485,077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220" w:type="dxa"/>
            <w:vAlign w:val="bottom"/>
            <w:shd w:val="clear" w:color="auto" w:fill="CCEEFF"/>
          </w:tcPr>
          <w:p>
            <w:pPr>
              <w:spacing w:after="0"/>
              <w:rPr>
                <w:sz w:val="20"/>
                <w:szCs w:val="20"/>
                <w:color w:val="auto"/>
              </w:rPr>
            </w:pPr>
            <w:r>
              <w:rPr>
                <w:rFonts w:ascii="Arial" w:cs="Arial" w:eastAsia="Arial" w:hAnsi="Arial"/>
                <w:sz w:val="18"/>
                <w:szCs w:val="18"/>
                <w:color w:val="auto"/>
              </w:rPr>
              <w:t>Intangibles, net</w:t>
            </w:r>
          </w:p>
        </w:tc>
        <w:tc>
          <w:tcPr>
            <w:tcW w:w="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89"/>
              </w:rPr>
              <w:t>165,369</w:t>
            </w: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26,020</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191,389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tcPr>
          <w:p>
            <w:pPr>
              <w:spacing w:after="0"/>
              <w:rPr>
                <w:sz w:val="20"/>
                <w:szCs w:val="20"/>
                <w:color w:val="auto"/>
              </w:rPr>
            </w:pPr>
            <w:r>
              <w:rPr>
                <w:rFonts w:ascii="Arial" w:cs="Arial" w:eastAsia="Arial" w:hAnsi="Arial"/>
                <w:sz w:val="18"/>
                <w:szCs w:val="18"/>
                <w:color w:val="auto"/>
              </w:rPr>
              <w:t>Investments in subsidiaries</w:t>
            </w:r>
          </w:p>
        </w:tc>
        <w:tc>
          <w:tcPr>
            <w:tcW w:w="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25,756</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w w:val="98"/>
              </w:rPr>
              <w:t>(38,942)</w:t>
            </w:r>
          </w:p>
        </w:tc>
        <w:tc>
          <w:tcPr>
            <w:tcW w:w="120" w:type="dxa"/>
            <w:vAlign w:val="bottom"/>
          </w:tcPr>
          <w:p>
            <w:pPr>
              <w:spacing w:after="0"/>
              <w:rPr>
                <w:sz w:val="18"/>
                <w:szCs w:val="18"/>
                <w:color w:val="auto"/>
              </w:rPr>
            </w:pPr>
          </w:p>
        </w:tc>
        <w:tc>
          <w:tcPr>
            <w:tcW w:w="88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144,131</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(130,945)</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shd w:val="clear" w:color="auto" w:fill="CCEEFF"/>
          </w:tcPr>
          <w:p>
            <w:pPr>
              <w:spacing w:after="0"/>
              <w:rPr>
                <w:sz w:val="20"/>
                <w:szCs w:val="20"/>
                <w:color w:val="auto"/>
              </w:rPr>
            </w:pPr>
            <w:r>
              <w:rPr>
                <w:rFonts w:ascii="Arial" w:cs="Arial" w:eastAsia="Arial" w:hAnsi="Arial"/>
                <w:sz w:val="18"/>
                <w:szCs w:val="18"/>
                <w:color w:val="auto"/>
              </w:rPr>
              <w:t>Long-term inter-company loans</w:t>
            </w:r>
          </w:p>
        </w:tc>
        <w:tc>
          <w:tcPr>
            <w:tcW w:w="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774,199</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621,311</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(1,395,510)</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tcPr>
          <w:p>
            <w:pPr>
              <w:spacing w:after="0"/>
              <w:rPr>
                <w:sz w:val="20"/>
                <w:szCs w:val="20"/>
                <w:color w:val="auto"/>
              </w:rPr>
            </w:pPr>
            <w:r>
              <w:rPr>
                <w:rFonts w:ascii="Arial" w:cs="Arial" w:eastAsia="Arial" w:hAnsi="Arial"/>
                <w:sz w:val="18"/>
                <w:szCs w:val="18"/>
                <w:color w:val="auto"/>
              </w:rPr>
              <w:t>Other non-current assets</w:t>
            </w:r>
          </w:p>
        </w:tc>
        <w:tc>
          <w:tcPr>
            <w:tcW w:w="80" w:type="dxa"/>
            <w:vAlign w:val="bottom"/>
          </w:tcPr>
          <w:p>
            <w:pPr>
              <w:spacing w:after="0"/>
              <w:rPr>
                <w:sz w:val="18"/>
                <w:szCs w:val="18"/>
                <w:color w:val="auto"/>
              </w:rPr>
            </w:pPr>
          </w:p>
        </w:tc>
        <w:tc>
          <w:tcPr>
            <w:tcW w:w="80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24,153</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45,370</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11,131</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(26,263)</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54,391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2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assets</w:t>
            </w: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60,978</w:t>
            </w:r>
          </w:p>
        </w:tc>
        <w:tc>
          <w:tcPr>
            <w:tcW w:w="16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783,351</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8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89"/>
              </w:rPr>
              <w:t>992,826</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914,595</w:t>
            </w:r>
          </w:p>
        </w:tc>
        <w:tc>
          <w:tcPr>
            <w:tcW w:w="18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(1,711,103)</w:t>
            </w:r>
          </w:p>
        </w:tc>
        <w:tc>
          <w:tcPr>
            <w:tcW w:w="200" w:type="dxa"/>
            <w:vAlign w:val="bottom"/>
            <w:gridSpan w:val="2"/>
            <w:shd w:val="clear" w:color="auto" w:fill="CCEEFF"/>
          </w:tcPr>
          <w:p>
            <w:pPr>
              <w:ind w:left="120"/>
              <w:spacing w:after="0"/>
              <w:rPr>
                <w:sz w:val="20"/>
                <w:szCs w:val="20"/>
                <w:color w:val="auto"/>
              </w:rPr>
            </w:pPr>
            <w:r>
              <w:rPr>
                <w:rFonts w:ascii="Arial" w:cs="Arial" w:eastAsia="Arial" w:hAnsi="Arial"/>
                <w:sz w:val="15"/>
                <w:szCs w:val="15"/>
                <w:u w:val="single" w:color="auto"/>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1,040,647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24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Liabilities and Unitholders’ equity</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5240" w:type="dxa"/>
            <w:vAlign w:val="bottom"/>
            <w:gridSpan w:val="2"/>
            <w:vMerge w:val="continue"/>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22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tcPr>
          <w:p>
            <w:pPr>
              <w:ind w:left="420"/>
              <w:spacing w:after="0"/>
              <w:rPr>
                <w:sz w:val="20"/>
                <w:szCs w:val="20"/>
                <w:color w:val="auto"/>
              </w:rPr>
            </w:pPr>
            <w:r>
              <w:rPr>
                <w:rFonts w:ascii="Arial" w:cs="Arial" w:eastAsia="Arial" w:hAnsi="Arial"/>
                <w:sz w:val="18"/>
                <w:szCs w:val="18"/>
                <w:color w:val="auto"/>
              </w:rPr>
              <w:t>Accounts payable</w:t>
            </w: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9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880" w:type="dxa"/>
            <w:vAlign w:val="bottom"/>
            <w:gridSpan w:val="2"/>
          </w:tcPr>
          <w:p>
            <w:pPr>
              <w:jc w:val="right"/>
              <w:ind w:right="280"/>
              <w:spacing w:after="0"/>
              <w:rPr>
                <w:sz w:val="20"/>
                <w:szCs w:val="20"/>
                <w:color w:val="auto"/>
              </w:rPr>
            </w:pPr>
            <w:r>
              <w:rPr>
                <w:rFonts w:ascii="Arial" w:cs="Arial" w:eastAsia="Arial" w:hAnsi="Arial"/>
                <w:sz w:val="18"/>
                <w:szCs w:val="18"/>
                <w:color w:val="auto"/>
              </w:rPr>
              <w:t>94,581</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74,003</w:t>
            </w:r>
          </w:p>
        </w:tc>
        <w:tc>
          <w:tcPr>
            <w:tcW w:w="180" w:type="dxa"/>
            <w:vAlign w:val="bottom"/>
          </w:tcPr>
          <w:p>
            <w:pPr>
              <w:spacing w:after="0"/>
              <w:rPr>
                <w:sz w:val="18"/>
                <w:szCs w:val="18"/>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(74,673)</w:t>
            </w:r>
          </w:p>
        </w:tc>
        <w:tc>
          <w:tcPr>
            <w:tcW w:w="200" w:type="dxa"/>
            <w:vAlign w:val="bottom"/>
            <w:gridSpan w:val="2"/>
          </w:tcPr>
          <w:p>
            <w:pPr>
              <w:ind w:left="120"/>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93,911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 accounts payable</w:t>
            </w: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440</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68,703</w:t>
            </w: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19,344</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(54,119)</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35,368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tcPr>
          <w:p>
            <w:pPr>
              <w:ind w:left="420"/>
              <w:spacing w:after="0"/>
              <w:rPr>
                <w:sz w:val="20"/>
                <w:szCs w:val="20"/>
                <w:color w:val="auto"/>
              </w:rPr>
            </w:pPr>
            <w:r>
              <w:rPr>
                <w:rFonts w:ascii="Arial" w:cs="Arial" w:eastAsia="Arial" w:hAnsi="Arial"/>
                <w:sz w:val="18"/>
                <w:szCs w:val="18"/>
                <w:color w:val="auto"/>
              </w:rPr>
              <w:t>Accrued expenses</w:t>
            </w:r>
          </w:p>
        </w:tc>
        <w:tc>
          <w:tcPr>
            <w:tcW w:w="80" w:type="dxa"/>
            <w:vAlign w:val="bottom"/>
          </w:tcPr>
          <w:p>
            <w:pPr>
              <w:spacing w:after="0"/>
              <w:rPr>
                <w:sz w:val="18"/>
                <w:szCs w:val="18"/>
                <w:color w:val="auto"/>
              </w:rPr>
            </w:pPr>
          </w:p>
        </w:tc>
        <w:tc>
          <w:tcPr>
            <w:tcW w:w="9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3,139</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right"/>
              <w:ind w:right="280"/>
              <w:spacing w:after="0"/>
              <w:rPr>
                <w:sz w:val="20"/>
                <w:szCs w:val="20"/>
                <w:color w:val="auto"/>
              </w:rPr>
            </w:pPr>
            <w:r>
              <w:rPr>
                <w:rFonts w:ascii="Arial" w:cs="Arial" w:eastAsia="Arial" w:hAnsi="Arial"/>
                <w:sz w:val="18"/>
                <w:szCs w:val="18"/>
                <w:color w:val="auto"/>
              </w:rPr>
              <w:t>24,560</w:t>
            </w:r>
          </w:p>
        </w:tc>
        <w:tc>
          <w:tcPr>
            <w:tcW w:w="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26,331</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(25,062)</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28,968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 current liabilities</w:t>
            </w: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3,746</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9,416</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(3,222)</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10,102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20" w:type="dxa"/>
            <w:vAlign w:val="bottom"/>
            <w:vMerge w:val="restart"/>
          </w:tcPr>
          <w:p>
            <w:pPr>
              <w:ind w:left="860"/>
              <w:spacing w:after="0"/>
              <w:rPr>
                <w:sz w:val="20"/>
                <w:szCs w:val="20"/>
                <w:color w:val="auto"/>
              </w:rPr>
            </w:pPr>
            <w:r>
              <w:rPr>
                <w:rFonts w:ascii="Arial" w:cs="Arial" w:eastAsia="Arial" w:hAnsi="Arial"/>
                <w:sz w:val="18"/>
                <w:szCs w:val="18"/>
                <w:color w:val="auto"/>
              </w:rPr>
              <w:t>Total current liabilities</w:t>
            </w:r>
          </w:p>
        </w:tc>
        <w:tc>
          <w:tcPr>
            <w:tcW w:w="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522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1,000</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3,741</w:t>
            </w: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9"/>
              </w:rPr>
              <w:t>191,590</w:t>
            </w:r>
          </w:p>
        </w:tc>
        <w:tc>
          <w:tcPr>
            <w:tcW w:w="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129,094</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(157,076)</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168,349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52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20" w:type="dxa"/>
            <w:vAlign w:val="bottom"/>
            <w:shd w:val="clear" w:color="auto" w:fill="CCEEFF"/>
          </w:tcPr>
          <w:p>
            <w:pPr>
              <w:spacing w:after="0"/>
              <w:rPr>
                <w:sz w:val="20"/>
                <w:szCs w:val="20"/>
                <w:color w:val="auto"/>
              </w:rPr>
            </w:pPr>
            <w:r>
              <w:rPr>
                <w:rFonts w:ascii="Arial" w:cs="Arial" w:eastAsia="Arial" w:hAnsi="Arial"/>
                <w:sz w:val="18"/>
                <w:szCs w:val="18"/>
                <w:color w:val="auto"/>
              </w:rPr>
              <w:t>Long-term borrowings</w:t>
            </w: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750,000</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621,311</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774,199</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(1,395,510)</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750,000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tcPr>
          <w:p>
            <w:pPr>
              <w:spacing w:after="0"/>
              <w:rPr>
                <w:sz w:val="20"/>
                <w:szCs w:val="20"/>
                <w:color w:val="auto"/>
              </w:rPr>
            </w:pPr>
            <w:r>
              <w:rPr>
                <w:rFonts w:ascii="Arial" w:cs="Arial" w:eastAsia="Arial" w:hAnsi="Arial"/>
                <w:sz w:val="18"/>
                <w:szCs w:val="18"/>
                <w:color w:val="auto"/>
              </w:rPr>
              <w:t>Accrued severance benefits, net</w:t>
            </w:r>
          </w:p>
        </w:tc>
        <w:tc>
          <w:tcPr>
            <w:tcW w:w="80" w:type="dxa"/>
            <w:vAlign w:val="bottom"/>
          </w:tcPr>
          <w:p>
            <w:pPr>
              <w:spacing w:after="0"/>
              <w:rPr>
                <w:sz w:val="18"/>
                <w:szCs w:val="18"/>
                <w:color w:val="auto"/>
              </w:rPr>
            </w:pPr>
          </w:p>
        </w:tc>
        <w:tc>
          <w:tcPr>
            <w:tcW w:w="9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80" w:type="dxa"/>
            <w:vAlign w:val="bottom"/>
            <w:gridSpan w:val="2"/>
          </w:tcPr>
          <w:p>
            <w:pPr>
              <w:jc w:val="right"/>
              <w:ind w:right="280"/>
              <w:spacing w:after="0"/>
              <w:rPr>
                <w:sz w:val="20"/>
                <w:szCs w:val="20"/>
                <w:color w:val="auto"/>
              </w:rPr>
            </w:pPr>
            <w:r>
              <w:rPr>
                <w:rFonts w:ascii="Arial" w:cs="Arial" w:eastAsia="Arial" w:hAnsi="Arial"/>
                <w:sz w:val="18"/>
                <w:szCs w:val="18"/>
                <w:color w:val="auto"/>
              </w:rPr>
              <w:t>54,854</w:t>
            </w:r>
          </w:p>
        </w:tc>
        <w:tc>
          <w:tcPr>
            <w:tcW w:w="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270</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55,124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shd w:val="clear" w:color="auto" w:fill="CCEEFF"/>
          </w:tcPr>
          <w:p>
            <w:pPr>
              <w:spacing w:after="0"/>
              <w:rPr>
                <w:sz w:val="20"/>
                <w:szCs w:val="20"/>
                <w:color w:val="auto"/>
              </w:rPr>
            </w:pPr>
            <w:r>
              <w:rPr>
                <w:rFonts w:ascii="Arial" w:cs="Arial" w:eastAsia="Arial" w:hAnsi="Arial"/>
                <w:sz w:val="18"/>
                <w:szCs w:val="18"/>
                <w:color w:val="auto"/>
              </w:rPr>
              <w:t>Other non-current liabilities</w:t>
            </w: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5,272</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28,187</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(26,263)</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7,196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20" w:type="dxa"/>
            <w:vAlign w:val="bottom"/>
            <w:vMerge w:val="restart"/>
          </w:tcPr>
          <w:p>
            <w:pPr>
              <w:ind w:left="860"/>
              <w:spacing w:after="0"/>
              <w:rPr>
                <w:sz w:val="20"/>
                <w:szCs w:val="20"/>
                <w:color w:val="auto"/>
              </w:rPr>
            </w:pPr>
            <w:r>
              <w:rPr>
                <w:rFonts w:ascii="Arial" w:cs="Arial" w:eastAsia="Arial" w:hAnsi="Arial"/>
                <w:sz w:val="18"/>
                <w:szCs w:val="18"/>
                <w:color w:val="auto"/>
              </w:rPr>
              <w:t>Total liabilities</w:t>
            </w:r>
          </w:p>
        </w:tc>
        <w:tc>
          <w:tcPr>
            <w:tcW w:w="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tcPr>
          <w:p>
            <w:pPr>
              <w:spacing w:after="0"/>
              <w:rPr>
                <w:sz w:val="20"/>
                <w:szCs w:val="20"/>
                <w:color w:val="auto"/>
              </w:rPr>
            </w:pPr>
          </w:p>
        </w:tc>
        <w:tc>
          <w:tcPr>
            <w:tcW w:w="5220" w:type="dxa"/>
            <w:vAlign w:val="bottom"/>
            <w:vMerge w:val="continue"/>
          </w:tcPr>
          <w:p>
            <w:pPr>
              <w:spacing w:after="0"/>
              <w:rPr>
                <w:sz w:val="20"/>
                <w:szCs w:val="20"/>
                <w:color w:val="auto"/>
              </w:rPr>
            </w:pPr>
          </w:p>
        </w:tc>
        <w:tc>
          <w:tcPr>
            <w:tcW w:w="8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1,000</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92"/>
              </w:rPr>
              <w:t>753,741</w:t>
            </w: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9"/>
              </w:rPr>
              <w:t>873,027</w:t>
            </w:r>
          </w:p>
        </w:tc>
        <w:tc>
          <w:tcPr>
            <w:tcW w:w="2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931,750</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w w:val="89"/>
              </w:rPr>
              <w:t>(1,578,849)</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980,669</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shd w:val="clear" w:color="auto" w:fill="CCEEFF"/>
          </w:tcPr>
          <w:p>
            <w:pPr>
              <w:spacing w:after="0"/>
              <w:rPr>
                <w:sz w:val="20"/>
                <w:szCs w:val="20"/>
                <w:color w:val="auto"/>
              </w:rPr>
            </w:pPr>
            <w:r>
              <w:rPr>
                <w:rFonts w:ascii="Arial" w:cs="Arial" w:eastAsia="Arial" w:hAnsi="Arial"/>
                <w:sz w:val="18"/>
                <w:szCs w:val="18"/>
                <w:color w:val="auto"/>
              </w:rPr>
              <w:t>Commitments and contingencies</w:t>
            </w:r>
          </w:p>
        </w:tc>
        <w:tc>
          <w:tcPr>
            <w:tcW w:w="8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tcPr>
          <w:p>
            <w:pPr>
              <w:ind w:left="420"/>
              <w:spacing w:after="0"/>
              <w:rPr>
                <w:sz w:val="20"/>
                <w:szCs w:val="20"/>
                <w:color w:val="auto"/>
              </w:rPr>
            </w:pPr>
            <w:r>
              <w:rPr>
                <w:rFonts w:ascii="Arial" w:cs="Arial" w:eastAsia="Arial" w:hAnsi="Arial"/>
                <w:sz w:val="18"/>
                <w:szCs w:val="18"/>
                <w:color w:val="auto"/>
              </w:rPr>
              <w:t>Series A redeemable convertible preferred units</w:t>
            </w:r>
          </w:p>
        </w:tc>
        <w:tc>
          <w:tcPr>
            <w:tcW w:w="80" w:type="dxa"/>
            <w:vAlign w:val="bottom"/>
          </w:tcPr>
          <w:p>
            <w:pPr>
              <w:spacing w:after="0"/>
              <w:rPr>
                <w:sz w:val="18"/>
                <w:szCs w:val="18"/>
                <w:color w:val="auto"/>
              </w:rPr>
            </w:pPr>
          </w:p>
        </w:tc>
        <w:tc>
          <w:tcPr>
            <w:tcW w:w="9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8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8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Series B redeemable convertible preferred unites</w:t>
            </w:r>
          </w:p>
        </w:tc>
        <w:tc>
          <w:tcPr>
            <w:tcW w:w="8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106,462</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106,462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220" w:type="dxa"/>
            <w:vAlign w:val="bottom"/>
          </w:tcPr>
          <w:p>
            <w:pPr>
              <w:ind w:left="860"/>
              <w:spacing w:after="0"/>
              <w:rPr>
                <w:sz w:val="20"/>
                <w:szCs w:val="20"/>
                <w:color w:val="auto"/>
              </w:rPr>
            </w:pPr>
            <w:r>
              <w:rPr>
                <w:rFonts w:ascii="Arial" w:cs="Arial" w:eastAsia="Arial" w:hAnsi="Arial"/>
                <w:sz w:val="18"/>
                <w:szCs w:val="18"/>
                <w:color w:val="auto"/>
              </w:rPr>
              <w:t>Total redeemable convertible preferred units</w:t>
            </w:r>
          </w:p>
        </w:tc>
        <w:tc>
          <w:tcPr>
            <w:tcW w:w="8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106,462</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88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8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106,462</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shd w:val="clear" w:color="auto" w:fill="CCEEFF"/>
          </w:tcPr>
          <w:p>
            <w:pPr>
              <w:spacing w:after="0"/>
              <w:rPr>
                <w:sz w:val="20"/>
                <w:szCs w:val="20"/>
                <w:color w:val="auto"/>
              </w:rPr>
            </w:pPr>
            <w:r>
              <w:rPr>
                <w:rFonts w:ascii="Arial" w:cs="Arial" w:eastAsia="Arial" w:hAnsi="Arial"/>
                <w:sz w:val="18"/>
                <w:szCs w:val="18"/>
                <w:color w:val="auto"/>
              </w:rPr>
              <w:t>Unitholders’ equity</w:t>
            </w:r>
          </w:p>
        </w:tc>
        <w:tc>
          <w:tcPr>
            <w:tcW w:w="8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tcPr>
          <w:p>
            <w:pPr>
              <w:spacing w:after="0"/>
              <w:rPr>
                <w:sz w:val="20"/>
                <w:szCs w:val="20"/>
                <w:color w:val="auto"/>
              </w:rPr>
            </w:pPr>
            <w:r>
              <w:rPr>
                <w:rFonts w:ascii="Arial" w:cs="Arial" w:eastAsia="Arial" w:hAnsi="Arial"/>
                <w:sz w:val="18"/>
                <w:szCs w:val="18"/>
                <w:color w:val="auto"/>
              </w:rPr>
              <w:t>Common units</w:t>
            </w:r>
          </w:p>
        </w:tc>
        <w:tc>
          <w:tcPr>
            <w:tcW w:w="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53,092</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92"/>
              </w:rPr>
              <w:t>102,986</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right"/>
              <w:ind w:right="280"/>
              <w:spacing w:after="0"/>
              <w:rPr>
                <w:sz w:val="20"/>
                <w:szCs w:val="20"/>
                <w:color w:val="auto"/>
              </w:rPr>
            </w:pPr>
            <w:r>
              <w:rPr>
                <w:rFonts w:ascii="Arial" w:cs="Arial" w:eastAsia="Arial" w:hAnsi="Arial"/>
                <w:sz w:val="18"/>
                <w:szCs w:val="18"/>
                <w:color w:val="auto"/>
              </w:rPr>
              <w:t>39,005</w:t>
            </w:r>
          </w:p>
        </w:tc>
        <w:tc>
          <w:tcPr>
            <w:tcW w:w="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58,364</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(200,355)</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53,092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shd w:val="clear" w:color="auto" w:fill="CCEEFF"/>
          </w:tcPr>
          <w:p>
            <w:pPr>
              <w:spacing w:after="0"/>
              <w:rPr>
                <w:sz w:val="20"/>
                <w:szCs w:val="20"/>
                <w:color w:val="auto"/>
              </w:rPr>
            </w:pPr>
            <w:r>
              <w:rPr>
                <w:rFonts w:ascii="Arial" w:cs="Arial" w:eastAsia="Arial" w:hAnsi="Arial"/>
                <w:sz w:val="18"/>
                <w:szCs w:val="18"/>
                <w:color w:val="auto"/>
              </w:rPr>
              <w:t>Additional paid-in capital</w:t>
            </w: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2,169</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1,027</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89"/>
              </w:rPr>
              <w:t>155,212</w:t>
            </w: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71,989</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(228,228)</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2,169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tcPr>
          <w:p>
            <w:pPr>
              <w:spacing w:after="0"/>
              <w:rPr>
                <w:sz w:val="20"/>
                <w:szCs w:val="20"/>
                <w:color w:val="auto"/>
              </w:rPr>
            </w:pPr>
            <w:r>
              <w:rPr>
                <w:rFonts w:ascii="Arial" w:cs="Arial" w:eastAsia="Arial" w:hAnsi="Arial"/>
                <w:sz w:val="18"/>
                <w:szCs w:val="18"/>
                <w:color w:val="auto"/>
              </w:rPr>
              <w:t>Accumulated deficit</w:t>
            </w:r>
          </w:p>
        </w:tc>
        <w:tc>
          <w:tcPr>
            <w:tcW w:w="8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(130,092)</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w w:val="85"/>
              </w:rPr>
              <w:t>(102,930)</w:t>
            </w:r>
          </w:p>
        </w:tc>
        <w:tc>
          <w:tcPr>
            <w:tcW w:w="120" w:type="dxa"/>
            <w:vAlign w:val="bottom"/>
          </w:tcPr>
          <w:p>
            <w:pPr>
              <w:spacing w:after="0"/>
              <w:rPr>
                <w:sz w:val="18"/>
                <w:szCs w:val="18"/>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8"/>
                <w:szCs w:val="18"/>
                <w:color w:val="auto"/>
                <w:w w:val="92"/>
              </w:rPr>
              <w:t>(99,666)</w:t>
            </w:r>
          </w:p>
        </w:tc>
        <w:tc>
          <w:tcPr>
            <w:tcW w:w="8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w w:val="88"/>
              </w:rPr>
              <w:t>(172,038)</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374,634</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w w:val="98"/>
              </w:rPr>
              <w:t>(130,092)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shd w:val="clear" w:color="auto" w:fill="CCEEFF"/>
          </w:tcPr>
          <w:p>
            <w:pPr>
              <w:spacing w:after="0"/>
              <w:rPr>
                <w:sz w:val="20"/>
                <w:szCs w:val="20"/>
                <w:color w:val="auto"/>
              </w:rPr>
            </w:pPr>
            <w:r>
              <w:rPr>
                <w:rFonts w:ascii="Arial" w:cs="Arial" w:eastAsia="Arial" w:hAnsi="Arial"/>
                <w:sz w:val="18"/>
                <w:szCs w:val="18"/>
                <w:color w:val="auto"/>
              </w:rPr>
              <w:t>Accumulated other comprehensive income</w:t>
            </w: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28,347</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28,527</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25,248</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24,530</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(78,305)</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28,347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20" w:type="dxa"/>
            <w:vAlign w:val="bottom"/>
            <w:vMerge w:val="restart"/>
          </w:tcPr>
          <w:p>
            <w:pPr>
              <w:ind w:left="860"/>
              <w:spacing w:after="0"/>
              <w:rPr>
                <w:sz w:val="20"/>
                <w:szCs w:val="20"/>
                <w:color w:val="auto"/>
              </w:rPr>
            </w:pPr>
            <w:r>
              <w:rPr>
                <w:rFonts w:ascii="Arial" w:cs="Arial" w:eastAsia="Arial" w:hAnsi="Arial"/>
                <w:sz w:val="18"/>
                <w:szCs w:val="18"/>
                <w:color w:val="auto"/>
              </w:rPr>
              <w:t>Total unitholders’ equity</w:t>
            </w:r>
          </w:p>
        </w:tc>
        <w:tc>
          <w:tcPr>
            <w:tcW w:w="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tcPr>
          <w:p>
            <w:pPr>
              <w:spacing w:after="0"/>
              <w:rPr>
                <w:sz w:val="20"/>
                <w:szCs w:val="20"/>
                <w:color w:val="auto"/>
              </w:rPr>
            </w:pPr>
          </w:p>
        </w:tc>
        <w:tc>
          <w:tcPr>
            <w:tcW w:w="5220" w:type="dxa"/>
            <w:vAlign w:val="bottom"/>
            <w:vMerge w:val="continue"/>
          </w:tcPr>
          <w:p>
            <w:pPr>
              <w:spacing w:after="0"/>
              <w:rPr>
                <w:sz w:val="20"/>
                <w:szCs w:val="20"/>
                <w:color w:val="auto"/>
              </w:rPr>
            </w:pPr>
          </w:p>
        </w:tc>
        <w:tc>
          <w:tcPr>
            <w:tcW w:w="80" w:type="dxa"/>
            <w:vAlign w:val="bottom"/>
          </w:tcPr>
          <w:p>
            <w:pPr>
              <w:spacing w:after="0"/>
              <w:rPr>
                <w:sz w:val="20"/>
                <w:szCs w:val="20"/>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(46,484)</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29,610</w:t>
            </w: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gridSpan w:val="2"/>
          </w:tcPr>
          <w:p>
            <w:pPr>
              <w:jc w:val="right"/>
              <w:ind w:right="280"/>
              <w:spacing w:after="0"/>
              <w:rPr>
                <w:sz w:val="20"/>
                <w:szCs w:val="20"/>
                <w:color w:val="auto"/>
              </w:rPr>
            </w:pPr>
            <w:r>
              <w:rPr>
                <w:rFonts w:ascii="Arial" w:cs="Arial" w:eastAsia="Arial" w:hAnsi="Arial"/>
                <w:sz w:val="18"/>
                <w:szCs w:val="18"/>
                <w:color w:val="auto"/>
                <w:w w:val="89"/>
              </w:rPr>
              <w:t>119,799</w:t>
            </w:r>
          </w:p>
        </w:tc>
        <w:tc>
          <w:tcPr>
            <w:tcW w:w="80" w:type="dxa"/>
            <w:vAlign w:val="bottom"/>
          </w:tcPr>
          <w:p>
            <w:pPr>
              <w:spacing w:after="0"/>
              <w:rPr>
                <w:sz w:val="20"/>
                <w:szCs w:val="20"/>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(17,155)</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(132,254)</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(46,484)</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2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liabilities, redeemable convertible preferred units</w:t>
            </w:r>
          </w:p>
        </w:tc>
        <w:tc>
          <w:tcPr>
            <w:tcW w:w="8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5220" w:type="dxa"/>
            <w:vAlign w:val="bottom"/>
            <w:shd w:val="clear" w:color="auto" w:fill="CCEEFF"/>
          </w:tcPr>
          <w:p>
            <w:pPr>
              <w:ind w:left="1060"/>
              <w:spacing w:after="0"/>
              <w:rPr>
                <w:sz w:val="20"/>
                <w:szCs w:val="20"/>
                <w:color w:val="auto"/>
              </w:rPr>
            </w:pPr>
            <w:r>
              <w:rPr>
                <w:rFonts w:ascii="Arial" w:cs="Arial" w:eastAsia="Arial" w:hAnsi="Arial"/>
                <w:sz w:val="18"/>
                <w:szCs w:val="18"/>
                <w:color w:val="auto"/>
              </w:rPr>
              <w:t>and unitholders’ equity</w:t>
            </w: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60,978</w:t>
            </w:r>
          </w:p>
        </w:tc>
        <w:tc>
          <w:tcPr>
            <w:tcW w:w="160" w:type="dxa"/>
            <w:vAlign w:val="bottom"/>
            <w:shd w:val="clear" w:color="auto" w:fill="CCEEFF"/>
          </w:tcPr>
          <w:p>
            <w:pPr>
              <w:spacing w:after="0"/>
              <w:rPr>
                <w:sz w:val="19"/>
                <w:szCs w:val="19"/>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783,351</w:t>
            </w:r>
          </w:p>
        </w:tc>
        <w:tc>
          <w:tcPr>
            <w:tcW w:w="2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8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89"/>
              </w:rPr>
              <w:t>992,826</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914,595</w:t>
            </w:r>
          </w:p>
        </w:tc>
        <w:tc>
          <w:tcPr>
            <w:tcW w:w="180" w:type="dxa"/>
            <w:vAlign w:val="bottom"/>
            <w:shd w:val="clear" w:color="auto" w:fill="CCEEFF"/>
          </w:tcPr>
          <w:p>
            <w:pPr>
              <w:spacing w:after="0"/>
              <w:rPr>
                <w:sz w:val="19"/>
                <w:szCs w:val="19"/>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(1,711,103)</w:t>
            </w:r>
          </w:p>
        </w:tc>
        <w:tc>
          <w:tcPr>
            <w:tcW w:w="200" w:type="dxa"/>
            <w:vAlign w:val="bottom"/>
            <w:gridSpan w:val="2"/>
            <w:shd w:val="clear" w:color="auto" w:fill="CCEEFF"/>
          </w:tcPr>
          <w:p>
            <w:pPr>
              <w:ind w:left="120"/>
              <w:spacing w:after="0"/>
              <w:rPr>
                <w:sz w:val="20"/>
                <w:szCs w:val="20"/>
                <w:color w:val="auto"/>
              </w:rPr>
            </w:pPr>
            <w:r>
              <w:rPr>
                <w:rFonts w:ascii="Arial" w:cs="Arial" w:eastAsia="Arial" w:hAnsi="Arial"/>
                <w:sz w:val="15"/>
                <w:szCs w:val="15"/>
                <w:u w:val="single" w:color="auto"/>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1,040,647</w:t>
            </w: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20" w:type="dxa"/>
            <w:vAlign w:val="bottom"/>
          </w:tcPr>
          <w:p>
            <w:pPr>
              <w:spacing w:after="0"/>
              <w:rPr>
                <w:sz w:val="24"/>
                <w:szCs w:val="24"/>
                <w:color w:val="auto"/>
              </w:rPr>
            </w:pPr>
          </w:p>
        </w:tc>
        <w:tc>
          <w:tcPr>
            <w:tcW w:w="5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0" w:type="dxa"/>
            <w:vAlign w:val="bottom"/>
          </w:tcPr>
          <w:p>
            <w:pPr>
              <w:jc w:val="right"/>
              <w:ind w:right="234"/>
              <w:spacing w:after="0"/>
              <w:rPr>
                <w:sz w:val="20"/>
                <w:szCs w:val="20"/>
                <w:color w:val="auto"/>
              </w:rPr>
            </w:pPr>
            <w:r>
              <w:rPr>
                <w:rFonts w:ascii="Arial" w:cs="Arial" w:eastAsia="Arial" w:hAnsi="Arial"/>
                <w:sz w:val="18"/>
                <w:szCs w:val="18"/>
                <w:color w:val="auto"/>
              </w:rPr>
              <w:t>21</w:t>
            </w: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MagnaChip Semiconductor LLC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tabular dollars in thousands, except unit data)</w:t>
      </w:r>
    </w:p>
    <w:p>
      <w:pPr>
        <w:spacing w:after="0" w:line="1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Statement of Cash Flows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six months ended July 2, 2006</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8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2"/>
              </w:rPr>
              <w:t>MagnaChip</w:t>
            </w: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340" w:type="dxa"/>
            <w:vAlign w:val="bottom"/>
          </w:tcPr>
          <w:p>
            <w:pPr>
              <w:spacing w:after="0"/>
              <w:rPr>
                <w:sz w:val="12"/>
                <w:szCs w:val="12"/>
                <w:color w:val="auto"/>
              </w:rPr>
            </w:pPr>
          </w:p>
        </w:tc>
        <w:tc>
          <w:tcPr>
            <w:tcW w:w="1160" w:type="dxa"/>
            <w:vAlign w:val="bottom"/>
            <w:gridSpan w:val="3"/>
          </w:tcPr>
          <w:p>
            <w:pPr>
              <w:jc w:val="center"/>
              <w:ind w:right="280"/>
              <w:spacing w:after="0" w:line="149" w:lineRule="exact"/>
              <w:rPr>
                <w:sz w:val="20"/>
                <w:szCs w:val="20"/>
                <w:color w:val="auto"/>
              </w:rPr>
            </w:pPr>
            <w:r>
              <w:rPr>
                <w:rFonts w:ascii="Arial" w:cs="Arial" w:eastAsia="Arial" w:hAnsi="Arial"/>
                <w:sz w:val="14"/>
                <w:szCs w:val="14"/>
                <w:b w:val="1"/>
                <w:bCs w:val="1"/>
                <w:color w:val="auto"/>
                <w:w w:val="86"/>
              </w:rPr>
              <w:t>Semiconductor</w:t>
            </w: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8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rPr>
              <w:t>LLC</w:t>
            </w: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gridSpan w:val="2"/>
          </w:tcPr>
          <w:p>
            <w:pPr>
              <w:jc w:val="right"/>
              <w:ind w:right="500"/>
              <w:spacing w:after="0" w:line="149" w:lineRule="exact"/>
              <w:rPr>
                <w:sz w:val="20"/>
                <w:szCs w:val="20"/>
                <w:color w:val="auto"/>
              </w:rPr>
            </w:pPr>
            <w:r>
              <w:rPr>
                <w:rFonts w:ascii="Arial" w:cs="Arial" w:eastAsia="Arial" w:hAnsi="Arial"/>
                <w:sz w:val="14"/>
                <w:szCs w:val="14"/>
                <w:b w:val="1"/>
                <w:bCs w:val="1"/>
                <w:color w:val="auto"/>
              </w:rPr>
              <w:t>Non-</w:t>
            </w: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53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8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0"/>
              </w:rPr>
              <w:t>(Parent)</w:t>
            </w:r>
          </w:p>
        </w:tc>
        <w:tc>
          <w:tcPr>
            <w:tcW w:w="900" w:type="dxa"/>
            <w:vAlign w:val="bottom"/>
            <w:gridSpan w:val="3"/>
          </w:tcPr>
          <w:p>
            <w:pPr>
              <w:jc w:val="right"/>
              <w:ind w:right="240"/>
              <w:spacing w:after="0"/>
              <w:rPr>
                <w:sz w:val="20"/>
                <w:szCs w:val="20"/>
                <w:color w:val="auto"/>
              </w:rPr>
            </w:pPr>
            <w:r>
              <w:rPr>
                <w:rFonts w:ascii="Arial" w:cs="Arial" w:eastAsia="Arial" w:hAnsi="Arial"/>
                <w:sz w:val="14"/>
                <w:szCs w:val="14"/>
                <w:b w:val="1"/>
                <w:bCs w:val="1"/>
                <w:color w:val="auto"/>
                <w:w w:val="88"/>
              </w:rPr>
              <w:t>Co-Issuers</w:t>
            </w:r>
          </w:p>
        </w:tc>
        <w:tc>
          <w:tcPr>
            <w:tcW w:w="120" w:type="dxa"/>
            <w:vAlign w:val="bottom"/>
          </w:tcPr>
          <w:p>
            <w:pPr>
              <w:spacing w:after="0"/>
              <w:rPr>
                <w:sz w:val="15"/>
                <w:szCs w:val="15"/>
                <w:color w:val="auto"/>
              </w:rPr>
            </w:pPr>
          </w:p>
        </w:tc>
        <w:tc>
          <w:tcPr>
            <w:tcW w:w="1000" w:type="dxa"/>
            <w:vAlign w:val="bottom"/>
            <w:gridSpan w:val="3"/>
          </w:tcPr>
          <w:p>
            <w:pPr>
              <w:jc w:val="right"/>
              <w:ind w:right="300"/>
              <w:spacing w:after="0"/>
              <w:rPr>
                <w:sz w:val="20"/>
                <w:szCs w:val="20"/>
                <w:color w:val="auto"/>
              </w:rPr>
            </w:pPr>
            <w:r>
              <w:rPr>
                <w:rFonts w:ascii="Arial" w:cs="Arial" w:eastAsia="Arial" w:hAnsi="Arial"/>
                <w:sz w:val="14"/>
                <w:szCs w:val="14"/>
                <w:b w:val="1"/>
                <w:bCs w:val="1"/>
                <w:color w:val="auto"/>
                <w:w w:val="90"/>
              </w:rPr>
              <w:t>Guarantors</w:t>
            </w:r>
          </w:p>
        </w:tc>
        <w:tc>
          <w:tcPr>
            <w:tcW w:w="900" w:type="dxa"/>
            <w:vAlign w:val="bottom"/>
            <w:gridSpan w:val="3"/>
          </w:tcPr>
          <w:p>
            <w:pPr>
              <w:jc w:val="right"/>
              <w:ind w:right="200"/>
              <w:spacing w:after="0"/>
              <w:rPr>
                <w:sz w:val="20"/>
                <w:szCs w:val="20"/>
                <w:color w:val="auto"/>
              </w:rPr>
            </w:pPr>
            <w:r>
              <w:rPr>
                <w:rFonts w:ascii="Arial" w:cs="Arial" w:eastAsia="Arial" w:hAnsi="Arial"/>
                <w:sz w:val="14"/>
                <w:szCs w:val="14"/>
                <w:b w:val="1"/>
                <w:bCs w:val="1"/>
                <w:color w:val="auto"/>
                <w:w w:val="90"/>
              </w:rPr>
              <w:t>Guarantors</w:t>
            </w:r>
          </w:p>
        </w:tc>
        <w:tc>
          <w:tcPr>
            <w:tcW w:w="120" w:type="dxa"/>
            <w:vAlign w:val="bottom"/>
          </w:tcPr>
          <w:p>
            <w:pPr>
              <w:spacing w:after="0"/>
              <w:rPr>
                <w:sz w:val="15"/>
                <w:szCs w:val="15"/>
                <w:color w:val="auto"/>
              </w:rPr>
            </w:pPr>
          </w:p>
        </w:tc>
        <w:tc>
          <w:tcPr>
            <w:tcW w:w="920" w:type="dxa"/>
            <w:vAlign w:val="bottom"/>
            <w:gridSpan w:val="3"/>
          </w:tcPr>
          <w:p>
            <w:pPr>
              <w:spacing w:after="0"/>
              <w:rPr>
                <w:sz w:val="20"/>
                <w:szCs w:val="20"/>
                <w:color w:val="auto"/>
              </w:rPr>
            </w:pPr>
            <w:r>
              <w:rPr>
                <w:rFonts w:ascii="Arial" w:cs="Arial" w:eastAsia="Arial" w:hAnsi="Arial"/>
                <w:sz w:val="14"/>
                <w:szCs w:val="14"/>
                <w:b w:val="1"/>
                <w:bCs w:val="1"/>
                <w:color w:val="auto"/>
              </w:rPr>
              <w:t>Eliminations</w:t>
            </w:r>
          </w:p>
        </w:tc>
        <w:tc>
          <w:tcPr>
            <w:tcW w:w="100" w:type="dxa"/>
            <w:vAlign w:val="bottom"/>
          </w:tcPr>
          <w:p>
            <w:pPr>
              <w:spacing w:after="0"/>
              <w:rPr>
                <w:sz w:val="15"/>
                <w:szCs w:val="15"/>
                <w:color w:val="auto"/>
              </w:rPr>
            </w:pPr>
          </w:p>
        </w:tc>
        <w:tc>
          <w:tcPr>
            <w:tcW w:w="840" w:type="dxa"/>
            <w:vAlign w:val="bottom"/>
            <w:gridSpan w:val="3"/>
          </w:tcPr>
          <w:p>
            <w:pPr>
              <w:spacing w:after="0"/>
              <w:rPr>
                <w:sz w:val="20"/>
                <w:szCs w:val="20"/>
                <w:color w:val="auto"/>
              </w:rPr>
            </w:pPr>
            <w:r>
              <w:rPr>
                <w:rFonts w:ascii="Arial" w:cs="Arial" w:eastAsia="Arial" w:hAnsi="Arial"/>
                <w:sz w:val="14"/>
                <w:szCs w:val="14"/>
                <w:b w:val="1"/>
                <w:bCs w:val="1"/>
                <w:color w:val="auto"/>
                <w:w w:val="92"/>
              </w:rPr>
              <w:t>Consolidated</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3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 from operating activities:</w:t>
            </w:r>
          </w:p>
        </w:tc>
        <w:tc>
          <w:tcPr>
            <w:tcW w:w="8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tcPr>
          <w:p>
            <w:pPr>
              <w:spacing w:after="0"/>
              <w:rPr>
                <w:sz w:val="20"/>
                <w:szCs w:val="20"/>
                <w:color w:val="auto"/>
              </w:rPr>
            </w:pPr>
            <w:r>
              <w:rPr>
                <w:rFonts w:ascii="Arial" w:cs="Arial" w:eastAsia="Arial" w:hAnsi="Arial"/>
                <w:sz w:val="18"/>
                <w:szCs w:val="18"/>
                <w:color w:val="auto"/>
              </w:rPr>
              <w:t>Net loss</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(135,954)</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w w:val="85"/>
              </w:rPr>
              <w:t>(135,045)</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w w:val="88"/>
              </w:rPr>
              <w:t>(129,762)</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w w:val="88"/>
              </w:rPr>
              <w:t>(147,083)</w:t>
            </w:r>
          </w:p>
        </w:tc>
        <w:tc>
          <w:tcPr>
            <w:tcW w:w="220" w:type="dxa"/>
            <w:vAlign w:val="bottom"/>
            <w:gridSpan w:val="2"/>
          </w:tcPr>
          <w:p>
            <w:pPr>
              <w:ind w:left="120"/>
              <w:spacing w:after="0"/>
              <w:rPr>
                <w:sz w:val="20"/>
                <w:szCs w:val="20"/>
                <w:color w:val="auto"/>
              </w:rPr>
            </w:pPr>
            <w:r>
              <w:rPr>
                <w:rFonts w:ascii="Arial" w:cs="Arial" w:eastAsia="Arial" w:hAnsi="Arial"/>
                <w:sz w:val="18"/>
                <w:szCs w:val="18"/>
                <w:color w:val="auto"/>
                <w:w w:val="79"/>
              </w:rPr>
              <w:t>$</w:t>
            </w:r>
          </w:p>
        </w:tc>
        <w:tc>
          <w:tcPr>
            <w:tcW w:w="640" w:type="dxa"/>
            <w:vAlign w:val="bottom"/>
          </w:tcPr>
          <w:p>
            <w:pPr>
              <w:jc w:val="right"/>
              <w:spacing w:after="0"/>
              <w:rPr>
                <w:sz w:val="20"/>
                <w:szCs w:val="20"/>
                <w:color w:val="auto"/>
              </w:rPr>
            </w:pPr>
            <w:r>
              <w:rPr>
                <w:rFonts w:ascii="Arial" w:cs="Arial" w:eastAsia="Arial" w:hAnsi="Arial"/>
                <w:sz w:val="18"/>
                <w:szCs w:val="18"/>
                <w:color w:val="auto"/>
                <w:w w:val="95"/>
              </w:rPr>
              <w:t>411,890</w:t>
            </w:r>
          </w:p>
        </w:tc>
        <w:tc>
          <w:tcPr>
            <w:tcW w:w="180" w:type="dxa"/>
            <w:vAlign w:val="bottom"/>
          </w:tcPr>
          <w:p>
            <w:pPr>
              <w:spacing w:after="0"/>
              <w:rPr>
                <w:sz w:val="18"/>
                <w:szCs w:val="18"/>
                <w:color w:val="auto"/>
              </w:rPr>
            </w:pPr>
          </w:p>
        </w:tc>
        <w:tc>
          <w:tcPr>
            <w:tcW w:w="220" w:type="dxa"/>
            <w:vAlign w:val="bottom"/>
            <w:gridSpan w:val="2"/>
          </w:tcPr>
          <w:p>
            <w:pPr>
              <w:ind w:left="100"/>
              <w:spacing w:after="0"/>
              <w:rPr>
                <w:sz w:val="20"/>
                <w:szCs w:val="20"/>
                <w:color w:val="auto"/>
              </w:rPr>
            </w:pPr>
            <w:r>
              <w:rPr>
                <w:rFonts w:ascii="Arial" w:cs="Arial" w:eastAsia="Arial" w:hAnsi="Arial"/>
                <w:sz w:val="18"/>
                <w:szCs w:val="18"/>
                <w:color w:val="auto"/>
                <w:w w:val="99"/>
              </w:rPr>
              <w:t>$</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w w:val="90"/>
              </w:rPr>
              <w:t>(135,954)</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340" w:type="dxa"/>
            <w:vAlign w:val="bottom"/>
            <w:shd w:val="clear" w:color="auto" w:fill="CCEEFF"/>
          </w:tcPr>
          <w:p>
            <w:pPr>
              <w:spacing w:after="0"/>
              <w:rPr>
                <w:sz w:val="20"/>
                <w:szCs w:val="20"/>
                <w:color w:val="auto"/>
              </w:rPr>
            </w:pPr>
            <w:r>
              <w:rPr>
                <w:rFonts w:ascii="Arial" w:cs="Arial" w:eastAsia="Arial" w:hAnsi="Arial"/>
                <w:sz w:val="18"/>
                <w:szCs w:val="18"/>
                <w:color w:val="auto"/>
              </w:rPr>
              <w:t>Adjustments to reconcile net loss to net cash provided by (used in)</w:t>
            </w: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53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operating activities</w:t>
            </w:r>
          </w:p>
        </w:tc>
        <w:tc>
          <w:tcPr>
            <w:tcW w:w="8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tcPr>
          <w:p>
            <w:pPr>
              <w:ind w:left="420"/>
              <w:spacing w:after="0"/>
              <w:rPr>
                <w:sz w:val="20"/>
                <w:szCs w:val="20"/>
                <w:color w:val="auto"/>
              </w:rPr>
            </w:pPr>
            <w:r>
              <w:rPr>
                <w:rFonts w:ascii="Arial" w:cs="Arial" w:eastAsia="Arial" w:hAnsi="Arial"/>
                <w:sz w:val="18"/>
                <w:szCs w:val="18"/>
                <w:color w:val="auto"/>
              </w:rPr>
              <w:t>Depreciation and amortization</w:t>
            </w:r>
          </w:p>
        </w:tc>
        <w:tc>
          <w:tcPr>
            <w:tcW w:w="80" w:type="dxa"/>
            <w:vAlign w:val="bottom"/>
          </w:tcPr>
          <w:p>
            <w:pPr>
              <w:spacing w:after="0"/>
              <w:rPr>
                <w:sz w:val="18"/>
                <w:szCs w:val="18"/>
                <w:color w:val="auto"/>
              </w:rPr>
            </w:pPr>
          </w:p>
        </w:tc>
        <w:tc>
          <w:tcPr>
            <w:tcW w:w="1080" w:type="dxa"/>
            <w:vAlign w:val="bottom"/>
            <w:gridSpan w:val="2"/>
          </w:tcPr>
          <w:p>
            <w:pPr>
              <w:ind w:left="5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0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jc w:val="right"/>
              <w:ind w:right="280"/>
              <w:spacing w:after="0"/>
              <w:rPr>
                <w:sz w:val="20"/>
                <w:szCs w:val="20"/>
                <w:color w:val="auto"/>
              </w:rPr>
            </w:pPr>
            <w:r>
              <w:rPr>
                <w:rFonts w:ascii="Arial" w:cs="Arial" w:eastAsia="Arial" w:hAnsi="Arial"/>
                <w:sz w:val="18"/>
                <w:szCs w:val="18"/>
                <w:color w:val="auto"/>
                <w:w w:val="95"/>
              </w:rPr>
              <w:t>100,410</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2,099</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98"/>
              </w:rPr>
              <w:t>102,509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Provision for severance benefits</w:t>
            </w: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5,315</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5,357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tcPr>
          <w:p>
            <w:pPr>
              <w:ind w:left="420"/>
              <w:spacing w:after="0"/>
              <w:rPr>
                <w:sz w:val="20"/>
                <w:szCs w:val="20"/>
                <w:color w:val="auto"/>
              </w:rPr>
            </w:pPr>
            <w:r>
              <w:rPr>
                <w:rFonts w:ascii="Arial" w:cs="Arial" w:eastAsia="Arial" w:hAnsi="Arial"/>
                <w:sz w:val="18"/>
                <w:szCs w:val="18"/>
                <w:color w:val="auto"/>
              </w:rPr>
              <w:t>Amortization of debt issuance costs</w:t>
            </w:r>
          </w:p>
        </w:tc>
        <w:tc>
          <w:tcPr>
            <w:tcW w:w="80" w:type="dxa"/>
            <w:vAlign w:val="bottom"/>
          </w:tcPr>
          <w:p>
            <w:pPr>
              <w:spacing w:after="0"/>
              <w:rPr>
                <w:sz w:val="18"/>
                <w:szCs w:val="18"/>
                <w:color w:val="auto"/>
              </w:rPr>
            </w:pPr>
          </w:p>
        </w:tc>
        <w:tc>
          <w:tcPr>
            <w:tcW w:w="1080" w:type="dxa"/>
            <w:vAlign w:val="bottom"/>
            <w:gridSpan w:val="2"/>
          </w:tcPr>
          <w:p>
            <w:pPr>
              <w:ind w:left="5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1,384</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jc w:val="right"/>
              <w:ind w:right="280"/>
              <w:spacing w:after="0"/>
              <w:rPr>
                <w:sz w:val="20"/>
                <w:szCs w:val="20"/>
                <w:color w:val="auto"/>
              </w:rPr>
            </w:pPr>
            <w:r>
              <w:rPr>
                <w:rFonts w:ascii="Arial" w:cs="Arial" w:eastAsia="Arial" w:hAnsi="Arial"/>
                <w:sz w:val="18"/>
                <w:szCs w:val="18"/>
                <w:color w:val="auto"/>
              </w:rPr>
              <w:t>449</w:t>
            </w:r>
          </w:p>
        </w:tc>
        <w:tc>
          <w:tcPr>
            <w:tcW w:w="100" w:type="dxa"/>
            <w:vAlign w:val="bottom"/>
          </w:tcPr>
          <w:p>
            <w:pPr>
              <w:spacing w:after="0"/>
              <w:rPr>
                <w:sz w:val="18"/>
                <w:szCs w:val="18"/>
                <w:color w:val="auto"/>
              </w:rPr>
            </w:pPr>
          </w:p>
        </w:tc>
        <w:tc>
          <w:tcPr>
            <w:tcW w:w="8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1,833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Gain on foreign currency translation, net</w:t>
            </w: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8"/>
              </w:rPr>
              <w:t>(12,067)</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(42,554)</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12,254</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(42,367)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tcPr>
          <w:p>
            <w:pPr>
              <w:ind w:left="420"/>
              <w:spacing w:after="0"/>
              <w:rPr>
                <w:sz w:val="20"/>
                <w:szCs w:val="20"/>
                <w:color w:val="auto"/>
              </w:rPr>
            </w:pPr>
            <w:r>
              <w:rPr>
                <w:rFonts w:ascii="Arial" w:cs="Arial" w:eastAsia="Arial" w:hAnsi="Arial"/>
                <w:sz w:val="18"/>
                <w:szCs w:val="18"/>
                <w:color w:val="auto"/>
              </w:rPr>
              <w:t>Impairment of long-lived assets</w:t>
            </w:r>
          </w:p>
        </w:tc>
        <w:tc>
          <w:tcPr>
            <w:tcW w:w="80" w:type="dxa"/>
            <w:vAlign w:val="bottom"/>
          </w:tcPr>
          <w:p>
            <w:pPr>
              <w:spacing w:after="0"/>
              <w:rPr>
                <w:sz w:val="18"/>
                <w:szCs w:val="18"/>
                <w:color w:val="auto"/>
              </w:rPr>
            </w:pPr>
          </w:p>
        </w:tc>
        <w:tc>
          <w:tcPr>
            <w:tcW w:w="1080" w:type="dxa"/>
            <w:vAlign w:val="bottom"/>
            <w:gridSpan w:val="2"/>
          </w:tcPr>
          <w:p>
            <w:pPr>
              <w:ind w:left="5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0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jc w:val="right"/>
              <w:ind w:right="280"/>
              <w:spacing w:after="0"/>
              <w:rPr>
                <w:sz w:val="20"/>
                <w:szCs w:val="20"/>
                <w:color w:val="auto"/>
              </w:rPr>
            </w:pPr>
            <w:r>
              <w:rPr>
                <w:rFonts w:ascii="Arial" w:cs="Arial" w:eastAsia="Arial" w:hAnsi="Arial"/>
                <w:sz w:val="18"/>
                <w:szCs w:val="18"/>
                <w:color w:val="auto"/>
              </w:rPr>
              <w:t>92,540</w:t>
            </w:r>
          </w:p>
        </w:tc>
        <w:tc>
          <w:tcPr>
            <w:tcW w:w="100" w:type="dxa"/>
            <w:vAlign w:val="bottom"/>
          </w:tcPr>
          <w:p>
            <w:pPr>
              <w:spacing w:after="0"/>
              <w:rPr>
                <w:sz w:val="18"/>
                <w:szCs w:val="18"/>
                <w:color w:val="auto"/>
              </w:rPr>
            </w:pPr>
          </w:p>
        </w:tc>
        <w:tc>
          <w:tcPr>
            <w:tcW w:w="8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92,540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Loss of related investment</w:t>
            </w: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135,886</w:t>
            </w: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144,867</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130,138</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8"/>
              </w:rPr>
              <w:t>(410,891)</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tcPr>
          <w:p>
            <w:pPr>
              <w:ind w:left="420"/>
              <w:spacing w:after="0"/>
              <w:rPr>
                <w:sz w:val="20"/>
                <w:szCs w:val="20"/>
                <w:color w:val="auto"/>
              </w:rPr>
            </w:pPr>
            <w:r>
              <w:rPr>
                <w:rFonts w:ascii="Arial" w:cs="Arial" w:eastAsia="Arial" w:hAnsi="Arial"/>
                <w:sz w:val="18"/>
                <w:szCs w:val="18"/>
                <w:color w:val="auto"/>
              </w:rPr>
              <w:t>Other</w:t>
            </w:r>
          </w:p>
        </w:tc>
        <w:tc>
          <w:tcPr>
            <w:tcW w:w="80" w:type="dxa"/>
            <w:vAlign w:val="bottom"/>
          </w:tcPr>
          <w:p>
            <w:pPr>
              <w:spacing w:after="0"/>
              <w:rPr>
                <w:sz w:val="18"/>
                <w:szCs w:val="18"/>
                <w:color w:val="auto"/>
              </w:rPr>
            </w:pPr>
          </w:p>
        </w:tc>
        <w:tc>
          <w:tcPr>
            <w:tcW w:w="1080" w:type="dxa"/>
            <w:vAlign w:val="bottom"/>
            <w:gridSpan w:val="2"/>
          </w:tcPr>
          <w:p>
            <w:pPr>
              <w:ind w:left="5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0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jc w:val="right"/>
              <w:ind w:right="280"/>
              <w:spacing w:after="0"/>
              <w:rPr>
                <w:sz w:val="20"/>
                <w:szCs w:val="20"/>
                <w:color w:val="auto"/>
              </w:rPr>
            </w:pPr>
            <w:r>
              <w:rPr>
                <w:rFonts w:ascii="Arial" w:cs="Arial" w:eastAsia="Arial" w:hAnsi="Arial"/>
                <w:sz w:val="18"/>
                <w:szCs w:val="18"/>
                <w:color w:val="auto"/>
              </w:rPr>
              <w:t>651</w:t>
            </w:r>
          </w:p>
        </w:tc>
        <w:tc>
          <w:tcPr>
            <w:tcW w:w="10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(1,802)</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1,616</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465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shd w:val="clear" w:color="auto" w:fill="CCEEFF"/>
          </w:tcPr>
          <w:p>
            <w:pPr>
              <w:spacing w:after="0"/>
              <w:rPr>
                <w:sz w:val="20"/>
                <w:szCs w:val="20"/>
                <w:color w:val="auto"/>
              </w:rPr>
            </w:pPr>
            <w:r>
              <w:rPr>
                <w:rFonts w:ascii="Arial" w:cs="Arial" w:eastAsia="Arial" w:hAnsi="Arial"/>
                <w:sz w:val="18"/>
                <w:szCs w:val="18"/>
                <w:color w:val="auto"/>
              </w:rPr>
              <w:t>Changes in operating assets and liabilities:</w:t>
            </w: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tcPr>
          <w:p>
            <w:pPr>
              <w:ind w:left="420"/>
              <w:spacing w:after="0"/>
              <w:rPr>
                <w:sz w:val="20"/>
                <w:szCs w:val="20"/>
                <w:color w:val="auto"/>
              </w:rPr>
            </w:pPr>
            <w:r>
              <w:rPr>
                <w:rFonts w:ascii="Arial" w:cs="Arial" w:eastAsia="Arial" w:hAnsi="Arial"/>
                <w:sz w:val="18"/>
                <w:szCs w:val="18"/>
                <w:color w:val="auto"/>
              </w:rPr>
              <w:t>Accounts receivable</w:t>
            </w:r>
          </w:p>
        </w:tc>
        <w:tc>
          <w:tcPr>
            <w:tcW w:w="80" w:type="dxa"/>
            <w:vAlign w:val="bottom"/>
          </w:tcPr>
          <w:p>
            <w:pPr>
              <w:spacing w:after="0"/>
              <w:rPr>
                <w:sz w:val="18"/>
                <w:szCs w:val="18"/>
                <w:color w:val="auto"/>
              </w:rPr>
            </w:pPr>
          </w:p>
        </w:tc>
        <w:tc>
          <w:tcPr>
            <w:tcW w:w="1080" w:type="dxa"/>
            <w:vAlign w:val="bottom"/>
            <w:gridSpan w:val="2"/>
          </w:tcPr>
          <w:p>
            <w:pPr>
              <w:ind w:left="5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0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jc w:val="right"/>
              <w:ind w:right="280"/>
              <w:spacing w:after="0"/>
              <w:rPr>
                <w:sz w:val="20"/>
                <w:szCs w:val="20"/>
                <w:color w:val="auto"/>
              </w:rPr>
            </w:pPr>
            <w:r>
              <w:rPr>
                <w:rFonts w:ascii="Arial" w:cs="Arial" w:eastAsia="Arial" w:hAnsi="Arial"/>
                <w:sz w:val="18"/>
                <w:szCs w:val="18"/>
                <w:color w:val="auto"/>
              </w:rPr>
              <w:t>14,306</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5,275</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5,426</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25,007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Inventories</w:t>
            </w: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30,250</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2,247</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(958)</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31,539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tcPr>
          <w:p>
            <w:pPr>
              <w:ind w:left="420"/>
              <w:spacing w:after="0"/>
              <w:rPr>
                <w:sz w:val="20"/>
                <w:szCs w:val="20"/>
                <w:color w:val="auto"/>
              </w:rPr>
            </w:pPr>
            <w:r>
              <w:rPr>
                <w:rFonts w:ascii="Arial" w:cs="Arial" w:eastAsia="Arial" w:hAnsi="Arial"/>
                <w:sz w:val="18"/>
                <w:szCs w:val="18"/>
                <w:color w:val="auto"/>
              </w:rPr>
              <w:t>Other receivables</w:t>
            </w:r>
          </w:p>
        </w:tc>
        <w:tc>
          <w:tcPr>
            <w:tcW w:w="80" w:type="dxa"/>
            <w:vAlign w:val="bottom"/>
          </w:tcPr>
          <w:p>
            <w:pPr>
              <w:spacing w:after="0"/>
              <w:rPr>
                <w:sz w:val="18"/>
                <w:szCs w:val="18"/>
                <w:color w:val="auto"/>
              </w:rPr>
            </w:pPr>
          </w:p>
        </w:tc>
        <w:tc>
          <w:tcPr>
            <w:tcW w:w="1080" w:type="dxa"/>
            <w:vAlign w:val="bottom"/>
            <w:gridSpan w:val="2"/>
          </w:tcPr>
          <w:p>
            <w:pPr>
              <w:ind w:left="540"/>
              <w:spacing w:after="0"/>
              <w:rPr>
                <w:sz w:val="20"/>
                <w:szCs w:val="20"/>
                <w:color w:val="auto"/>
              </w:rPr>
            </w:pPr>
            <w:r>
              <w:rPr>
                <w:rFonts w:ascii="Arial" w:cs="Arial" w:eastAsia="Arial" w:hAnsi="Arial"/>
                <w:sz w:val="18"/>
                <w:szCs w:val="18"/>
                <w:color w:val="auto"/>
              </w:rPr>
              <w:t>434</w:t>
            </w:r>
          </w:p>
        </w:tc>
        <w:tc>
          <w:tcPr>
            <w:tcW w:w="100" w:type="dxa"/>
            <w:vAlign w:val="bottom"/>
          </w:tcPr>
          <w:p>
            <w:pPr>
              <w:spacing w:after="0"/>
              <w:rPr>
                <w:sz w:val="18"/>
                <w:szCs w:val="18"/>
                <w:color w:val="auto"/>
              </w:rPr>
            </w:pPr>
          </w:p>
        </w:tc>
        <w:tc>
          <w:tcPr>
            <w:tcW w:w="80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jc w:val="right"/>
              <w:ind w:right="280"/>
              <w:spacing w:after="0"/>
              <w:rPr>
                <w:sz w:val="20"/>
                <w:szCs w:val="20"/>
                <w:color w:val="auto"/>
              </w:rPr>
            </w:pPr>
            <w:r>
              <w:rPr>
                <w:rFonts w:ascii="Arial" w:cs="Arial" w:eastAsia="Arial" w:hAnsi="Arial"/>
                <w:sz w:val="18"/>
                <w:szCs w:val="18"/>
                <w:color w:val="auto"/>
              </w:rPr>
              <w:t>2,689</w:t>
            </w:r>
          </w:p>
        </w:tc>
        <w:tc>
          <w:tcPr>
            <w:tcW w:w="10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(1,739)</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1,730</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3,114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Deferred tax assets</w:t>
            </w: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839</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tcPr>
          <w:p>
            <w:pPr>
              <w:ind w:left="420"/>
              <w:spacing w:after="0"/>
              <w:rPr>
                <w:sz w:val="20"/>
                <w:szCs w:val="20"/>
                <w:color w:val="auto"/>
              </w:rPr>
            </w:pPr>
            <w:r>
              <w:rPr>
                <w:rFonts w:ascii="Arial" w:cs="Arial" w:eastAsia="Arial" w:hAnsi="Arial"/>
                <w:sz w:val="18"/>
                <w:szCs w:val="18"/>
                <w:color w:val="auto"/>
              </w:rPr>
              <w:t>Accounts payable</w:t>
            </w:r>
          </w:p>
        </w:tc>
        <w:tc>
          <w:tcPr>
            <w:tcW w:w="80" w:type="dxa"/>
            <w:vAlign w:val="bottom"/>
          </w:tcPr>
          <w:p>
            <w:pPr>
              <w:spacing w:after="0"/>
              <w:rPr>
                <w:sz w:val="18"/>
                <w:szCs w:val="18"/>
                <w:color w:val="auto"/>
              </w:rPr>
            </w:pPr>
          </w:p>
        </w:tc>
        <w:tc>
          <w:tcPr>
            <w:tcW w:w="1080" w:type="dxa"/>
            <w:vAlign w:val="bottom"/>
            <w:gridSpan w:val="2"/>
          </w:tcPr>
          <w:p>
            <w:pPr>
              <w:ind w:left="5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0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(43,676)</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1,925</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(5,426)</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(47,177)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 accounts payable</w:t>
            </w: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35</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(435)</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(14,954)</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1,088</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(1,730)</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(15,996)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tcPr>
          <w:p>
            <w:pPr>
              <w:ind w:left="420"/>
              <w:spacing w:after="0"/>
              <w:rPr>
                <w:sz w:val="20"/>
                <w:szCs w:val="20"/>
                <w:color w:val="auto"/>
              </w:rPr>
            </w:pPr>
            <w:r>
              <w:rPr>
                <w:rFonts w:ascii="Arial" w:cs="Arial" w:eastAsia="Arial" w:hAnsi="Arial"/>
                <w:sz w:val="18"/>
                <w:szCs w:val="18"/>
                <w:color w:val="auto"/>
              </w:rPr>
              <w:t>Accrued expenses</w:t>
            </w:r>
          </w:p>
        </w:tc>
        <w:tc>
          <w:tcPr>
            <w:tcW w:w="80" w:type="dxa"/>
            <w:vAlign w:val="bottom"/>
          </w:tcPr>
          <w:p>
            <w:pPr>
              <w:spacing w:after="0"/>
              <w:rPr>
                <w:sz w:val="18"/>
                <w:szCs w:val="18"/>
                <w:color w:val="auto"/>
              </w:rPr>
            </w:pPr>
          </w:p>
        </w:tc>
        <w:tc>
          <w:tcPr>
            <w:tcW w:w="1080" w:type="dxa"/>
            <w:vAlign w:val="bottom"/>
            <w:gridSpan w:val="2"/>
          </w:tcPr>
          <w:p>
            <w:pPr>
              <w:ind w:left="5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20" w:type="dxa"/>
            <w:vAlign w:val="bottom"/>
          </w:tcPr>
          <w:p>
            <w:pPr>
              <w:ind w:left="360"/>
              <w:spacing w:after="0"/>
              <w:rPr>
                <w:sz w:val="20"/>
                <w:szCs w:val="20"/>
                <w:color w:val="auto"/>
              </w:rPr>
            </w:pPr>
            <w:r>
              <w:rPr>
                <w:rFonts w:ascii="Arial" w:cs="Arial" w:eastAsia="Arial" w:hAnsi="Arial"/>
                <w:sz w:val="18"/>
                <w:szCs w:val="18"/>
                <w:color w:val="auto"/>
                <w:w w:val="79"/>
              </w:rPr>
              <w:t>193</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(412)</w:t>
            </w:r>
          </w:p>
        </w:tc>
        <w:tc>
          <w:tcPr>
            <w:tcW w:w="10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(2,596)</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ind w:left="380"/>
              <w:spacing w:after="0"/>
              <w:rPr>
                <w:sz w:val="20"/>
                <w:szCs w:val="20"/>
                <w:color w:val="auto"/>
              </w:rPr>
            </w:pPr>
            <w:r>
              <w:rPr>
                <w:rFonts w:ascii="Arial" w:cs="Arial" w:eastAsia="Arial" w:hAnsi="Arial"/>
                <w:sz w:val="18"/>
                <w:szCs w:val="18"/>
                <w:color w:val="auto"/>
                <w:w w:val="79"/>
              </w:rPr>
              <w:t>727</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(2,088)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 current assets</w:t>
            </w: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ind w:left="360"/>
              <w:spacing w:after="0"/>
              <w:rPr>
                <w:sz w:val="20"/>
                <w:szCs w:val="20"/>
                <w:color w:val="auto"/>
              </w:rPr>
            </w:pPr>
            <w:r>
              <w:rPr>
                <w:rFonts w:ascii="Arial" w:cs="Arial" w:eastAsia="Arial" w:hAnsi="Arial"/>
                <w:sz w:val="18"/>
                <w:szCs w:val="18"/>
                <w:color w:val="auto"/>
                <w:w w:val="79"/>
              </w:rPr>
              <w:t>807</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(676)</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(225)</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(727)</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tcPr>
          <w:p>
            <w:pPr>
              <w:ind w:left="420"/>
              <w:spacing w:after="0"/>
              <w:rPr>
                <w:sz w:val="20"/>
                <w:szCs w:val="20"/>
                <w:color w:val="auto"/>
              </w:rPr>
            </w:pPr>
            <w:r>
              <w:rPr>
                <w:rFonts w:ascii="Arial" w:cs="Arial" w:eastAsia="Arial" w:hAnsi="Arial"/>
                <w:sz w:val="18"/>
                <w:szCs w:val="18"/>
                <w:color w:val="auto"/>
              </w:rPr>
              <w:t>Other current liabilities</w:t>
            </w:r>
          </w:p>
        </w:tc>
        <w:tc>
          <w:tcPr>
            <w:tcW w:w="80" w:type="dxa"/>
            <w:vAlign w:val="bottom"/>
          </w:tcPr>
          <w:p>
            <w:pPr>
              <w:spacing w:after="0"/>
              <w:rPr>
                <w:sz w:val="18"/>
                <w:szCs w:val="18"/>
                <w:color w:val="auto"/>
              </w:rPr>
            </w:pPr>
          </w:p>
        </w:tc>
        <w:tc>
          <w:tcPr>
            <w:tcW w:w="1080" w:type="dxa"/>
            <w:vAlign w:val="bottom"/>
            <w:gridSpan w:val="2"/>
          </w:tcPr>
          <w:p>
            <w:pPr>
              <w:ind w:left="5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82</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(1,852)</w:t>
            </w:r>
          </w:p>
        </w:tc>
        <w:tc>
          <w:tcPr>
            <w:tcW w:w="10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(3,800)</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(5,570)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Payment of severance benefits</w:t>
            </w: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(4,559)</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(4,559)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tcPr>
          <w:p>
            <w:pPr>
              <w:ind w:left="420"/>
              <w:spacing w:after="0"/>
              <w:rPr>
                <w:sz w:val="20"/>
                <w:szCs w:val="20"/>
                <w:color w:val="auto"/>
              </w:rPr>
            </w:pPr>
            <w:r>
              <w:rPr>
                <w:rFonts w:ascii="Arial" w:cs="Arial" w:eastAsia="Arial" w:hAnsi="Arial"/>
                <w:sz w:val="18"/>
                <w:szCs w:val="18"/>
                <w:color w:val="auto"/>
              </w:rPr>
              <w:t>Other</w:t>
            </w:r>
          </w:p>
        </w:tc>
        <w:tc>
          <w:tcPr>
            <w:tcW w:w="80" w:type="dxa"/>
            <w:vAlign w:val="bottom"/>
          </w:tcPr>
          <w:p>
            <w:pPr>
              <w:spacing w:after="0"/>
              <w:rPr>
                <w:sz w:val="18"/>
                <w:szCs w:val="18"/>
                <w:color w:val="auto"/>
              </w:rPr>
            </w:pPr>
          </w:p>
        </w:tc>
        <w:tc>
          <w:tcPr>
            <w:tcW w:w="800" w:type="dxa"/>
            <w:vAlign w:val="bottom"/>
          </w:tcPr>
          <w:p>
            <w:pPr>
              <w:ind w:left="54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(186)</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jc w:val="right"/>
              <w:ind w:right="280"/>
              <w:spacing w:after="0"/>
              <w:rPr>
                <w:sz w:val="20"/>
                <w:szCs w:val="20"/>
                <w:color w:val="auto"/>
              </w:rPr>
            </w:pPr>
            <w:r>
              <w:rPr>
                <w:rFonts w:ascii="Arial" w:cs="Arial" w:eastAsia="Arial" w:hAnsi="Arial"/>
                <w:sz w:val="18"/>
                <w:szCs w:val="18"/>
                <w:color w:val="auto"/>
              </w:rPr>
              <w:t>5,462</w:t>
            </w:r>
          </w:p>
        </w:tc>
        <w:tc>
          <w:tcPr>
            <w:tcW w:w="10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(1,862)</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(1,616)</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1,798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3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4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(used in) operating activities</w:t>
            </w: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ind w:left="540"/>
              <w:spacing w:after="0"/>
              <w:rPr>
                <w:sz w:val="20"/>
                <w:szCs w:val="20"/>
                <w:color w:val="auto"/>
              </w:rPr>
            </w:pPr>
            <w:r>
              <w:rPr>
                <w:rFonts w:ascii="Arial" w:cs="Arial" w:eastAsia="Arial" w:hAnsi="Arial"/>
                <w:sz w:val="18"/>
                <w:szCs w:val="18"/>
                <w:color w:val="auto"/>
                <w:w w:val="79"/>
              </w:rPr>
              <w:t>401</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(400)</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13,627</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(3,200)</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10,469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5360" w:type="dxa"/>
            <w:vAlign w:val="bottom"/>
            <w:gridSpan w:val="2"/>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8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3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Purchase of plant, property and equipment</w:t>
            </w: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(18,890)</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(442)</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(19,332)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tcPr>
          <w:p>
            <w:pPr>
              <w:ind w:left="420"/>
              <w:spacing w:after="0"/>
              <w:rPr>
                <w:sz w:val="20"/>
                <w:szCs w:val="20"/>
                <w:color w:val="auto"/>
              </w:rPr>
            </w:pPr>
            <w:r>
              <w:rPr>
                <w:rFonts w:ascii="Arial" w:cs="Arial" w:eastAsia="Arial" w:hAnsi="Arial"/>
                <w:sz w:val="18"/>
                <w:szCs w:val="18"/>
                <w:color w:val="auto"/>
              </w:rPr>
              <w:t>Purchase of intangible assets</w:t>
            </w:r>
          </w:p>
        </w:tc>
        <w:tc>
          <w:tcPr>
            <w:tcW w:w="80" w:type="dxa"/>
            <w:vAlign w:val="bottom"/>
          </w:tcPr>
          <w:p>
            <w:pPr>
              <w:spacing w:after="0"/>
              <w:rPr>
                <w:sz w:val="18"/>
                <w:szCs w:val="18"/>
                <w:color w:val="auto"/>
              </w:rPr>
            </w:pPr>
          </w:p>
        </w:tc>
        <w:tc>
          <w:tcPr>
            <w:tcW w:w="1080" w:type="dxa"/>
            <w:vAlign w:val="bottom"/>
            <w:gridSpan w:val="2"/>
          </w:tcPr>
          <w:p>
            <w:pPr>
              <w:ind w:left="5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0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(1,178)</w:t>
            </w:r>
          </w:p>
        </w:tc>
        <w:tc>
          <w:tcPr>
            <w:tcW w:w="100" w:type="dxa"/>
            <w:vAlign w:val="bottom"/>
          </w:tcPr>
          <w:p>
            <w:pPr>
              <w:spacing w:after="0"/>
              <w:rPr>
                <w:sz w:val="18"/>
                <w:szCs w:val="18"/>
                <w:color w:val="auto"/>
              </w:rPr>
            </w:pPr>
          </w:p>
        </w:tc>
        <w:tc>
          <w:tcPr>
            <w:tcW w:w="8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(1,178)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Proceeds from disposal of plant, property and equipment</w:t>
            </w: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2,201</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tcPr>
          <w:p>
            <w:pPr>
              <w:ind w:left="420"/>
              <w:spacing w:after="0"/>
              <w:rPr>
                <w:sz w:val="20"/>
                <w:szCs w:val="20"/>
                <w:color w:val="auto"/>
              </w:rPr>
            </w:pPr>
            <w:r>
              <w:rPr>
                <w:rFonts w:ascii="Arial" w:cs="Arial" w:eastAsia="Arial" w:hAnsi="Arial"/>
                <w:sz w:val="18"/>
                <w:szCs w:val="18"/>
                <w:color w:val="auto"/>
              </w:rPr>
              <w:t>Proceeds from disposal of intangible assets</w:t>
            </w:r>
          </w:p>
        </w:tc>
        <w:tc>
          <w:tcPr>
            <w:tcW w:w="80" w:type="dxa"/>
            <w:vAlign w:val="bottom"/>
          </w:tcPr>
          <w:p>
            <w:pPr>
              <w:spacing w:after="0"/>
              <w:rPr>
                <w:sz w:val="18"/>
                <w:szCs w:val="18"/>
                <w:color w:val="auto"/>
              </w:rPr>
            </w:pPr>
          </w:p>
        </w:tc>
        <w:tc>
          <w:tcPr>
            <w:tcW w:w="1080" w:type="dxa"/>
            <w:vAlign w:val="bottom"/>
            <w:gridSpan w:val="2"/>
          </w:tcPr>
          <w:p>
            <w:pPr>
              <w:ind w:left="5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0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jc w:val="right"/>
              <w:ind w:right="280"/>
              <w:spacing w:after="0"/>
              <w:rPr>
                <w:sz w:val="20"/>
                <w:szCs w:val="20"/>
                <w:color w:val="auto"/>
              </w:rPr>
            </w:pPr>
            <w:r>
              <w:rPr>
                <w:rFonts w:ascii="Arial" w:cs="Arial" w:eastAsia="Arial" w:hAnsi="Arial"/>
                <w:sz w:val="18"/>
                <w:szCs w:val="18"/>
                <w:color w:val="auto"/>
              </w:rPr>
              <w:t>2,794</w:t>
            </w:r>
          </w:p>
        </w:tc>
        <w:tc>
          <w:tcPr>
            <w:tcW w:w="100" w:type="dxa"/>
            <w:vAlign w:val="bottom"/>
          </w:tcPr>
          <w:p>
            <w:pPr>
              <w:spacing w:after="0"/>
              <w:rPr>
                <w:sz w:val="18"/>
                <w:szCs w:val="18"/>
                <w:color w:val="auto"/>
              </w:rPr>
            </w:pPr>
          </w:p>
        </w:tc>
        <w:tc>
          <w:tcPr>
            <w:tcW w:w="8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2,794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Decrease in restricted cash</w:t>
            </w: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1,876</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tcPr>
          <w:p>
            <w:pPr>
              <w:ind w:left="420"/>
              <w:spacing w:after="0"/>
              <w:rPr>
                <w:sz w:val="20"/>
                <w:szCs w:val="20"/>
                <w:color w:val="auto"/>
              </w:rPr>
            </w:pPr>
            <w:r>
              <w:rPr>
                <w:rFonts w:ascii="Arial" w:cs="Arial" w:eastAsia="Arial" w:hAnsi="Arial"/>
                <w:sz w:val="18"/>
                <w:szCs w:val="18"/>
                <w:color w:val="auto"/>
              </w:rPr>
              <w:t>Increase in short-term inter-company loans</w:t>
            </w:r>
          </w:p>
        </w:tc>
        <w:tc>
          <w:tcPr>
            <w:tcW w:w="80" w:type="dxa"/>
            <w:vAlign w:val="bottom"/>
          </w:tcPr>
          <w:p>
            <w:pPr>
              <w:spacing w:after="0"/>
              <w:rPr>
                <w:sz w:val="18"/>
                <w:szCs w:val="18"/>
                <w:color w:val="auto"/>
              </w:rPr>
            </w:pPr>
          </w:p>
        </w:tc>
        <w:tc>
          <w:tcPr>
            <w:tcW w:w="1080" w:type="dxa"/>
            <w:vAlign w:val="bottom"/>
            <w:gridSpan w:val="2"/>
          </w:tcPr>
          <w:p>
            <w:pPr>
              <w:ind w:left="5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0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(5,500)</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5,500</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w:t>
            </w: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(946)</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(927)</w:t>
            </w:r>
          </w:p>
        </w:tc>
        <w:tc>
          <w:tcPr>
            <w:tcW w:w="0" w:type="dxa"/>
            <w:vAlign w:val="bottom"/>
          </w:tcPr>
          <w:p>
            <w:pPr>
              <w:spacing w:after="0"/>
              <w:rPr>
                <w:sz w:val="1"/>
                <w:szCs w:val="1"/>
                <w:color w:val="auto"/>
              </w:rPr>
            </w:pPr>
          </w:p>
        </w:tc>
      </w:tr>
      <w:tr>
        <w:trPr>
          <w:trHeight w:val="20"/>
        </w:trPr>
        <w:tc>
          <w:tcPr>
            <w:tcW w:w="5360" w:type="dxa"/>
            <w:vAlign w:val="bottom"/>
            <w:gridSpan w:val="2"/>
            <w:vMerge w:val="restart"/>
          </w:tcPr>
          <w:p>
            <w:pPr>
              <w:spacing w:after="0"/>
              <w:rPr>
                <w:sz w:val="20"/>
                <w:szCs w:val="20"/>
                <w:color w:val="auto"/>
              </w:rPr>
            </w:pPr>
            <w:r>
              <w:rPr>
                <w:rFonts w:ascii="Arial" w:cs="Arial" w:eastAsia="Arial" w:hAnsi="Arial"/>
                <w:sz w:val="18"/>
                <w:szCs w:val="18"/>
                <w:color w:val="auto"/>
              </w:rPr>
              <w:t>Net cash used in investing activities</w:t>
            </w:r>
          </w:p>
        </w:tc>
        <w:tc>
          <w:tcPr>
            <w:tcW w:w="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5360" w:type="dxa"/>
            <w:vAlign w:val="bottom"/>
            <w:gridSpan w:val="2"/>
            <w:vMerge w:val="continue"/>
          </w:tcPr>
          <w:p>
            <w:pPr>
              <w:spacing w:after="0"/>
              <w:rPr>
                <w:sz w:val="20"/>
                <w:szCs w:val="20"/>
                <w:color w:val="auto"/>
              </w:rPr>
            </w:pPr>
          </w:p>
        </w:tc>
        <w:tc>
          <w:tcPr>
            <w:tcW w:w="80" w:type="dxa"/>
            <w:vAlign w:val="bottom"/>
          </w:tcPr>
          <w:p>
            <w:pPr>
              <w:spacing w:after="0"/>
              <w:rPr>
                <w:sz w:val="20"/>
                <w:szCs w:val="20"/>
                <w:color w:val="auto"/>
              </w:rPr>
            </w:pPr>
          </w:p>
        </w:tc>
        <w:tc>
          <w:tcPr>
            <w:tcW w:w="800" w:type="dxa"/>
            <w:vAlign w:val="bottom"/>
          </w:tcPr>
          <w:p>
            <w:pPr>
              <w:ind w:left="54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ind w:left="3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(14,143)</w:t>
            </w:r>
          </w:p>
        </w:tc>
        <w:tc>
          <w:tcPr>
            <w:tcW w:w="100" w:type="dxa"/>
            <w:vAlign w:val="bottom"/>
          </w:tcPr>
          <w:p>
            <w:pPr>
              <w:spacing w:after="0"/>
              <w:rPr>
                <w:sz w:val="20"/>
                <w:szCs w:val="20"/>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(5,922)</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5,500</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(14,565)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8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tcPr>
          <w:p>
            <w:pPr>
              <w:ind w:left="420"/>
              <w:spacing w:after="0"/>
              <w:rPr>
                <w:sz w:val="20"/>
                <w:szCs w:val="20"/>
                <w:color w:val="auto"/>
              </w:rPr>
            </w:pPr>
            <w:r>
              <w:rPr>
                <w:rFonts w:ascii="Arial" w:cs="Arial" w:eastAsia="Arial" w:hAnsi="Arial"/>
                <w:sz w:val="18"/>
                <w:szCs w:val="18"/>
                <w:color w:val="auto"/>
              </w:rPr>
              <w:t>Proceeds from short-term inter-company borrowings</w:t>
            </w:r>
          </w:p>
        </w:tc>
        <w:tc>
          <w:tcPr>
            <w:tcW w:w="80" w:type="dxa"/>
            <w:vAlign w:val="bottom"/>
          </w:tcPr>
          <w:p>
            <w:pPr>
              <w:spacing w:after="0"/>
              <w:rPr>
                <w:sz w:val="18"/>
                <w:szCs w:val="18"/>
                <w:color w:val="auto"/>
              </w:rPr>
            </w:pPr>
          </w:p>
        </w:tc>
        <w:tc>
          <w:tcPr>
            <w:tcW w:w="1080" w:type="dxa"/>
            <w:vAlign w:val="bottom"/>
            <w:gridSpan w:val="2"/>
          </w:tcPr>
          <w:p>
            <w:pPr>
              <w:ind w:left="5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0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5,500</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(5,500)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Exercise of unit options</w:t>
            </w: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82</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tcPr>
          <w:p>
            <w:pPr>
              <w:ind w:left="420"/>
              <w:spacing w:after="0"/>
              <w:rPr>
                <w:sz w:val="20"/>
                <w:szCs w:val="20"/>
                <w:color w:val="auto"/>
              </w:rPr>
            </w:pPr>
            <w:r>
              <w:rPr>
                <w:rFonts w:ascii="Arial" w:cs="Arial" w:eastAsia="Arial" w:hAnsi="Arial"/>
                <w:sz w:val="18"/>
                <w:szCs w:val="18"/>
                <w:color w:val="auto"/>
              </w:rPr>
              <w:t>Repurchase of common units</w:t>
            </w:r>
          </w:p>
        </w:tc>
        <w:tc>
          <w:tcPr>
            <w:tcW w:w="8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(414)</w:t>
            </w:r>
          </w:p>
        </w:tc>
        <w:tc>
          <w:tcPr>
            <w:tcW w:w="100" w:type="dxa"/>
            <w:vAlign w:val="bottom"/>
          </w:tcPr>
          <w:p>
            <w:pPr>
              <w:spacing w:after="0"/>
              <w:rPr>
                <w:sz w:val="18"/>
                <w:szCs w:val="18"/>
                <w:color w:val="auto"/>
              </w:rPr>
            </w:pPr>
          </w:p>
        </w:tc>
        <w:tc>
          <w:tcPr>
            <w:tcW w:w="80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(414)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3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4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(used in) financing activities</w:t>
            </w: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(332)</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5,500</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(5,500)</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tcPr>
          <w:p>
            <w:pPr>
              <w:spacing w:after="0"/>
              <w:rPr>
                <w:sz w:val="20"/>
                <w:szCs w:val="20"/>
                <w:color w:val="auto"/>
              </w:rPr>
            </w:pPr>
            <w:r>
              <w:rPr>
                <w:rFonts w:ascii="Arial" w:cs="Arial" w:eastAsia="Arial" w:hAnsi="Arial"/>
                <w:sz w:val="18"/>
                <w:szCs w:val="18"/>
                <w:color w:val="auto"/>
              </w:rPr>
              <w:t>Effect of exchange rate on cash and cash equivalents</w:t>
            </w:r>
          </w:p>
        </w:tc>
        <w:tc>
          <w:tcPr>
            <w:tcW w:w="80" w:type="dxa"/>
            <w:vAlign w:val="bottom"/>
          </w:tcPr>
          <w:p>
            <w:pPr>
              <w:spacing w:after="0"/>
              <w:rPr>
                <w:sz w:val="18"/>
                <w:szCs w:val="18"/>
                <w:color w:val="auto"/>
              </w:rPr>
            </w:pPr>
          </w:p>
        </w:tc>
        <w:tc>
          <w:tcPr>
            <w:tcW w:w="800" w:type="dxa"/>
            <w:vAlign w:val="bottom"/>
          </w:tcPr>
          <w:p>
            <w:pPr>
              <w:ind w:left="54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ind w:left="3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2,893</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1,490</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(41)</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4,342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3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40" w:type="dxa"/>
            <w:vAlign w:val="bottom"/>
            <w:shd w:val="clear" w:color="auto" w:fill="CCEEFF"/>
          </w:tcPr>
          <w:p>
            <w:pPr>
              <w:spacing w:after="0"/>
              <w:rPr>
                <w:sz w:val="20"/>
                <w:szCs w:val="20"/>
                <w:color w:val="auto"/>
              </w:rPr>
            </w:pPr>
            <w:r>
              <w:rPr>
                <w:rFonts w:ascii="Arial" w:cs="Arial" w:eastAsia="Arial" w:hAnsi="Arial"/>
                <w:sz w:val="18"/>
                <w:szCs w:val="18"/>
                <w:color w:val="auto"/>
              </w:rPr>
              <w:t>Net increase (decrease) in cash and cash equivalents</w:t>
            </w: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(400)</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2,377</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(2,132)</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(86)</w:t>
            </w:r>
          </w:p>
        </w:tc>
        <w:tc>
          <w:tcPr>
            <w:tcW w:w="0" w:type="dxa"/>
            <w:vAlign w:val="bottom"/>
          </w:tcPr>
          <w:p>
            <w:pPr>
              <w:spacing w:after="0"/>
              <w:rPr>
                <w:sz w:val="1"/>
                <w:szCs w:val="1"/>
                <w:color w:val="auto"/>
              </w:rPr>
            </w:pPr>
          </w:p>
        </w:tc>
      </w:tr>
      <w:tr>
        <w:trPr>
          <w:trHeight w:val="221"/>
        </w:trPr>
        <w:tc>
          <w:tcPr>
            <w:tcW w:w="5360" w:type="dxa"/>
            <w:vAlign w:val="bottom"/>
            <w:gridSpan w:val="2"/>
          </w:tcPr>
          <w:p>
            <w:pPr>
              <w:spacing w:after="0"/>
              <w:rPr>
                <w:sz w:val="20"/>
                <w:szCs w:val="20"/>
                <w:color w:val="auto"/>
              </w:rPr>
            </w:pPr>
            <w:r>
              <w:rPr>
                <w:rFonts w:ascii="Arial" w:cs="Arial" w:eastAsia="Arial" w:hAnsi="Arial"/>
                <w:sz w:val="18"/>
                <w:szCs w:val="18"/>
                <w:b w:val="1"/>
                <w:bCs w:val="1"/>
                <w:color w:val="auto"/>
              </w:rPr>
              <w:t>Cash and cash equivalents:</w:t>
            </w:r>
          </w:p>
        </w:tc>
        <w:tc>
          <w:tcPr>
            <w:tcW w:w="8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340" w:type="dxa"/>
            <w:vAlign w:val="bottom"/>
            <w:shd w:val="clear" w:color="auto" w:fill="CCEEFF"/>
          </w:tcPr>
          <w:p>
            <w:pPr>
              <w:spacing w:after="0"/>
              <w:rPr>
                <w:sz w:val="20"/>
                <w:szCs w:val="20"/>
                <w:color w:val="auto"/>
              </w:rPr>
            </w:pPr>
            <w:r>
              <w:rPr>
                <w:rFonts w:ascii="Arial" w:cs="Arial" w:eastAsia="Arial" w:hAnsi="Arial"/>
                <w:sz w:val="18"/>
                <w:szCs w:val="18"/>
                <w:color w:val="auto"/>
              </w:rPr>
              <w:t>Beginning of the period</w:t>
            </w:r>
          </w:p>
        </w:tc>
        <w:tc>
          <w:tcPr>
            <w:tcW w:w="8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ind w:left="540"/>
              <w:spacing w:after="0"/>
              <w:rPr>
                <w:sz w:val="20"/>
                <w:szCs w:val="20"/>
                <w:color w:val="auto"/>
              </w:rPr>
            </w:pPr>
            <w:r>
              <w:rPr>
                <w:rFonts w:ascii="Arial" w:cs="Arial" w:eastAsia="Arial" w:hAnsi="Arial"/>
                <w:sz w:val="18"/>
                <w:szCs w:val="18"/>
                <w:color w:val="auto"/>
                <w:w w:val="79"/>
              </w:rPr>
              <w:t>209</w:t>
            </w:r>
          </w:p>
        </w:tc>
        <w:tc>
          <w:tcPr>
            <w:tcW w:w="2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ind w:left="360"/>
              <w:spacing w:after="0"/>
              <w:rPr>
                <w:sz w:val="20"/>
                <w:szCs w:val="20"/>
                <w:color w:val="auto"/>
              </w:rPr>
            </w:pPr>
            <w:r>
              <w:rPr>
                <w:rFonts w:ascii="Arial" w:cs="Arial" w:eastAsia="Arial" w:hAnsi="Arial"/>
                <w:sz w:val="18"/>
                <w:szCs w:val="18"/>
                <w:color w:val="auto"/>
                <w:w w:val="79"/>
              </w:rPr>
              <w:t>841</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63,435</w:t>
            </w:r>
          </w:p>
        </w:tc>
        <w:tc>
          <w:tcPr>
            <w:tcW w:w="2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22,089</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86,574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5360" w:type="dxa"/>
            <w:vAlign w:val="bottom"/>
            <w:gridSpan w:val="2"/>
          </w:tcPr>
          <w:p>
            <w:pPr>
              <w:spacing w:after="0"/>
              <w:rPr>
                <w:sz w:val="20"/>
                <w:szCs w:val="20"/>
                <w:color w:val="auto"/>
              </w:rPr>
            </w:pPr>
            <w:r>
              <w:rPr>
                <w:rFonts w:ascii="Arial" w:cs="Arial" w:eastAsia="Arial" w:hAnsi="Arial"/>
                <w:sz w:val="18"/>
                <w:szCs w:val="18"/>
                <w:color w:val="auto"/>
              </w:rPr>
              <w:t>End of the period</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gridSpan w:val="2"/>
          </w:tcPr>
          <w:p>
            <w:pPr>
              <w:ind w:left="540"/>
              <w:spacing w:after="0"/>
              <w:rPr>
                <w:sz w:val="20"/>
                <w:szCs w:val="20"/>
                <w:color w:val="auto"/>
              </w:rPr>
            </w:pPr>
            <w:r>
              <w:rPr>
                <w:rFonts w:ascii="Arial" w:cs="Arial" w:eastAsia="Arial" w:hAnsi="Arial"/>
                <w:sz w:val="18"/>
                <w:szCs w:val="18"/>
                <w:color w:val="auto"/>
              </w:rPr>
              <w:t>278</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Pr>
          <w:p>
            <w:pPr>
              <w:ind w:left="360"/>
              <w:spacing w:after="0"/>
              <w:rPr>
                <w:sz w:val="20"/>
                <w:szCs w:val="20"/>
                <w:color w:val="auto"/>
              </w:rPr>
            </w:pPr>
            <w:r>
              <w:rPr>
                <w:rFonts w:ascii="Arial" w:cs="Arial" w:eastAsia="Arial" w:hAnsi="Arial"/>
                <w:sz w:val="18"/>
                <w:szCs w:val="18"/>
                <w:color w:val="auto"/>
                <w:w w:val="79"/>
              </w:rPr>
              <w:t>441</w:t>
            </w:r>
          </w:p>
        </w:tc>
        <w:tc>
          <w:tcPr>
            <w:tcW w:w="180" w:type="dxa"/>
            <w:vAlign w:val="bottom"/>
          </w:tcPr>
          <w:p>
            <w:pPr>
              <w:spacing w:after="0"/>
              <w:rPr>
                <w:sz w:val="19"/>
                <w:szCs w:val="19"/>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280"/>
              <w:spacing w:after="0"/>
              <w:rPr>
                <w:sz w:val="20"/>
                <w:szCs w:val="20"/>
                <w:color w:val="auto"/>
              </w:rPr>
            </w:pPr>
            <w:r>
              <w:rPr>
                <w:rFonts w:ascii="Arial" w:cs="Arial" w:eastAsia="Arial" w:hAnsi="Arial"/>
                <w:sz w:val="18"/>
                <w:szCs w:val="18"/>
                <w:color w:val="auto"/>
              </w:rPr>
              <w:t>65,812</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19,957</w:t>
            </w:r>
          </w:p>
        </w:tc>
        <w:tc>
          <w:tcPr>
            <w:tcW w:w="160" w:type="dxa"/>
            <w:vAlign w:val="bottom"/>
          </w:tcPr>
          <w:p>
            <w:pPr>
              <w:spacing w:after="0"/>
              <w:rPr>
                <w:sz w:val="19"/>
                <w:szCs w:val="19"/>
                <w:color w:val="auto"/>
              </w:rPr>
            </w:pPr>
          </w:p>
        </w:tc>
        <w:tc>
          <w:tcPr>
            <w:tcW w:w="220" w:type="dxa"/>
            <w:vAlign w:val="bottom"/>
            <w:gridSpan w:val="2"/>
          </w:tcPr>
          <w:p>
            <w:pPr>
              <w:ind w:left="120"/>
              <w:spacing w:after="0"/>
              <w:rPr>
                <w:sz w:val="20"/>
                <w:szCs w:val="20"/>
                <w:color w:val="auto"/>
              </w:rPr>
            </w:pPr>
            <w:r>
              <w:rPr>
                <w:rFonts w:ascii="Arial" w:cs="Arial" w:eastAsia="Arial" w:hAnsi="Arial"/>
                <w:sz w:val="18"/>
                <w:szCs w:val="18"/>
                <w:color w:val="auto"/>
                <w:w w:val="79"/>
              </w:rPr>
              <w:t>$</w:t>
            </w:r>
          </w:p>
        </w:tc>
        <w:tc>
          <w:tcPr>
            <w:tcW w:w="82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220" w:type="dxa"/>
            <w:vAlign w:val="bottom"/>
            <w:gridSpan w:val="2"/>
          </w:tcPr>
          <w:p>
            <w:pPr>
              <w:ind w:left="100"/>
              <w:spacing w:after="0"/>
              <w:rPr>
                <w:sz w:val="20"/>
                <w:szCs w:val="20"/>
                <w:color w:val="auto"/>
              </w:rPr>
            </w:pPr>
            <w:r>
              <w:rPr>
                <w:rFonts w:ascii="Arial" w:cs="Arial" w:eastAsia="Arial" w:hAnsi="Arial"/>
                <w:sz w:val="18"/>
                <w:szCs w:val="18"/>
                <w:color w:val="auto"/>
                <w:w w:val="99"/>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86,488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20" w:type="dxa"/>
            <w:vAlign w:val="bottom"/>
          </w:tcPr>
          <w:p>
            <w:pPr>
              <w:spacing w:after="0"/>
              <w:rPr>
                <w:sz w:val="24"/>
                <w:szCs w:val="24"/>
                <w:color w:val="auto"/>
              </w:rPr>
            </w:pPr>
          </w:p>
        </w:tc>
        <w:tc>
          <w:tcPr>
            <w:tcW w:w="5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0" w:type="dxa"/>
            <w:vAlign w:val="bottom"/>
          </w:tcPr>
          <w:p>
            <w:pPr>
              <w:ind w:left="180"/>
              <w:spacing w:after="0"/>
              <w:rPr>
                <w:sz w:val="20"/>
                <w:szCs w:val="20"/>
                <w:color w:val="auto"/>
              </w:rPr>
            </w:pPr>
            <w:r>
              <w:rPr>
                <w:rFonts w:ascii="Arial" w:cs="Arial" w:eastAsia="Arial" w:hAnsi="Arial"/>
                <w:sz w:val="18"/>
                <w:szCs w:val="18"/>
                <w:color w:val="auto"/>
              </w:rPr>
              <w:t>22</w:t>
            </w: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MagnaChip Semiconductor LLC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tabular dollars in thousands, except unit data)</w:t>
      </w:r>
    </w:p>
    <w:p>
      <w:pPr>
        <w:spacing w:after="0" w:line="1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Statement of Cash Flows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six months ended July 3, 2005</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0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2"/>
              </w:rPr>
              <w:t>MagnaChip</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060" w:type="dxa"/>
            <w:vAlign w:val="bottom"/>
          </w:tcPr>
          <w:p>
            <w:pPr>
              <w:spacing w:after="0"/>
              <w:rPr>
                <w:sz w:val="12"/>
                <w:szCs w:val="12"/>
                <w:color w:val="auto"/>
              </w:rPr>
            </w:pPr>
          </w:p>
        </w:tc>
        <w:tc>
          <w:tcPr>
            <w:tcW w:w="1080" w:type="dxa"/>
            <w:vAlign w:val="bottom"/>
            <w:gridSpan w:val="3"/>
          </w:tcPr>
          <w:p>
            <w:pPr>
              <w:jc w:val="center"/>
              <w:ind w:right="220"/>
              <w:spacing w:after="0" w:line="149" w:lineRule="exact"/>
              <w:rPr>
                <w:sz w:val="20"/>
                <w:szCs w:val="20"/>
                <w:color w:val="auto"/>
              </w:rPr>
            </w:pPr>
            <w:r>
              <w:rPr>
                <w:rFonts w:ascii="Arial" w:cs="Arial" w:eastAsia="Arial" w:hAnsi="Arial"/>
                <w:sz w:val="14"/>
                <w:szCs w:val="14"/>
                <w:b w:val="1"/>
                <w:bCs w:val="1"/>
                <w:color w:val="auto"/>
                <w:w w:val="84"/>
              </w:rPr>
              <w:t>Semiconductor</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0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rPr>
              <w:t>LLC</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2"/>
          </w:tcPr>
          <w:p>
            <w:pPr>
              <w:jc w:val="right"/>
              <w:ind w:right="400"/>
              <w:spacing w:after="0" w:line="149" w:lineRule="exact"/>
              <w:rPr>
                <w:sz w:val="20"/>
                <w:szCs w:val="20"/>
                <w:color w:val="auto"/>
              </w:rPr>
            </w:pPr>
            <w:r>
              <w:rPr>
                <w:rFonts w:ascii="Arial" w:cs="Arial" w:eastAsia="Arial" w:hAnsi="Arial"/>
                <w:sz w:val="14"/>
                <w:szCs w:val="14"/>
                <w:b w:val="1"/>
                <w:bCs w:val="1"/>
                <w:color w:val="auto"/>
              </w:rPr>
              <w:t>Non-</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50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0"/>
              </w:rPr>
              <w:t>(Parent)</w:t>
            </w:r>
          </w:p>
        </w:tc>
        <w:tc>
          <w:tcPr>
            <w:tcW w:w="160" w:type="dxa"/>
            <w:vAlign w:val="bottom"/>
          </w:tcPr>
          <w:p>
            <w:pPr>
              <w:spacing w:after="0"/>
              <w:rPr>
                <w:sz w:val="15"/>
                <w:szCs w:val="15"/>
                <w:color w:val="auto"/>
              </w:rPr>
            </w:pPr>
          </w:p>
        </w:tc>
        <w:tc>
          <w:tcPr>
            <w:tcW w:w="880" w:type="dxa"/>
            <w:vAlign w:val="bottom"/>
            <w:gridSpan w:val="3"/>
          </w:tcPr>
          <w:p>
            <w:pPr>
              <w:ind w:left="20"/>
              <w:spacing w:after="0"/>
              <w:rPr>
                <w:sz w:val="20"/>
                <w:szCs w:val="20"/>
                <w:color w:val="auto"/>
              </w:rPr>
            </w:pPr>
            <w:r>
              <w:rPr>
                <w:rFonts w:ascii="Arial" w:cs="Arial" w:eastAsia="Arial" w:hAnsi="Arial"/>
                <w:sz w:val="14"/>
                <w:szCs w:val="14"/>
                <w:b w:val="1"/>
                <w:bCs w:val="1"/>
                <w:color w:val="auto"/>
              </w:rPr>
              <w:t>Co-Issuers</w:t>
            </w:r>
          </w:p>
        </w:tc>
        <w:tc>
          <w:tcPr>
            <w:tcW w:w="1040" w:type="dxa"/>
            <w:vAlign w:val="bottom"/>
            <w:gridSpan w:val="4"/>
          </w:tcPr>
          <w:p>
            <w:pPr>
              <w:ind w:left="160"/>
              <w:spacing w:after="0"/>
              <w:rPr>
                <w:sz w:val="20"/>
                <w:szCs w:val="20"/>
                <w:color w:val="auto"/>
              </w:rPr>
            </w:pPr>
            <w:r>
              <w:rPr>
                <w:rFonts w:ascii="Arial" w:cs="Arial" w:eastAsia="Arial" w:hAnsi="Arial"/>
                <w:sz w:val="14"/>
                <w:szCs w:val="14"/>
                <w:b w:val="1"/>
                <w:bCs w:val="1"/>
                <w:color w:val="auto"/>
              </w:rPr>
              <w:t>Guarantors</w:t>
            </w:r>
          </w:p>
        </w:tc>
        <w:tc>
          <w:tcPr>
            <w:tcW w:w="1060" w:type="dxa"/>
            <w:vAlign w:val="bottom"/>
            <w:gridSpan w:val="4"/>
          </w:tcPr>
          <w:p>
            <w:pPr>
              <w:ind w:left="160"/>
              <w:spacing w:after="0"/>
              <w:rPr>
                <w:sz w:val="20"/>
                <w:szCs w:val="20"/>
                <w:color w:val="auto"/>
              </w:rPr>
            </w:pPr>
            <w:r>
              <w:rPr>
                <w:rFonts w:ascii="Arial" w:cs="Arial" w:eastAsia="Arial" w:hAnsi="Arial"/>
                <w:sz w:val="14"/>
                <w:szCs w:val="14"/>
                <w:b w:val="1"/>
                <w:bCs w:val="1"/>
                <w:color w:val="auto"/>
              </w:rPr>
              <w:t>Guarantors</w:t>
            </w:r>
          </w:p>
        </w:tc>
        <w:tc>
          <w:tcPr>
            <w:tcW w:w="160" w:type="dxa"/>
            <w:vAlign w:val="bottom"/>
          </w:tcPr>
          <w:p>
            <w:pPr>
              <w:spacing w:after="0"/>
              <w:rPr>
                <w:sz w:val="15"/>
                <w:szCs w:val="15"/>
                <w:color w:val="auto"/>
              </w:rPr>
            </w:pPr>
          </w:p>
        </w:tc>
        <w:tc>
          <w:tcPr>
            <w:tcW w:w="960" w:type="dxa"/>
            <w:vAlign w:val="bottom"/>
            <w:gridSpan w:val="3"/>
          </w:tcPr>
          <w:p>
            <w:pPr>
              <w:spacing w:after="0"/>
              <w:rPr>
                <w:sz w:val="20"/>
                <w:szCs w:val="20"/>
                <w:color w:val="auto"/>
              </w:rPr>
            </w:pPr>
            <w:r>
              <w:rPr>
                <w:rFonts w:ascii="Arial" w:cs="Arial" w:eastAsia="Arial" w:hAnsi="Arial"/>
                <w:sz w:val="14"/>
                <w:szCs w:val="14"/>
                <w:b w:val="1"/>
                <w:bCs w:val="1"/>
                <w:color w:val="auto"/>
              </w:rPr>
              <w:t>Eliminations</w:t>
            </w:r>
          </w:p>
        </w:tc>
        <w:tc>
          <w:tcPr>
            <w:tcW w:w="160" w:type="dxa"/>
            <w:vAlign w:val="bottom"/>
          </w:tcPr>
          <w:p>
            <w:pPr>
              <w:spacing w:after="0"/>
              <w:rPr>
                <w:sz w:val="15"/>
                <w:szCs w:val="15"/>
                <w:color w:val="auto"/>
              </w:rPr>
            </w:pPr>
          </w:p>
        </w:tc>
        <w:tc>
          <w:tcPr>
            <w:tcW w:w="840" w:type="dxa"/>
            <w:vAlign w:val="bottom"/>
            <w:gridSpan w:val="3"/>
          </w:tcPr>
          <w:p>
            <w:pPr>
              <w:spacing w:after="0"/>
              <w:rPr>
                <w:sz w:val="20"/>
                <w:szCs w:val="20"/>
                <w:color w:val="auto"/>
              </w:rPr>
            </w:pPr>
            <w:r>
              <w:rPr>
                <w:rFonts w:ascii="Arial" w:cs="Arial" w:eastAsia="Arial" w:hAnsi="Arial"/>
                <w:sz w:val="14"/>
                <w:szCs w:val="14"/>
                <w:b w:val="1"/>
                <w:bCs w:val="1"/>
                <w:color w:val="auto"/>
                <w:w w:val="92"/>
              </w:rPr>
              <w:t>Consolidated</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0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 from operating activities:</w:t>
            </w:r>
          </w:p>
        </w:tc>
        <w:tc>
          <w:tcPr>
            <w:tcW w:w="8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tcPr>
          <w:p>
            <w:pPr>
              <w:spacing w:after="0"/>
              <w:rPr>
                <w:sz w:val="20"/>
                <w:szCs w:val="20"/>
                <w:color w:val="auto"/>
              </w:rPr>
            </w:pPr>
            <w:r>
              <w:rPr>
                <w:rFonts w:ascii="Arial" w:cs="Arial" w:eastAsia="Arial" w:hAnsi="Arial"/>
                <w:sz w:val="18"/>
                <w:szCs w:val="18"/>
                <w:color w:val="auto"/>
              </w:rPr>
              <w:t>Net loss</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(64,762)</w:t>
            </w:r>
          </w:p>
        </w:tc>
        <w:tc>
          <w:tcPr>
            <w:tcW w:w="260" w:type="dxa"/>
            <w:vAlign w:val="bottom"/>
            <w:gridSpan w:val="2"/>
          </w:tcPr>
          <w:p>
            <w:pPr>
              <w:ind w:left="160"/>
              <w:spacing w:after="0"/>
              <w:rPr>
                <w:sz w:val="20"/>
                <w:szCs w:val="20"/>
                <w:color w:val="auto"/>
              </w:rPr>
            </w:pPr>
            <w:r>
              <w:rPr>
                <w:rFonts w:ascii="Arial" w:cs="Arial" w:eastAsia="Arial" w:hAnsi="Arial"/>
                <w:sz w:val="18"/>
                <w:szCs w:val="18"/>
                <w:color w:val="auto"/>
                <w:w w:val="79"/>
              </w:rPr>
              <w:t>$</w:t>
            </w: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w w:val="89"/>
              </w:rPr>
              <w:t>(60,659)</w:t>
            </w:r>
          </w:p>
        </w:tc>
        <w:tc>
          <w:tcPr>
            <w:tcW w:w="260" w:type="dxa"/>
            <w:vAlign w:val="bottom"/>
            <w:gridSpan w:val="2"/>
          </w:tcPr>
          <w:p>
            <w:pPr>
              <w:ind w:left="160"/>
              <w:spacing w:after="0"/>
              <w:rPr>
                <w:sz w:val="20"/>
                <w:szCs w:val="20"/>
                <w:color w:val="auto"/>
              </w:rPr>
            </w:pPr>
            <w:r>
              <w:rPr>
                <w:rFonts w:ascii="Arial" w:cs="Arial" w:eastAsia="Arial" w:hAnsi="Arial"/>
                <w:sz w:val="18"/>
                <w:szCs w:val="18"/>
                <w:color w:val="auto"/>
                <w:w w:val="79"/>
              </w:rPr>
              <w:t>$</w:t>
            </w: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w w:val="89"/>
              </w:rPr>
              <w:t>(58,964)</w:t>
            </w:r>
          </w:p>
        </w:tc>
        <w:tc>
          <w:tcPr>
            <w:tcW w:w="280" w:type="dxa"/>
            <w:vAlign w:val="bottom"/>
            <w:gridSpan w:val="2"/>
          </w:tcPr>
          <w:p>
            <w:pPr>
              <w:ind w:left="160"/>
              <w:spacing w:after="0"/>
              <w:rPr>
                <w:sz w:val="20"/>
                <w:szCs w:val="20"/>
                <w:color w:val="auto"/>
              </w:rPr>
            </w:pPr>
            <w:r>
              <w:rPr>
                <w:rFonts w:ascii="Arial" w:cs="Arial" w:eastAsia="Arial" w:hAnsi="Arial"/>
                <w:sz w:val="18"/>
                <w:szCs w:val="18"/>
                <w:color w:val="auto"/>
                <w:w w:val="99"/>
              </w:rPr>
              <w:t>$</w:t>
            </w: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w w:val="89"/>
              </w:rPr>
              <w:t>(49,024)</w:t>
            </w:r>
          </w:p>
        </w:tc>
        <w:tc>
          <w:tcPr>
            <w:tcW w:w="260" w:type="dxa"/>
            <w:vAlign w:val="bottom"/>
            <w:gridSpan w:val="2"/>
          </w:tcPr>
          <w:p>
            <w:pPr>
              <w:ind w:left="160"/>
              <w:spacing w:after="0"/>
              <w:rPr>
                <w:sz w:val="20"/>
                <w:szCs w:val="20"/>
                <w:color w:val="auto"/>
              </w:rPr>
            </w:pPr>
            <w:r>
              <w:rPr>
                <w:rFonts w:ascii="Arial" w:cs="Arial" w:eastAsia="Arial" w:hAnsi="Arial"/>
                <w:sz w:val="18"/>
                <w:szCs w:val="18"/>
                <w:color w:val="auto"/>
                <w:w w:val="79"/>
              </w:rPr>
              <w:t>$</w:t>
            </w:r>
          </w:p>
        </w:tc>
        <w:tc>
          <w:tcPr>
            <w:tcW w:w="640" w:type="dxa"/>
            <w:vAlign w:val="bottom"/>
          </w:tcPr>
          <w:p>
            <w:pPr>
              <w:jc w:val="right"/>
              <w:spacing w:after="0"/>
              <w:rPr>
                <w:sz w:val="20"/>
                <w:szCs w:val="20"/>
                <w:color w:val="auto"/>
              </w:rPr>
            </w:pPr>
            <w:r>
              <w:rPr>
                <w:rFonts w:ascii="Arial" w:cs="Arial" w:eastAsia="Arial" w:hAnsi="Arial"/>
                <w:sz w:val="18"/>
                <w:szCs w:val="18"/>
                <w:color w:val="auto"/>
                <w:w w:val="95"/>
              </w:rPr>
              <w:t>168,647</w:t>
            </w:r>
          </w:p>
        </w:tc>
        <w:tc>
          <w:tcPr>
            <w:tcW w:w="220" w:type="dxa"/>
            <w:vAlign w:val="bottom"/>
          </w:tcPr>
          <w:p>
            <w:pPr>
              <w:spacing w:after="0"/>
              <w:rPr>
                <w:sz w:val="18"/>
                <w:szCs w:val="18"/>
                <w:color w:val="auto"/>
              </w:rPr>
            </w:pPr>
          </w:p>
        </w:tc>
        <w:tc>
          <w:tcPr>
            <w:tcW w:w="30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(64,762)</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060" w:type="dxa"/>
            <w:vAlign w:val="bottom"/>
            <w:shd w:val="clear" w:color="auto" w:fill="CCEEFF"/>
          </w:tcPr>
          <w:p>
            <w:pPr>
              <w:spacing w:after="0"/>
              <w:rPr>
                <w:sz w:val="20"/>
                <w:szCs w:val="20"/>
                <w:color w:val="auto"/>
              </w:rPr>
            </w:pPr>
            <w:r>
              <w:rPr>
                <w:rFonts w:ascii="Arial" w:cs="Arial" w:eastAsia="Arial" w:hAnsi="Arial"/>
                <w:sz w:val="18"/>
                <w:szCs w:val="18"/>
                <w:color w:val="auto"/>
                <w:w w:val="95"/>
              </w:rPr>
              <w:t>Adjustments to reconcile net loss to net cash provided by (used in)</w:t>
            </w: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50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operating activities</w:t>
            </w:r>
          </w:p>
        </w:tc>
        <w:tc>
          <w:tcPr>
            <w:tcW w:w="8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tcPr>
          <w:p>
            <w:pPr>
              <w:ind w:left="420"/>
              <w:spacing w:after="0"/>
              <w:rPr>
                <w:sz w:val="20"/>
                <w:szCs w:val="20"/>
                <w:color w:val="auto"/>
              </w:rPr>
            </w:pPr>
            <w:r>
              <w:rPr>
                <w:rFonts w:ascii="Arial" w:cs="Arial" w:eastAsia="Arial" w:hAnsi="Arial"/>
                <w:sz w:val="18"/>
                <w:szCs w:val="18"/>
                <w:color w:val="auto"/>
              </w:rPr>
              <w:t>Depreciation and amortization</w:t>
            </w:r>
          </w:p>
        </w:tc>
        <w:tc>
          <w:tcPr>
            <w:tcW w:w="80" w:type="dxa"/>
            <w:vAlign w:val="bottom"/>
          </w:tcPr>
          <w:p>
            <w:pPr>
              <w:spacing w:after="0"/>
              <w:rPr>
                <w:sz w:val="18"/>
                <w:szCs w:val="18"/>
                <w:color w:val="auto"/>
              </w:rPr>
            </w:pPr>
          </w:p>
        </w:tc>
        <w:tc>
          <w:tcPr>
            <w:tcW w:w="100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w w:val="86"/>
              </w:rPr>
              <w:t>102,760</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8"/>
                <w:szCs w:val="18"/>
                <w:color w:val="auto"/>
              </w:rPr>
              <w:t>4,024</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106,784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Provision for severance benefits</w:t>
            </w: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8,083</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43</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8,126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tcPr>
          <w:p>
            <w:pPr>
              <w:ind w:left="420"/>
              <w:spacing w:after="0"/>
              <w:rPr>
                <w:sz w:val="20"/>
                <w:szCs w:val="20"/>
                <w:color w:val="auto"/>
              </w:rPr>
            </w:pPr>
            <w:r>
              <w:rPr>
                <w:rFonts w:ascii="Arial" w:cs="Arial" w:eastAsia="Arial" w:hAnsi="Arial"/>
                <w:sz w:val="18"/>
                <w:szCs w:val="18"/>
                <w:color w:val="auto"/>
              </w:rPr>
              <w:t>Amortization of debt issuance costs</w:t>
            </w:r>
          </w:p>
        </w:tc>
        <w:tc>
          <w:tcPr>
            <w:tcW w:w="80" w:type="dxa"/>
            <w:vAlign w:val="bottom"/>
          </w:tcPr>
          <w:p>
            <w:pPr>
              <w:spacing w:after="0"/>
              <w:rPr>
                <w:sz w:val="18"/>
                <w:szCs w:val="18"/>
                <w:color w:val="auto"/>
              </w:rPr>
            </w:pPr>
          </w:p>
        </w:tc>
        <w:tc>
          <w:tcPr>
            <w:tcW w:w="100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8"/>
                <w:szCs w:val="18"/>
                <w:color w:val="auto"/>
              </w:rPr>
              <w:t>1,288</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407</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1,695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Loss (gain) on foreign currency translation, net</w:t>
            </w: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8"/>
              </w:rPr>
              <w:t>20,359</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(2,494)</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89"/>
              </w:rPr>
              <w:t>(19,210)</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tcPr>
          <w:p>
            <w:pPr>
              <w:ind w:left="420"/>
              <w:spacing w:after="0"/>
              <w:rPr>
                <w:sz w:val="20"/>
                <w:szCs w:val="20"/>
                <w:color w:val="auto"/>
              </w:rPr>
            </w:pPr>
            <w:r>
              <w:rPr>
                <w:rFonts w:ascii="Arial" w:cs="Arial" w:eastAsia="Arial" w:hAnsi="Arial"/>
                <w:sz w:val="18"/>
                <w:szCs w:val="18"/>
                <w:color w:val="auto"/>
              </w:rPr>
              <w:t>Impairment of long-lived assets</w:t>
            </w:r>
          </w:p>
        </w:tc>
        <w:tc>
          <w:tcPr>
            <w:tcW w:w="80" w:type="dxa"/>
            <w:vAlign w:val="bottom"/>
          </w:tcPr>
          <w:p>
            <w:pPr>
              <w:spacing w:after="0"/>
              <w:rPr>
                <w:sz w:val="18"/>
                <w:szCs w:val="18"/>
                <w:color w:val="auto"/>
              </w:rPr>
            </w:pPr>
          </w:p>
        </w:tc>
        <w:tc>
          <w:tcPr>
            <w:tcW w:w="100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7,996</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7,996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Loss(earnings) of related investment</w:t>
            </w: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64,652</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8"/>
              </w:rPr>
              <w:t>43,136</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8"/>
              </w:rPr>
              <w:t>60,164</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88"/>
              </w:rPr>
              <w:t>(167,952)</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tcPr>
          <w:p>
            <w:pPr>
              <w:ind w:left="420"/>
              <w:spacing w:after="0"/>
              <w:rPr>
                <w:sz w:val="20"/>
                <w:szCs w:val="20"/>
                <w:color w:val="auto"/>
              </w:rPr>
            </w:pPr>
            <w:r>
              <w:rPr>
                <w:rFonts w:ascii="Arial" w:cs="Arial" w:eastAsia="Arial" w:hAnsi="Arial"/>
                <w:sz w:val="18"/>
                <w:szCs w:val="18"/>
                <w:color w:val="auto"/>
              </w:rPr>
              <w:t>Other</w:t>
            </w:r>
          </w:p>
        </w:tc>
        <w:tc>
          <w:tcPr>
            <w:tcW w:w="80" w:type="dxa"/>
            <w:vAlign w:val="bottom"/>
          </w:tcPr>
          <w:p>
            <w:pPr>
              <w:spacing w:after="0"/>
              <w:rPr>
                <w:sz w:val="18"/>
                <w:szCs w:val="18"/>
                <w:color w:val="auto"/>
              </w:rPr>
            </w:pPr>
          </w:p>
        </w:tc>
        <w:tc>
          <w:tcPr>
            <w:tcW w:w="100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(1,038)</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(8)</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(1,046)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shd w:val="clear" w:color="auto" w:fill="CCEEFF"/>
          </w:tcPr>
          <w:p>
            <w:pPr>
              <w:spacing w:after="0"/>
              <w:rPr>
                <w:sz w:val="20"/>
                <w:szCs w:val="20"/>
                <w:color w:val="auto"/>
              </w:rPr>
            </w:pPr>
            <w:r>
              <w:rPr>
                <w:rFonts w:ascii="Arial" w:cs="Arial" w:eastAsia="Arial" w:hAnsi="Arial"/>
                <w:sz w:val="18"/>
                <w:szCs w:val="18"/>
                <w:color w:val="auto"/>
              </w:rPr>
              <w:t>Changes in operating assets and liabilities:</w:t>
            </w: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tcPr>
          <w:p>
            <w:pPr>
              <w:ind w:left="420"/>
              <w:spacing w:after="0"/>
              <w:rPr>
                <w:sz w:val="20"/>
                <w:szCs w:val="20"/>
                <w:color w:val="auto"/>
              </w:rPr>
            </w:pPr>
            <w:r>
              <w:rPr>
                <w:rFonts w:ascii="Arial" w:cs="Arial" w:eastAsia="Arial" w:hAnsi="Arial"/>
                <w:sz w:val="18"/>
                <w:szCs w:val="18"/>
                <w:color w:val="auto"/>
              </w:rPr>
              <w:t>Accounts receivable</w:t>
            </w:r>
          </w:p>
        </w:tc>
        <w:tc>
          <w:tcPr>
            <w:tcW w:w="80" w:type="dxa"/>
            <w:vAlign w:val="bottom"/>
          </w:tcPr>
          <w:p>
            <w:pPr>
              <w:spacing w:after="0"/>
              <w:rPr>
                <w:sz w:val="18"/>
                <w:szCs w:val="18"/>
                <w:color w:val="auto"/>
              </w:rPr>
            </w:pPr>
          </w:p>
        </w:tc>
        <w:tc>
          <w:tcPr>
            <w:tcW w:w="100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(8,877)</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(1,090)</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(7,535)</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(17,502)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Inventories</w:t>
            </w: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4,785</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5,286</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(700)</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9,371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tcPr>
          <w:p>
            <w:pPr>
              <w:ind w:left="420"/>
              <w:spacing w:after="0"/>
              <w:rPr>
                <w:sz w:val="20"/>
                <w:szCs w:val="20"/>
                <w:color w:val="auto"/>
              </w:rPr>
            </w:pPr>
            <w:r>
              <w:rPr>
                <w:rFonts w:ascii="Arial" w:cs="Arial" w:eastAsia="Arial" w:hAnsi="Arial"/>
                <w:sz w:val="18"/>
                <w:szCs w:val="18"/>
                <w:color w:val="auto"/>
              </w:rPr>
              <w:t>Other receivables</w:t>
            </w:r>
          </w:p>
        </w:tc>
        <w:tc>
          <w:tcPr>
            <w:tcW w:w="80" w:type="dxa"/>
            <w:vAlign w:val="bottom"/>
          </w:tcPr>
          <w:p>
            <w:pPr>
              <w:spacing w:after="0"/>
              <w:rPr>
                <w:sz w:val="18"/>
                <w:szCs w:val="18"/>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(263)</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ind w:left="300"/>
              <w:spacing w:after="0"/>
              <w:rPr>
                <w:sz w:val="20"/>
                <w:szCs w:val="20"/>
                <w:color w:val="auto"/>
              </w:rPr>
            </w:pPr>
            <w:r>
              <w:rPr>
                <w:rFonts w:ascii="Arial" w:cs="Arial" w:eastAsia="Arial" w:hAnsi="Arial"/>
                <w:sz w:val="18"/>
                <w:szCs w:val="18"/>
                <w:color w:val="auto"/>
              </w:rPr>
              <w:t>825</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66,448</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(1,807)</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1,797</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67,000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Deferred tax assets</w:t>
            </w: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(3,395)</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(3,395)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tcPr>
          <w:p>
            <w:pPr>
              <w:ind w:left="420"/>
              <w:spacing w:after="0"/>
              <w:rPr>
                <w:sz w:val="20"/>
                <w:szCs w:val="20"/>
                <w:color w:val="auto"/>
              </w:rPr>
            </w:pPr>
            <w:r>
              <w:rPr>
                <w:rFonts w:ascii="Arial" w:cs="Arial" w:eastAsia="Arial" w:hAnsi="Arial"/>
                <w:sz w:val="18"/>
                <w:szCs w:val="18"/>
                <w:color w:val="auto"/>
              </w:rPr>
              <w:t>Accounts payable</w:t>
            </w:r>
          </w:p>
        </w:tc>
        <w:tc>
          <w:tcPr>
            <w:tcW w:w="80" w:type="dxa"/>
            <w:vAlign w:val="bottom"/>
          </w:tcPr>
          <w:p>
            <w:pPr>
              <w:spacing w:after="0"/>
              <w:rPr>
                <w:sz w:val="18"/>
                <w:szCs w:val="18"/>
                <w:color w:val="auto"/>
              </w:rPr>
            </w:pPr>
          </w:p>
        </w:tc>
        <w:tc>
          <w:tcPr>
            <w:tcW w:w="100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6,403</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w w:val="89"/>
              </w:rPr>
              <w:t>(10,474)</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7,535</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3,464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 accounts payable</w:t>
            </w: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(161)</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205</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89"/>
              </w:rPr>
              <w:t>(73,517)</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(112)</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(1,797)</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(75,382)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tcPr>
          <w:p>
            <w:pPr>
              <w:ind w:left="420"/>
              <w:spacing w:after="0"/>
              <w:rPr>
                <w:sz w:val="20"/>
                <w:szCs w:val="20"/>
                <w:color w:val="auto"/>
              </w:rPr>
            </w:pPr>
            <w:r>
              <w:rPr>
                <w:rFonts w:ascii="Arial" w:cs="Arial" w:eastAsia="Arial" w:hAnsi="Arial"/>
                <w:sz w:val="18"/>
                <w:szCs w:val="18"/>
                <w:color w:val="auto"/>
              </w:rPr>
              <w:t>Accrued expenses</w:t>
            </w:r>
          </w:p>
        </w:tc>
        <w:tc>
          <w:tcPr>
            <w:tcW w:w="80" w:type="dxa"/>
            <w:vAlign w:val="bottom"/>
          </w:tcPr>
          <w:p>
            <w:pPr>
              <w:spacing w:after="0"/>
              <w:rPr>
                <w:sz w:val="18"/>
                <w:szCs w:val="18"/>
                <w:color w:val="auto"/>
              </w:rPr>
            </w:pPr>
          </w:p>
        </w:tc>
        <w:tc>
          <w:tcPr>
            <w:tcW w:w="100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8"/>
                <w:szCs w:val="18"/>
                <w:color w:val="auto"/>
              </w:rPr>
              <w:t>1,784</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(2,256)</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8"/>
                <w:szCs w:val="18"/>
                <w:color w:val="auto"/>
              </w:rPr>
              <w:t>6,389</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(10,865)</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(4,948)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 current assets</w:t>
            </w: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(7,591)</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895</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(2,654)</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10,865</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tcPr>
          <w:p>
            <w:pPr>
              <w:ind w:left="420"/>
              <w:spacing w:after="0"/>
              <w:rPr>
                <w:sz w:val="20"/>
                <w:szCs w:val="20"/>
                <w:color w:val="auto"/>
              </w:rPr>
            </w:pPr>
            <w:r>
              <w:rPr>
                <w:rFonts w:ascii="Arial" w:cs="Arial" w:eastAsia="Arial" w:hAnsi="Arial"/>
                <w:sz w:val="18"/>
                <w:szCs w:val="18"/>
                <w:color w:val="auto"/>
              </w:rPr>
              <w:t>Other current liabilities</w:t>
            </w:r>
          </w:p>
        </w:tc>
        <w:tc>
          <w:tcPr>
            <w:tcW w:w="80" w:type="dxa"/>
            <w:vAlign w:val="bottom"/>
          </w:tcPr>
          <w:p>
            <w:pPr>
              <w:spacing w:after="0"/>
              <w:rPr>
                <w:sz w:val="18"/>
                <w:szCs w:val="18"/>
                <w:color w:val="auto"/>
              </w:rPr>
            </w:pPr>
          </w:p>
        </w:tc>
        <w:tc>
          <w:tcPr>
            <w:tcW w:w="100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ind w:left="300"/>
              <w:spacing w:after="0"/>
              <w:rPr>
                <w:sz w:val="20"/>
                <w:szCs w:val="20"/>
                <w:color w:val="auto"/>
              </w:rPr>
            </w:pPr>
            <w:r>
              <w:rPr>
                <w:rFonts w:ascii="Arial" w:cs="Arial" w:eastAsia="Arial" w:hAnsi="Arial"/>
                <w:sz w:val="18"/>
                <w:szCs w:val="18"/>
                <w:color w:val="auto"/>
              </w:rPr>
              <w:t>108</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(4,819)</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8"/>
                <w:szCs w:val="18"/>
                <w:color w:val="auto"/>
              </w:rPr>
              <w:t>619</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(4,092)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Long-term prepaid expense</w:t>
            </w: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26,205</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(31,083)</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(4,878)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tcPr>
          <w:p>
            <w:pPr>
              <w:ind w:left="420"/>
              <w:spacing w:after="0"/>
              <w:rPr>
                <w:sz w:val="20"/>
                <w:szCs w:val="20"/>
                <w:color w:val="auto"/>
              </w:rPr>
            </w:pPr>
            <w:r>
              <w:rPr>
                <w:rFonts w:ascii="Arial" w:cs="Arial" w:eastAsia="Arial" w:hAnsi="Arial"/>
                <w:sz w:val="18"/>
                <w:szCs w:val="18"/>
                <w:color w:val="auto"/>
              </w:rPr>
              <w:t>Payment of severance benefits</w:t>
            </w:r>
          </w:p>
        </w:tc>
        <w:tc>
          <w:tcPr>
            <w:tcW w:w="80" w:type="dxa"/>
            <w:vAlign w:val="bottom"/>
          </w:tcPr>
          <w:p>
            <w:pPr>
              <w:spacing w:after="0"/>
              <w:rPr>
                <w:sz w:val="18"/>
                <w:szCs w:val="18"/>
                <w:color w:val="auto"/>
              </w:rPr>
            </w:pPr>
          </w:p>
        </w:tc>
        <w:tc>
          <w:tcPr>
            <w:tcW w:w="100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(6,864)</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(6,864)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w:t>
            </w: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89"/>
              </w:rPr>
              <w:t>(58,564)</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8"/>
              </w:rPr>
              <w:t>28,024</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31,083</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080" w:type="dxa"/>
            <w:vAlign w:val="bottom"/>
            <w:gridSpan w:val="2"/>
            <w:vMerge w:val="restart"/>
          </w:tcPr>
          <w:p>
            <w:pPr>
              <w:spacing w:after="0"/>
              <w:rPr>
                <w:sz w:val="20"/>
                <w:szCs w:val="20"/>
                <w:color w:val="auto"/>
              </w:rPr>
            </w:pPr>
            <w:r>
              <w:rPr>
                <w:rFonts w:ascii="Arial" w:cs="Arial" w:eastAsia="Arial" w:hAnsi="Arial"/>
                <w:sz w:val="18"/>
                <w:szCs w:val="18"/>
                <w:color w:val="auto"/>
              </w:rPr>
              <w:t>Net cash provided by (used in) operating activities</w:t>
            </w:r>
          </w:p>
        </w:tc>
        <w:tc>
          <w:tcPr>
            <w:tcW w:w="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5080" w:type="dxa"/>
            <w:vAlign w:val="bottom"/>
            <w:gridSpan w:val="2"/>
            <w:vMerge w:val="continue"/>
          </w:tcPr>
          <w:p>
            <w:pPr>
              <w:spacing w:after="0"/>
              <w:rPr>
                <w:sz w:val="20"/>
                <w:szCs w:val="20"/>
                <w:color w:val="auto"/>
              </w:rPr>
            </w:pPr>
          </w:p>
        </w:tc>
        <w:tc>
          <w:tcPr>
            <w:tcW w:w="80" w:type="dxa"/>
            <w:vAlign w:val="bottom"/>
          </w:tcPr>
          <w:p>
            <w:pPr>
              <w:spacing w:after="0"/>
              <w:rPr>
                <w:sz w:val="20"/>
                <w:szCs w:val="20"/>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(534)</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(545)</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6,589</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8"/>
                <w:szCs w:val="18"/>
                <w:color w:val="auto"/>
                <w:w w:val="98"/>
              </w:rPr>
              <w:t>16,775</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(5)</w:t>
            </w: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22,280</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8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tcPr>
          <w:p>
            <w:pPr>
              <w:ind w:left="420"/>
              <w:spacing w:after="0"/>
              <w:rPr>
                <w:sz w:val="20"/>
                <w:szCs w:val="20"/>
                <w:color w:val="auto"/>
              </w:rPr>
            </w:pPr>
            <w:r>
              <w:rPr>
                <w:rFonts w:ascii="Arial" w:cs="Arial" w:eastAsia="Arial" w:hAnsi="Arial"/>
                <w:sz w:val="18"/>
                <w:szCs w:val="18"/>
                <w:color w:val="auto"/>
              </w:rPr>
              <w:t>Purchase of plant, property and equipment</w:t>
            </w:r>
          </w:p>
        </w:tc>
        <w:tc>
          <w:tcPr>
            <w:tcW w:w="80" w:type="dxa"/>
            <w:vAlign w:val="bottom"/>
          </w:tcPr>
          <w:p>
            <w:pPr>
              <w:spacing w:after="0"/>
              <w:rPr>
                <w:sz w:val="18"/>
                <w:szCs w:val="18"/>
                <w:color w:val="auto"/>
              </w:rPr>
            </w:pPr>
          </w:p>
        </w:tc>
        <w:tc>
          <w:tcPr>
            <w:tcW w:w="100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w w:val="89"/>
              </w:rPr>
              <w:t>(18,226)</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(474)</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401</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(18,299)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Purchase of intangible assets</w:t>
            </w: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(1,172)</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tcPr>
          <w:p>
            <w:pPr>
              <w:ind w:left="420"/>
              <w:spacing w:after="0"/>
              <w:rPr>
                <w:sz w:val="20"/>
                <w:szCs w:val="20"/>
                <w:color w:val="auto"/>
              </w:rPr>
            </w:pPr>
            <w:r>
              <w:rPr>
                <w:rFonts w:ascii="Arial" w:cs="Arial" w:eastAsia="Arial" w:hAnsi="Arial"/>
                <w:sz w:val="18"/>
                <w:szCs w:val="18"/>
                <w:color w:val="auto"/>
              </w:rPr>
              <w:t>Acquisition of business</w:t>
            </w:r>
          </w:p>
        </w:tc>
        <w:tc>
          <w:tcPr>
            <w:tcW w:w="80" w:type="dxa"/>
            <w:vAlign w:val="bottom"/>
          </w:tcPr>
          <w:p>
            <w:pPr>
              <w:spacing w:after="0"/>
              <w:rPr>
                <w:sz w:val="18"/>
                <w:szCs w:val="18"/>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(1,870)</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(9,961)</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(11,831)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Proceeds from disposal of plant, property and equipment</w:t>
            </w: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113</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tcPr>
          <w:p>
            <w:pPr>
              <w:ind w:left="420"/>
              <w:spacing w:after="0"/>
              <w:rPr>
                <w:sz w:val="20"/>
                <w:szCs w:val="20"/>
                <w:color w:val="auto"/>
              </w:rPr>
            </w:pPr>
            <w:r>
              <w:rPr>
                <w:rFonts w:ascii="Arial" w:cs="Arial" w:eastAsia="Arial" w:hAnsi="Arial"/>
                <w:sz w:val="18"/>
                <w:szCs w:val="18"/>
                <w:color w:val="auto"/>
              </w:rPr>
              <w:t>Proceeds from disposal of intangible assets</w:t>
            </w:r>
          </w:p>
        </w:tc>
        <w:tc>
          <w:tcPr>
            <w:tcW w:w="80" w:type="dxa"/>
            <w:vAlign w:val="bottom"/>
          </w:tcPr>
          <w:p>
            <w:pPr>
              <w:spacing w:after="0"/>
              <w:rPr>
                <w:sz w:val="18"/>
                <w:szCs w:val="18"/>
                <w:color w:val="auto"/>
              </w:rPr>
            </w:pPr>
          </w:p>
        </w:tc>
        <w:tc>
          <w:tcPr>
            <w:tcW w:w="100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112</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112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Increase in short-term inter-company loans</w:t>
            </w: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89"/>
              </w:rPr>
              <w:t>(14,000)</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14,000</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tcPr>
          <w:p>
            <w:pPr>
              <w:ind w:left="420"/>
              <w:spacing w:after="0"/>
              <w:rPr>
                <w:sz w:val="20"/>
                <w:szCs w:val="20"/>
                <w:color w:val="auto"/>
              </w:rPr>
            </w:pPr>
            <w:r>
              <w:rPr>
                <w:rFonts w:ascii="Arial" w:cs="Arial" w:eastAsia="Arial" w:hAnsi="Arial"/>
                <w:sz w:val="18"/>
                <w:szCs w:val="18"/>
                <w:color w:val="auto"/>
              </w:rPr>
              <w:t>Increase in long-term inter-company loans</w:t>
            </w: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(1,009)</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(1,009)</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2,018</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Decrease in restricted cash</w:t>
            </w: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7,065</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7,065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tcPr>
          <w:p>
            <w:pPr>
              <w:ind w:left="420"/>
              <w:spacing w:after="0"/>
              <w:rPr>
                <w:sz w:val="20"/>
                <w:szCs w:val="20"/>
                <w:color w:val="auto"/>
              </w:rPr>
            </w:pPr>
            <w:r>
              <w:rPr>
                <w:rFonts w:ascii="Arial" w:cs="Arial" w:eastAsia="Arial" w:hAnsi="Arial"/>
                <w:sz w:val="18"/>
                <w:szCs w:val="18"/>
                <w:color w:val="auto"/>
              </w:rPr>
              <w:t>Other</w:t>
            </w:r>
          </w:p>
        </w:tc>
        <w:tc>
          <w:tcPr>
            <w:tcW w:w="80" w:type="dxa"/>
            <w:vAlign w:val="bottom"/>
          </w:tcPr>
          <w:p>
            <w:pPr>
              <w:spacing w:after="0"/>
              <w:rPr>
                <w:sz w:val="18"/>
                <w:szCs w:val="18"/>
                <w:color w:val="auto"/>
              </w:rPr>
            </w:pPr>
          </w:p>
        </w:tc>
        <w:tc>
          <w:tcPr>
            <w:tcW w:w="800" w:type="dxa"/>
            <w:vAlign w:val="bottom"/>
          </w:tcPr>
          <w:p>
            <w:pPr>
              <w:ind w:left="5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ind w:left="3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1,462</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8"/>
                <w:szCs w:val="18"/>
                <w:color w:val="auto"/>
              </w:rPr>
              <w:t>516</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(401)</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1,577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0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60" w:type="dxa"/>
            <w:vAlign w:val="bottom"/>
            <w:shd w:val="clear" w:color="auto" w:fill="CCEEFF"/>
          </w:tcPr>
          <w:p>
            <w:pPr>
              <w:spacing w:after="0"/>
              <w:rPr>
                <w:sz w:val="20"/>
                <w:szCs w:val="20"/>
                <w:color w:val="auto"/>
              </w:rPr>
            </w:pPr>
            <w:r>
              <w:rPr>
                <w:rFonts w:ascii="Arial" w:cs="Arial" w:eastAsia="Arial" w:hAnsi="Arial"/>
                <w:sz w:val="18"/>
                <w:szCs w:val="18"/>
                <w:color w:val="auto"/>
              </w:rPr>
              <w:t>Net cash used in investing activities</w:t>
            </w: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(1,870)</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(1,009)</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89"/>
              </w:rPr>
              <w:t>(10,646)</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89"/>
              </w:rPr>
              <w:t>(24,928)</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16,018</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(22,435)</w:t>
            </w:r>
          </w:p>
        </w:tc>
        <w:tc>
          <w:tcPr>
            <w:tcW w:w="0" w:type="dxa"/>
            <w:vAlign w:val="bottom"/>
          </w:tcPr>
          <w:p>
            <w:pPr>
              <w:spacing w:after="0"/>
              <w:rPr>
                <w:sz w:val="1"/>
                <w:szCs w:val="1"/>
                <w:color w:val="auto"/>
              </w:rPr>
            </w:pPr>
          </w:p>
        </w:tc>
      </w:tr>
      <w:tr>
        <w:trPr>
          <w:trHeight w:val="222"/>
        </w:trPr>
        <w:tc>
          <w:tcPr>
            <w:tcW w:w="5080" w:type="dxa"/>
            <w:vAlign w:val="bottom"/>
            <w:gridSpan w:val="2"/>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8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0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Proceeds from short-term inter-company borrowings</w:t>
            </w: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8"/>
              </w:rPr>
              <w:t>14,000</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(14,000)</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tcPr>
          <w:p>
            <w:pPr>
              <w:ind w:left="420"/>
              <w:spacing w:after="0"/>
              <w:rPr>
                <w:sz w:val="20"/>
                <w:szCs w:val="20"/>
                <w:color w:val="auto"/>
              </w:rPr>
            </w:pPr>
            <w:r>
              <w:rPr>
                <w:rFonts w:ascii="Arial" w:cs="Arial" w:eastAsia="Arial" w:hAnsi="Arial"/>
                <w:sz w:val="18"/>
                <w:szCs w:val="18"/>
                <w:color w:val="auto"/>
              </w:rPr>
              <w:t>Proceeds from long-term inter-company borrowings</w:t>
            </w:r>
          </w:p>
        </w:tc>
        <w:tc>
          <w:tcPr>
            <w:tcW w:w="80" w:type="dxa"/>
            <w:vAlign w:val="bottom"/>
          </w:tcPr>
          <w:p>
            <w:pPr>
              <w:spacing w:after="0"/>
              <w:rPr>
                <w:sz w:val="18"/>
                <w:szCs w:val="18"/>
                <w:color w:val="auto"/>
              </w:rPr>
            </w:pPr>
          </w:p>
        </w:tc>
        <w:tc>
          <w:tcPr>
            <w:tcW w:w="100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1,009</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8"/>
                <w:szCs w:val="18"/>
                <w:color w:val="auto"/>
              </w:rPr>
              <w:t>1,009</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(2,018)</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Repayment of short-term borrowings</w:t>
            </w: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(764)</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89"/>
              </w:rPr>
              <w:t>(12,605)</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(13,369)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tcPr>
          <w:p>
            <w:pPr>
              <w:ind w:left="420"/>
              <w:spacing w:after="0"/>
              <w:rPr>
                <w:sz w:val="20"/>
                <w:szCs w:val="20"/>
                <w:color w:val="auto"/>
              </w:rPr>
            </w:pPr>
            <w:r>
              <w:rPr>
                <w:rFonts w:ascii="Arial" w:cs="Arial" w:eastAsia="Arial" w:hAnsi="Arial"/>
                <w:sz w:val="18"/>
                <w:szCs w:val="18"/>
                <w:color w:val="auto"/>
              </w:rPr>
              <w:t>Other</w:t>
            </w:r>
          </w:p>
        </w:tc>
        <w:tc>
          <w:tcPr>
            <w:tcW w:w="80" w:type="dxa"/>
            <w:vAlign w:val="bottom"/>
          </w:tcPr>
          <w:p>
            <w:pPr>
              <w:spacing w:after="0"/>
              <w:rPr>
                <w:sz w:val="18"/>
                <w:szCs w:val="18"/>
                <w:color w:val="auto"/>
              </w:rPr>
            </w:pPr>
          </w:p>
        </w:tc>
        <w:tc>
          <w:tcPr>
            <w:tcW w:w="800" w:type="dxa"/>
            <w:vAlign w:val="bottom"/>
          </w:tcPr>
          <w:p>
            <w:pPr>
              <w:ind w:left="520"/>
              <w:spacing w:after="0"/>
              <w:rPr>
                <w:sz w:val="20"/>
                <w:szCs w:val="20"/>
                <w:color w:val="auto"/>
              </w:rPr>
            </w:pPr>
            <w:r>
              <w:rPr>
                <w:rFonts w:ascii="Arial" w:cs="Arial" w:eastAsia="Arial" w:hAnsi="Arial"/>
                <w:sz w:val="18"/>
                <w:szCs w:val="18"/>
                <w:color w:val="auto"/>
                <w:w w:val="86"/>
              </w:rPr>
              <w:t>514</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(378)</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(217)</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(81)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0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6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financing activities</w:t>
            </w: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ind w:left="520"/>
              <w:spacing w:after="0"/>
              <w:rPr>
                <w:sz w:val="20"/>
                <w:szCs w:val="20"/>
                <w:color w:val="auto"/>
              </w:rPr>
            </w:pPr>
            <w:r>
              <w:rPr>
                <w:rFonts w:ascii="Arial" w:cs="Arial" w:eastAsia="Arial" w:hAnsi="Arial"/>
                <w:sz w:val="18"/>
                <w:szCs w:val="18"/>
                <w:color w:val="auto"/>
                <w:w w:val="86"/>
              </w:rPr>
              <w:t>514</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(378)</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28</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2,404</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(16,018)</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(13,450)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tcPr>
          <w:p>
            <w:pPr>
              <w:spacing w:after="0"/>
              <w:rPr>
                <w:sz w:val="20"/>
                <w:szCs w:val="20"/>
                <w:color w:val="auto"/>
              </w:rPr>
            </w:pPr>
            <w:r>
              <w:rPr>
                <w:rFonts w:ascii="Arial" w:cs="Arial" w:eastAsia="Arial" w:hAnsi="Arial"/>
                <w:sz w:val="18"/>
                <w:szCs w:val="18"/>
                <w:color w:val="auto"/>
              </w:rPr>
              <w:t>Effect of exchange rate on cash and cash equivalents</w:t>
            </w:r>
          </w:p>
        </w:tc>
        <w:tc>
          <w:tcPr>
            <w:tcW w:w="80" w:type="dxa"/>
            <w:vAlign w:val="bottom"/>
          </w:tcPr>
          <w:p>
            <w:pPr>
              <w:spacing w:after="0"/>
              <w:rPr>
                <w:sz w:val="18"/>
                <w:szCs w:val="18"/>
                <w:color w:val="auto"/>
              </w:rPr>
            </w:pPr>
          </w:p>
        </w:tc>
        <w:tc>
          <w:tcPr>
            <w:tcW w:w="800" w:type="dxa"/>
            <w:vAlign w:val="bottom"/>
          </w:tcPr>
          <w:p>
            <w:pPr>
              <w:ind w:left="5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ind w:left="3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832</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(807)</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5</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0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60" w:type="dxa"/>
            <w:vAlign w:val="bottom"/>
            <w:shd w:val="clear" w:color="auto" w:fill="CCEEFF"/>
          </w:tcPr>
          <w:p>
            <w:pPr>
              <w:spacing w:after="0"/>
              <w:rPr>
                <w:sz w:val="20"/>
                <w:szCs w:val="20"/>
                <w:color w:val="auto"/>
              </w:rPr>
            </w:pPr>
            <w:r>
              <w:rPr>
                <w:rFonts w:ascii="Arial" w:cs="Arial" w:eastAsia="Arial" w:hAnsi="Arial"/>
                <w:sz w:val="18"/>
                <w:szCs w:val="18"/>
                <w:color w:val="auto"/>
              </w:rPr>
              <w:t>Net increase (decrease) in cash and cash equivalents</w:t>
            </w: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(1,890)</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(1,932)</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(3,197)</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(6,556)</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(13,575)</w:t>
            </w:r>
          </w:p>
        </w:tc>
        <w:tc>
          <w:tcPr>
            <w:tcW w:w="0" w:type="dxa"/>
            <w:vAlign w:val="bottom"/>
          </w:tcPr>
          <w:p>
            <w:pPr>
              <w:spacing w:after="0"/>
              <w:rPr>
                <w:sz w:val="1"/>
                <w:szCs w:val="1"/>
                <w:color w:val="auto"/>
              </w:rPr>
            </w:pPr>
          </w:p>
        </w:tc>
      </w:tr>
      <w:tr>
        <w:trPr>
          <w:trHeight w:val="221"/>
        </w:trPr>
        <w:tc>
          <w:tcPr>
            <w:tcW w:w="5080" w:type="dxa"/>
            <w:vAlign w:val="bottom"/>
            <w:gridSpan w:val="2"/>
          </w:tcPr>
          <w:p>
            <w:pPr>
              <w:spacing w:after="0"/>
              <w:rPr>
                <w:sz w:val="20"/>
                <w:szCs w:val="20"/>
                <w:color w:val="auto"/>
              </w:rPr>
            </w:pPr>
            <w:r>
              <w:rPr>
                <w:rFonts w:ascii="Arial" w:cs="Arial" w:eastAsia="Arial" w:hAnsi="Arial"/>
                <w:sz w:val="18"/>
                <w:szCs w:val="18"/>
                <w:b w:val="1"/>
                <w:bCs w:val="1"/>
                <w:color w:val="auto"/>
              </w:rPr>
              <w:t>Cash and cash equivalents:</w:t>
            </w:r>
          </w:p>
        </w:tc>
        <w:tc>
          <w:tcPr>
            <w:tcW w:w="8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060" w:type="dxa"/>
            <w:vAlign w:val="bottom"/>
            <w:shd w:val="clear" w:color="auto" w:fill="CCEEFF"/>
          </w:tcPr>
          <w:p>
            <w:pPr>
              <w:spacing w:after="0"/>
              <w:rPr>
                <w:sz w:val="20"/>
                <w:szCs w:val="20"/>
                <w:color w:val="auto"/>
              </w:rPr>
            </w:pPr>
            <w:r>
              <w:rPr>
                <w:rFonts w:ascii="Arial" w:cs="Arial" w:eastAsia="Arial" w:hAnsi="Arial"/>
                <w:sz w:val="18"/>
                <w:szCs w:val="18"/>
                <w:color w:val="auto"/>
              </w:rPr>
              <w:t>Beginning of the period</w:t>
            </w: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2,386</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3,201</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29,671</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8"/>
              </w:rPr>
              <w:t>23,138</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58,396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080" w:type="dxa"/>
            <w:vAlign w:val="bottom"/>
            <w:gridSpan w:val="2"/>
            <w:vMerge w:val="restart"/>
          </w:tcPr>
          <w:p>
            <w:pPr>
              <w:spacing w:after="0"/>
              <w:rPr>
                <w:sz w:val="20"/>
                <w:szCs w:val="20"/>
                <w:color w:val="auto"/>
              </w:rPr>
            </w:pPr>
            <w:r>
              <w:rPr>
                <w:rFonts w:ascii="Arial" w:cs="Arial" w:eastAsia="Arial" w:hAnsi="Arial"/>
                <w:sz w:val="18"/>
                <w:szCs w:val="18"/>
                <w:color w:val="auto"/>
              </w:rPr>
              <w:t>End of the period</w:t>
            </w:r>
          </w:p>
        </w:tc>
        <w:tc>
          <w:tcPr>
            <w:tcW w:w="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5080" w:type="dxa"/>
            <w:vAlign w:val="bottom"/>
            <w:gridSpan w:val="2"/>
            <w:vMerge w:val="continue"/>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Pr>
          <w:p>
            <w:pPr>
              <w:ind w:left="520"/>
              <w:spacing w:after="0"/>
              <w:rPr>
                <w:sz w:val="20"/>
                <w:szCs w:val="20"/>
                <w:color w:val="auto"/>
              </w:rPr>
            </w:pPr>
            <w:r>
              <w:rPr>
                <w:rFonts w:ascii="Arial" w:cs="Arial" w:eastAsia="Arial" w:hAnsi="Arial"/>
                <w:sz w:val="18"/>
                <w:szCs w:val="18"/>
                <w:color w:val="auto"/>
                <w:w w:val="86"/>
              </w:rPr>
              <w:t>496</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1,269</w:t>
            </w:r>
          </w:p>
        </w:tc>
        <w:tc>
          <w:tcPr>
            <w:tcW w:w="220" w:type="dxa"/>
            <w:vAlign w:val="bottom"/>
          </w:tcPr>
          <w:p>
            <w:pPr>
              <w:spacing w:after="0"/>
              <w:rPr>
                <w:sz w:val="19"/>
                <w:szCs w:val="19"/>
                <w:color w:val="auto"/>
              </w:rPr>
            </w:pPr>
          </w:p>
        </w:tc>
        <w:tc>
          <w:tcPr>
            <w:tcW w:w="260" w:type="dxa"/>
            <w:vAlign w:val="bottom"/>
            <w:gridSpan w:val="2"/>
          </w:tcPr>
          <w:p>
            <w:pPr>
              <w:ind w:left="160"/>
              <w:spacing w:after="0"/>
              <w:rPr>
                <w:sz w:val="20"/>
                <w:szCs w:val="20"/>
                <w:color w:val="auto"/>
              </w:rPr>
            </w:pPr>
            <w:r>
              <w:rPr>
                <w:rFonts w:ascii="Arial" w:cs="Arial" w:eastAsia="Arial" w:hAnsi="Arial"/>
                <w:sz w:val="18"/>
                <w:szCs w:val="18"/>
                <w:color w:val="auto"/>
                <w:w w:val="79"/>
              </w:rPr>
              <w:t>$</w:t>
            </w: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26,474</w:t>
            </w:r>
          </w:p>
        </w:tc>
        <w:tc>
          <w:tcPr>
            <w:tcW w:w="280" w:type="dxa"/>
            <w:vAlign w:val="bottom"/>
            <w:gridSpan w:val="2"/>
          </w:tcPr>
          <w:p>
            <w:pPr>
              <w:ind w:left="160"/>
              <w:spacing w:after="0"/>
              <w:rPr>
                <w:sz w:val="20"/>
                <w:szCs w:val="20"/>
                <w:color w:val="auto"/>
              </w:rPr>
            </w:pPr>
            <w:r>
              <w:rPr>
                <w:rFonts w:ascii="Arial" w:cs="Arial" w:eastAsia="Arial" w:hAnsi="Arial"/>
                <w:sz w:val="18"/>
                <w:szCs w:val="18"/>
                <w:color w:val="auto"/>
                <w:w w:val="99"/>
              </w:rPr>
              <w:t>$</w:t>
            </w:r>
          </w:p>
        </w:tc>
        <w:tc>
          <w:tcPr>
            <w:tcW w:w="780" w:type="dxa"/>
            <w:vAlign w:val="bottom"/>
            <w:gridSpan w:val="2"/>
          </w:tcPr>
          <w:p>
            <w:pPr>
              <w:jc w:val="right"/>
              <w:ind w:right="220"/>
              <w:spacing w:after="0"/>
              <w:rPr>
                <w:sz w:val="20"/>
                <w:szCs w:val="20"/>
                <w:color w:val="auto"/>
              </w:rPr>
            </w:pPr>
            <w:r>
              <w:rPr>
                <w:rFonts w:ascii="Arial" w:cs="Arial" w:eastAsia="Arial" w:hAnsi="Arial"/>
                <w:sz w:val="18"/>
                <w:szCs w:val="18"/>
                <w:color w:val="auto"/>
                <w:w w:val="98"/>
              </w:rPr>
              <w:t>16,582</w:t>
            </w:r>
          </w:p>
        </w:tc>
        <w:tc>
          <w:tcPr>
            <w:tcW w:w="260" w:type="dxa"/>
            <w:vAlign w:val="bottom"/>
            <w:gridSpan w:val="2"/>
          </w:tcPr>
          <w:p>
            <w:pPr>
              <w:ind w:left="160"/>
              <w:spacing w:after="0"/>
              <w:rPr>
                <w:sz w:val="20"/>
                <w:szCs w:val="20"/>
                <w:color w:val="auto"/>
              </w:rPr>
            </w:pPr>
            <w:r>
              <w:rPr>
                <w:rFonts w:ascii="Arial" w:cs="Arial" w:eastAsia="Arial" w:hAnsi="Arial"/>
                <w:sz w:val="18"/>
                <w:szCs w:val="18"/>
                <w:color w:val="auto"/>
                <w:w w:val="79"/>
              </w:rPr>
              <w:t>$</w:t>
            </w:r>
          </w:p>
        </w:tc>
        <w:tc>
          <w:tcPr>
            <w:tcW w:w="8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30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44,821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4" w:lineRule="exact"/>
        <w:rPr>
          <w:sz w:val="20"/>
          <w:szCs w:val="20"/>
          <w:color w:val="auto"/>
        </w:rPr>
      </w:pPr>
    </w:p>
    <w:p>
      <w:pPr>
        <w:sectPr>
          <w:pgSz w:w="11900" w:h="16838" w:orient="portrait"/>
          <w:cols w:equalWidth="0" w:num="1">
            <w:col w:w="11420"/>
          </w:cols>
          <w:pgMar w:left="240" w:top="459" w:right="239" w:bottom="1440" w:gutter="0" w:footer="0" w:header="0"/>
        </w:sectPr>
      </w:pPr>
    </w:p>
    <w:p>
      <w:pPr>
        <w:jc w:val="center"/>
        <w:spacing w:after="0"/>
        <w:rPr>
          <w:sz w:val="20"/>
          <w:szCs w:val="20"/>
          <w:color w:val="auto"/>
        </w:rPr>
      </w:pPr>
      <w:r>
        <w:rPr>
          <w:rFonts w:ascii="Arial" w:cs="Arial" w:eastAsia="Arial" w:hAnsi="Arial"/>
          <w:sz w:val="16"/>
          <w:szCs w:val="16"/>
          <w:color w:val="auto"/>
        </w:rPr>
        <w:t>23</w:t>
      </w:r>
    </w:p>
    <w:p>
      <w:pPr>
        <w:sectPr>
          <w:pgSz w:w="11900" w:h="16838" w:orient="portrait"/>
          <w:cols w:equalWidth="0" w:num="1">
            <w:col w:w="11420"/>
          </w:cols>
          <w:pgMar w:left="240" w:top="459" w:right="239" w:bottom="1440" w:gutter="0" w:footer="0" w:header="0"/>
          <w:type w:val="continuous"/>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 Financial Information – (continued)</w:t>
      </w:r>
    </w:p>
    <w:p>
      <w:pPr>
        <w:spacing w:after="0" w:line="212"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color w:val="auto"/>
        </w:rPr>
        <w:t>Management’s Discussion and Analysis of Financial Condition and Results of Operations</w:t>
      </w:r>
    </w:p>
    <w:p>
      <w:pPr>
        <w:spacing w:after="0" w:line="96"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The following Management’s Discussion and Analysis of Financial Condition and Results of Operations contain forward-looking statements within the meaning of the federal securities laws that involve risks and uncertainties. Our actual results may differ materially from those anticipated in these forward-looking statements as a result of certain factors set forth elsewhere in this Form 10-Q and in prior Company public filings with the SEC. In addition, other factors have been or may be discussed from time to time in the Company’s SEC filings. These forward–looking statements are made based on management’s expectations and beliefs concerning future events impacting the Company and, therefore, involve a number of risks and uncertainties. The Company’s management cautions that forward–looking statements are not guarantees and that actual results could differ materially from those expressed or implied in the forward–looking statements. The following discussion should be read in conjunction with the unaudited condensed consolidated interim financial statements and related notes included elsewhere in this Form 10-Q. While the Company periodically reassesses material trends and uncertainties affecting the Company’s results of operations and financial condition in connection with the preparation of “Management’s Discussion and Analysis of Financial Condition and Results of Operations” and certain other sections contained in the Company’s quarterly, annual or other reports filed with the SEC, the Company does not intend to review or revise any particular forward–looking statement in light of future events.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96"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We are a leading designer, developer and manufacturer of mixed-signal and digital multimedia semiconductors addressing the convergence of consumer electronics and communication devices. We focus our core business on CMOS image sensors and flat panel display drivers, which are complex, high-performance mixed-signal semiconductors that capture images and enable and enhance the features and capabilities of both small and large flat panel displays. We also provide wafer foundry services whereby we leverage our specialized process technologies and low cost manufacturing facilities to produce semiconductors for third parties using their product designs. Our solutions are used in a wide variety of consumer and commercial mass market applications, such as mobile handsets, including camera-equipped mobile handsets, flat panel monitors and televisions, consumer home and mobile displays, portable and desktop computer displays, handheld gaming devices, PDAs and audio-visual equipment such as DVD players.</w:t>
      </w:r>
    </w:p>
    <w:p>
      <w:pPr>
        <w:spacing w:after="0" w:line="118"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We derive our net sales from products and services in three principal areas: CMOS imaging solutions, display solutions, and semiconductor manufacturing services.</w:t>
      </w:r>
    </w:p>
    <w:p>
      <w:pPr>
        <w:spacing w:after="0" w:line="51" w:lineRule="exact"/>
        <w:rPr>
          <w:sz w:val="20"/>
          <w:szCs w:val="20"/>
          <w:color w:val="auto"/>
        </w:rPr>
      </w:pPr>
    </w:p>
    <w:p>
      <w:pPr>
        <w:ind w:left="780" w:right="120" w:hanging="326"/>
        <w:spacing w:after="0" w:line="259" w:lineRule="auto"/>
        <w:tabs>
          <w:tab w:leader="none" w:pos="780" w:val="left"/>
        </w:tabs>
        <w:numPr>
          <w:ilvl w:val="0"/>
          <w:numId w:val="7"/>
        </w:numPr>
        <w:rPr>
          <w:rFonts w:ascii="Arial" w:cs="Arial" w:eastAsia="Arial" w:hAnsi="Arial"/>
          <w:sz w:val="18"/>
          <w:szCs w:val="18"/>
          <w:color w:val="auto"/>
        </w:rPr>
      </w:pPr>
      <w:r>
        <w:rPr>
          <w:rFonts w:ascii="Arial" w:cs="Arial" w:eastAsia="Arial" w:hAnsi="Arial"/>
          <w:sz w:val="18"/>
          <w:szCs w:val="18"/>
          <w:i w:val="1"/>
          <w:iCs w:val="1"/>
          <w:color w:val="auto"/>
        </w:rPr>
        <w:t xml:space="preserve">CMOS imaging solutions: </w:t>
      </w:r>
      <w:r>
        <w:rPr>
          <w:rFonts w:ascii="Arial" w:cs="Arial" w:eastAsia="Arial" w:hAnsi="Arial"/>
          <w:sz w:val="18"/>
          <w:szCs w:val="18"/>
          <w:color w:val="auto"/>
        </w:rPr>
        <w:t>Our CMOS image sensor solutions are used in image-capture applications such as camera-equipped mobile handsets and</w:t>
      </w:r>
      <w:r>
        <w:rPr>
          <w:rFonts w:ascii="Arial" w:cs="Arial" w:eastAsia="Arial" w:hAnsi="Arial"/>
          <w:sz w:val="18"/>
          <w:szCs w:val="18"/>
          <w:i w:val="1"/>
          <w:iCs w:val="1"/>
          <w:color w:val="auto"/>
        </w:rPr>
        <w:t xml:space="preserve"> </w:t>
      </w:r>
      <w:r>
        <w:rPr>
          <w:rFonts w:ascii="Arial" w:cs="Arial" w:eastAsia="Arial" w:hAnsi="Arial"/>
          <w:sz w:val="18"/>
          <w:szCs w:val="18"/>
          <w:color w:val="auto"/>
        </w:rPr>
        <w:t>personal computer cameras. Our highly integrated image sensors are designed to be cost-effective and to provide brighter, sharper, more colorful, and thus enhanced, image quality.</w:t>
      </w:r>
    </w:p>
    <w:p>
      <w:pPr>
        <w:spacing w:after="0" w:line="59" w:lineRule="exact"/>
        <w:rPr>
          <w:rFonts w:ascii="Arial" w:cs="Arial" w:eastAsia="Arial" w:hAnsi="Arial"/>
          <w:sz w:val="18"/>
          <w:szCs w:val="18"/>
          <w:color w:val="auto"/>
        </w:rPr>
      </w:pPr>
    </w:p>
    <w:p>
      <w:pPr>
        <w:ind w:left="780" w:right="20" w:hanging="326"/>
        <w:spacing w:after="0" w:line="259" w:lineRule="auto"/>
        <w:tabs>
          <w:tab w:leader="none" w:pos="780" w:val="left"/>
        </w:tabs>
        <w:numPr>
          <w:ilvl w:val="0"/>
          <w:numId w:val="7"/>
        </w:numPr>
        <w:rPr>
          <w:rFonts w:ascii="Arial" w:cs="Arial" w:eastAsia="Arial" w:hAnsi="Arial"/>
          <w:sz w:val="18"/>
          <w:szCs w:val="18"/>
          <w:color w:val="auto"/>
        </w:rPr>
      </w:pPr>
      <w:r>
        <w:rPr>
          <w:rFonts w:ascii="Arial" w:cs="Arial" w:eastAsia="Arial" w:hAnsi="Arial"/>
          <w:sz w:val="18"/>
          <w:szCs w:val="18"/>
          <w:i w:val="1"/>
          <w:iCs w:val="1"/>
          <w:color w:val="auto"/>
        </w:rPr>
        <w:t xml:space="preserve">Display solutions: </w:t>
      </w:r>
      <w:r>
        <w:rPr>
          <w:rFonts w:ascii="Arial" w:cs="Arial" w:eastAsia="Arial" w:hAnsi="Arial"/>
          <w:sz w:val="18"/>
          <w:szCs w:val="18"/>
          <w:color w:val="auto"/>
        </w:rPr>
        <w:t>Our flat panel display drivers are used in several major types of large and small flat panel displays, including TFT-LCD, Color-STN</w:t>
      </w:r>
      <w:r>
        <w:rPr>
          <w:rFonts w:ascii="Arial" w:cs="Arial" w:eastAsia="Arial" w:hAnsi="Arial"/>
          <w:sz w:val="18"/>
          <w:szCs w:val="18"/>
          <w:i w:val="1"/>
          <w:iCs w:val="1"/>
          <w:color w:val="auto"/>
        </w:rPr>
        <w:t xml:space="preserve"> </w:t>
      </w:r>
      <w:r>
        <w:rPr>
          <w:rFonts w:ascii="Arial" w:cs="Arial" w:eastAsia="Arial" w:hAnsi="Arial"/>
          <w:sz w:val="18"/>
          <w:szCs w:val="18"/>
          <w:color w:val="auto"/>
        </w:rPr>
        <w:t>and OLED displays. Our flat panel display solutions are used in applications such as mobile handsets, flat panel televisions, displays for portable and desktop computers, handheld gaming devices and PDAs.</w:t>
      </w:r>
    </w:p>
    <w:p>
      <w:pPr>
        <w:spacing w:after="0" w:line="59" w:lineRule="exact"/>
        <w:rPr>
          <w:rFonts w:ascii="Arial" w:cs="Arial" w:eastAsia="Arial" w:hAnsi="Arial"/>
          <w:sz w:val="18"/>
          <w:szCs w:val="18"/>
          <w:color w:val="auto"/>
        </w:rPr>
      </w:pPr>
    </w:p>
    <w:p>
      <w:pPr>
        <w:ind w:left="780" w:right="260" w:hanging="326"/>
        <w:spacing w:after="0" w:line="256" w:lineRule="auto"/>
        <w:tabs>
          <w:tab w:leader="none" w:pos="780" w:val="left"/>
        </w:tabs>
        <w:numPr>
          <w:ilvl w:val="0"/>
          <w:numId w:val="7"/>
        </w:numPr>
        <w:rPr>
          <w:rFonts w:ascii="Arial" w:cs="Arial" w:eastAsia="Arial" w:hAnsi="Arial"/>
          <w:sz w:val="18"/>
          <w:szCs w:val="18"/>
          <w:color w:val="auto"/>
        </w:rPr>
      </w:pPr>
      <w:r>
        <w:rPr>
          <w:rFonts w:ascii="Arial" w:cs="Arial" w:eastAsia="Arial" w:hAnsi="Arial"/>
          <w:sz w:val="18"/>
          <w:szCs w:val="18"/>
          <w:i w:val="1"/>
          <w:iCs w:val="1"/>
          <w:color w:val="auto"/>
        </w:rPr>
        <w:t xml:space="preserve">Semiconductor manufacturing services: </w:t>
      </w:r>
      <w:r>
        <w:rPr>
          <w:rFonts w:ascii="Arial" w:cs="Arial" w:eastAsia="Arial" w:hAnsi="Arial"/>
          <w:sz w:val="18"/>
          <w:szCs w:val="18"/>
          <w:color w:val="auto"/>
        </w:rPr>
        <w:t>We use our process technology and manufacturing facilities to manufacture semiconductor wafers for third</w:t>
      </w:r>
      <w:r>
        <w:rPr>
          <w:rFonts w:ascii="Arial" w:cs="Arial" w:eastAsia="Arial" w:hAnsi="Arial"/>
          <w:sz w:val="18"/>
          <w:szCs w:val="18"/>
          <w:i w:val="1"/>
          <w:iCs w:val="1"/>
          <w:color w:val="auto"/>
        </w:rPr>
        <w:t xml:space="preserve"> </w:t>
      </w:r>
      <w:r>
        <w:rPr>
          <w:rFonts w:ascii="Arial" w:cs="Arial" w:eastAsia="Arial" w:hAnsi="Arial"/>
          <w:sz w:val="18"/>
          <w:szCs w:val="18"/>
          <w:color w:val="auto"/>
        </w:rPr>
        <w:t>parties based on their designs. Our five fabs have a combined capacity of over 116,000 eight-inch equivalent wafers per month and are located in Cheongju and Gumi, Korea. Our fabs provide us with large scale, cost-effective and flexible capacity enabling us to rapidly scale to high volume to meet shifts in demand by our end customers.</w:t>
      </w:r>
    </w:p>
    <w:p>
      <w:pPr>
        <w:spacing w:after="0" w:line="143"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Our business was named MagnaChip Semiconductor when it was acquired from Hynix Semiconductor Inc. on October 6, 2004, by CVC, Francisco Partners, CVC Asia Pacific, certain members of management and other investors, following discussions with Hynix that began in late 2001 and the execution of a definitive agreement in June 2004. Previously, we were the System IC division within Hynix which, in 1999, had been formed from a merger between the Hyundai Electronics and LG Semiconductor System IC businesses and can trace its history back to the late 1970s. Although we were previously part of Hynix, our business had a history of operating autonomously within Hynix and had a separate global sales force and management structure.</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00"/>
          </w:cols>
          <w:pgMar w:left="240" w:top="459" w:right="25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 - Comparison of Three-Month Periods Ended July 2, 2006 and July 3, 2005</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740" w:type="dxa"/>
            <w:vAlign w:val="bottom"/>
          </w:tcPr>
          <w:p>
            <w:pPr>
              <w:spacing w:after="0"/>
              <w:rPr>
                <w:sz w:val="14"/>
                <w:szCs w:val="14"/>
                <w:color w:val="auto"/>
              </w:rPr>
            </w:pPr>
          </w:p>
        </w:tc>
        <w:tc>
          <w:tcPr>
            <w:tcW w:w="1440" w:type="dxa"/>
            <w:vAlign w:val="bottom"/>
            <w:gridSpan w:val="5"/>
          </w:tcPr>
          <w:p>
            <w:pPr>
              <w:jc w:val="right"/>
              <w:ind w:right="180"/>
              <w:spacing w:after="0"/>
              <w:rPr>
                <w:sz w:val="20"/>
                <w:szCs w:val="20"/>
                <w:color w:val="auto"/>
              </w:rPr>
            </w:pPr>
            <w:r>
              <w:rPr>
                <w:rFonts w:ascii="Arial" w:cs="Arial" w:eastAsia="Arial" w:hAnsi="Arial"/>
                <w:sz w:val="14"/>
                <w:szCs w:val="14"/>
                <w:b w:val="1"/>
                <w:bCs w:val="1"/>
                <w:color w:val="auto"/>
                <w:w w:val="90"/>
              </w:rPr>
              <w:t>Three months ended</w:t>
            </w:r>
          </w:p>
        </w:tc>
        <w:tc>
          <w:tcPr>
            <w:tcW w:w="180" w:type="dxa"/>
            <w:vAlign w:val="bottom"/>
          </w:tcPr>
          <w:p>
            <w:pPr>
              <w:spacing w:after="0"/>
              <w:rPr>
                <w:sz w:val="14"/>
                <w:szCs w:val="14"/>
                <w:color w:val="auto"/>
              </w:rPr>
            </w:pPr>
          </w:p>
        </w:tc>
        <w:tc>
          <w:tcPr>
            <w:tcW w:w="1620" w:type="dxa"/>
            <w:vAlign w:val="bottom"/>
            <w:gridSpan w:val="4"/>
          </w:tcPr>
          <w:p>
            <w:pPr>
              <w:jc w:val="right"/>
              <w:ind w:right="298"/>
              <w:spacing w:after="0"/>
              <w:rPr>
                <w:sz w:val="20"/>
                <w:szCs w:val="20"/>
                <w:color w:val="auto"/>
              </w:rPr>
            </w:pPr>
            <w:r>
              <w:rPr>
                <w:rFonts w:ascii="Arial" w:cs="Arial" w:eastAsia="Arial" w:hAnsi="Arial"/>
                <w:sz w:val="14"/>
                <w:szCs w:val="14"/>
                <w:b w:val="1"/>
                <w:bCs w:val="1"/>
                <w:color w:val="auto"/>
                <w:w w:val="90"/>
              </w:rPr>
              <w:t>Three months ended</w:t>
            </w: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6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40" w:type="dxa"/>
            <w:vAlign w:val="bottom"/>
            <w:gridSpan w:val="4"/>
          </w:tcPr>
          <w:p>
            <w:pPr>
              <w:jc w:val="right"/>
              <w:ind w:right="420"/>
              <w:spacing w:after="0"/>
              <w:rPr>
                <w:sz w:val="20"/>
                <w:szCs w:val="20"/>
                <w:color w:val="auto"/>
              </w:rPr>
            </w:pPr>
            <w:r>
              <w:rPr>
                <w:rFonts w:ascii="Arial" w:cs="Arial" w:eastAsia="Arial" w:hAnsi="Arial"/>
                <w:sz w:val="14"/>
                <w:szCs w:val="14"/>
                <w:b w:val="1"/>
                <w:bCs w:val="1"/>
                <w:color w:val="auto"/>
              </w:rPr>
              <w:t>July 2, 2006</w:t>
            </w:r>
          </w:p>
        </w:tc>
        <w:tc>
          <w:tcPr>
            <w:tcW w:w="180" w:type="dxa"/>
            <w:vAlign w:val="bottom"/>
          </w:tcPr>
          <w:p>
            <w:pPr>
              <w:spacing w:after="0"/>
              <w:rPr>
                <w:sz w:val="15"/>
                <w:szCs w:val="15"/>
                <w:color w:val="auto"/>
              </w:rPr>
            </w:pPr>
          </w:p>
        </w:tc>
        <w:tc>
          <w:tcPr>
            <w:tcW w:w="1620" w:type="dxa"/>
            <w:vAlign w:val="bottom"/>
            <w:gridSpan w:val="4"/>
          </w:tcPr>
          <w:p>
            <w:pPr>
              <w:jc w:val="right"/>
              <w:ind w:right="538"/>
              <w:spacing w:after="0"/>
              <w:rPr>
                <w:sz w:val="20"/>
                <w:szCs w:val="20"/>
                <w:color w:val="auto"/>
              </w:rPr>
            </w:pPr>
            <w:r>
              <w:rPr>
                <w:rFonts w:ascii="Arial" w:cs="Arial" w:eastAsia="Arial" w:hAnsi="Arial"/>
                <w:sz w:val="14"/>
                <w:szCs w:val="14"/>
                <w:b w:val="1"/>
                <w:bCs w:val="1"/>
                <w:color w:val="auto"/>
              </w:rPr>
              <w:t>July 3, 2005</w:t>
            </w:r>
          </w:p>
        </w:tc>
        <w:tc>
          <w:tcPr>
            <w:tcW w:w="100" w:type="dxa"/>
            <w:vAlign w:val="bottom"/>
          </w:tcPr>
          <w:p>
            <w:pPr>
              <w:spacing w:after="0"/>
              <w:rPr>
                <w:sz w:val="15"/>
                <w:szCs w:val="15"/>
                <w:color w:val="auto"/>
              </w:rPr>
            </w:pPr>
          </w:p>
        </w:tc>
        <w:tc>
          <w:tcPr>
            <w:tcW w:w="1320" w:type="dxa"/>
            <w:vAlign w:val="bottom"/>
            <w:gridSpan w:val="4"/>
          </w:tcPr>
          <w:p>
            <w:pPr>
              <w:jc w:val="right"/>
              <w:ind w:right="520"/>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74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460" w:type="dxa"/>
            <w:vAlign w:val="bottom"/>
            <w:tcBorders>
              <w:top w:val="single" w:sz="8" w:color="auto"/>
            </w:tcBorders>
          </w:tcPr>
          <w:p>
            <w:pPr>
              <w:spacing w:after="0"/>
              <w:rPr>
                <w:sz w:val="11"/>
                <w:szCs w:val="11"/>
                <w:color w:val="auto"/>
              </w:rPr>
            </w:pPr>
          </w:p>
        </w:tc>
        <w:tc>
          <w:tcPr>
            <w:tcW w:w="280" w:type="dxa"/>
            <w:vAlign w:val="bottom"/>
            <w:tcBorders>
              <w:top w:val="single" w:sz="8" w:color="auto"/>
            </w:tcBorders>
          </w:tcPr>
          <w:p>
            <w:pPr>
              <w:spacing w:after="0"/>
              <w:rPr>
                <w:sz w:val="11"/>
                <w:szCs w:val="11"/>
                <w:color w:val="auto"/>
              </w:rPr>
            </w:pPr>
          </w:p>
        </w:tc>
        <w:tc>
          <w:tcPr>
            <w:tcW w:w="520" w:type="dxa"/>
            <w:vAlign w:val="bottom"/>
            <w:tcBorders>
              <w:top w:val="single" w:sz="8" w:color="auto"/>
            </w:tcBorders>
          </w:tcPr>
          <w:p>
            <w:pPr>
              <w:jc w:val="right"/>
              <w:ind w:right="35"/>
              <w:spacing w:after="0" w:line="129" w:lineRule="exact"/>
              <w:rPr>
                <w:sz w:val="20"/>
                <w:szCs w:val="20"/>
                <w:color w:val="auto"/>
              </w:rPr>
            </w:pPr>
            <w:r>
              <w:rPr>
                <w:rFonts w:ascii="Arial" w:cs="Arial" w:eastAsia="Arial" w:hAnsi="Arial"/>
                <w:sz w:val="14"/>
                <w:szCs w:val="14"/>
                <w:b w:val="1"/>
                <w:bCs w:val="1"/>
                <w:color w:val="auto"/>
              </w:rPr>
              <w:t>% of</w:t>
            </w: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20" w:type="dxa"/>
            <w:vAlign w:val="bottom"/>
            <w:tcBorders>
              <w:top w:val="single" w:sz="8" w:color="auto"/>
            </w:tcBorders>
          </w:tcPr>
          <w:p>
            <w:pPr>
              <w:spacing w:after="0"/>
              <w:rPr>
                <w:sz w:val="11"/>
                <w:szCs w:val="11"/>
                <w:color w:val="auto"/>
              </w:rPr>
            </w:pPr>
          </w:p>
        </w:tc>
        <w:tc>
          <w:tcPr>
            <w:tcW w:w="280" w:type="dxa"/>
            <w:vAlign w:val="bottom"/>
            <w:tcBorders>
              <w:top w:val="single" w:sz="8" w:color="auto"/>
            </w:tcBorders>
          </w:tcPr>
          <w:p>
            <w:pPr>
              <w:spacing w:after="0"/>
              <w:rPr>
                <w:sz w:val="11"/>
                <w:szCs w:val="11"/>
                <w:color w:val="auto"/>
              </w:rPr>
            </w:pPr>
          </w:p>
        </w:tc>
        <w:tc>
          <w:tcPr>
            <w:tcW w:w="560" w:type="dxa"/>
            <w:vAlign w:val="bottom"/>
            <w:tcBorders>
              <w:top w:val="single" w:sz="8" w:color="auto"/>
            </w:tcBorders>
          </w:tcPr>
          <w:p>
            <w:pPr>
              <w:jc w:val="right"/>
              <w:ind w:right="55"/>
              <w:spacing w:after="0" w:line="129" w:lineRule="exact"/>
              <w:rPr>
                <w:sz w:val="20"/>
                <w:szCs w:val="20"/>
                <w:color w:val="auto"/>
              </w:rPr>
            </w:pPr>
            <w:r>
              <w:rPr>
                <w:rFonts w:ascii="Arial" w:cs="Arial" w:eastAsia="Arial" w:hAnsi="Arial"/>
                <w:sz w:val="14"/>
                <w:szCs w:val="14"/>
                <w:b w:val="1"/>
                <w:bCs w:val="1"/>
                <w:color w:val="auto"/>
              </w:rPr>
              <w:t>% of</w:t>
            </w:r>
          </w:p>
        </w:tc>
        <w:tc>
          <w:tcPr>
            <w:tcW w:w="26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460" w:type="dxa"/>
            <w:vAlign w:val="bottom"/>
            <w:tcBorders>
              <w:top w:val="single" w:sz="8" w:color="auto"/>
            </w:tcBorders>
          </w:tcPr>
          <w:p>
            <w:pPr>
              <w:spacing w:after="0"/>
              <w:rPr>
                <w:sz w:val="11"/>
                <w:szCs w:val="11"/>
                <w:color w:val="auto"/>
              </w:rPr>
            </w:pPr>
          </w:p>
        </w:tc>
        <w:tc>
          <w:tcPr>
            <w:tcW w:w="260" w:type="dxa"/>
            <w:vAlign w:val="bottom"/>
            <w:tcBorders>
              <w:top w:val="single" w:sz="8" w:color="auto"/>
            </w:tcBorders>
          </w:tcPr>
          <w:p>
            <w:pPr>
              <w:spacing w:after="0"/>
              <w:rPr>
                <w:sz w:val="11"/>
                <w:szCs w:val="11"/>
                <w:color w:val="auto"/>
              </w:rPr>
            </w:pPr>
          </w:p>
        </w:tc>
        <w:tc>
          <w:tcPr>
            <w:tcW w:w="540" w:type="dxa"/>
            <w:vAlign w:val="bottom"/>
            <w:tcBorders>
              <w:top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6740" w:type="dxa"/>
            <w:vAlign w:val="bottom"/>
          </w:tcPr>
          <w:p>
            <w:pPr>
              <w:spacing w:after="0"/>
              <w:rPr>
                <w:sz w:val="15"/>
                <w:szCs w:val="15"/>
                <w:color w:val="auto"/>
              </w:rPr>
            </w:pPr>
          </w:p>
        </w:tc>
        <w:tc>
          <w:tcPr>
            <w:tcW w:w="56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4"/>
              </w:rPr>
              <w:t>Amount</w:t>
            </w:r>
          </w:p>
        </w:tc>
        <w:tc>
          <w:tcPr>
            <w:tcW w:w="280" w:type="dxa"/>
            <w:vAlign w:val="bottom"/>
          </w:tcPr>
          <w:p>
            <w:pPr>
              <w:spacing w:after="0"/>
              <w:rPr>
                <w:sz w:val="15"/>
                <w:szCs w:val="15"/>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0"/>
              </w:rPr>
              <w:t>net sales</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0"/>
              </w:rPr>
              <w:t>Amount</w:t>
            </w:r>
          </w:p>
        </w:tc>
        <w:tc>
          <w:tcPr>
            <w:tcW w:w="280" w:type="dxa"/>
            <w:vAlign w:val="bottom"/>
          </w:tcPr>
          <w:p>
            <w:pPr>
              <w:spacing w:after="0"/>
              <w:rPr>
                <w:sz w:val="15"/>
                <w:szCs w:val="15"/>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3"/>
              </w:rPr>
              <w:t>net sales</w:t>
            </w:r>
          </w:p>
        </w:tc>
        <w:tc>
          <w:tcPr>
            <w:tcW w:w="260" w:type="dxa"/>
            <w:vAlign w:val="bottom"/>
          </w:tcPr>
          <w:p>
            <w:pPr>
              <w:spacing w:after="0"/>
              <w:rPr>
                <w:sz w:val="15"/>
                <w:szCs w:val="15"/>
                <w:color w:val="auto"/>
              </w:rPr>
            </w:pPr>
          </w:p>
        </w:tc>
        <w:tc>
          <w:tcPr>
            <w:tcW w:w="56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4"/>
              </w:rPr>
              <w:t>Amount</w:t>
            </w:r>
          </w:p>
        </w:tc>
        <w:tc>
          <w:tcPr>
            <w:tcW w:w="260" w:type="dxa"/>
            <w:vAlign w:val="bottom"/>
          </w:tcPr>
          <w:p>
            <w:pPr>
              <w:spacing w:after="0"/>
              <w:rPr>
                <w:sz w:val="15"/>
                <w:szCs w:val="15"/>
                <w:color w:val="auto"/>
              </w:rPr>
            </w:pPr>
          </w:p>
        </w:tc>
        <w:tc>
          <w:tcPr>
            <w:tcW w:w="540" w:type="dxa"/>
            <w:vAlign w:val="bottom"/>
            <w:tcBorders>
              <w:bottom w:val="single" w:sz="8" w:color="auto"/>
            </w:tcBorders>
          </w:tcPr>
          <w:p>
            <w:pPr>
              <w:jc w:val="right"/>
              <w:ind w:right="114"/>
              <w:spacing w:after="0"/>
              <w:rPr>
                <w:sz w:val="20"/>
                <w:szCs w:val="20"/>
                <w:color w:val="auto"/>
              </w:rPr>
            </w:pPr>
            <w:r>
              <w:rPr>
                <w:rFonts w:ascii="Arial" w:cs="Arial" w:eastAsia="Arial" w:hAnsi="Arial"/>
                <w:sz w:val="14"/>
                <w:szCs w:val="14"/>
                <w:b w:val="1"/>
                <w:bCs w:val="1"/>
                <w:color w:val="auto"/>
              </w:rPr>
              <w:t>%</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ind w:left="40"/>
              <w:spacing w:after="0"/>
              <w:rPr>
                <w:sz w:val="20"/>
                <w:szCs w:val="20"/>
                <w:color w:val="auto"/>
              </w:rPr>
            </w:pPr>
            <w:r>
              <w:rPr>
                <w:rFonts w:ascii="Arial" w:cs="Arial" w:eastAsia="Arial" w:hAnsi="Arial"/>
                <w:sz w:val="12"/>
                <w:szCs w:val="12"/>
                <w:b w:val="1"/>
                <w:bCs w:val="1"/>
                <w:i w:val="1"/>
                <w:iCs w:val="1"/>
                <w:color w:val="auto"/>
                <w:w w:val="81"/>
              </w:rPr>
              <w:t>(in</w:t>
            </w:r>
          </w:p>
        </w:tc>
        <w:tc>
          <w:tcPr>
            <w:tcW w:w="520" w:type="dxa"/>
            <w:vAlign w:val="bottom"/>
          </w:tcPr>
          <w:p>
            <w:pPr>
              <w:jc w:val="right"/>
              <w:spacing w:after="0" w:line="142" w:lineRule="exact"/>
              <w:rPr>
                <w:sz w:val="20"/>
                <w:szCs w:val="20"/>
                <w:color w:val="auto"/>
              </w:rPr>
            </w:pPr>
            <w:r>
              <w:rPr>
                <w:rFonts w:ascii="Arial" w:cs="Arial" w:eastAsia="Arial" w:hAnsi="Arial"/>
                <w:sz w:val="14"/>
                <w:szCs w:val="14"/>
                <w:b w:val="1"/>
                <w:bCs w:val="1"/>
                <w:i w:val="1"/>
                <w:iCs w:val="1"/>
                <w:color w:val="auto"/>
                <w:w w:val="90"/>
              </w:rPr>
              <w:t>millions</w:t>
            </w:r>
          </w:p>
        </w:tc>
        <w:tc>
          <w:tcPr>
            <w:tcW w:w="840" w:type="dxa"/>
            <w:vAlign w:val="bottom"/>
            <w:gridSpan w:val="2"/>
          </w:tcPr>
          <w:p>
            <w:pPr>
              <w:jc w:val="right"/>
              <w:spacing w:after="0" w:line="142" w:lineRule="exact"/>
              <w:rPr>
                <w:sz w:val="20"/>
                <w:szCs w:val="20"/>
                <w:color w:val="auto"/>
              </w:rPr>
            </w:pPr>
            <w:r>
              <w:rPr>
                <w:rFonts w:ascii="Arial" w:cs="Arial" w:eastAsia="Arial" w:hAnsi="Arial"/>
                <w:sz w:val="14"/>
                <w:szCs w:val="14"/>
                <w:b w:val="1"/>
                <w:bCs w:val="1"/>
                <w:i w:val="1"/>
                <w:iCs w:val="1"/>
                <w:color w:val="auto"/>
                <w:w w:val="83"/>
              </w:rPr>
              <w:t>of US dollars;</w:t>
            </w:r>
          </w:p>
        </w:tc>
        <w:tc>
          <w:tcPr>
            <w:tcW w:w="260" w:type="dxa"/>
            <w:vAlign w:val="bottom"/>
          </w:tcPr>
          <w:p>
            <w:pPr>
              <w:jc w:val="right"/>
              <w:ind w:right="58"/>
              <w:spacing w:after="0"/>
              <w:rPr>
                <w:sz w:val="20"/>
                <w:szCs w:val="20"/>
                <w:color w:val="auto"/>
              </w:rPr>
            </w:pPr>
            <w:r>
              <w:rPr>
                <w:rFonts w:ascii="Arial" w:cs="Arial" w:eastAsia="Arial" w:hAnsi="Arial"/>
                <w:sz w:val="12"/>
                <w:szCs w:val="12"/>
                <w:b w:val="1"/>
                <w:bCs w:val="1"/>
                <w:i w:val="1"/>
                <w:iCs w:val="1"/>
                <w:color w:val="auto"/>
                <w:w w:val="81"/>
              </w:rPr>
              <w:t>%)</w:t>
            </w: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40" w:type="dxa"/>
            <w:vAlign w:val="bottom"/>
            <w:shd w:val="clear" w:color="auto" w:fill="CCEEFF"/>
          </w:tcPr>
          <w:p>
            <w:pPr>
              <w:spacing w:after="0"/>
              <w:rPr>
                <w:sz w:val="20"/>
                <w:szCs w:val="20"/>
                <w:color w:val="auto"/>
              </w:rPr>
            </w:pPr>
            <w:r>
              <w:rPr>
                <w:rFonts w:ascii="Arial" w:cs="Arial" w:eastAsia="Arial" w:hAnsi="Arial"/>
                <w:sz w:val="18"/>
                <w:szCs w:val="18"/>
                <w:color w:val="auto"/>
              </w:rPr>
              <w:t>Net sales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197.6</w:t>
            </w:r>
          </w:p>
        </w:tc>
        <w:tc>
          <w:tcPr>
            <w:tcW w:w="2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100.0</w:t>
            </w:r>
          </w:p>
        </w:tc>
        <w:tc>
          <w:tcPr>
            <w:tcW w:w="980" w:type="dxa"/>
            <w:vAlign w:val="bottom"/>
            <w:gridSpan w:val="3"/>
            <w:shd w:val="clear" w:color="auto" w:fill="CCEEFF"/>
          </w:tcPr>
          <w:p>
            <w:pPr>
              <w:jc w:val="right"/>
              <w:ind w:right="212"/>
              <w:spacing w:after="0"/>
              <w:rPr>
                <w:sz w:val="20"/>
                <w:szCs w:val="20"/>
                <w:color w:val="auto"/>
              </w:rPr>
            </w:pPr>
            <w:r>
              <w:rPr>
                <w:rFonts w:ascii="Arial" w:cs="Arial" w:eastAsia="Arial" w:hAnsi="Arial"/>
                <w:sz w:val="18"/>
                <w:szCs w:val="18"/>
                <w:color w:val="auto"/>
              </w:rPr>
              <w:t>$ 236.0</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(38.4)</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40" w:type="dxa"/>
            <w:vAlign w:val="bottom"/>
          </w:tcPr>
          <w:p>
            <w:pPr>
              <w:spacing w:after="0"/>
              <w:rPr>
                <w:sz w:val="20"/>
                <w:szCs w:val="20"/>
                <w:color w:val="auto"/>
              </w:rPr>
            </w:pPr>
            <w:r>
              <w:rPr>
                <w:rFonts w:ascii="Arial" w:cs="Arial" w:eastAsia="Arial" w:hAnsi="Arial"/>
                <w:sz w:val="18"/>
                <w:szCs w:val="18"/>
                <w:color w:val="auto"/>
              </w:rPr>
              <w:t>Cost of sales</w:t>
            </w: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97"/>
              </w:rPr>
              <w:t>177.3</w:t>
            </w:r>
          </w:p>
        </w:tc>
        <w:tc>
          <w:tcPr>
            <w:tcW w:w="280" w:type="dxa"/>
            <w:vAlign w:val="bottom"/>
          </w:tcPr>
          <w:p>
            <w:pPr>
              <w:spacing w:after="0"/>
              <w:rPr>
                <w:sz w:val="18"/>
                <w:szCs w:val="18"/>
                <w:color w:val="auto"/>
              </w:rPr>
            </w:pPr>
          </w:p>
        </w:tc>
        <w:tc>
          <w:tcPr>
            <w:tcW w:w="600" w:type="dxa"/>
            <w:vAlign w:val="bottom"/>
            <w:gridSpan w:val="2"/>
          </w:tcPr>
          <w:p>
            <w:pPr>
              <w:jc w:val="right"/>
              <w:ind w:right="80"/>
              <w:spacing w:after="0"/>
              <w:rPr>
                <w:sz w:val="20"/>
                <w:szCs w:val="20"/>
                <w:color w:val="auto"/>
              </w:rPr>
            </w:pPr>
            <w:r>
              <w:rPr>
                <w:rFonts w:ascii="Arial" w:cs="Arial" w:eastAsia="Arial" w:hAnsi="Arial"/>
                <w:sz w:val="18"/>
                <w:szCs w:val="18"/>
                <w:color w:val="auto"/>
              </w:rPr>
              <w:t>89.7</w:t>
            </w:r>
          </w:p>
        </w:tc>
        <w:tc>
          <w:tcPr>
            <w:tcW w:w="180" w:type="dxa"/>
            <w:vAlign w:val="bottom"/>
          </w:tcPr>
          <w:p>
            <w:pPr>
              <w:spacing w:after="0"/>
              <w:rPr>
                <w:sz w:val="18"/>
                <w:szCs w:val="18"/>
                <w:color w:val="auto"/>
              </w:rPr>
            </w:pPr>
          </w:p>
        </w:tc>
        <w:tc>
          <w:tcPr>
            <w:tcW w:w="800" w:type="dxa"/>
            <w:vAlign w:val="bottom"/>
            <w:gridSpan w:val="2"/>
          </w:tcPr>
          <w:p>
            <w:pPr>
              <w:jc w:val="right"/>
              <w:ind w:right="212"/>
              <w:spacing w:after="0"/>
              <w:rPr>
                <w:sz w:val="20"/>
                <w:szCs w:val="20"/>
                <w:color w:val="auto"/>
              </w:rPr>
            </w:pPr>
            <w:r>
              <w:rPr>
                <w:rFonts w:ascii="Arial" w:cs="Arial" w:eastAsia="Arial" w:hAnsi="Arial"/>
                <w:sz w:val="18"/>
                <w:szCs w:val="18"/>
                <w:color w:val="auto"/>
              </w:rPr>
              <w:t>175.6</w:t>
            </w:r>
          </w:p>
        </w:tc>
        <w:tc>
          <w:tcPr>
            <w:tcW w:w="560" w:type="dxa"/>
            <w:vAlign w:val="bottom"/>
          </w:tcPr>
          <w:p>
            <w:pPr>
              <w:jc w:val="right"/>
              <w:spacing w:after="0"/>
              <w:rPr>
                <w:sz w:val="20"/>
                <w:szCs w:val="20"/>
                <w:color w:val="auto"/>
              </w:rPr>
            </w:pPr>
            <w:r>
              <w:rPr>
                <w:rFonts w:ascii="Arial" w:cs="Arial" w:eastAsia="Arial" w:hAnsi="Arial"/>
                <w:sz w:val="18"/>
                <w:szCs w:val="18"/>
                <w:color w:val="auto"/>
              </w:rPr>
              <w:t>74.4</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1.7</w:t>
            </w:r>
          </w:p>
        </w:tc>
        <w:tc>
          <w:tcPr>
            <w:tcW w:w="2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7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52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5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54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74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w:t>
            </w:r>
          </w:p>
        </w:tc>
        <w:tc>
          <w:tcPr>
            <w:tcW w:w="2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10.3</w:t>
            </w: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12"/>
              <w:spacing w:after="0"/>
              <w:rPr>
                <w:sz w:val="20"/>
                <w:szCs w:val="20"/>
                <w:color w:val="auto"/>
              </w:rPr>
            </w:pPr>
            <w:r>
              <w:rPr>
                <w:rFonts w:ascii="Arial" w:cs="Arial" w:eastAsia="Arial" w:hAnsi="Arial"/>
                <w:sz w:val="18"/>
                <w:szCs w:val="18"/>
                <w:color w:val="auto"/>
              </w:rPr>
              <w:t>60.4</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25.6</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(40.1)</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(66.4)</w:t>
            </w:r>
          </w:p>
        </w:tc>
        <w:tc>
          <w:tcPr>
            <w:tcW w:w="0" w:type="dxa"/>
            <w:vAlign w:val="bottom"/>
          </w:tcPr>
          <w:p>
            <w:pPr>
              <w:spacing w:after="0"/>
              <w:rPr>
                <w:sz w:val="1"/>
                <w:szCs w:val="1"/>
                <w:color w:val="auto"/>
              </w:rPr>
            </w:pPr>
          </w:p>
        </w:tc>
      </w:tr>
      <w:tr>
        <w:trPr>
          <w:trHeight w:val="20"/>
        </w:trPr>
        <w:tc>
          <w:tcPr>
            <w:tcW w:w="6760" w:type="dxa"/>
            <w:vAlign w:val="bottom"/>
            <w:gridSpan w:val="2"/>
            <w:vMerge w:val="restart"/>
          </w:tcPr>
          <w:p>
            <w:pPr>
              <w:spacing w:after="0"/>
              <w:rPr>
                <w:sz w:val="20"/>
                <w:szCs w:val="20"/>
                <w:color w:val="auto"/>
              </w:rPr>
            </w:pPr>
            <w:r>
              <w:rPr>
                <w:rFonts w:ascii="Arial" w:cs="Arial" w:eastAsia="Arial" w:hAnsi="Arial"/>
                <w:sz w:val="18"/>
                <w:szCs w:val="18"/>
                <w:color w:val="auto"/>
              </w:rPr>
              <w:t>Selling, general and administrative expenses</w:t>
            </w: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gridSpan w:val="2"/>
            <w:vMerge w:val="restart"/>
          </w:tcPr>
          <w:p>
            <w:pPr>
              <w:jc w:val="right"/>
              <w:ind w:right="80"/>
              <w:spacing w:after="0"/>
              <w:rPr>
                <w:sz w:val="20"/>
                <w:szCs w:val="20"/>
                <w:color w:val="auto"/>
              </w:rPr>
            </w:pPr>
            <w:r>
              <w:rPr>
                <w:rFonts w:ascii="Arial" w:cs="Arial" w:eastAsia="Arial" w:hAnsi="Arial"/>
                <w:sz w:val="18"/>
                <w:szCs w:val="18"/>
                <w:color w:val="auto"/>
              </w:rPr>
              <w:t>11.1</w:t>
            </w:r>
          </w:p>
        </w:tc>
        <w:tc>
          <w:tcPr>
            <w:tcW w:w="18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60" w:type="dxa"/>
            <w:vAlign w:val="bottom"/>
            <w:vMerge w:val="restart"/>
          </w:tcPr>
          <w:p>
            <w:pPr>
              <w:jc w:val="right"/>
              <w:spacing w:after="0"/>
              <w:rPr>
                <w:sz w:val="20"/>
                <w:szCs w:val="20"/>
                <w:color w:val="auto"/>
              </w:rPr>
            </w:pPr>
            <w:r>
              <w:rPr>
                <w:rFonts w:ascii="Arial" w:cs="Arial" w:eastAsia="Arial" w:hAnsi="Arial"/>
                <w:sz w:val="18"/>
                <w:szCs w:val="18"/>
                <w:color w:val="auto"/>
              </w:rPr>
              <w:t>13.8</w:t>
            </w:r>
          </w:p>
        </w:tc>
        <w:tc>
          <w:tcPr>
            <w:tcW w:w="2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0" w:type="dxa"/>
            <w:vAlign w:val="bottom"/>
            <w:gridSpan w:val="2"/>
            <w:vMerge w:val="restart"/>
          </w:tcPr>
          <w:p>
            <w:pPr>
              <w:jc w:val="right"/>
              <w:spacing w:after="0"/>
              <w:rPr>
                <w:sz w:val="20"/>
                <w:szCs w:val="20"/>
                <w:color w:val="auto"/>
              </w:rPr>
            </w:pPr>
            <w:r>
              <w:rPr>
                <w:rFonts w:ascii="Arial" w:cs="Arial" w:eastAsia="Arial" w:hAnsi="Arial"/>
                <w:sz w:val="18"/>
                <w:szCs w:val="18"/>
                <w:color w:val="auto"/>
              </w:rPr>
              <w:t>(32.3)</w:t>
            </w:r>
          </w:p>
        </w:tc>
        <w:tc>
          <w:tcPr>
            <w:tcW w:w="0" w:type="dxa"/>
            <w:vAlign w:val="bottom"/>
          </w:tcPr>
          <w:p>
            <w:pPr>
              <w:spacing w:after="0" w:line="20" w:lineRule="exact"/>
              <w:rPr>
                <w:sz w:val="1"/>
                <w:szCs w:val="1"/>
                <w:color w:val="auto"/>
              </w:rPr>
            </w:pPr>
          </w:p>
        </w:tc>
      </w:tr>
      <w:tr>
        <w:trPr>
          <w:trHeight w:val="221"/>
        </w:trPr>
        <w:tc>
          <w:tcPr>
            <w:tcW w:w="6760" w:type="dxa"/>
            <w:vAlign w:val="bottom"/>
            <w:gridSpan w:val="2"/>
            <w:vMerge w:val="continue"/>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22.0</w:t>
            </w:r>
          </w:p>
        </w:tc>
        <w:tc>
          <w:tcPr>
            <w:tcW w:w="280" w:type="dxa"/>
            <w:vAlign w:val="bottom"/>
          </w:tcPr>
          <w:p>
            <w:pPr>
              <w:spacing w:after="0"/>
              <w:rPr>
                <w:sz w:val="19"/>
                <w:szCs w:val="19"/>
                <w:color w:val="auto"/>
              </w:rPr>
            </w:pPr>
          </w:p>
        </w:tc>
        <w:tc>
          <w:tcPr>
            <w:tcW w:w="600" w:type="dxa"/>
            <w:vAlign w:val="bottom"/>
            <w:gridSpan w:val="2"/>
            <w:vMerge w:val="continue"/>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gridSpan w:val="2"/>
          </w:tcPr>
          <w:p>
            <w:pPr>
              <w:jc w:val="right"/>
              <w:ind w:right="212"/>
              <w:spacing w:after="0"/>
              <w:rPr>
                <w:sz w:val="20"/>
                <w:szCs w:val="20"/>
                <w:color w:val="auto"/>
              </w:rPr>
            </w:pPr>
            <w:r>
              <w:rPr>
                <w:rFonts w:ascii="Arial" w:cs="Arial" w:eastAsia="Arial" w:hAnsi="Arial"/>
                <w:sz w:val="18"/>
                <w:szCs w:val="18"/>
                <w:color w:val="auto"/>
              </w:rPr>
              <w:t>32.5</w:t>
            </w:r>
          </w:p>
        </w:tc>
        <w:tc>
          <w:tcPr>
            <w:tcW w:w="560" w:type="dxa"/>
            <w:vAlign w:val="bottom"/>
            <w:vMerge w:val="continue"/>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8"/>
                <w:szCs w:val="18"/>
                <w:color w:val="auto"/>
              </w:rPr>
              <w:t>(10.5)</w:t>
            </w:r>
          </w:p>
        </w:tc>
        <w:tc>
          <w:tcPr>
            <w:tcW w:w="60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74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 expenses</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33.9</w:t>
            </w:r>
          </w:p>
        </w:tc>
        <w:tc>
          <w:tcPr>
            <w:tcW w:w="2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17.2</w:t>
            </w:r>
          </w:p>
        </w:tc>
        <w:tc>
          <w:tcPr>
            <w:tcW w:w="980" w:type="dxa"/>
            <w:vAlign w:val="bottom"/>
            <w:gridSpan w:val="3"/>
            <w:shd w:val="clear" w:color="auto" w:fill="CCEEFF"/>
          </w:tcPr>
          <w:p>
            <w:pPr>
              <w:jc w:val="right"/>
              <w:ind w:right="212"/>
              <w:spacing w:after="0"/>
              <w:rPr>
                <w:sz w:val="20"/>
                <w:szCs w:val="20"/>
                <w:color w:val="auto"/>
              </w:rPr>
            </w:pPr>
            <w:r>
              <w:rPr>
                <w:rFonts w:ascii="Arial" w:cs="Arial" w:eastAsia="Arial" w:hAnsi="Arial"/>
                <w:sz w:val="18"/>
                <w:szCs w:val="18"/>
                <w:color w:val="auto"/>
              </w:rPr>
              <w:t>27.5</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2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40" w:type="dxa"/>
            <w:vAlign w:val="bottom"/>
          </w:tcPr>
          <w:p>
            <w:pPr>
              <w:spacing w:after="0"/>
              <w:rPr>
                <w:sz w:val="20"/>
                <w:szCs w:val="20"/>
                <w:color w:val="auto"/>
              </w:rPr>
            </w:pPr>
            <w:r>
              <w:rPr>
                <w:rFonts w:ascii="Arial" w:cs="Arial" w:eastAsia="Arial" w:hAnsi="Arial"/>
                <w:sz w:val="18"/>
                <w:szCs w:val="18"/>
                <w:color w:val="auto"/>
              </w:rPr>
              <w:t>Restructuring and impairment charges</w:t>
            </w: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93.7</w:t>
            </w:r>
          </w:p>
        </w:tc>
        <w:tc>
          <w:tcPr>
            <w:tcW w:w="280" w:type="dxa"/>
            <w:vAlign w:val="bottom"/>
          </w:tcPr>
          <w:p>
            <w:pPr>
              <w:spacing w:after="0"/>
              <w:rPr>
                <w:sz w:val="18"/>
                <w:szCs w:val="18"/>
                <w:color w:val="auto"/>
              </w:rPr>
            </w:pPr>
          </w:p>
        </w:tc>
        <w:tc>
          <w:tcPr>
            <w:tcW w:w="600" w:type="dxa"/>
            <w:vAlign w:val="bottom"/>
            <w:gridSpan w:val="2"/>
          </w:tcPr>
          <w:p>
            <w:pPr>
              <w:jc w:val="right"/>
              <w:ind w:right="80"/>
              <w:spacing w:after="0"/>
              <w:rPr>
                <w:sz w:val="20"/>
                <w:szCs w:val="20"/>
                <w:color w:val="auto"/>
              </w:rPr>
            </w:pPr>
            <w:r>
              <w:rPr>
                <w:rFonts w:ascii="Arial" w:cs="Arial" w:eastAsia="Arial" w:hAnsi="Arial"/>
                <w:sz w:val="18"/>
                <w:szCs w:val="18"/>
                <w:color w:val="auto"/>
              </w:rPr>
              <w:t>47.4</w:t>
            </w:r>
          </w:p>
        </w:tc>
        <w:tc>
          <w:tcPr>
            <w:tcW w:w="180" w:type="dxa"/>
            <w:vAlign w:val="bottom"/>
          </w:tcPr>
          <w:p>
            <w:pPr>
              <w:spacing w:after="0"/>
              <w:rPr>
                <w:sz w:val="18"/>
                <w:szCs w:val="18"/>
                <w:color w:val="auto"/>
              </w:rPr>
            </w:pPr>
          </w:p>
        </w:tc>
        <w:tc>
          <w:tcPr>
            <w:tcW w:w="800" w:type="dxa"/>
            <w:vAlign w:val="bottom"/>
            <w:gridSpan w:val="2"/>
          </w:tcPr>
          <w:p>
            <w:pPr>
              <w:jc w:val="right"/>
              <w:ind w:right="212"/>
              <w:spacing w:after="0"/>
              <w:rPr>
                <w:sz w:val="20"/>
                <w:szCs w:val="20"/>
                <w:color w:val="auto"/>
              </w:rPr>
            </w:pPr>
            <w:r>
              <w:rPr>
                <w:rFonts w:ascii="Arial" w:cs="Arial" w:eastAsia="Arial" w:hAnsi="Arial"/>
                <w:sz w:val="18"/>
                <w:szCs w:val="18"/>
                <w:color w:val="auto"/>
              </w:rPr>
              <w:t>8.7</w:t>
            </w:r>
          </w:p>
        </w:tc>
        <w:tc>
          <w:tcPr>
            <w:tcW w:w="560" w:type="dxa"/>
            <w:vAlign w:val="bottom"/>
          </w:tcPr>
          <w:p>
            <w:pPr>
              <w:jc w:val="right"/>
              <w:spacing w:after="0"/>
              <w:rPr>
                <w:sz w:val="20"/>
                <w:szCs w:val="20"/>
                <w:color w:val="auto"/>
              </w:rPr>
            </w:pPr>
            <w:r>
              <w:rPr>
                <w:rFonts w:ascii="Arial" w:cs="Arial" w:eastAsia="Arial" w:hAnsi="Arial"/>
                <w:sz w:val="18"/>
                <w:szCs w:val="18"/>
                <w:color w:val="auto"/>
              </w:rPr>
              <w:t>3.7</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85.0</w:t>
            </w:r>
          </w:p>
        </w:tc>
        <w:tc>
          <w:tcPr>
            <w:tcW w:w="2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977.0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7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52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5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54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740" w:type="dxa"/>
            <w:vAlign w:val="bottom"/>
            <w:shd w:val="clear" w:color="auto" w:fill="CCEEFF"/>
          </w:tcPr>
          <w:p>
            <w:pPr>
              <w:spacing w:after="0"/>
              <w:rPr>
                <w:sz w:val="20"/>
                <w:szCs w:val="20"/>
                <w:color w:val="auto"/>
              </w:rPr>
            </w:pPr>
            <w:r>
              <w:rPr>
                <w:rFonts w:ascii="Arial" w:cs="Arial" w:eastAsia="Arial" w:hAnsi="Arial"/>
                <w:sz w:val="18"/>
                <w:szCs w:val="18"/>
                <w:color w:val="auto"/>
              </w:rPr>
              <w:t>Operating loss</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7"/>
              </w:rPr>
              <w:t>(129.3)</w:t>
            </w: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(65.4)</w:t>
            </w:r>
          </w:p>
        </w:tc>
        <w:tc>
          <w:tcPr>
            <w:tcW w:w="980" w:type="dxa"/>
            <w:vAlign w:val="bottom"/>
            <w:gridSpan w:val="3"/>
            <w:shd w:val="clear" w:color="auto" w:fill="CCEEFF"/>
          </w:tcPr>
          <w:p>
            <w:pPr>
              <w:jc w:val="right"/>
              <w:ind w:right="152"/>
              <w:spacing w:after="0"/>
              <w:rPr>
                <w:sz w:val="20"/>
                <w:szCs w:val="20"/>
                <w:color w:val="auto"/>
              </w:rPr>
            </w:pPr>
            <w:r>
              <w:rPr>
                <w:rFonts w:ascii="Arial" w:cs="Arial" w:eastAsia="Arial" w:hAnsi="Arial"/>
                <w:sz w:val="18"/>
                <w:szCs w:val="18"/>
                <w:color w:val="auto"/>
              </w:rPr>
              <w:t>(8.3)</w:t>
            </w:r>
          </w:p>
        </w:tc>
        <w:tc>
          <w:tcPr>
            <w:tcW w:w="820" w:type="dxa"/>
            <w:vAlign w:val="bottom"/>
            <w:gridSpan w:val="2"/>
            <w:shd w:val="clear" w:color="auto" w:fill="CCEEFF"/>
          </w:tcPr>
          <w:p>
            <w:pPr>
              <w:jc w:val="right"/>
              <w:ind w:right="138"/>
              <w:spacing w:after="0"/>
              <w:rPr>
                <w:sz w:val="20"/>
                <w:szCs w:val="20"/>
                <w:color w:val="auto"/>
              </w:rPr>
            </w:pPr>
            <w:r>
              <w:rPr>
                <w:rFonts w:ascii="Arial" w:cs="Arial" w:eastAsia="Arial" w:hAnsi="Arial"/>
                <w:sz w:val="18"/>
                <w:szCs w:val="18"/>
                <w:color w:val="auto"/>
              </w:rPr>
              <w:t>(3.6)</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7"/>
              </w:rPr>
              <w:t>(121.0)</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1,457.8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40" w:type="dxa"/>
            <w:vAlign w:val="bottom"/>
          </w:tcPr>
          <w:p>
            <w:pPr>
              <w:spacing w:after="0"/>
              <w:rPr>
                <w:sz w:val="20"/>
                <w:szCs w:val="20"/>
                <w:color w:val="auto"/>
              </w:rPr>
            </w:pPr>
            <w:r>
              <w:rPr>
                <w:rFonts w:ascii="Arial" w:cs="Arial" w:eastAsia="Arial" w:hAnsi="Arial"/>
                <w:sz w:val="18"/>
                <w:szCs w:val="18"/>
                <w:color w:val="auto"/>
              </w:rPr>
              <w:t>Interest expense, net</w:t>
            </w:r>
          </w:p>
        </w:tc>
        <w:tc>
          <w:tcPr>
            <w:tcW w:w="100" w:type="dxa"/>
            <w:vAlign w:val="bottom"/>
          </w:tcPr>
          <w:p>
            <w:pPr>
              <w:spacing w:after="0"/>
              <w:rPr>
                <w:sz w:val="18"/>
                <w:szCs w:val="18"/>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8"/>
                <w:szCs w:val="18"/>
                <w:color w:val="auto"/>
              </w:rPr>
              <w:t>(14.4)</w:t>
            </w:r>
          </w:p>
        </w:tc>
        <w:tc>
          <w:tcPr>
            <w:tcW w:w="600" w:type="dxa"/>
            <w:vAlign w:val="bottom"/>
            <w:gridSpan w:val="2"/>
          </w:tcPr>
          <w:p>
            <w:pPr>
              <w:jc w:val="right"/>
              <w:ind w:right="40"/>
              <w:spacing w:after="0"/>
              <w:rPr>
                <w:sz w:val="20"/>
                <w:szCs w:val="20"/>
                <w:color w:val="auto"/>
              </w:rPr>
            </w:pPr>
            <w:r>
              <w:rPr>
                <w:rFonts w:ascii="Arial" w:cs="Arial" w:eastAsia="Arial" w:hAnsi="Arial"/>
                <w:sz w:val="18"/>
                <w:szCs w:val="18"/>
                <w:color w:val="auto"/>
              </w:rPr>
              <w:t>(7.3)</w:t>
            </w:r>
          </w:p>
        </w:tc>
        <w:tc>
          <w:tcPr>
            <w:tcW w:w="980" w:type="dxa"/>
            <w:vAlign w:val="bottom"/>
            <w:gridSpan w:val="3"/>
          </w:tcPr>
          <w:p>
            <w:pPr>
              <w:jc w:val="right"/>
              <w:ind w:right="152"/>
              <w:spacing w:after="0"/>
              <w:rPr>
                <w:sz w:val="20"/>
                <w:szCs w:val="20"/>
                <w:color w:val="auto"/>
              </w:rPr>
            </w:pPr>
            <w:r>
              <w:rPr>
                <w:rFonts w:ascii="Arial" w:cs="Arial" w:eastAsia="Arial" w:hAnsi="Arial"/>
                <w:sz w:val="18"/>
                <w:szCs w:val="18"/>
                <w:color w:val="auto"/>
              </w:rPr>
              <w:t>(14.0)</w:t>
            </w:r>
          </w:p>
        </w:tc>
        <w:tc>
          <w:tcPr>
            <w:tcW w:w="820" w:type="dxa"/>
            <w:vAlign w:val="bottom"/>
            <w:gridSpan w:val="2"/>
          </w:tcPr>
          <w:p>
            <w:pPr>
              <w:jc w:val="right"/>
              <w:ind w:right="138"/>
              <w:spacing w:after="0"/>
              <w:rPr>
                <w:sz w:val="20"/>
                <w:szCs w:val="20"/>
                <w:color w:val="auto"/>
              </w:rPr>
            </w:pPr>
            <w:r>
              <w:rPr>
                <w:rFonts w:ascii="Arial" w:cs="Arial" w:eastAsia="Arial" w:hAnsi="Arial"/>
                <w:sz w:val="18"/>
                <w:szCs w:val="18"/>
                <w:color w:val="auto"/>
              </w:rPr>
              <w:t>(5.9)</w:t>
            </w:r>
          </w:p>
        </w:tc>
        <w:tc>
          <w:tcPr>
            <w:tcW w:w="100" w:type="dxa"/>
            <w:vAlign w:val="bottom"/>
          </w:tcPr>
          <w:p>
            <w:pPr>
              <w:spacing w:after="0"/>
              <w:rPr>
                <w:sz w:val="18"/>
                <w:szCs w:val="18"/>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8"/>
                <w:szCs w:val="18"/>
                <w:color w:val="auto"/>
              </w:rPr>
              <w:t>(0.4)</w:t>
            </w:r>
          </w:p>
        </w:tc>
        <w:tc>
          <w:tcPr>
            <w:tcW w:w="540" w:type="dxa"/>
            <w:vAlign w:val="bottom"/>
          </w:tcPr>
          <w:p>
            <w:pPr>
              <w:jc w:val="right"/>
              <w:spacing w:after="0"/>
              <w:rPr>
                <w:sz w:val="20"/>
                <w:szCs w:val="20"/>
                <w:color w:val="auto"/>
              </w:rPr>
            </w:pPr>
            <w:r>
              <w:rPr>
                <w:rFonts w:ascii="Arial" w:cs="Arial" w:eastAsia="Arial" w:hAnsi="Arial"/>
                <w:sz w:val="18"/>
                <w:szCs w:val="18"/>
                <w:color w:val="auto"/>
              </w:rPr>
              <w:t>2.9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40" w:type="dxa"/>
            <w:vAlign w:val="bottom"/>
            <w:shd w:val="clear" w:color="auto" w:fill="CCEEFF"/>
          </w:tcPr>
          <w:p>
            <w:pPr>
              <w:spacing w:after="0"/>
              <w:rPr>
                <w:sz w:val="20"/>
                <w:szCs w:val="20"/>
                <w:color w:val="auto"/>
              </w:rPr>
            </w:pPr>
            <w:r>
              <w:rPr>
                <w:rFonts w:ascii="Arial" w:cs="Arial" w:eastAsia="Arial" w:hAnsi="Arial"/>
                <w:sz w:val="18"/>
                <w:szCs w:val="18"/>
                <w:color w:val="auto"/>
              </w:rPr>
              <w:t>Foreign currency gain, net</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w:t>
            </w:r>
          </w:p>
        </w:tc>
        <w:tc>
          <w:tcPr>
            <w:tcW w:w="2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7.3</w:t>
            </w: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52"/>
              <w:spacing w:after="0"/>
              <w:rPr>
                <w:sz w:val="20"/>
                <w:szCs w:val="20"/>
                <w:color w:val="auto"/>
              </w:rPr>
            </w:pPr>
            <w:r>
              <w:rPr>
                <w:rFonts w:ascii="Arial" w:cs="Arial" w:eastAsia="Arial" w:hAnsi="Arial"/>
                <w:sz w:val="18"/>
                <w:szCs w:val="18"/>
                <w:color w:val="auto"/>
              </w:rPr>
              <w:t>(12.8)</w:t>
            </w:r>
          </w:p>
        </w:tc>
        <w:tc>
          <w:tcPr>
            <w:tcW w:w="820" w:type="dxa"/>
            <w:vAlign w:val="bottom"/>
            <w:gridSpan w:val="2"/>
            <w:shd w:val="clear" w:color="auto" w:fill="CCEEFF"/>
          </w:tcPr>
          <w:p>
            <w:pPr>
              <w:jc w:val="right"/>
              <w:ind w:right="138"/>
              <w:spacing w:after="0"/>
              <w:rPr>
                <w:sz w:val="20"/>
                <w:szCs w:val="20"/>
                <w:color w:val="auto"/>
              </w:rPr>
            </w:pPr>
            <w:r>
              <w:rPr>
                <w:rFonts w:ascii="Arial" w:cs="Arial" w:eastAsia="Arial" w:hAnsi="Arial"/>
                <w:sz w:val="18"/>
                <w:szCs w:val="18"/>
                <w:color w:val="auto"/>
              </w:rPr>
              <w:t>(5.4)</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27.3</w:t>
            </w:r>
          </w:p>
        </w:tc>
        <w:tc>
          <w:tcPr>
            <w:tcW w:w="26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(213.3)</w:t>
            </w:r>
          </w:p>
        </w:tc>
        <w:tc>
          <w:tcPr>
            <w:tcW w:w="0" w:type="dxa"/>
            <w:vAlign w:val="bottom"/>
          </w:tcPr>
          <w:p>
            <w:pPr>
              <w:spacing w:after="0"/>
              <w:rPr>
                <w:sz w:val="1"/>
                <w:szCs w:val="1"/>
                <w:color w:val="auto"/>
              </w:rPr>
            </w:pPr>
          </w:p>
        </w:tc>
      </w:tr>
      <w:tr>
        <w:trPr>
          <w:trHeight w:val="20"/>
        </w:trPr>
        <w:tc>
          <w:tcPr>
            <w:tcW w:w="6760" w:type="dxa"/>
            <w:vAlign w:val="bottom"/>
            <w:gridSpan w:val="2"/>
            <w:vMerge w:val="restart"/>
          </w:tcPr>
          <w:p>
            <w:pPr>
              <w:spacing w:after="0"/>
              <w:rPr>
                <w:sz w:val="20"/>
                <w:szCs w:val="20"/>
                <w:color w:val="auto"/>
              </w:rPr>
            </w:pPr>
            <w:r>
              <w:rPr>
                <w:rFonts w:ascii="Arial" w:cs="Arial" w:eastAsia="Arial" w:hAnsi="Arial"/>
                <w:sz w:val="18"/>
                <w:szCs w:val="18"/>
                <w:color w:val="auto"/>
              </w:rPr>
              <w:t>Loss before income taxes</w:t>
            </w: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gridSpan w:val="2"/>
            <w:vMerge w:val="restart"/>
          </w:tcPr>
          <w:p>
            <w:pPr>
              <w:jc w:val="right"/>
              <w:ind w:right="40"/>
              <w:spacing w:after="0"/>
              <w:rPr>
                <w:sz w:val="20"/>
                <w:szCs w:val="20"/>
                <w:color w:val="auto"/>
              </w:rPr>
            </w:pPr>
            <w:r>
              <w:rPr>
                <w:rFonts w:ascii="Arial" w:cs="Arial" w:eastAsia="Arial" w:hAnsi="Arial"/>
                <w:sz w:val="18"/>
                <w:szCs w:val="18"/>
                <w:color w:val="auto"/>
              </w:rPr>
              <w:t>(65.4)</w:t>
            </w:r>
          </w:p>
        </w:tc>
        <w:tc>
          <w:tcPr>
            <w:tcW w:w="18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20" w:type="dxa"/>
            <w:vAlign w:val="bottom"/>
            <w:gridSpan w:val="2"/>
            <w:vMerge w:val="restart"/>
          </w:tcPr>
          <w:p>
            <w:pPr>
              <w:jc w:val="right"/>
              <w:ind w:right="138"/>
              <w:spacing w:after="0"/>
              <w:rPr>
                <w:sz w:val="20"/>
                <w:szCs w:val="20"/>
                <w:color w:val="auto"/>
              </w:rPr>
            </w:pPr>
            <w:r>
              <w:rPr>
                <w:rFonts w:ascii="Arial" w:cs="Arial" w:eastAsia="Arial" w:hAnsi="Arial"/>
                <w:sz w:val="18"/>
                <w:szCs w:val="18"/>
                <w:color w:val="auto"/>
              </w:rPr>
              <w:t>(14.9)</w:t>
            </w: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vMerge w:val="restart"/>
          </w:tcPr>
          <w:p>
            <w:pPr>
              <w:jc w:val="right"/>
              <w:spacing w:after="0"/>
              <w:rPr>
                <w:sz w:val="20"/>
                <w:szCs w:val="20"/>
                <w:color w:val="auto"/>
              </w:rPr>
            </w:pPr>
            <w:r>
              <w:rPr>
                <w:rFonts w:ascii="Arial" w:cs="Arial" w:eastAsia="Arial" w:hAnsi="Arial"/>
                <w:sz w:val="18"/>
                <w:szCs w:val="18"/>
                <w:color w:val="auto"/>
              </w:rPr>
              <w:t>268.1</w:t>
            </w: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6760" w:type="dxa"/>
            <w:vAlign w:val="bottom"/>
            <w:gridSpan w:val="2"/>
            <w:vMerge w:val="continue"/>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8"/>
                <w:szCs w:val="18"/>
                <w:color w:val="auto"/>
                <w:w w:val="87"/>
              </w:rPr>
              <w:t>(129.2)</w:t>
            </w:r>
          </w:p>
        </w:tc>
        <w:tc>
          <w:tcPr>
            <w:tcW w:w="600" w:type="dxa"/>
            <w:vAlign w:val="bottom"/>
            <w:gridSpan w:val="2"/>
            <w:vMerge w:val="continue"/>
          </w:tcPr>
          <w:p>
            <w:pPr>
              <w:spacing w:after="0"/>
              <w:rPr>
                <w:sz w:val="19"/>
                <w:szCs w:val="19"/>
                <w:color w:val="auto"/>
              </w:rPr>
            </w:pPr>
          </w:p>
        </w:tc>
        <w:tc>
          <w:tcPr>
            <w:tcW w:w="980" w:type="dxa"/>
            <w:vAlign w:val="bottom"/>
            <w:gridSpan w:val="3"/>
          </w:tcPr>
          <w:p>
            <w:pPr>
              <w:jc w:val="right"/>
              <w:ind w:right="152"/>
              <w:spacing w:after="0"/>
              <w:rPr>
                <w:sz w:val="20"/>
                <w:szCs w:val="20"/>
                <w:color w:val="auto"/>
              </w:rPr>
            </w:pPr>
            <w:r>
              <w:rPr>
                <w:rFonts w:ascii="Arial" w:cs="Arial" w:eastAsia="Arial" w:hAnsi="Arial"/>
                <w:sz w:val="18"/>
                <w:szCs w:val="18"/>
                <w:color w:val="auto"/>
              </w:rPr>
              <w:t>(35.1)</w:t>
            </w:r>
          </w:p>
        </w:tc>
        <w:tc>
          <w:tcPr>
            <w:tcW w:w="820" w:type="dxa"/>
            <w:vAlign w:val="bottom"/>
            <w:gridSpan w:val="2"/>
            <w:vMerge w:val="continue"/>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8"/>
                <w:szCs w:val="18"/>
                <w:color w:val="auto"/>
              </w:rPr>
              <w:t>(94.1)</w:t>
            </w:r>
          </w:p>
        </w:tc>
        <w:tc>
          <w:tcPr>
            <w:tcW w:w="540" w:type="dxa"/>
            <w:vAlign w:val="bottom"/>
            <w:vMerge w:val="continue"/>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740" w:type="dxa"/>
            <w:vAlign w:val="bottom"/>
            <w:shd w:val="clear" w:color="auto" w:fill="CCEEFF"/>
          </w:tcPr>
          <w:p>
            <w:pPr>
              <w:spacing w:after="0"/>
              <w:rPr>
                <w:sz w:val="20"/>
                <w:szCs w:val="20"/>
                <w:color w:val="auto"/>
              </w:rPr>
            </w:pPr>
            <w:r>
              <w:rPr>
                <w:rFonts w:ascii="Arial" w:cs="Arial" w:eastAsia="Arial" w:hAnsi="Arial"/>
                <w:sz w:val="18"/>
                <w:szCs w:val="18"/>
                <w:color w:val="auto"/>
              </w:rPr>
              <w:t>Income tax expenses</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2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1.5</w:t>
            </w: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52"/>
              <w:spacing w:after="0"/>
              <w:rPr>
                <w:sz w:val="20"/>
                <w:szCs w:val="20"/>
                <w:color w:val="auto"/>
              </w:rPr>
            </w:pPr>
            <w:r>
              <w:rPr>
                <w:rFonts w:ascii="Arial" w:cs="Arial" w:eastAsia="Arial" w:hAnsi="Arial"/>
                <w:sz w:val="18"/>
                <w:szCs w:val="18"/>
                <w:color w:val="auto"/>
              </w:rPr>
              <w:t>(1.6)</w:t>
            </w:r>
          </w:p>
        </w:tc>
        <w:tc>
          <w:tcPr>
            <w:tcW w:w="820" w:type="dxa"/>
            <w:vAlign w:val="bottom"/>
            <w:gridSpan w:val="2"/>
            <w:shd w:val="clear" w:color="auto" w:fill="CCEEFF"/>
          </w:tcPr>
          <w:p>
            <w:pPr>
              <w:jc w:val="right"/>
              <w:ind w:right="138"/>
              <w:spacing w:after="0"/>
              <w:rPr>
                <w:sz w:val="20"/>
                <w:szCs w:val="20"/>
                <w:color w:val="auto"/>
              </w:rPr>
            </w:pPr>
            <w:r>
              <w:rPr>
                <w:rFonts w:ascii="Arial" w:cs="Arial" w:eastAsia="Arial" w:hAnsi="Arial"/>
                <w:sz w:val="18"/>
                <w:szCs w:val="18"/>
                <w:color w:val="auto"/>
              </w:rPr>
              <w:t>(0.7)</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26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(281.3)</w:t>
            </w:r>
          </w:p>
        </w:tc>
        <w:tc>
          <w:tcPr>
            <w:tcW w:w="0" w:type="dxa"/>
            <w:vAlign w:val="bottom"/>
          </w:tcPr>
          <w:p>
            <w:pPr>
              <w:spacing w:after="0"/>
              <w:rPr>
                <w:sz w:val="1"/>
                <w:szCs w:val="1"/>
                <w:color w:val="auto"/>
              </w:rPr>
            </w:pPr>
          </w:p>
        </w:tc>
      </w:tr>
      <w:tr>
        <w:trPr>
          <w:trHeight w:val="20"/>
        </w:trPr>
        <w:tc>
          <w:tcPr>
            <w:tcW w:w="6760" w:type="dxa"/>
            <w:vAlign w:val="bottom"/>
            <w:gridSpan w:val="2"/>
            <w:vMerge w:val="restart"/>
          </w:tcPr>
          <w:p>
            <w:pPr>
              <w:spacing w:after="0"/>
              <w:rPr>
                <w:sz w:val="20"/>
                <w:szCs w:val="20"/>
                <w:color w:val="auto"/>
              </w:rPr>
            </w:pPr>
            <w:r>
              <w:rPr>
                <w:rFonts w:ascii="Arial" w:cs="Arial" w:eastAsia="Arial" w:hAnsi="Arial"/>
                <w:sz w:val="18"/>
                <w:szCs w:val="18"/>
                <w:color w:val="auto"/>
              </w:rPr>
              <w:t>Net loss</w:t>
            </w: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gridSpan w:val="2"/>
            <w:vMerge w:val="restart"/>
          </w:tcPr>
          <w:p>
            <w:pPr>
              <w:jc w:val="right"/>
              <w:ind w:right="40"/>
              <w:spacing w:after="0"/>
              <w:rPr>
                <w:sz w:val="20"/>
                <w:szCs w:val="20"/>
                <w:color w:val="auto"/>
              </w:rPr>
            </w:pPr>
            <w:r>
              <w:rPr>
                <w:rFonts w:ascii="Arial" w:cs="Arial" w:eastAsia="Arial" w:hAnsi="Arial"/>
                <w:sz w:val="18"/>
                <w:szCs w:val="18"/>
                <w:color w:val="auto"/>
              </w:rPr>
              <w:t>(66.9)</w:t>
            </w:r>
          </w:p>
        </w:tc>
        <w:tc>
          <w:tcPr>
            <w:tcW w:w="18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20" w:type="dxa"/>
            <w:vAlign w:val="bottom"/>
            <w:gridSpan w:val="2"/>
            <w:vMerge w:val="restart"/>
          </w:tcPr>
          <w:p>
            <w:pPr>
              <w:jc w:val="right"/>
              <w:ind w:right="138"/>
              <w:spacing w:after="0"/>
              <w:rPr>
                <w:sz w:val="20"/>
                <w:szCs w:val="20"/>
                <w:color w:val="auto"/>
              </w:rPr>
            </w:pPr>
            <w:r>
              <w:rPr>
                <w:rFonts w:ascii="Arial" w:cs="Arial" w:eastAsia="Arial" w:hAnsi="Arial"/>
                <w:sz w:val="18"/>
                <w:szCs w:val="18"/>
                <w:color w:val="auto"/>
              </w:rPr>
              <w:t>(14.2)</w:t>
            </w: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vMerge w:val="restart"/>
          </w:tcPr>
          <w:p>
            <w:pPr>
              <w:jc w:val="right"/>
              <w:spacing w:after="0"/>
              <w:rPr>
                <w:sz w:val="20"/>
                <w:szCs w:val="20"/>
                <w:color w:val="auto"/>
              </w:rPr>
            </w:pPr>
            <w:r>
              <w:rPr>
                <w:rFonts w:ascii="Arial" w:cs="Arial" w:eastAsia="Arial" w:hAnsi="Arial"/>
                <w:sz w:val="18"/>
                <w:szCs w:val="18"/>
                <w:color w:val="auto"/>
              </w:rPr>
              <w:t>294.3</w:t>
            </w: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6760" w:type="dxa"/>
            <w:vAlign w:val="bottom"/>
            <w:gridSpan w:val="2"/>
            <w:vMerge w:val="continue"/>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gridSpan w:val="2"/>
          </w:tcPr>
          <w:p>
            <w:pPr>
              <w:jc w:val="right"/>
              <w:ind w:right="220"/>
              <w:spacing w:after="0"/>
              <w:rPr>
                <w:sz w:val="20"/>
                <w:szCs w:val="20"/>
                <w:color w:val="auto"/>
              </w:rPr>
            </w:pPr>
            <w:r>
              <w:rPr>
                <w:rFonts w:ascii="Arial" w:cs="Arial" w:eastAsia="Arial" w:hAnsi="Arial"/>
                <w:sz w:val="18"/>
                <w:szCs w:val="18"/>
                <w:color w:val="auto"/>
                <w:w w:val="87"/>
              </w:rPr>
              <w:t>(132.1)</w:t>
            </w:r>
          </w:p>
        </w:tc>
        <w:tc>
          <w:tcPr>
            <w:tcW w:w="600" w:type="dxa"/>
            <w:vAlign w:val="bottom"/>
            <w:gridSpan w:val="2"/>
            <w:vMerge w:val="continue"/>
          </w:tcPr>
          <w:p>
            <w:pPr>
              <w:spacing w:after="0"/>
              <w:rPr>
                <w:sz w:val="19"/>
                <w:szCs w:val="19"/>
                <w:color w:val="auto"/>
              </w:rPr>
            </w:pPr>
          </w:p>
        </w:tc>
        <w:tc>
          <w:tcPr>
            <w:tcW w:w="980" w:type="dxa"/>
            <w:vAlign w:val="bottom"/>
            <w:gridSpan w:val="3"/>
          </w:tcPr>
          <w:p>
            <w:pPr>
              <w:jc w:val="right"/>
              <w:ind w:right="152"/>
              <w:spacing w:after="0"/>
              <w:rPr>
                <w:sz w:val="20"/>
                <w:szCs w:val="20"/>
                <w:color w:val="auto"/>
              </w:rPr>
            </w:pPr>
            <w:r>
              <w:rPr>
                <w:rFonts w:ascii="Arial" w:cs="Arial" w:eastAsia="Arial" w:hAnsi="Arial"/>
                <w:sz w:val="18"/>
                <w:szCs w:val="18"/>
                <w:color w:val="auto"/>
              </w:rPr>
              <w:t>$ (33.5)</w:t>
            </w:r>
          </w:p>
        </w:tc>
        <w:tc>
          <w:tcPr>
            <w:tcW w:w="820" w:type="dxa"/>
            <w:vAlign w:val="bottom"/>
            <w:gridSpan w:val="2"/>
            <w:vMerge w:val="continue"/>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gridSpan w:val="2"/>
          </w:tcPr>
          <w:p>
            <w:pPr>
              <w:jc w:val="right"/>
              <w:ind w:right="200"/>
              <w:spacing w:after="0"/>
              <w:rPr>
                <w:sz w:val="20"/>
                <w:szCs w:val="20"/>
                <w:color w:val="auto"/>
              </w:rPr>
            </w:pPr>
            <w:r>
              <w:rPr>
                <w:rFonts w:ascii="Arial" w:cs="Arial" w:eastAsia="Arial" w:hAnsi="Arial"/>
                <w:sz w:val="18"/>
                <w:szCs w:val="18"/>
                <w:color w:val="auto"/>
              </w:rPr>
              <w:t>(98.6)</w:t>
            </w:r>
          </w:p>
        </w:tc>
        <w:tc>
          <w:tcPr>
            <w:tcW w:w="540" w:type="dxa"/>
            <w:vAlign w:val="bottom"/>
            <w:vMerge w:val="continue"/>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7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160" w:firstLine="456"/>
        <w:spacing w:after="0" w:line="256" w:lineRule="auto"/>
        <w:rPr>
          <w:sz w:val="20"/>
          <w:szCs w:val="20"/>
          <w:color w:val="auto"/>
        </w:rPr>
      </w:pPr>
      <w:r>
        <w:rPr>
          <w:rFonts w:ascii="Arial" w:cs="Arial" w:eastAsia="Arial" w:hAnsi="Arial"/>
          <w:sz w:val="18"/>
          <w:szCs w:val="18"/>
          <w:i w:val="1"/>
          <w:iCs w:val="1"/>
          <w:color w:val="auto"/>
        </w:rPr>
        <w:t>Net Sales</w:t>
      </w:r>
      <w:r>
        <w:rPr>
          <w:rFonts w:ascii="Arial" w:cs="Arial" w:eastAsia="Arial" w:hAnsi="Arial"/>
          <w:sz w:val="18"/>
          <w:szCs w:val="18"/>
          <w:color w:val="auto"/>
        </w:rPr>
        <w:t>. Net sales for the three months ended July 2, 2006 were $197.6 million, a $38.4 million or 16.3% decrease from $236 million for the three</w:t>
      </w:r>
      <w:r>
        <w:rPr>
          <w:rFonts w:ascii="Arial" w:cs="Arial" w:eastAsia="Arial" w:hAnsi="Arial"/>
          <w:sz w:val="18"/>
          <w:szCs w:val="18"/>
          <w:i w:val="1"/>
          <w:iCs w:val="1"/>
          <w:color w:val="auto"/>
        </w:rPr>
        <w:t xml:space="preserve"> </w:t>
      </w:r>
      <w:r>
        <w:rPr>
          <w:rFonts w:ascii="Arial" w:cs="Arial" w:eastAsia="Arial" w:hAnsi="Arial"/>
          <w:sz w:val="18"/>
          <w:szCs w:val="18"/>
          <w:color w:val="auto"/>
        </w:rPr>
        <w:t>months ended July 3, 2005. The year-over-year decrease in net sales is mainly due to discontinuation of our application processor business and DRAM foundry service, coupled with new product introduction delays in our core business. We completed the divesture of our application processor business in the first quarter of 2006 to focus on our core business.</w:t>
      </w:r>
    </w:p>
    <w:p>
      <w:pPr>
        <w:spacing w:after="0" w:line="143" w:lineRule="exact"/>
        <w:rPr>
          <w:sz w:val="20"/>
          <w:szCs w:val="20"/>
          <w:color w:val="auto"/>
        </w:rPr>
      </w:pPr>
    </w:p>
    <w:p>
      <w:pPr>
        <w:ind w:right="40" w:firstLine="456"/>
        <w:spacing w:after="0" w:line="306" w:lineRule="auto"/>
        <w:rPr>
          <w:sz w:val="20"/>
          <w:szCs w:val="20"/>
          <w:color w:val="auto"/>
        </w:rPr>
      </w:pPr>
      <w:r>
        <w:rPr>
          <w:rFonts w:ascii="Arial" w:cs="Arial" w:eastAsia="Arial" w:hAnsi="Arial"/>
          <w:sz w:val="16"/>
          <w:szCs w:val="16"/>
          <w:color w:val="auto"/>
        </w:rPr>
        <w:t>Net sales from our core business for the three months ended July 2, 2006 was $179.8 million, a decrease of $25.4 million or 12.4% from $205.2 million for the three months ended July 3, 2005. This decrease was primarily attributable to a revenue reduction of $28.8 in our imaging solution business. Delays in the launch of new megapixel products and continued average selling price pressure for VGA products resulted in the revenue decrease in this business.</w:t>
      </w:r>
    </w:p>
    <w:p>
      <w:pPr>
        <w:spacing w:after="0" w:line="107"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i w:val="1"/>
          <w:iCs w:val="1"/>
          <w:color w:val="auto"/>
        </w:rPr>
        <w:t>Cost of Sales</w:t>
      </w:r>
      <w:r>
        <w:rPr>
          <w:rFonts w:ascii="Arial" w:cs="Arial" w:eastAsia="Arial" w:hAnsi="Arial"/>
          <w:sz w:val="16"/>
          <w:szCs w:val="16"/>
          <w:color w:val="auto"/>
        </w:rPr>
        <w:t>. Cost of sales was $177.3 million during the current quarter, relatively consistent, on an absolute dollar basis, with cost of sales of $175.6</w:t>
      </w:r>
      <w:r>
        <w:rPr>
          <w:rFonts w:ascii="Arial" w:cs="Arial" w:eastAsia="Arial" w:hAnsi="Arial"/>
          <w:sz w:val="16"/>
          <w:szCs w:val="16"/>
          <w:i w:val="1"/>
          <w:iCs w:val="1"/>
          <w:color w:val="auto"/>
        </w:rPr>
        <w:t xml:space="preserve"> </w:t>
      </w:r>
      <w:r>
        <w:rPr>
          <w:rFonts w:ascii="Arial" w:cs="Arial" w:eastAsia="Arial" w:hAnsi="Arial"/>
          <w:sz w:val="16"/>
          <w:szCs w:val="16"/>
          <w:color w:val="auto"/>
        </w:rPr>
        <w:t>million in the prior year quarter. Marginal decrease in variable costs, which was driven by lower sales volume, was more than offset by inventory charges under SFAS No. 151 and increased provisions for inventory valuation reserves. In accordance with SFAS No. 151, certain manufacturing overhead costs were expensed rather than being capitalized as inventory due to under-utilization of certain fabrication facility. Inventory reserve provisions were increased mainly due to average selling price declines that resulted in lower of cost or market adjustments as well as excessive inventory in display driver products. Cost of sales as a percentage of net sales was 89.7% in the current quarter compared to 74.4% in the prior year quarter.</w:t>
      </w:r>
    </w:p>
    <w:p>
      <w:pPr>
        <w:spacing w:after="0" w:line="120"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i w:val="1"/>
          <w:iCs w:val="1"/>
          <w:color w:val="auto"/>
        </w:rPr>
        <w:t xml:space="preserve">Selling, General and Administrative Expenses. </w:t>
      </w:r>
      <w:r>
        <w:rPr>
          <w:rFonts w:ascii="Arial" w:cs="Arial" w:eastAsia="Arial" w:hAnsi="Arial"/>
          <w:sz w:val="18"/>
          <w:szCs w:val="18"/>
          <w:color w:val="auto"/>
        </w:rPr>
        <w:t>Selling, general and administrative expenses were $22.0 million or 11.1% of net sales for the three months</w:t>
      </w:r>
      <w:r>
        <w:rPr>
          <w:rFonts w:ascii="Arial" w:cs="Arial" w:eastAsia="Arial" w:hAnsi="Arial"/>
          <w:sz w:val="18"/>
          <w:szCs w:val="18"/>
          <w:i w:val="1"/>
          <w:iCs w:val="1"/>
          <w:color w:val="auto"/>
        </w:rPr>
        <w:t xml:space="preserve"> </w:t>
      </w:r>
      <w:r>
        <w:rPr>
          <w:rFonts w:ascii="Arial" w:cs="Arial" w:eastAsia="Arial" w:hAnsi="Arial"/>
          <w:sz w:val="18"/>
          <w:szCs w:val="18"/>
          <w:color w:val="auto"/>
        </w:rPr>
        <w:t>ended July 2, 2006 compared to $32.5 million or 13.8% for the three months ended July 3, 2005. The decrease of $10.5 million or 32.3% from the prior year quarter was primarily due to lower amortization of intangible assets from the sale of our application processor business in the first quarter of 2006. In addition, a reduction in provisions for customer claims and returns was reflected during the quarter as a result of improvement in quality control and lower actual experience rates and projected claims.</w:t>
      </w:r>
    </w:p>
    <w:p>
      <w:pPr>
        <w:spacing w:after="0" w:line="143"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i w:val="1"/>
          <w:iCs w:val="1"/>
          <w:color w:val="auto"/>
        </w:rPr>
        <w:t xml:space="preserve">Research and Development Expenses. </w:t>
      </w:r>
      <w:r>
        <w:rPr>
          <w:rFonts w:ascii="Arial" w:cs="Arial" w:eastAsia="Arial" w:hAnsi="Arial"/>
          <w:sz w:val="16"/>
          <w:szCs w:val="16"/>
          <w:color w:val="auto"/>
        </w:rPr>
        <w:t>Research and development expenses for the current quarter were $33.9 million, an increase of $6.4 million or 23.3%</w:t>
      </w:r>
      <w:r>
        <w:rPr>
          <w:rFonts w:ascii="Arial" w:cs="Arial" w:eastAsia="Arial" w:hAnsi="Arial"/>
          <w:sz w:val="16"/>
          <w:szCs w:val="16"/>
          <w:i w:val="1"/>
          <w:iCs w:val="1"/>
          <w:color w:val="auto"/>
        </w:rPr>
        <w:t xml:space="preserve"> </w:t>
      </w:r>
      <w:r>
        <w:rPr>
          <w:rFonts w:ascii="Arial" w:cs="Arial" w:eastAsia="Arial" w:hAnsi="Arial"/>
          <w:sz w:val="16"/>
          <w:szCs w:val="16"/>
          <w:color w:val="auto"/>
        </w:rPr>
        <w:t>from $27.5 million for the prior year quarter. This increase in research and development expenses was mainly attributable to increased technology license fees and additional research and development staffing and activity from the acquisition of ISRON Corporation and IC Media Corporation. As a percentage of net sales, research and development expense in the second quarter of 2006 increased to 17.2% from 11.7% of net sales in the second quarter of 2005.</w:t>
      </w:r>
    </w:p>
    <w:p>
      <w:pPr>
        <w:spacing w:after="0" w:line="113" w:lineRule="exact"/>
        <w:rPr>
          <w:sz w:val="20"/>
          <w:szCs w:val="20"/>
          <w:color w:val="auto"/>
        </w:rPr>
      </w:pPr>
    </w:p>
    <w:p>
      <w:pPr>
        <w:ind w:right="380" w:firstLine="456"/>
        <w:spacing w:after="0" w:line="256" w:lineRule="auto"/>
        <w:rPr>
          <w:sz w:val="20"/>
          <w:szCs w:val="20"/>
          <w:color w:val="auto"/>
        </w:rPr>
      </w:pPr>
      <w:r>
        <w:rPr>
          <w:rFonts w:ascii="Arial" w:cs="Arial" w:eastAsia="Arial" w:hAnsi="Arial"/>
          <w:sz w:val="18"/>
          <w:szCs w:val="18"/>
          <w:i w:val="1"/>
          <w:iCs w:val="1"/>
          <w:color w:val="auto"/>
        </w:rPr>
        <w:t xml:space="preserve">Restructuring and Impairment Charges. </w:t>
      </w:r>
      <w:r>
        <w:rPr>
          <w:rFonts w:ascii="Arial" w:cs="Arial" w:eastAsia="Arial" w:hAnsi="Arial"/>
          <w:sz w:val="18"/>
          <w:szCs w:val="18"/>
          <w:color w:val="auto"/>
        </w:rPr>
        <w:t>During the three months ended July 2, 2006, we recorded restructuring and impairment charges totaling $93.7</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million, which included $92.5 million of impairment under SFAS 144, </w:t>
      </w:r>
      <w:r>
        <w:rPr>
          <w:rFonts w:ascii="Arial" w:cs="Arial" w:eastAsia="Arial" w:hAnsi="Arial"/>
          <w:sz w:val="18"/>
          <w:szCs w:val="18"/>
          <w:i w:val="1"/>
          <w:iCs w:val="1"/>
          <w:color w:val="auto"/>
        </w:rPr>
        <w:t>Accounting for the Impairment or Disposal of Long-lived assets</w:t>
      </w:r>
      <w:r>
        <w:rPr>
          <w:rFonts w:ascii="Arial" w:cs="Arial" w:eastAsia="Arial" w:hAnsi="Arial"/>
          <w:sz w:val="18"/>
          <w:szCs w:val="18"/>
          <w:color w:val="auto"/>
        </w:rPr>
        <w:t xml:space="preserve"> and $1.2 million of restructuring under SFAS 146, </w:t>
      </w:r>
      <w:r>
        <w:rPr>
          <w:rFonts w:ascii="Arial" w:cs="Arial" w:eastAsia="Arial" w:hAnsi="Arial"/>
          <w:sz w:val="18"/>
          <w:szCs w:val="18"/>
          <w:i w:val="1"/>
          <w:iCs w:val="1"/>
          <w:color w:val="auto"/>
        </w:rPr>
        <w:t>Accounting for Costs Associated with Exit or Disposal Activities</w:t>
      </w:r>
      <w:r>
        <w:rPr>
          <w:rFonts w:ascii="Arial" w:cs="Arial" w:eastAsia="Arial" w:hAnsi="Arial"/>
          <w:sz w:val="18"/>
          <w:szCs w:val="18"/>
          <w:color w:val="auto"/>
        </w:rPr>
        <w:t>. The impairment charges were recorded against one of our fabrication facilities</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459" w:right="23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340"/>
        <w:spacing w:after="0" w:line="268" w:lineRule="auto"/>
        <w:rPr>
          <w:sz w:val="20"/>
          <w:szCs w:val="20"/>
          <w:color w:val="auto"/>
        </w:rPr>
      </w:pPr>
      <w:r>
        <w:rPr>
          <w:rFonts w:ascii="Arial" w:cs="Arial" w:eastAsia="Arial" w:hAnsi="Arial"/>
          <w:sz w:val="18"/>
          <w:szCs w:val="18"/>
          <w:color w:val="auto"/>
        </w:rPr>
        <w:t>(the “Fab”) and certain related technology and customer-based intangible assets (the “asset group”) and the restructuring charges were incurred in association with changes in certain of our management.</w:t>
      </w:r>
    </w:p>
    <w:p>
      <w:pPr>
        <w:spacing w:after="0" w:line="132"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From the fourth quarter of 2005 through the end of the first quarter of 2006, the capacity utilization of the Fab was under the level that we believe to be normal. This was primarily due to a transition in product mix coupled with a seasonal decrease in market demand, which was deemed to be temporary and recoverable. However, in the second quarter of 2006, our management determined, based on revised forecasting, that the projected demand for certain of its products was significantly less than previously forecasted and that this decline was not temporary or seasonal. Therefore, we assessed whether there had been a material impairment on the asset group pursuant to SFAS 144 and, based on the assessment, recorded impairment charges. The net book value of the tangible and intangible assets before the impairment charges was approximately $131,815 million and $54,170 thousand, respectively.</w:t>
      </w:r>
    </w:p>
    <w:p>
      <w:pPr>
        <w:spacing w:after="0" w:line="120"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The restructuring and impairment charges of $8.7 million for the prior year quarter were taken in connection with an impairment of certain tangible assets and an early retirement program.</w:t>
      </w:r>
    </w:p>
    <w:p>
      <w:pPr>
        <w:spacing w:after="0" w:line="132" w:lineRule="exact"/>
        <w:rPr>
          <w:sz w:val="20"/>
          <w:szCs w:val="20"/>
          <w:color w:val="auto"/>
        </w:rPr>
      </w:pPr>
    </w:p>
    <w:p>
      <w:pPr>
        <w:ind w:firstLine="456"/>
        <w:spacing w:after="0" w:line="335" w:lineRule="auto"/>
        <w:rPr>
          <w:sz w:val="20"/>
          <w:szCs w:val="20"/>
          <w:color w:val="auto"/>
        </w:rPr>
      </w:pPr>
      <w:r>
        <w:rPr>
          <w:rFonts w:ascii="Arial" w:cs="Arial" w:eastAsia="Arial" w:hAnsi="Arial"/>
          <w:sz w:val="15"/>
          <w:szCs w:val="15"/>
          <w:i w:val="1"/>
          <w:iCs w:val="1"/>
          <w:color w:val="auto"/>
        </w:rPr>
        <w:t xml:space="preserve">Operating Loss. </w:t>
      </w:r>
      <w:r>
        <w:rPr>
          <w:rFonts w:ascii="Arial" w:cs="Arial" w:eastAsia="Arial" w:hAnsi="Arial"/>
          <w:sz w:val="15"/>
          <w:szCs w:val="15"/>
          <w:color w:val="auto"/>
        </w:rPr>
        <w:t>Operating loss for the three-month period ended July 2, 2006 was $129.3 million compared to $8.3 million in the prior year quarter. The</w:t>
      </w:r>
      <w:r>
        <w:rPr>
          <w:rFonts w:ascii="Arial" w:cs="Arial" w:eastAsia="Arial" w:hAnsi="Arial"/>
          <w:sz w:val="15"/>
          <w:szCs w:val="15"/>
          <w:i w:val="1"/>
          <w:iCs w:val="1"/>
          <w:color w:val="auto"/>
        </w:rPr>
        <w:t xml:space="preserve"> </w:t>
      </w:r>
      <w:r>
        <w:rPr>
          <w:rFonts w:ascii="Arial" w:cs="Arial" w:eastAsia="Arial" w:hAnsi="Arial"/>
          <w:sz w:val="15"/>
          <w:szCs w:val="15"/>
          <w:color w:val="auto"/>
        </w:rPr>
        <w:t>increase of $121 million in the operating loss was primarily attributable to restructuring and impairment charges of $93.7 million taken in the second quarter of 2006 compounded by reduction in net sales. Operating loss as a percentage of net sales was 65.4% and 3.6% in the second quarter of 2006 and 2005, respectively.</w:t>
      </w:r>
    </w:p>
    <w:p>
      <w:pPr>
        <w:spacing w:after="0" w:line="88"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i w:val="1"/>
          <w:iCs w:val="1"/>
          <w:color w:val="auto"/>
        </w:rPr>
        <w:t xml:space="preserve">Net Interest Expense. </w:t>
      </w:r>
      <w:r>
        <w:rPr>
          <w:rFonts w:ascii="Arial" w:cs="Arial" w:eastAsia="Arial" w:hAnsi="Arial"/>
          <w:sz w:val="16"/>
          <w:szCs w:val="16"/>
          <w:color w:val="auto"/>
        </w:rPr>
        <w:t>Net interest expense was $14.4 million during the three-month period ended July 2, 2006, which is relatively consistent with $14.0</w:t>
      </w:r>
      <w:r>
        <w:rPr>
          <w:rFonts w:ascii="Arial" w:cs="Arial" w:eastAsia="Arial" w:hAnsi="Arial"/>
          <w:sz w:val="16"/>
          <w:szCs w:val="16"/>
          <w:i w:val="1"/>
          <w:iCs w:val="1"/>
          <w:color w:val="auto"/>
        </w:rPr>
        <w:t xml:space="preserve"> </w:t>
      </w:r>
      <w:r>
        <w:rPr>
          <w:rFonts w:ascii="Arial" w:cs="Arial" w:eastAsia="Arial" w:hAnsi="Arial"/>
          <w:sz w:val="16"/>
          <w:szCs w:val="16"/>
          <w:color w:val="auto"/>
        </w:rPr>
        <w:t>million for the three-month period ended July 3, 2005. Our interest expense is mostly to serve the long-term borrowings of $750.0 million, which include $300 million of Floating Rate Second Priority Senior Secured Notes. As a result of an interest rate swap entered into in the second quarter of 2005, the variable interest rate of such Notes was effectively converted to a fixed rate and we are not exposed to changes in interest rates until the interest rate swap is unwound on June 15, 2008. Refer to “Note 6. Long-term Borrowings” for details.</w:t>
      </w:r>
    </w:p>
    <w:p>
      <w:pPr>
        <w:spacing w:after="0" w:line="116" w:lineRule="exact"/>
        <w:rPr>
          <w:sz w:val="20"/>
          <w:szCs w:val="20"/>
          <w:color w:val="auto"/>
        </w:rPr>
      </w:pPr>
    </w:p>
    <w:p>
      <w:pPr>
        <w:ind w:right="120" w:firstLine="456"/>
        <w:spacing w:after="0" w:line="294" w:lineRule="auto"/>
        <w:rPr>
          <w:sz w:val="20"/>
          <w:szCs w:val="20"/>
          <w:color w:val="auto"/>
        </w:rPr>
      </w:pPr>
      <w:r>
        <w:rPr>
          <w:rFonts w:ascii="Arial" w:cs="Arial" w:eastAsia="Arial" w:hAnsi="Arial"/>
          <w:sz w:val="16"/>
          <w:szCs w:val="16"/>
          <w:i w:val="1"/>
          <w:iCs w:val="1"/>
          <w:color w:val="auto"/>
        </w:rPr>
        <w:t>Income Tax Expenses</w:t>
      </w:r>
      <w:r>
        <w:rPr>
          <w:rFonts w:ascii="Arial" w:cs="Arial" w:eastAsia="Arial" w:hAnsi="Arial"/>
          <w:sz w:val="16"/>
          <w:szCs w:val="16"/>
          <w:color w:val="auto"/>
        </w:rPr>
        <w:t>. Income tax expenses for the current quarter were $2.9 million compared to income tax benefits of $1.6 million for the same quarter</w:t>
      </w:r>
      <w:r>
        <w:rPr>
          <w:rFonts w:ascii="Arial" w:cs="Arial" w:eastAsia="Arial" w:hAnsi="Arial"/>
          <w:sz w:val="16"/>
          <w:szCs w:val="16"/>
          <w:i w:val="1"/>
          <w:iCs w:val="1"/>
          <w:color w:val="auto"/>
        </w:rPr>
        <w:t xml:space="preserve"> </w:t>
      </w:r>
      <w:r>
        <w:rPr>
          <w:rFonts w:ascii="Arial" w:cs="Arial" w:eastAsia="Arial" w:hAnsi="Arial"/>
          <w:sz w:val="16"/>
          <w:szCs w:val="16"/>
          <w:color w:val="auto"/>
        </w:rPr>
        <w:t>of 2005. The income tax benefits in the second quarter of 2005 were primarily attributable to the initial recognition of deferred tax assets for the temporary difference between taxable and accounting income at one of our subsidiaries. Excluding the impact from deferred tax accounting, our income tax expenses are mostly composed of withholding taxes on the interest paid by one of our subsidiaries to its parent company. Due to the uncertainty of utilization for foreign tax credits, we treated this withholding tax as a current tax expense.</w:t>
      </w:r>
    </w:p>
    <w:p>
      <w:pPr>
        <w:spacing w:after="0" w:line="10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00"/>
          </w:cols>
          <w:pgMar w:left="240" w:top="459" w:right="25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 - Comparison of Six-Month Periods Ended July 2, 2006 and July 3, 2005</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880" w:type="dxa"/>
            <w:vAlign w:val="bottom"/>
          </w:tcPr>
          <w:p>
            <w:pPr>
              <w:spacing w:after="0"/>
              <w:rPr>
                <w:sz w:val="14"/>
                <w:szCs w:val="14"/>
                <w:color w:val="auto"/>
              </w:rPr>
            </w:pPr>
          </w:p>
        </w:tc>
        <w:tc>
          <w:tcPr>
            <w:tcW w:w="1380" w:type="dxa"/>
            <w:vAlign w:val="bottom"/>
            <w:gridSpan w:val="4"/>
          </w:tcPr>
          <w:p>
            <w:pPr>
              <w:jc w:val="right"/>
              <w:ind w:right="220"/>
              <w:spacing w:after="0"/>
              <w:rPr>
                <w:sz w:val="20"/>
                <w:szCs w:val="20"/>
                <w:color w:val="auto"/>
              </w:rPr>
            </w:pPr>
            <w:r>
              <w:rPr>
                <w:rFonts w:ascii="Arial" w:cs="Arial" w:eastAsia="Arial" w:hAnsi="Arial"/>
                <w:sz w:val="14"/>
                <w:szCs w:val="14"/>
                <w:b w:val="1"/>
                <w:bCs w:val="1"/>
                <w:color w:val="auto"/>
                <w:w w:val="94"/>
              </w:rPr>
              <w:t>Six months ended</w:t>
            </w:r>
          </w:p>
        </w:tc>
        <w:tc>
          <w:tcPr>
            <w:tcW w:w="200" w:type="dxa"/>
            <w:vAlign w:val="bottom"/>
          </w:tcPr>
          <w:p>
            <w:pPr>
              <w:spacing w:after="0"/>
              <w:rPr>
                <w:sz w:val="14"/>
                <w:szCs w:val="14"/>
                <w:color w:val="auto"/>
              </w:rPr>
            </w:pPr>
          </w:p>
        </w:tc>
        <w:tc>
          <w:tcPr>
            <w:tcW w:w="1520" w:type="dxa"/>
            <w:vAlign w:val="bottom"/>
            <w:gridSpan w:val="4"/>
          </w:tcPr>
          <w:p>
            <w:pPr>
              <w:jc w:val="right"/>
              <w:ind w:right="312"/>
              <w:spacing w:after="0"/>
              <w:rPr>
                <w:sz w:val="20"/>
                <w:szCs w:val="20"/>
                <w:color w:val="auto"/>
              </w:rPr>
            </w:pPr>
            <w:r>
              <w:rPr>
                <w:rFonts w:ascii="Arial" w:cs="Arial" w:eastAsia="Arial" w:hAnsi="Arial"/>
                <w:sz w:val="14"/>
                <w:szCs w:val="14"/>
                <w:b w:val="1"/>
                <w:bCs w:val="1"/>
                <w:color w:val="auto"/>
                <w:w w:val="92"/>
              </w:rPr>
              <w:t>Six months ended</w:t>
            </w: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6880" w:type="dxa"/>
            <w:vAlign w:val="bottom"/>
          </w:tcPr>
          <w:p>
            <w:pPr>
              <w:spacing w:after="0"/>
              <w:rPr>
                <w:sz w:val="15"/>
                <w:szCs w:val="15"/>
                <w:color w:val="auto"/>
              </w:rPr>
            </w:pPr>
          </w:p>
        </w:tc>
        <w:tc>
          <w:tcPr>
            <w:tcW w:w="1380" w:type="dxa"/>
            <w:vAlign w:val="bottom"/>
            <w:gridSpan w:val="4"/>
          </w:tcPr>
          <w:p>
            <w:pPr>
              <w:jc w:val="right"/>
              <w:ind w:right="380"/>
              <w:spacing w:after="0"/>
              <w:rPr>
                <w:sz w:val="20"/>
                <w:szCs w:val="20"/>
                <w:color w:val="auto"/>
              </w:rPr>
            </w:pPr>
            <w:r>
              <w:rPr>
                <w:rFonts w:ascii="Arial" w:cs="Arial" w:eastAsia="Arial" w:hAnsi="Arial"/>
                <w:sz w:val="14"/>
                <w:szCs w:val="14"/>
                <w:b w:val="1"/>
                <w:bCs w:val="1"/>
                <w:color w:val="auto"/>
              </w:rPr>
              <w:t>July 2, 2006</w:t>
            </w:r>
          </w:p>
        </w:tc>
        <w:tc>
          <w:tcPr>
            <w:tcW w:w="200" w:type="dxa"/>
            <w:vAlign w:val="bottom"/>
          </w:tcPr>
          <w:p>
            <w:pPr>
              <w:spacing w:after="0"/>
              <w:rPr>
                <w:sz w:val="15"/>
                <w:szCs w:val="15"/>
                <w:color w:val="auto"/>
              </w:rPr>
            </w:pPr>
          </w:p>
        </w:tc>
        <w:tc>
          <w:tcPr>
            <w:tcW w:w="1520" w:type="dxa"/>
            <w:vAlign w:val="bottom"/>
            <w:gridSpan w:val="4"/>
          </w:tcPr>
          <w:p>
            <w:pPr>
              <w:jc w:val="right"/>
              <w:ind w:right="492"/>
              <w:spacing w:after="0"/>
              <w:rPr>
                <w:sz w:val="20"/>
                <w:szCs w:val="20"/>
                <w:color w:val="auto"/>
              </w:rPr>
            </w:pPr>
            <w:r>
              <w:rPr>
                <w:rFonts w:ascii="Arial" w:cs="Arial" w:eastAsia="Arial" w:hAnsi="Arial"/>
                <w:sz w:val="14"/>
                <w:szCs w:val="14"/>
                <w:b w:val="1"/>
                <w:bCs w:val="1"/>
                <w:color w:val="auto"/>
              </w:rPr>
              <w:t>July 3, 2005</w:t>
            </w:r>
          </w:p>
        </w:tc>
        <w:tc>
          <w:tcPr>
            <w:tcW w:w="100" w:type="dxa"/>
            <w:vAlign w:val="bottom"/>
          </w:tcPr>
          <w:p>
            <w:pPr>
              <w:spacing w:after="0"/>
              <w:rPr>
                <w:sz w:val="15"/>
                <w:szCs w:val="15"/>
                <w:color w:val="auto"/>
              </w:rPr>
            </w:pPr>
          </w:p>
        </w:tc>
        <w:tc>
          <w:tcPr>
            <w:tcW w:w="1320" w:type="dxa"/>
            <w:vAlign w:val="bottom"/>
            <w:gridSpan w:val="4"/>
          </w:tcPr>
          <w:p>
            <w:pPr>
              <w:jc w:val="right"/>
              <w:ind w:right="520"/>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80" w:type="dxa"/>
            <w:vAlign w:val="bottom"/>
          </w:tcPr>
          <w:p>
            <w:pPr>
              <w:spacing w:after="0"/>
              <w:rPr>
                <w:sz w:val="11"/>
                <w:szCs w:val="11"/>
                <w:color w:val="auto"/>
              </w:rPr>
            </w:pPr>
          </w:p>
        </w:tc>
        <w:tc>
          <w:tcPr>
            <w:tcW w:w="540" w:type="dxa"/>
            <w:vAlign w:val="bottom"/>
            <w:tcBorders>
              <w:top w:val="single" w:sz="8" w:color="auto"/>
            </w:tcBorders>
          </w:tcPr>
          <w:p>
            <w:pPr>
              <w:spacing w:after="0"/>
              <w:rPr>
                <w:sz w:val="11"/>
                <w:szCs w:val="11"/>
                <w:color w:val="auto"/>
              </w:rPr>
            </w:pPr>
          </w:p>
        </w:tc>
        <w:tc>
          <w:tcPr>
            <w:tcW w:w="280" w:type="dxa"/>
            <w:vAlign w:val="bottom"/>
            <w:tcBorders>
              <w:top w:val="single" w:sz="8" w:color="auto"/>
            </w:tcBorders>
          </w:tcPr>
          <w:p>
            <w:pPr>
              <w:spacing w:after="0"/>
              <w:rPr>
                <w:sz w:val="11"/>
                <w:szCs w:val="11"/>
                <w:color w:val="auto"/>
              </w:rPr>
            </w:pPr>
          </w:p>
        </w:tc>
        <w:tc>
          <w:tcPr>
            <w:tcW w:w="480" w:type="dxa"/>
            <w:vAlign w:val="bottom"/>
            <w:tcBorders>
              <w:top w:val="single" w:sz="8" w:color="auto"/>
            </w:tcBorders>
          </w:tcPr>
          <w:p>
            <w:pPr>
              <w:jc w:val="right"/>
              <w:ind w:right="15"/>
              <w:spacing w:after="0" w:line="129" w:lineRule="exact"/>
              <w:rPr>
                <w:sz w:val="20"/>
                <w:szCs w:val="20"/>
                <w:color w:val="auto"/>
              </w:rPr>
            </w:pPr>
            <w:r>
              <w:rPr>
                <w:rFonts w:ascii="Arial" w:cs="Arial" w:eastAsia="Arial" w:hAnsi="Arial"/>
                <w:sz w:val="14"/>
                <w:szCs w:val="14"/>
                <w:b w:val="1"/>
                <w:bCs w:val="1"/>
                <w:color w:val="auto"/>
              </w:rPr>
              <w:t>% of</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Borders>
              <w:top w:val="single" w:sz="8" w:color="auto"/>
            </w:tcBorders>
          </w:tcPr>
          <w:p>
            <w:pPr>
              <w:spacing w:after="0"/>
              <w:rPr>
                <w:sz w:val="11"/>
                <w:szCs w:val="11"/>
                <w:color w:val="auto"/>
              </w:rPr>
            </w:pPr>
          </w:p>
        </w:tc>
        <w:tc>
          <w:tcPr>
            <w:tcW w:w="260" w:type="dxa"/>
            <w:vAlign w:val="bottom"/>
            <w:tcBorders>
              <w:top w:val="single" w:sz="8" w:color="auto"/>
            </w:tcBorders>
          </w:tcPr>
          <w:p>
            <w:pPr>
              <w:spacing w:after="0"/>
              <w:rPr>
                <w:sz w:val="11"/>
                <w:szCs w:val="11"/>
                <w:color w:val="auto"/>
              </w:rPr>
            </w:pPr>
          </w:p>
        </w:tc>
        <w:tc>
          <w:tcPr>
            <w:tcW w:w="500" w:type="dxa"/>
            <w:vAlign w:val="bottom"/>
            <w:tcBorders>
              <w:top w:val="single" w:sz="8" w:color="auto"/>
            </w:tcBorders>
          </w:tcPr>
          <w:p>
            <w:pPr>
              <w:jc w:val="right"/>
              <w:ind w:right="35"/>
              <w:spacing w:after="0" w:line="129" w:lineRule="exact"/>
              <w:rPr>
                <w:sz w:val="20"/>
                <w:szCs w:val="20"/>
                <w:color w:val="auto"/>
              </w:rPr>
            </w:pPr>
            <w:r>
              <w:rPr>
                <w:rFonts w:ascii="Arial" w:cs="Arial" w:eastAsia="Arial" w:hAnsi="Arial"/>
                <w:sz w:val="14"/>
                <w:szCs w:val="14"/>
                <w:b w:val="1"/>
                <w:bCs w:val="1"/>
                <w:color w:val="auto"/>
              </w:rPr>
              <w:t>% of</w:t>
            </w:r>
          </w:p>
        </w:tc>
        <w:tc>
          <w:tcPr>
            <w:tcW w:w="26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460" w:type="dxa"/>
            <w:vAlign w:val="bottom"/>
            <w:tcBorders>
              <w:top w:val="single" w:sz="8" w:color="auto"/>
            </w:tcBorders>
          </w:tcPr>
          <w:p>
            <w:pPr>
              <w:spacing w:after="0"/>
              <w:rPr>
                <w:sz w:val="11"/>
                <w:szCs w:val="11"/>
                <w:color w:val="auto"/>
              </w:rPr>
            </w:pPr>
          </w:p>
        </w:tc>
        <w:tc>
          <w:tcPr>
            <w:tcW w:w="260" w:type="dxa"/>
            <w:vAlign w:val="bottom"/>
            <w:tcBorders>
              <w:top w:val="single" w:sz="8" w:color="auto"/>
            </w:tcBorders>
          </w:tcPr>
          <w:p>
            <w:pPr>
              <w:spacing w:after="0"/>
              <w:rPr>
                <w:sz w:val="11"/>
                <w:szCs w:val="11"/>
                <w:color w:val="auto"/>
              </w:rPr>
            </w:pPr>
          </w:p>
        </w:tc>
        <w:tc>
          <w:tcPr>
            <w:tcW w:w="540" w:type="dxa"/>
            <w:vAlign w:val="bottom"/>
            <w:tcBorders>
              <w:top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688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Arial" w:cs="Arial" w:eastAsia="Arial" w:hAnsi="Arial"/>
                <w:sz w:val="14"/>
                <w:szCs w:val="14"/>
                <w:b w:val="1"/>
                <w:bCs w:val="1"/>
                <w:color w:val="auto"/>
                <w:w w:val="90"/>
              </w:rPr>
              <w:t>Amount</w:t>
            </w:r>
          </w:p>
        </w:tc>
        <w:tc>
          <w:tcPr>
            <w:tcW w:w="280" w:type="dxa"/>
            <w:vAlign w:val="bottom"/>
          </w:tcPr>
          <w:p>
            <w:pPr>
              <w:spacing w:after="0"/>
              <w:rPr>
                <w:sz w:val="15"/>
                <w:szCs w:val="15"/>
                <w:color w:val="auto"/>
              </w:rPr>
            </w:pPr>
          </w:p>
        </w:tc>
        <w:tc>
          <w:tcPr>
            <w:tcW w:w="560" w:type="dxa"/>
            <w:vAlign w:val="bottom"/>
            <w:gridSpan w:val="2"/>
          </w:tcPr>
          <w:p>
            <w:pPr>
              <w:jc w:val="right"/>
              <w:ind w:right="80"/>
              <w:spacing w:after="0"/>
              <w:rPr>
                <w:sz w:val="20"/>
                <w:szCs w:val="20"/>
                <w:color w:val="auto"/>
              </w:rPr>
            </w:pPr>
            <w:r>
              <w:rPr>
                <w:rFonts w:ascii="Arial" w:cs="Arial" w:eastAsia="Arial" w:hAnsi="Arial"/>
                <w:sz w:val="14"/>
                <w:szCs w:val="14"/>
                <w:b w:val="1"/>
                <w:bCs w:val="1"/>
                <w:color w:val="auto"/>
                <w:w w:val="76"/>
              </w:rPr>
              <w:t>net sales</w:t>
            </w:r>
          </w:p>
        </w:tc>
        <w:tc>
          <w:tcPr>
            <w:tcW w:w="200" w:type="dxa"/>
            <w:vAlign w:val="bottom"/>
          </w:tcPr>
          <w:p>
            <w:pPr>
              <w:spacing w:after="0"/>
              <w:rPr>
                <w:sz w:val="15"/>
                <w:szCs w:val="15"/>
                <w:color w:val="auto"/>
              </w:rPr>
            </w:pPr>
          </w:p>
        </w:tc>
        <w:tc>
          <w:tcPr>
            <w:tcW w:w="760" w:type="dxa"/>
            <w:vAlign w:val="bottom"/>
            <w:gridSpan w:val="2"/>
          </w:tcPr>
          <w:p>
            <w:pPr>
              <w:spacing w:after="0"/>
              <w:rPr>
                <w:sz w:val="20"/>
                <w:szCs w:val="20"/>
                <w:color w:val="auto"/>
              </w:rPr>
            </w:pPr>
            <w:r>
              <w:rPr>
                <w:rFonts w:ascii="Arial" w:cs="Arial" w:eastAsia="Arial" w:hAnsi="Arial"/>
                <w:sz w:val="14"/>
                <w:szCs w:val="14"/>
                <w:b w:val="1"/>
                <w:bCs w:val="1"/>
                <w:color w:val="auto"/>
              </w:rPr>
              <w:t>Amount</w:t>
            </w:r>
          </w:p>
        </w:tc>
        <w:tc>
          <w:tcPr>
            <w:tcW w:w="760" w:type="dxa"/>
            <w:vAlign w:val="bottom"/>
            <w:gridSpan w:val="2"/>
          </w:tcPr>
          <w:p>
            <w:pPr>
              <w:jc w:val="right"/>
              <w:ind w:right="192"/>
              <w:spacing w:after="0"/>
              <w:rPr>
                <w:sz w:val="20"/>
                <w:szCs w:val="20"/>
                <w:color w:val="auto"/>
              </w:rPr>
            </w:pPr>
            <w:r>
              <w:rPr>
                <w:rFonts w:ascii="Arial" w:cs="Arial" w:eastAsia="Arial" w:hAnsi="Arial"/>
                <w:sz w:val="14"/>
                <w:szCs w:val="14"/>
                <w:b w:val="1"/>
                <w:bCs w:val="1"/>
                <w:color w:val="auto"/>
                <w:w w:val="80"/>
              </w:rPr>
              <w:t>net sales</w:t>
            </w:r>
          </w:p>
        </w:tc>
        <w:tc>
          <w:tcPr>
            <w:tcW w:w="820" w:type="dxa"/>
            <w:vAlign w:val="bottom"/>
            <w:gridSpan w:val="3"/>
          </w:tcPr>
          <w:p>
            <w:pPr>
              <w:jc w:val="right"/>
              <w:ind w:right="300"/>
              <w:spacing w:after="0"/>
              <w:rPr>
                <w:sz w:val="20"/>
                <w:szCs w:val="20"/>
                <w:color w:val="auto"/>
              </w:rPr>
            </w:pPr>
            <w:r>
              <w:rPr>
                <w:rFonts w:ascii="Arial" w:cs="Arial" w:eastAsia="Arial" w:hAnsi="Arial"/>
                <w:sz w:val="14"/>
                <w:szCs w:val="14"/>
                <w:b w:val="1"/>
                <w:bCs w:val="1"/>
                <w:color w:val="auto"/>
                <w:w w:val="94"/>
              </w:rPr>
              <w:t>Amount</w:t>
            </w:r>
          </w:p>
        </w:tc>
        <w:tc>
          <w:tcPr>
            <w:tcW w:w="540" w:type="dxa"/>
            <w:vAlign w:val="bottom"/>
          </w:tcPr>
          <w:p>
            <w:pPr>
              <w:jc w:val="right"/>
              <w:ind w:right="114"/>
              <w:spacing w:after="0"/>
              <w:rPr>
                <w:sz w:val="20"/>
                <w:szCs w:val="20"/>
                <w:color w:val="auto"/>
              </w:rPr>
            </w:pPr>
            <w:r>
              <w:rPr>
                <w:rFonts w:ascii="Arial" w:cs="Arial" w:eastAsia="Arial" w:hAnsi="Arial"/>
                <w:sz w:val="14"/>
                <w:szCs w:val="14"/>
                <w:b w:val="1"/>
                <w:bCs w:val="1"/>
                <w:color w:val="auto"/>
              </w:rPr>
              <w:t>%</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88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vMerge w:val="restart"/>
          </w:tcPr>
          <w:p>
            <w:pPr>
              <w:ind w:left="20"/>
              <w:spacing w:after="0"/>
              <w:rPr>
                <w:sz w:val="20"/>
                <w:szCs w:val="20"/>
                <w:color w:val="auto"/>
              </w:rPr>
            </w:pPr>
            <w:r>
              <w:rPr>
                <w:rFonts w:ascii="Arial" w:cs="Arial" w:eastAsia="Arial" w:hAnsi="Arial"/>
                <w:sz w:val="14"/>
                <w:szCs w:val="14"/>
                <w:b w:val="1"/>
                <w:bCs w:val="1"/>
                <w:i w:val="1"/>
                <w:iCs w:val="1"/>
                <w:color w:val="auto"/>
                <w:w w:val="93"/>
              </w:rPr>
              <w:t>(in</w:t>
            </w:r>
          </w:p>
        </w:tc>
        <w:tc>
          <w:tcPr>
            <w:tcW w:w="5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60" w:type="dxa"/>
            <w:vAlign w:val="bottom"/>
            <w:vMerge w:val="restart"/>
          </w:tcPr>
          <w:p>
            <w:pPr>
              <w:jc w:val="right"/>
              <w:spacing w:after="0"/>
              <w:rPr>
                <w:sz w:val="20"/>
                <w:szCs w:val="20"/>
                <w:color w:val="auto"/>
              </w:rPr>
            </w:pPr>
            <w:r>
              <w:rPr>
                <w:rFonts w:ascii="Arial" w:cs="Arial" w:eastAsia="Arial" w:hAnsi="Arial"/>
                <w:sz w:val="14"/>
                <w:szCs w:val="14"/>
                <w:b w:val="1"/>
                <w:bCs w:val="1"/>
                <w:i w:val="1"/>
                <w:iCs w:val="1"/>
                <w:color w:val="auto"/>
              </w:rPr>
              <w:t>%)</w:t>
            </w: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tcPr>
          <w:p>
            <w:pPr>
              <w:spacing w:after="0"/>
              <w:rPr>
                <w:sz w:val="12"/>
                <w:szCs w:val="12"/>
                <w:color w:val="auto"/>
              </w:rPr>
            </w:pPr>
          </w:p>
        </w:tc>
        <w:tc>
          <w:tcPr>
            <w:tcW w:w="68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vMerge w:val="continue"/>
          </w:tcPr>
          <w:p>
            <w:pPr>
              <w:spacing w:after="0"/>
              <w:rPr>
                <w:sz w:val="12"/>
                <w:szCs w:val="12"/>
                <w:color w:val="auto"/>
              </w:rPr>
            </w:pPr>
          </w:p>
        </w:tc>
        <w:tc>
          <w:tcPr>
            <w:tcW w:w="500" w:type="dxa"/>
            <w:vAlign w:val="bottom"/>
          </w:tcPr>
          <w:p>
            <w:pPr>
              <w:ind w:left="20"/>
              <w:spacing w:after="0" w:line="142" w:lineRule="exact"/>
              <w:rPr>
                <w:sz w:val="20"/>
                <w:szCs w:val="20"/>
                <w:color w:val="auto"/>
              </w:rPr>
            </w:pPr>
            <w:r>
              <w:rPr>
                <w:rFonts w:ascii="Arial" w:cs="Arial" w:eastAsia="Arial" w:hAnsi="Arial"/>
                <w:sz w:val="14"/>
                <w:szCs w:val="14"/>
                <w:b w:val="1"/>
                <w:bCs w:val="1"/>
                <w:i w:val="1"/>
                <w:iCs w:val="1"/>
                <w:color w:val="auto"/>
                <w:w w:val="86"/>
              </w:rPr>
              <w:t>millions</w:t>
            </w:r>
          </w:p>
        </w:tc>
        <w:tc>
          <w:tcPr>
            <w:tcW w:w="760" w:type="dxa"/>
            <w:vAlign w:val="bottom"/>
            <w:gridSpan w:val="2"/>
          </w:tcPr>
          <w:p>
            <w:pPr>
              <w:jc w:val="right"/>
              <w:spacing w:after="0" w:line="142" w:lineRule="exact"/>
              <w:rPr>
                <w:sz w:val="20"/>
                <w:szCs w:val="20"/>
                <w:color w:val="auto"/>
              </w:rPr>
            </w:pPr>
            <w:r>
              <w:rPr>
                <w:rFonts w:ascii="Arial" w:cs="Arial" w:eastAsia="Arial" w:hAnsi="Arial"/>
                <w:sz w:val="14"/>
                <w:szCs w:val="14"/>
                <w:b w:val="1"/>
                <w:bCs w:val="1"/>
                <w:i w:val="1"/>
                <w:iCs w:val="1"/>
                <w:color w:val="auto"/>
                <w:w w:val="81"/>
              </w:rPr>
              <w:t>of US dollars;</w:t>
            </w:r>
          </w:p>
        </w:tc>
        <w:tc>
          <w:tcPr>
            <w:tcW w:w="26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shd w:val="clear" w:color="auto" w:fill="CCEEFF"/>
          </w:tcPr>
          <w:p>
            <w:pPr>
              <w:spacing w:after="0"/>
              <w:rPr>
                <w:sz w:val="20"/>
                <w:szCs w:val="20"/>
                <w:color w:val="auto"/>
              </w:rPr>
            </w:pPr>
            <w:r>
              <w:rPr>
                <w:rFonts w:ascii="Arial" w:cs="Arial" w:eastAsia="Arial" w:hAnsi="Arial"/>
                <w:sz w:val="18"/>
                <w:szCs w:val="18"/>
                <w:color w:val="auto"/>
              </w:rPr>
              <w:t>Net sales</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$ 410.8</w:t>
            </w:r>
          </w:p>
        </w:tc>
        <w:tc>
          <w:tcPr>
            <w:tcW w:w="2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100.0</w:t>
            </w:r>
          </w:p>
        </w:tc>
        <w:tc>
          <w:tcPr>
            <w:tcW w:w="960" w:type="dxa"/>
            <w:vAlign w:val="bottom"/>
            <w:gridSpan w:val="3"/>
            <w:shd w:val="clear" w:color="auto" w:fill="CCEEFF"/>
          </w:tcPr>
          <w:p>
            <w:pPr>
              <w:jc w:val="right"/>
              <w:ind w:right="192"/>
              <w:spacing w:after="0"/>
              <w:rPr>
                <w:sz w:val="20"/>
                <w:szCs w:val="20"/>
                <w:color w:val="auto"/>
              </w:rPr>
            </w:pPr>
            <w:r>
              <w:rPr>
                <w:rFonts w:ascii="Arial" w:cs="Arial" w:eastAsia="Arial" w:hAnsi="Arial"/>
                <w:sz w:val="18"/>
                <w:szCs w:val="18"/>
                <w:color w:val="auto"/>
              </w:rPr>
              <w:t>$449.4</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(38.6)</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tcPr>
          <w:p>
            <w:pPr>
              <w:spacing w:after="0"/>
              <w:rPr>
                <w:sz w:val="20"/>
                <w:szCs w:val="20"/>
                <w:color w:val="auto"/>
              </w:rPr>
            </w:pPr>
            <w:r>
              <w:rPr>
                <w:rFonts w:ascii="Arial" w:cs="Arial" w:eastAsia="Arial" w:hAnsi="Arial"/>
                <w:sz w:val="18"/>
                <w:szCs w:val="18"/>
                <w:color w:val="auto"/>
              </w:rPr>
              <w:t>Cost of sales</w:t>
            </w:r>
          </w:p>
        </w:tc>
        <w:tc>
          <w:tcPr>
            <w:tcW w:w="540" w:type="dxa"/>
            <w:vAlign w:val="bottom"/>
          </w:tcPr>
          <w:p>
            <w:pPr>
              <w:jc w:val="right"/>
              <w:spacing w:after="0"/>
              <w:rPr>
                <w:sz w:val="20"/>
                <w:szCs w:val="20"/>
                <w:color w:val="auto"/>
              </w:rPr>
            </w:pPr>
            <w:r>
              <w:rPr>
                <w:rFonts w:ascii="Arial" w:cs="Arial" w:eastAsia="Arial" w:hAnsi="Arial"/>
                <w:sz w:val="18"/>
                <w:szCs w:val="18"/>
                <w:color w:val="auto"/>
              </w:rPr>
              <w:t>350.2</w:t>
            </w:r>
          </w:p>
        </w:tc>
        <w:tc>
          <w:tcPr>
            <w:tcW w:w="280" w:type="dxa"/>
            <w:vAlign w:val="bottom"/>
          </w:tcPr>
          <w:p>
            <w:pPr>
              <w:spacing w:after="0"/>
              <w:rPr>
                <w:sz w:val="18"/>
                <w:szCs w:val="18"/>
                <w:color w:val="auto"/>
              </w:rPr>
            </w:pPr>
          </w:p>
        </w:tc>
        <w:tc>
          <w:tcPr>
            <w:tcW w:w="560" w:type="dxa"/>
            <w:vAlign w:val="bottom"/>
            <w:gridSpan w:val="2"/>
          </w:tcPr>
          <w:p>
            <w:pPr>
              <w:jc w:val="right"/>
              <w:ind w:right="80"/>
              <w:spacing w:after="0"/>
              <w:rPr>
                <w:sz w:val="20"/>
                <w:szCs w:val="20"/>
                <w:color w:val="auto"/>
              </w:rPr>
            </w:pPr>
            <w:r>
              <w:rPr>
                <w:rFonts w:ascii="Arial" w:cs="Arial" w:eastAsia="Arial" w:hAnsi="Arial"/>
                <w:sz w:val="18"/>
                <w:szCs w:val="18"/>
                <w:color w:val="auto"/>
              </w:rPr>
              <w:t>85.2</w:t>
            </w:r>
          </w:p>
        </w:tc>
        <w:tc>
          <w:tcPr>
            <w:tcW w:w="2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363.1</w:t>
            </w:r>
          </w:p>
        </w:tc>
        <w:tc>
          <w:tcPr>
            <w:tcW w:w="26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80.8</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8"/>
                <w:szCs w:val="18"/>
                <w:color w:val="auto"/>
              </w:rPr>
              <w:t>(12.9)</w:t>
            </w: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88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4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5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54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88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60.6</w:t>
            </w:r>
          </w:p>
        </w:tc>
        <w:tc>
          <w:tcPr>
            <w:tcW w:w="2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14.8</w:t>
            </w:r>
          </w:p>
        </w:tc>
        <w:tc>
          <w:tcPr>
            <w:tcW w:w="2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86.3</w:t>
            </w:r>
          </w:p>
        </w:tc>
        <w:tc>
          <w:tcPr>
            <w:tcW w:w="26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(25.7)</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(29.8)</w:t>
            </w:r>
          </w:p>
        </w:tc>
        <w:tc>
          <w:tcPr>
            <w:tcW w:w="0" w:type="dxa"/>
            <w:vAlign w:val="bottom"/>
          </w:tcPr>
          <w:p>
            <w:pPr>
              <w:spacing w:after="0"/>
              <w:rPr>
                <w:sz w:val="1"/>
                <w:szCs w:val="1"/>
                <w:color w:val="auto"/>
              </w:rPr>
            </w:pPr>
          </w:p>
        </w:tc>
      </w:tr>
      <w:tr>
        <w:trPr>
          <w:trHeight w:val="20"/>
        </w:trPr>
        <w:tc>
          <w:tcPr>
            <w:tcW w:w="6900" w:type="dxa"/>
            <w:vAlign w:val="bottom"/>
            <w:gridSpan w:val="2"/>
            <w:vMerge w:val="restart"/>
          </w:tcPr>
          <w:p>
            <w:pPr>
              <w:spacing w:after="0"/>
              <w:rPr>
                <w:sz w:val="20"/>
                <w:szCs w:val="20"/>
                <w:color w:val="auto"/>
              </w:rPr>
            </w:pPr>
            <w:r>
              <w:rPr>
                <w:rFonts w:ascii="Arial" w:cs="Arial" w:eastAsia="Arial" w:hAnsi="Arial"/>
                <w:sz w:val="18"/>
                <w:szCs w:val="18"/>
                <w:color w:val="auto"/>
              </w:rPr>
              <w:t>Selling, general and administrative expenses</w:t>
            </w:r>
          </w:p>
        </w:tc>
        <w:tc>
          <w:tcPr>
            <w:tcW w:w="5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60" w:type="dxa"/>
            <w:vAlign w:val="bottom"/>
            <w:gridSpan w:val="2"/>
            <w:vMerge w:val="restart"/>
          </w:tcPr>
          <w:p>
            <w:pPr>
              <w:jc w:val="right"/>
              <w:ind w:right="80"/>
              <w:spacing w:after="0"/>
              <w:rPr>
                <w:sz w:val="20"/>
                <w:szCs w:val="20"/>
                <w:color w:val="auto"/>
              </w:rPr>
            </w:pPr>
            <w:r>
              <w:rPr>
                <w:rFonts w:ascii="Arial" w:cs="Arial" w:eastAsia="Arial" w:hAnsi="Arial"/>
                <w:sz w:val="18"/>
                <w:szCs w:val="18"/>
                <w:color w:val="auto"/>
              </w:rPr>
              <w:t>10.6</w:t>
            </w:r>
          </w:p>
        </w:tc>
        <w:tc>
          <w:tcPr>
            <w:tcW w:w="20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00" w:type="dxa"/>
            <w:vAlign w:val="bottom"/>
            <w:vMerge w:val="restart"/>
          </w:tcPr>
          <w:p>
            <w:pPr>
              <w:jc w:val="right"/>
              <w:spacing w:after="0"/>
              <w:rPr>
                <w:sz w:val="20"/>
                <w:szCs w:val="20"/>
                <w:color w:val="auto"/>
              </w:rPr>
            </w:pPr>
            <w:r>
              <w:rPr>
                <w:rFonts w:ascii="Arial" w:cs="Arial" w:eastAsia="Arial" w:hAnsi="Arial"/>
                <w:sz w:val="18"/>
                <w:szCs w:val="18"/>
                <w:color w:val="auto"/>
              </w:rPr>
              <w:t>13.6</w:t>
            </w:r>
          </w:p>
        </w:tc>
        <w:tc>
          <w:tcPr>
            <w:tcW w:w="2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0" w:type="dxa"/>
            <w:vAlign w:val="bottom"/>
            <w:gridSpan w:val="2"/>
            <w:vMerge w:val="restart"/>
          </w:tcPr>
          <w:p>
            <w:pPr>
              <w:jc w:val="right"/>
              <w:spacing w:after="0"/>
              <w:rPr>
                <w:sz w:val="20"/>
                <w:szCs w:val="20"/>
                <w:color w:val="auto"/>
              </w:rPr>
            </w:pPr>
            <w:r>
              <w:rPr>
                <w:rFonts w:ascii="Arial" w:cs="Arial" w:eastAsia="Arial" w:hAnsi="Arial"/>
                <w:sz w:val="18"/>
                <w:szCs w:val="18"/>
                <w:color w:val="auto"/>
              </w:rPr>
              <w:t>(28.5)</w:t>
            </w:r>
          </w:p>
        </w:tc>
        <w:tc>
          <w:tcPr>
            <w:tcW w:w="0" w:type="dxa"/>
            <w:vAlign w:val="bottom"/>
          </w:tcPr>
          <w:p>
            <w:pPr>
              <w:spacing w:after="0" w:line="20" w:lineRule="exact"/>
              <w:rPr>
                <w:sz w:val="1"/>
                <w:szCs w:val="1"/>
                <w:color w:val="auto"/>
              </w:rPr>
            </w:pPr>
          </w:p>
        </w:tc>
      </w:tr>
      <w:tr>
        <w:trPr>
          <w:trHeight w:val="221"/>
        </w:trPr>
        <w:tc>
          <w:tcPr>
            <w:tcW w:w="6900" w:type="dxa"/>
            <w:vAlign w:val="bottom"/>
            <w:gridSpan w:val="2"/>
            <w:vMerge w:val="continue"/>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43.6</w:t>
            </w:r>
          </w:p>
        </w:tc>
        <w:tc>
          <w:tcPr>
            <w:tcW w:w="280" w:type="dxa"/>
            <w:vAlign w:val="bottom"/>
          </w:tcPr>
          <w:p>
            <w:pPr>
              <w:spacing w:after="0"/>
              <w:rPr>
                <w:sz w:val="19"/>
                <w:szCs w:val="19"/>
                <w:color w:val="auto"/>
              </w:rPr>
            </w:pPr>
          </w:p>
        </w:tc>
        <w:tc>
          <w:tcPr>
            <w:tcW w:w="560" w:type="dxa"/>
            <w:vAlign w:val="bottom"/>
            <w:gridSpan w:val="2"/>
            <w:vMerge w:val="continue"/>
          </w:tcPr>
          <w:p>
            <w:pPr>
              <w:spacing w:after="0"/>
              <w:rPr>
                <w:sz w:val="19"/>
                <w:szCs w:val="19"/>
                <w:color w:val="auto"/>
              </w:rPr>
            </w:pPr>
          </w:p>
        </w:tc>
        <w:tc>
          <w:tcPr>
            <w:tcW w:w="20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61.0</w:t>
            </w:r>
          </w:p>
        </w:tc>
        <w:tc>
          <w:tcPr>
            <w:tcW w:w="260" w:type="dxa"/>
            <w:vAlign w:val="bottom"/>
          </w:tcPr>
          <w:p>
            <w:pPr>
              <w:spacing w:after="0"/>
              <w:rPr>
                <w:sz w:val="19"/>
                <w:szCs w:val="19"/>
                <w:color w:val="auto"/>
              </w:rPr>
            </w:pPr>
          </w:p>
        </w:tc>
        <w:tc>
          <w:tcPr>
            <w:tcW w:w="500" w:type="dxa"/>
            <w:vAlign w:val="bottom"/>
            <w:vMerge w:val="continue"/>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8"/>
                <w:szCs w:val="18"/>
                <w:color w:val="auto"/>
              </w:rPr>
              <w:t>(17.4)</w:t>
            </w:r>
          </w:p>
        </w:tc>
        <w:tc>
          <w:tcPr>
            <w:tcW w:w="60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88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 expenses</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63.9</w:t>
            </w:r>
          </w:p>
        </w:tc>
        <w:tc>
          <w:tcPr>
            <w:tcW w:w="2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15.6</w:t>
            </w:r>
          </w:p>
        </w:tc>
        <w:tc>
          <w:tcPr>
            <w:tcW w:w="960" w:type="dxa"/>
            <w:vAlign w:val="bottom"/>
            <w:gridSpan w:val="3"/>
            <w:shd w:val="clear" w:color="auto" w:fill="CCEEFF"/>
          </w:tcPr>
          <w:p>
            <w:pPr>
              <w:jc w:val="right"/>
              <w:ind w:right="192"/>
              <w:spacing w:after="0"/>
              <w:rPr>
                <w:sz w:val="20"/>
                <w:szCs w:val="20"/>
                <w:color w:val="auto"/>
              </w:rPr>
            </w:pPr>
            <w:r>
              <w:rPr>
                <w:rFonts w:ascii="Arial" w:cs="Arial" w:eastAsia="Arial" w:hAnsi="Arial"/>
                <w:sz w:val="18"/>
                <w:szCs w:val="18"/>
                <w:color w:val="auto"/>
              </w:rPr>
              <w:t>53.6</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w:t>
            </w:r>
          </w:p>
        </w:tc>
        <w:tc>
          <w:tcPr>
            <w:tcW w:w="2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880" w:type="dxa"/>
            <w:vAlign w:val="bottom"/>
          </w:tcPr>
          <w:p>
            <w:pPr>
              <w:spacing w:after="0"/>
              <w:rPr>
                <w:sz w:val="20"/>
                <w:szCs w:val="20"/>
                <w:color w:val="auto"/>
              </w:rPr>
            </w:pPr>
            <w:r>
              <w:rPr>
                <w:rFonts w:ascii="Arial" w:cs="Arial" w:eastAsia="Arial" w:hAnsi="Arial"/>
                <w:sz w:val="18"/>
                <w:szCs w:val="18"/>
                <w:color w:val="auto"/>
              </w:rPr>
              <w:t>Restructuring and impairment charges</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93.7</w:t>
            </w:r>
          </w:p>
        </w:tc>
        <w:tc>
          <w:tcPr>
            <w:tcW w:w="280" w:type="dxa"/>
            <w:vAlign w:val="bottom"/>
          </w:tcPr>
          <w:p>
            <w:pPr>
              <w:spacing w:after="0"/>
              <w:rPr>
                <w:sz w:val="19"/>
                <w:szCs w:val="19"/>
                <w:color w:val="auto"/>
              </w:rPr>
            </w:pPr>
          </w:p>
        </w:tc>
        <w:tc>
          <w:tcPr>
            <w:tcW w:w="560" w:type="dxa"/>
            <w:vAlign w:val="bottom"/>
            <w:gridSpan w:val="2"/>
          </w:tcPr>
          <w:p>
            <w:pPr>
              <w:jc w:val="right"/>
              <w:ind w:right="80"/>
              <w:spacing w:after="0"/>
              <w:rPr>
                <w:sz w:val="20"/>
                <w:szCs w:val="20"/>
                <w:color w:val="auto"/>
              </w:rPr>
            </w:pPr>
            <w:r>
              <w:rPr>
                <w:rFonts w:ascii="Arial" w:cs="Arial" w:eastAsia="Arial" w:hAnsi="Arial"/>
                <w:sz w:val="18"/>
                <w:szCs w:val="18"/>
                <w:color w:val="auto"/>
              </w:rPr>
              <w:t>22.8</w:t>
            </w:r>
          </w:p>
        </w:tc>
        <w:tc>
          <w:tcPr>
            <w:tcW w:w="200" w:type="dxa"/>
            <w:vAlign w:val="bottom"/>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w:t>
            </w:r>
          </w:p>
        </w:tc>
        <w:tc>
          <w:tcPr>
            <w:tcW w:w="26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1.9</w:t>
            </w:r>
          </w:p>
        </w:tc>
        <w:tc>
          <w:tcPr>
            <w:tcW w:w="2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85.0</w:t>
            </w:r>
          </w:p>
        </w:tc>
        <w:tc>
          <w:tcPr>
            <w:tcW w:w="26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977.0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shd w:val="clear" w:color="auto" w:fill="CCEEFF"/>
          </w:tcPr>
          <w:p>
            <w:pPr>
              <w:spacing w:after="0"/>
              <w:rPr>
                <w:sz w:val="20"/>
                <w:szCs w:val="20"/>
                <w:color w:val="auto"/>
              </w:rPr>
            </w:pPr>
            <w:r>
              <w:rPr>
                <w:rFonts w:ascii="Arial" w:cs="Arial" w:eastAsia="Arial" w:hAnsi="Arial"/>
                <w:sz w:val="18"/>
                <w:szCs w:val="18"/>
                <w:color w:val="auto"/>
              </w:rPr>
              <w:t>Operating loss</w:t>
            </w: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(140.6)</w:t>
            </w: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(34.2)</w:t>
            </w:r>
          </w:p>
        </w:tc>
        <w:tc>
          <w:tcPr>
            <w:tcW w:w="960" w:type="dxa"/>
            <w:vAlign w:val="bottom"/>
            <w:gridSpan w:val="3"/>
            <w:shd w:val="clear" w:color="auto" w:fill="CCEEFF"/>
          </w:tcPr>
          <w:p>
            <w:pPr>
              <w:jc w:val="right"/>
              <w:ind w:right="132"/>
              <w:spacing w:after="0"/>
              <w:rPr>
                <w:sz w:val="20"/>
                <w:szCs w:val="20"/>
                <w:color w:val="auto"/>
              </w:rPr>
            </w:pPr>
            <w:r>
              <w:rPr>
                <w:rFonts w:ascii="Arial" w:cs="Arial" w:eastAsia="Arial" w:hAnsi="Arial"/>
                <w:sz w:val="18"/>
                <w:szCs w:val="18"/>
                <w:color w:val="auto"/>
              </w:rPr>
              <w:t>(37.0)</w:t>
            </w:r>
          </w:p>
        </w:tc>
        <w:tc>
          <w:tcPr>
            <w:tcW w:w="760" w:type="dxa"/>
            <w:vAlign w:val="bottom"/>
            <w:gridSpan w:val="2"/>
            <w:shd w:val="clear" w:color="auto" w:fill="CCEEFF"/>
          </w:tcPr>
          <w:p>
            <w:pPr>
              <w:jc w:val="right"/>
              <w:ind w:right="132"/>
              <w:spacing w:after="0"/>
              <w:rPr>
                <w:sz w:val="20"/>
                <w:szCs w:val="20"/>
                <w:color w:val="auto"/>
              </w:rPr>
            </w:pPr>
            <w:r>
              <w:rPr>
                <w:rFonts w:ascii="Arial" w:cs="Arial" w:eastAsia="Arial" w:hAnsi="Arial"/>
                <w:sz w:val="18"/>
                <w:szCs w:val="18"/>
                <w:color w:val="auto"/>
              </w:rPr>
              <w:t>(8.2)</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7"/>
              </w:rPr>
              <w:t>(103.6)</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280.0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tcPr>
          <w:p>
            <w:pPr>
              <w:spacing w:after="0"/>
              <w:rPr>
                <w:sz w:val="20"/>
                <w:szCs w:val="20"/>
                <w:color w:val="auto"/>
              </w:rPr>
            </w:pPr>
            <w:r>
              <w:rPr>
                <w:rFonts w:ascii="Arial" w:cs="Arial" w:eastAsia="Arial" w:hAnsi="Arial"/>
                <w:sz w:val="18"/>
                <w:szCs w:val="18"/>
                <w:color w:val="auto"/>
              </w:rPr>
              <w:t>Interest expense, net</w:t>
            </w: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(29.1)</w:t>
            </w: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rPr>
              <w:t>(7.1)</w:t>
            </w:r>
          </w:p>
        </w:tc>
        <w:tc>
          <w:tcPr>
            <w:tcW w:w="960" w:type="dxa"/>
            <w:vAlign w:val="bottom"/>
            <w:gridSpan w:val="3"/>
          </w:tcPr>
          <w:p>
            <w:pPr>
              <w:jc w:val="right"/>
              <w:ind w:right="132"/>
              <w:spacing w:after="0"/>
              <w:rPr>
                <w:sz w:val="20"/>
                <w:szCs w:val="20"/>
                <w:color w:val="auto"/>
              </w:rPr>
            </w:pPr>
            <w:r>
              <w:rPr>
                <w:rFonts w:ascii="Arial" w:cs="Arial" w:eastAsia="Arial" w:hAnsi="Arial"/>
                <w:sz w:val="18"/>
                <w:szCs w:val="18"/>
                <w:color w:val="auto"/>
              </w:rPr>
              <w:t>(27.9)</w:t>
            </w:r>
          </w:p>
        </w:tc>
        <w:tc>
          <w:tcPr>
            <w:tcW w:w="760" w:type="dxa"/>
            <w:vAlign w:val="bottom"/>
            <w:gridSpan w:val="2"/>
          </w:tcPr>
          <w:p>
            <w:pPr>
              <w:jc w:val="right"/>
              <w:ind w:right="132"/>
              <w:spacing w:after="0"/>
              <w:rPr>
                <w:sz w:val="20"/>
                <w:szCs w:val="20"/>
                <w:color w:val="auto"/>
              </w:rPr>
            </w:pPr>
            <w:r>
              <w:rPr>
                <w:rFonts w:ascii="Arial" w:cs="Arial" w:eastAsia="Arial" w:hAnsi="Arial"/>
                <w:sz w:val="18"/>
                <w:szCs w:val="18"/>
                <w:color w:val="auto"/>
              </w:rPr>
              <w:t>(6.2)</w:t>
            </w:r>
          </w:p>
        </w:tc>
        <w:tc>
          <w:tcPr>
            <w:tcW w:w="100" w:type="dxa"/>
            <w:vAlign w:val="bottom"/>
          </w:tcPr>
          <w:p>
            <w:pPr>
              <w:spacing w:after="0"/>
              <w:rPr>
                <w:sz w:val="18"/>
                <w:szCs w:val="18"/>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8"/>
                <w:szCs w:val="18"/>
                <w:color w:val="auto"/>
              </w:rPr>
              <w:t>(1.2)</w:t>
            </w:r>
          </w:p>
        </w:tc>
        <w:tc>
          <w:tcPr>
            <w:tcW w:w="540" w:type="dxa"/>
            <w:vAlign w:val="bottom"/>
          </w:tcPr>
          <w:p>
            <w:pPr>
              <w:jc w:val="right"/>
              <w:spacing w:after="0"/>
              <w:rPr>
                <w:sz w:val="20"/>
                <w:szCs w:val="20"/>
                <w:color w:val="auto"/>
              </w:rPr>
            </w:pPr>
            <w:r>
              <w:rPr>
                <w:rFonts w:ascii="Arial" w:cs="Arial" w:eastAsia="Arial" w:hAnsi="Arial"/>
                <w:sz w:val="18"/>
                <w:szCs w:val="18"/>
                <w:color w:val="auto"/>
              </w:rPr>
              <w:t>4.3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shd w:val="clear" w:color="auto" w:fill="CCEEFF"/>
          </w:tcPr>
          <w:p>
            <w:pPr>
              <w:spacing w:after="0"/>
              <w:rPr>
                <w:sz w:val="20"/>
                <w:szCs w:val="20"/>
                <w:color w:val="auto"/>
              </w:rPr>
            </w:pPr>
            <w:r>
              <w:rPr>
                <w:rFonts w:ascii="Arial" w:cs="Arial" w:eastAsia="Arial" w:hAnsi="Arial"/>
                <w:sz w:val="18"/>
                <w:szCs w:val="18"/>
                <w:color w:val="auto"/>
              </w:rPr>
              <w:t>Foreign currency gain, net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38.8</w:t>
            </w:r>
          </w:p>
        </w:tc>
        <w:tc>
          <w:tcPr>
            <w:tcW w:w="2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9.4</w:t>
            </w:r>
          </w:p>
        </w:tc>
        <w:tc>
          <w:tcPr>
            <w:tcW w:w="200" w:type="dxa"/>
            <w:vAlign w:val="bottom"/>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26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2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38.0</w:t>
            </w:r>
          </w:p>
        </w:tc>
        <w:tc>
          <w:tcPr>
            <w:tcW w:w="2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4,750.0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6900" w:type="dxa"/>
            <w:vAlign w:val="bottom"/>
            <w:gridSpan w:val="2"/>
          </w:tcPr>
          <w:p>
            <w:pPr>
              <w:spacing w:after="0"/>
              <w:rPr>
                <w:sz w:val="20"/>
                <w:szCs w:val="20"/>
                <w:color w:val="auto"/>
              </w:rPr>
            </w:pPr>
            <w:r>
              <w:rPr>
                <w:rFonts w:ascii="Arial" w:cs="Arial" w:eastAsia="Arial" w:hAnsi="Arial"/>
                <w:sz w:val="18"/>
                <w:szCs w:val="18"/>
                <w:color w:val="auto"/>
              </w:rPr>
              <w:t>Loss before income taxes</w:t>
            </w: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(130.9)</w:t>
            </w: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rPr>
              <w:t>(31.9)</w:t>
            </w:r>
          </w:p>
        </w:tc>
        <w:tc>
          <w:tcPr>
            <w:tcW w:w="960" w:type="dxa"/>
            <w:vAlign w:val="bottom"/>
            <w:gridSpan w:val="3"/>
          </w:tcPr>
          <w:p>
            <w:pPr>
              <w:jc w:val="right"/>
              <w:ind w:right="132"/>
              <w:spacing w:after="0"/>
              <w:rPr>
                <w:sz w:val="20"/>
                <w:szCs w:val="20"/>
                <w:color w:val="auto"/>
              </w:rPr>
            </w:pPr>
            <w:r>
              <w:rPr>
                <w:rFonts w:ascii="Arial" w:cs="Arial" w:eastAsia="Arial" w:hAnsi="Arial"/>
                <w:sz w:val="18"/>
                <w:szCs w:val="18"/>
                <w:color w:val="auto"/>
              </w:rPr>
              <w:t>(64.1)</w:t>
            </w:r>
          </w:p>
        </w:tc>
        <w:tc>
          <w:tcPr>
            <w:tcW w:w="760" w:type="dxa"/>
            <w:vAlign w:val="bottom"/>
            <w:gridSpan w:val="2"/>
          </w:tcPr>
          <w:p>
            <w:pPr>
              <w:jc w:val="right"/>
              <w:ind w:right="132"/>
              <w:spacing w:after="0"/>
              <w:rPr>
                <w:sz w:val="20"/>
                <w:szCs w:val="20"/>
                <w:color w:val="auto"/>
              </w:rPr>
            </w:pPr>
            <w:r>
              <w:rPr>
                <w:rFonts w:ascii="Arial" w:cs="Arial" w:eastAsia="Arial" w:hAnsi="Arial"/>
                <w:sz w:val="18"/>
                <w:szCs w:val="18"/>
                <w:color w:val="auto"/>
              </w:rPr>
              <w:t>(14.2)</w:t>
            </w:r>
          </w:p>
        </w:tc>
        <w:tc>
          <w:tcPr>
            <w:tcW w:w="100" w:type="dxa"/>
            <w:vAlign w:val="bottom"/>
          </w:tcPr>
          <w:p>
            <w:pPr>
              <w:spacing w:after="0"/>
              <w:rPr>
                <w:sz w:val="19"/>
                <w:szCs w:val="19"/>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8"/>
                <w:szCs w:val="18"/>
                <w:color w:val="auto"/>
              </w:rPr>
              <w:t>(66.8)</w:t>
            </w:r>
          </w:p>
        </w:tc>
        <w:tc>
          <w:tcPr>
            <w:tcW w:w="540" w:type="dxa"/>
            <w:vAlign w:val="bottom"/>
          </w:tcPr>
          <w:p>
            <w:pPr>
              <w:jc w:val="right"/>
              <w:spacing w:after="0"/>
              <w:rPr>
                <w:sz w:val="20"/>
                <w:szCs w:val="20"/>
                <w:color w:val="auto"/>
              </w:rPr>
            </w:pPr>
            <w:r>
              <w:rPr>
                <w:rFonts w:ascii="Arial" w:cs="Arial" w:eastAsia="Arial" w:hAnsi="Arial"/>
                <w:sz w:val="18"/>
                <w:szCs w:val="18"/>
                <w:color w:val="auto"/>
              </w:rPr>
              <w:t>104.2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880" w:type="dxa"/>
            <w:vAlign w:val="bottom"/>
            <w:shd w:val="clear" w:color="auto" w:fill="CCEEFF"/>
          </w:tcPr>
          <w:p>
            <w:pPr>
              <w:spacing w:after="0"/>
              <w:rPr>
                <w:sz w:val="20"/>
                <w:szCs w:val="20"/>
                <w:color w:val="auto"/>
              </w:rPr>
            </w:pPr>
            <w:r>
              <w:rPr>
                <w:rFonts w:ascii="Arial" w:cs="Arial" w:eastAsia="Arial" w:hAnsi="Arial"/>
                <w:sz w:val="18"/>
                <w:szCs w:val="18"/>
                <w:color w:val="auto"/>
              </w:rPr>
              <w:t>Income tax expenses</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2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1.2</w:t>
            </w:r>
          </w:p>
        </w:tc>
        <w:tc>
          <w:tcPr>
            <w:tcW w:w="200" w:type="dxa"/>
            <w:vAlign w:val="bottom"/>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26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2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2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628.6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6900" w:type="dxa"/>
            <w:vAlign w:val="bottom"/>
            <w:gridSpan w:val="2"/>
          </w:tcPr>
          <w:p>
            <w:pPr>
              <w:spacing w:after="0"/>
              <w:rPr>
                <w:sz w:val="20"/>
                <w:szCs w:val="20"/>
                <w:color w:val="auto"/>
              </w:rPr>
            </w:pPr>
            <w:r>
              <w:rPr>
                <w:rFonts w:ascii="Arial" w:cs="Arial" w:eastAsia="Arial" w:hAnsi="Arial"/>
                <w:sz w:val="18"/>
                <w:szCs w:val="18"/>
                <w:color w:val="auto"/>
              </w:rPr>
              <w:t>Net loss</w:t>
            </w:r>
          </w:p>
        </w:tc>
        <w:tc>
          <w:tcPr>
            <w:tcW w:w="820" w:type="dxa"/>
            <w:vAlign w:val="bottom"/>
            <w:gridSpan w:val="2"/>
          </w:tcPr>
          <w:p>
            <w:pPr>
              <w:jc w:val="right"/>
              <w:ind w:right="220"/>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(136.0)</w:t>
            </w: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rPr>
              <w:t>(33.1)</w:t>
            </w:r>
          </w:p>
        </w:tc>
        <w:tc>
          <w:tcPr>
            <w:tcW w:w="960" w:type="dxa"/>
            <w:vAlign w:val="bottom"/>
            <w:gridSpan w:val="3"/>
          </w:tcPr>
          <w:p>
            <w:pPr>
              <w:jc w:val="right"/>
              <w:ind w:right="132"/>
              <w:spacing w:after="0"/>
              <w:rPr>
                <w:sz w:val="20"/>
                <w:szCs w:val="20"/>
                <w:color w:val="auto"/>
              </w:rPr>
            </w:pPr>
            <w:r>
              <w:rPr>
                <w:rFonts w:ascii="Arial" w:cs="Arial" w:eastAsia="Arial" w:hAnsi="Arial"/>
                <w:sz w:val="18"/>
                <w:szCs w:val="18"/>
                <w:color w:val="auto"/>
              </w:rPr>
              <w:t>$ (64.8)</w:t>
            </w:r>
          </w:p>
        </w:tc>
        <w:tc>
          <w:tcPr>
            <w:tcW w:w="760" w:type="dxa"/>
            <w:vAlign w:val="bottom"/>
            <w:gridSpan w:val="2"/>
          </w:tcPr>
          <w:p>
            <w:pPr>
              <w:jc w:val="right"/>
              <w:ind w:right="132"/>
              <w:spacing w:after="0"/>
              <w:rPr>
                <w:sz w:val="20"/>
                <w:szCs w:val="20"/>
                <w:color w:val="auto"/>
              </w:rPr>
            </w:pPr>
            <w:r>
              <w:rPr>
                <w:rFonts w:ascii="Arial" w:cs="Arial" w:eastAsia="Arial" w:hAnsi="Arial"/>
                <w:sz w:val="18"/>
                <w:szCs w:val="18"/>
                <w:color w:val="auto"/>
              </w:rPr>
              <w:t>(14.4)</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gridSpan w:val="2"/>
          </w:tcPr>
          <w:p>
            <w:pPr>
              <w:jc w:val="right"/>
              <w:ind w:right="200"/>
              <w:spacing w:after="0"/>
              <w:rPr>
                <w:sz w:val="20"/>
                <w:szCs w:val="20"/>
                <w:color w:val="auto"/>
              </w:rPr>
            </w:pPr>
            <w:r>
              <w:rPr>
                <w:rFonts w:ascii="Arial" w:cs="Arial" w:eastAsia="Arial" w:hAnsi="Arial"/>
                <w:sz w:val="18"/>
                <w:szCs w:val="18"/>
                <w:color w:val="auto"/>
              </w:rPr>
              <w:t>(71.2)</w:t>
            </w:r>
          </w:p>
        </w:tc>
        <w:tc>
          <w:tcPr>
            <w:tcW w:w="540" w:type="dxa"/>
            <w:vAlign w:val="bottom"/>
          </w:tcPr>
          <w:p>
            <w:pPr>
              <w:jc w:val="right"/>
              <w:spacing w:after="0"/>
              <w:rPr>
                <w:sz w:val="20"/>
                <w:szCs w:val="20"/>
                <w:color w:val="auto"/>
              </w:rPr>
            </w:pPr>
            <w:r>
              <w:rPr>
                <w:rFonts w:ascii="Arial" w:cs="Arial" w:eastAsia="Arial" w:hAnsi="Arial"/>
                <w:sz w:val="18"/>
                <w:szCs w:val="18"/>
                <w:color w:val="auto"/>
              </w:rPr>
              <w:t>109.9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88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i w:val="1"/>
          <w:iCs w:val="1"/>
          <w:color w:val="auto"/>
        </w:rPr>
        <w:t>Net Sales</w:t>
      </w:r>
      <w:r>
        <w:rPr>
          <w:rFonts w:ascii="Arial" w:cs="Arial" w:eastAsia="Arial" w:hAnsi="Arial"/>
          <w:sz w:val="18"/>
          <w:szCs w:val="18"/>
          <w:color w:val="auto"/>
        </w:rPr>
        <w:t>. Net sales for the six months ended July 2, 2006 were $410.8 million. This represents a $38.6 million or 8.6% decrease from $449.4 million for</w:t>
      </w:r>
      <w:r>
        <w:rPr>
          <w:rFonts w:ascii="Arial" w:cs="Arial" w:eastAsia="Arial" w:hAnsi="Arial"/>
          <w:sz w:val="18"/>
          <w:szCs w:val="18"/>
          <w:i w:val="1"/>
          <w:iCs w:val="1"/>
          <w:color w:val="auto"/>
        </w:rPr>
        <w:t xml:space="preserve"> </w:t>
      </w:r>
      <w:r>
        <w:rPr>
          <w:rFonts w:ascii="Arial" w:cs="Arial" w:eastAsia="Arial" w:hAnsi="Arial"/>
          <w:sz w:val="18"/>
          <w:szCs w:val="18"/>
          <w:color w:val="auto"/>
        </w:rPr>
        <w:t>the six months ended July 3, 2005. This decrease in net sales is primarily attributable to discontinuation of our application processor business and DRAM foundry service, coupled with new product introduction delays in our core business which we had forecasted would substitute for the lost volume from the discontinued business.</w:t>
      </w:r>
    </w:p>
    <w:p>
      <w:pPr>
        <w:spacing w:after="0" w:line="143"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Revenues from our core business for the six months ended July 2, 2006 was $375.3 million, a decrease of $7.9 million or 2.1% from $383.2 million for the six months ended July 3, 2005. Revenue increase driven by both semiconductor manufacturing services and display solution business was more than offset by a decrease in revenue from imaging solution business. Lower revenues in imaging solution business were due to delays in new products and continued ASP erosion.</w:t>
      </w:r>
    </w:p>
    <w:p>
      <w:pPr>
        <w:spacing w:after="0" w:line="143" w:lineRule="exact"/>
        <w:rPr>
          <w:sz w:val="20"/>
          <w:szCs w:val="20"/>
          <w:color w:val="auto"/>
        </w:rPr>
      </w:pPr>
    </w:p>
    <w:p>
      <w:pPr>
        <w:ind w:right="160" w:firstLine="456"/>
        <w:spacing w:after="0" w:line="298" w:lineRule="auto"/>
        <w:rPr>
          <w:sz w:val="20"/>
          <w:szCs w:val="20"/>
          <w:color w:val="auto"/>
        </w:rPr>
      </w:pPr>
      <w:r>
        <w:rPr>
          <w:rFonts w:ascii="Arial" w:cs="Arial" w:eastAsia="Arial" w:hAnsi="Arial"/>
          <w:sz w:val="16"/>
          <w:szCs w:val="16"/>
          <w:i w:val="1"/>
          <w:iCs w:val="1"/>
          <w:color w:val="auto"/>
        </w:rPr>
        <w:t>Cost of Sales</w:t>
      </w:r>
      <w:r>
        <w:rPr>
          <w:rFonts w:ascii="Arial" w:cs="Arial" w:eastAsia="Arial" w:hAnsi="Arial"/>
          <w:sz w:val="16"/>
          <w:szCs w:val="16"/>
          <w:color w:val="auto"/>
        </w:rPr>
        <w:t>. Cost of sales was $350.2 million for the six months ended July 2, 2006, a decrease of $12.9 million or 3.6% from $363.1 million for the six</w:t>
      </w:r>
      <w:r>
        <w:rPr>
          <w:rFonts w:ascii="Arial" w:cs="Arial" w:eastAsia="Arial" w:hAnsi="Arial"/>
          <w:sz w:val="16"/>
          <w:szCs w:val="16"/>
          <w:i w:val="1"/>
          <w:iCs w:val="1"/>
          <w:color w:val="auto"/>
        </w:rPr>
        <w:t xml:space="preserve"> </w:t>
      </w:r>
      <w:r>
        <w:rPr>
          <w:rFonts w:ascii="Arial" w:cs="Arial" w:eastAsia="Arial" w:hAnsi="Arial"/>
          <w:sz w:val="16"/>
          <w:szCs w:val="16"/>
          <w:color w:val="auto"/>
        </w:rPr>
        <w:t>months ended July 3, 2005. Cost of sales for the first half of 2005 included an inventory charge of $4.5 million related to fair value uplift from purchase accounting. Excluding this charge, the decrease of $8.4 million in cost of sales was primarily due to reduction in variable costs driven by the decrease in sales volume. Cost of sales as a percentage of net sales was 85.2% in the current year period compared to 80.8% in the prior year period.</w:t>
      </w:r>
    </w:p>
    <w:p>
      <w:pPr>
        <w:spacing w:after="0" w:line="113"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i w:val="1"/>
          <w:iCs w:val="1"/>
          <w:color w:val="auto"/>
        </w:rPr>
        <w:t xml:space="preserve">Selling, General and Administrative Expenses. </w:t>
      </w:r>
      <w:r>
        <w:rPr>
          <w:rFonts w:ascii="Arial" w:cs="Arial" w:eastAsia="Arial" w:hAnsi="Arial"/>
          <w:sz w:val="18"/>
          <w:szCs w:val="18"/>
          <w:color w:val="auto"/>
        </w:rPr>
        <w:t>Selling, general and administrative expenses were $43.6 million or 10.6% of net sales for the six months</w:t>
      </w:r>
      <w:r>
        <w:rPr>
          <w:rFonts w:ascii="Arial" w:cs="Arial" w:eastAsia="Arial" w:hAnsi="Arial"/>
          <w:sz w:val="18"/>
          <w:szCs w:val="18"/>
          <w:i w:val="1"/>
          <w:iCs w:val="1"/>
          <w:color w:val="auto"/>
        </w:rPr>
        <w:t xml:space="preserve"> </w:t>
      </w:r>
      <w:r>
        <w:rPr>
          <w:rFonts w:ascii="Arial" w:cs="Arial" w:eastAsia="Arial" w:hAnsi="Arial"/>
          <w:sz w:val="18"/>
          <w:szCs w:val="18"/>
          <w:color w:val="auto"/>
        </w:rPr>
        <w:t>ended July 2, 2006 compared to $61.0 million or 13.6% for the six months ended July 3, 2005. This decrease of $17.4 million or 28.5% from the prior year period was primarily attributable to lower amortization of intangible assets from the sale of our application processor business in the first quarter of 2006, a decrease in professional service fees and reduced provisions for customer claims and returns. These expenses were reduced as a result of operational efficiency and infrastructure improvements.</w:t>
      </w:r>
    </w:p>
    <w:p>
      <w:pPr>
        <w:spacing w:after="0" w:line="143" w:lineRule="exact"/>
        <w:rPr>
          <w:sz w:val="20"/>
          <w:szCs w:val="20"/>
          <w:color w:val="auto"/>
        </w:rPr>
      </w:pPr>
    </w:p>
    <w:p>
      <w:pPr>
        <w:ind w:right="100" w:firstLine="456"/>
        <w:spacing w:after="0" w:line="298" w:lineRule="auto"/>
        <w:rPr>
          <w:sz w:val="20"/>
          <w:szCs w:val="20"/>
          <w:color w:val="auto"/>
        </w:rPr>
      </w:pPr>
      <w:r>
        <w:rPr>
          <w:rFonts w:ascii="Arial" w:cs="Arial" w:eastAsia="Arial" w:hAnsi="Arial"/>
          <w:sz w:val="16"/>
          <w:szCs w:val="16"/>
          <w:i w:val="1"/>
          <w:iCs w:val="1"/>
          <w:color w:val="auto"/>
        </w:rPr>
        <w:t xml:space="preserve">Research and Development Expenses. </w:t>
      </w:r>
      <w:r>
        <w:rPr>
          <w:rFonts w:ascii="Arial" w:cs="Arial" w:eastAsia="Arial" w:hAnsi="Arial"/>
          <w:sz w:val="16"/>
          <w:szCs w:val="16"/>
          <w:color w:val="auto"/>
        </w:rPr>
        <w:t>Research and development expenses for the current quarter were $63.9 million, a $10.3 million or 19.2% increase</w:t>
      </w:r>
      <w:r>
        <w:rPr>
          <w:rFonts w:ascii="Arial" w:cs="Arial" w:eastAsia="Arial" w:hAnsi="Arial"/>
          <w:sz w:val="16"/>
          <w:szCs w:val="16"/>
          <w:i w:val="1"/>
          <w:iCs w:val="1"/>
          <w:color w:val="auto"/>
        </w:rPr>
        <w:t xml:space="preserve"> </w:t>
      </w:r>
      <w:r>
        <w:rPr>
          <w:rFonts w:ascii="Arial" w:cs="Arial" w:eastAsia="Arial" w:hAnsi="Arial"/>
          <w:sz w:val="16"/>
          <w:szCs w:val="16"/>
          <w:color w:val="auto"/>
        </w:rPr>
        <w:t>from $53.6 million for the prior year period. This increase in research and development expenses represents increased technology license fees and additional research and development staffing and activity from the acquisition of ISRON Corporation and IC Media Corporation. As a percentage of net sales, research and development expense increased by 370 basis points to 15.6% compared to 11.9% in the first half of 2005.</w:t>
      </w:r>
    </w:p>
    <w:p>
      <w:pPr>
        <w:spacing w:after="0" w:line="113"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i w:val="1"/>
          <w:iCs w:val="1"/>
          <w:color w:val="auto"/>
        </w:rPr>
        <w:t xml:space="preserve">Restructuring and Impairment Charges. </w:t>
      </w:r>
      <w:r>
        <w:rPr>
          <w:rFonts w:ascii="Arial" w:cs="Arial" w:eastAsia="Arial" w:hAnsi="Arial"/>
          <w:sz w:val="16"/>
          <w:szCs w:val="16"/>
          <w:color w:val="auto"/>
        </w:rPr>
        <w:t>During the six months ended July 2, 2006, we recorded a one-time charge of $93.7 million as restructuring and</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impairment charges. The amount included $92.5 million of impairment charges under SFAS 144, </w:t>
      </w:r>
      <w:r>
        <w:rPr>
          <w:rFonts w:ascii="Arial" w:cs="Arial" w:eastAsia="Arial" w:hAnsi="Arial"/>
          <w:sz w:val="16"/>
          <w:szCs w:val="16"/>
          <w:i w:val="1"/>
          <w:iCs w:val="1"/>
          <w:color w:val="auto"/>
        </w:rPr>
        <w:t>Accounting for the Impairment or Disposal of Long-lived assets</w:t>
      </w:r>
      <w:r>
        <w:rPr>
          <w:rFonts w:ascii="Arial" w:cs="Arial" w:eastAsia="Arial" w:hAnsi="Arial"/>
          <w:sz w:val="16"/>
          <w:szCs w:val="16"/>
          <w:color w:val="auto"/>
        </w:rPr>
        <w:t xml:space="preserve"> and $1.2 million of restructuring charges under SFAS 146, </w:t>
      </w:r>
      <w:r>
        <w:rPr>
          <w:rFonts w:ascii="Arial" w:cs="Arial" w:eastAsia="Arial" w:hAnsi="Arial"/>
          <w:sz w:val="16"/>
          <w:szCs w:val="16"/>
          <w:i w:val="1"/>
          <w:iCs w:val="1"/>
          <w:color w:val="auto"/>
        </w:rPr>
        <w:t>Accounting for Costs Associated with Exit or Disposal Activities</w:t>
      </w:r>
      <w:r>
        <w:rPr>
          <w:rFonts w:ascii="Arial" w:cs="Arial" w:eastAsia="Arial" w:hAnsi="Arial"/>
          <w:sz w:val="16"/>
          <w:szCs w:val="16"/>
          <w:color w:val="auto"/>
        </w:rPr>
        <w:t>. As mentioned in the foregoing, the impairment charges were recorded against one of our fabrication facilities and certain related technology and customer-based intangible assets, and the restructuring charges were taken in association with changes in certain of our management. In the prior year period, $8.7 million of restructuring and impairment charges were recorded in connection with an impairment of certain tangible assets and an early retirement program.</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459" w:right="23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i w:val="1"/>
          <w:iCs w:val="1"/>
          <w:color w:val="auto"/>
        </w:rPr>
        <w:t xml:space="preserve">Operating Loss. </w:t>
      </w:r>
      <w:r>
        <w:rPr>
          <w:rFonts w:ascii="Arial" w:cs="Arial" w:eastAsia="Arial" w:hAnsi="Arial"/>
          <w:sz w:val="18"/>
          <w:szCs w:val="18"/>
          <w:color w:val="auto"/>
        </w:rPr>
        <w:t>Operating loss for the six-month period ended July 2, 2006 was $140.6 million, a $103.6 million increase from the operating loss of $37</w:t>
      </w:r>
      <w:r>
        <w:rPr>
          <w:rFonts w:ascii="Arial" w:cs="Arial" w:eastAsia="Arial" w:hAnsi="Arial"/>
          <w:sz w:val="18"/>
          <w:szCs w:val="18"/>
          <w:i w:val="1"/>
          <w:iCs w:val="1"/>
          <w:color w:val="auto"/>
        </w:rPr>
        <w:t xml:space="preserve"> </w:t>
      </w:r>
      <w:r>
        <w:rPr>
          <w:rFonts w:ascii="Arial" w:cs="Arial" w:eastAsia="Arial" w:hAnsi="Arial"/>
          <w:sz w:val="18"/>
          <w:szCs w:val="18"/>
          <w:color w:val="auto"/>
        </w:rPr>
        <w:t>million for the six-month period ended July 3, 2005. This increase in operating loss is primarily attributable to the one-time charge of restructuring and impairment charges taken during the current period.</w:t>
      </w:r>
    </w:p>
    <w:p>
      <w:pPr>
        <w:spacing w:after="0" w:line="140"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i w:val="1"/>
          <w:iCs w:val="1"/>
          <w:color w:val="auto"/>
        </w:rPr>
        <w:t xml:space="preserve">Net Interest Expense. </w:t>
      </w:r>
      <w:r>
        <w:rPr>
          <w:rFonts w:ascii="Arial" w:cs="Arial" w:eastAsia="Arial" w:hAnsi="Arial"/>
          <w:sz w:val="18"/>
          <w:szCs w:val="18"/>
          <w:color w:val="auto"/>
        </w:rPr>
        <w:t>Net interest expense was $29.1 million during the six-month period ended July 2, 2006, an increase of $1.2 million from $27.9</w:t>
      </w:r>
      <w:r>
        <w:rPr>
          <w:rFonts w:ascii="Arial" w:cs="Arial" w:eastAsia="Arial" w:hAnsi="Arial"/>
          <w:sz w:val="18"/>
          <w:szCs w:val="18"/>
          <w:i w:val="1"/>
          <w:iCs w:val="1"/>
          <w:color w:val="auto"/>
        </w:rPr>
        <w:t xml:space="preserve"> </w:t>
      </w:r>
      <w:r>
        <w:rPr>
          <w:rFonts w:ascii="Arial" w:cs="Arial" w:eastAsia="Arial" w:hAnsi="Arial"/>
          <w:sz w:val="18"/>
          <w:szCs w:val="18"/>
          <w:color w:val="auto"/>
        </w:rPr>
        <w:t>million for the six-month period ended July 3, 2005. The increase in net interest expense was primarily due to an increase in the interest rate on our Floating Rate Second Priority Senior Secured Notes of $300.0 million. This floating interest rate was effectively converted to a fixed interest rate through an interest rate swap entered into in the second quarter of 2005. As a result, we are not exposed to changes in interest rates until the interest rate swap is unwound on June 15, 2008. Refer to “Note 6. Long-term Borrowings” for details.</w:t>
      </w:r>
    </w:p>
    <w:p>
      <w:pPr>
        <w:spacing w:after="0" w:line="143"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i w:val="1"/>
          <w:iCs w:val="1"/>
          <w:color w:val="auto"/>
        </w:rPr>
        <w:t>Income Tax Expenses</w:t>
      </w:r>
      <w:r>
        <w:rPr>
          <w:rFonts w:ascii="Arial" w:cs="Arial" w:eastAsia="Arial" w:hAnsi="Arial"/>
          <w:sz w:val="18"/>
          <w:szCs w:val="18"/>
          <w:color w:val="auto"/>
        </w:rPr>
        <w:t>. Income tax expenses for the six months ended July 2, 2006 were $5.1 million while income tax expenses were $0.7 million for the</w:t>
      </w:r>
      <w:r>
        <w:rPr>
          <w:rFonts w:ascii="Arial" w:cs="Arial" w:eastAsia="Arial" w:hAnsi="Arial"/>
          <w:sz w:val="18"/>
          <w:szCs w:val="18"/>
          <w:i w:val="1"/>
          <w:iCs w:val="1"/>
          <w:color w:val="auto"/>
        </w:rPr>
        <w:t xml:space="preserve"> </w:t>
      </w:r>
      <w:r>
        <w:rPr>
          <w:rFonts w:ascii="Arial" w:cs="Arial" w:eastAsia="Arial" w:hAnsi="Arial"/>
          <w:sz w:val="18"/>
          <w:szCs w:val="18"/>
          <w:color w:val="auto"/>
        </w:rPr>
        <w:t>prior year period. The lower income tax expenses in the prior year period were primarily attributable to the initial recognition of deferred tax assets for temporary difference between taxable and accounting income. Excluding the impact from deferred tax accounting, our income tax expenses are mostly composed of withholding taxes on the interest paid by one of our subsidiaries to its parent company. Due to the uncertainty of utilization for foreign tax credits, this withholding tax was treated as a current tax expense.</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96"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Our principal capital requirements are to fund working capital needs, meet required debt payments, including debt service payments on our notes and, if drawn upon, the senior credit facility, to invest in research and development and capital equipment expenditures. We anticipate that operating cash flow, together with available borrowing capacity under our senior credit facility, will be sufficient to meet our working capital needs, and fund our research and development expenses, capital expenditures and service requirements on our debt obligations for the foreseeable future. As of July 2, 2006, we had total long-term debt outstanding of $750.0 million.</w:t>
      </w:r>
    </w:p>
    <w:p>
      <w:pPr>
        <w:spacing w:after="0" w:line="143"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During the six-month period ended July 2, 2006, we generated cash from operating activities of $10.5 million, an $11.8 million or 53.0% decrease from operating cash inflow of $22.3 million during the first half of 2005. The operating cash inflows for the six-month periods reflected our net loss of $135.9 million adjusted by non-cash items of $160.3 million which consisted mostly of impairment charges, depreciation costs, and amortization costs. This cash inflow on an adjusted basis was partially offset by cash outlays of $13.9 million, mainly due to an increase in working capital requirements during the six-month ended July 2, 2006.</w:t>
      </w:r>
    </w:p>
    <w:p>
      <w:pPr>
        <w:spacing w:after="0" w:line="143"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Our working capital balance was $153.7 million as of July 2, 2006 compared to $141.4 million as of December 31, 2005. The increase of $12.3 million or 8.7% was driven by a reduction of $40.8 million in accounts payable, representing a decline in the days of accounts payable from 63 to 40. This increase of working capital balance was partially offset by a decrease of $16.1 million in accounts receivable due to a decline in net sales during the six months ended July 2, 2006.</w:t>
      </w:r>
    </w:p>
    <w:p>
      <w:pPr>
        <w:spacing w:after="0" w:line="143" w:lineRule="exact"/>
        <w:rPr>
          <w:sz w:val="20"/>
          <w:szCs w:val="20"/>
          <w:color w:val="auto"/>
        </w:rPr>
      </w:pPr>
    </w:p>
    <w:p>
      <w:pPr>
        <w:ind w:right="20" w:firstLine="456"/>
        <w:spacing w:after="0" w:line="306" w:lineRule="auto"/>
        <w:rPr>
          <w:sz w:val="20"/>
          <w:szCs w:val="20"/>
          <w:color w:val="auto"/>
        </w:rPr>
      </w:pPr>
      <w:r>
        <w:rPr>
          <w:rFonts w:ascii="Arial" w:cs="Arial" w:eastAsia="Arial" w:hAnsi="Arial"/>
          <w:sz w:val="16"/>
          <w:szCs w:val="16"/>
          <w:color w:val="auto"/>
        </w:rPr>
        <w:t>For investing activities, we used cash of approximately $14.6 million for the six months ended July 2, 2006. This cash outlay principally represented $20.5 million of capital expenditures on tangible and intangible assets, partially offset by a cash inflow from the sale of our application processor business and other tangible assets. During the prior year quarter, the net cash outlay for investing activities was $22.4 million.</w:t>
      </w:r>
    </w:p>
    <w:p>
      <w:pPr>
        <w:spacing w:after="0" w:line="107" w:lineRule="exact"/>
        <w:rPr>
          <w:sz w:val="20"/>
          <w:szCs w:val="20"/>
          <w:color w:val="auto"/>
        </w:rPr>
      </w:pPr>
    </w:p>
    <w:p>
      <w:pPr>
        <w:ind w:right="280" w:firstLine="456"/>
        <w:spacing w:after="0" w:line="268" w:lineRule="auto"/>
        <w:rPr>
          <w:sz w:val="20"/>
          <w:szCs w:val="20"/>
          <w:color w:val="auto"/>
        </w:rPr>
      </w:pPr>
      <w:r>
        <w:rPr>
          <w:rFonts w:ascii="Arial" w:cs="Arial" w:eastAsia="Arial" w:hAnsi="Arial"/>
          <w:sz w:val="18"/>
          <w:szCs w:val="18"/>
          <w:color w:val="auto"/>
        </w:rPr>
        <w:t>For the six months ended July 2, 2006, there were no significant financing activities. During the first six months of 2005, we used approximately $13.4 million to repay short-term borrowings.</w:t>
      </w:r>
    </w:p>
    <w:p>
      <w:pPr>
        <w:spacing w:after="0" w:line="132"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i w:val="1"/>
          <w:iCs w:val="1"/>
          <w:color w:val="auto"/>
        </w:rPr>
        <w:t xml:space="preserve">Capital Expenditures. </w:t>
      </w:r>
      <w:r>
        <w:rPr>
          <w:rFonts w:ascii="Arial" w:cs="Arial" w:eastAsia="Arial" w:hAnsi="Arial"/>
          <w:sz w:val="18"/>
          <w:szCs w:val="18"/>
          <w:color w:val="auto"/>
        </w:rPr>
        <w:t>For the six months ended July 2, 2006, capital expenditures were flat at $20.5 million compared to $19.5 million for the six months</w:t>
      </w:r>
      <w:r>
        <w:rPr>
          <w:rFonts w:ascii="Arial" w:cs="Arial" w:eastAsia="Arial" w:hAnsi="Arial"/>
          <w:sz w:val="18"/>
          <w:szCs w:val="18"/>
          <w:i w:val="1"/>
          <w:iCs w:val="1"/>
          <w:color w:val="auto"/>
        </w:rPr>
        <w:t xml:space="preserve"> </w:t>
      </w:r>
      <w:r>
        <w:rPr>
          <w:rFonts w:ascii="Arial" w:cs="Arial" w:eastAsia="Arial" w:hAnsi="Arial"/>
          <w:sz w:val="18"/>
          <w:szCs w:val="18"/>
          <w:color w:val="auto"/>
        </w:rPr>
        <w:t>ended July 3, 2005. We will continue to manage the timing of our capital expenditures to support the growth of business from new customers and to optimize return on our investment.</w:t>
      </w:r>
    </w:p>
    <w:p>
      <w:pPr>
        <w:spacing w:after="0" w:line="140"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i w:val="1"/>
          <w:iCs w:val="1"/>
          <w:color w:val="auto"/>
        </w:rPr>
        <w:t xml:space="preserve">Future Financing Activities. </w:t>
      </w:r>
      <w:r>
        <w:rPr>
          <w:rFonts w:ascii="Arial" w:cs="Arial" w:eastAsia="Arial" w:hAnsi="Arial"/>
          <w:sz w:val="18"/>
          <w:szCs w:val="18"/>
          <w:color w:val="auto"/>
        </w:rPr>
        <w:t>Our primary future capital requirements include funding of our working capital needs, meeting our required debt payments,</w:t>
      </w:r>
      <w:r>
        <w:rPr>
          <w:rFonts w:ascii="Arial" w:cs="Arial" w:eastAsia="Arial" w:hAnsi="Arial"/>
          <w:sz w:val="18"/>
          <w:szCs w:val="18"/>
          <w:i w:val="1"/>
          <w:iCs w:val="1"/>
          <w:color w:val="auto"/>
        </w:rPr>
        <w:t xml:space="preserve"> </w:t>
      </w:r>
      <w:r>
        <w:rPr>
          <w:rFonts w:ascii="Arial" w:cs="Arial" w:eastAsia="Arial" w:hAnsi="Arial"/>
          <w:sz w:val="18"/>
          <w:szCs w:val="18"/>
          <w:color w:val="auto"/>
        </w:rPr>
        <w:t>and funding of research and development as well as capital equipment expenditures. We plan to add design resources in low cost locations in Asia. We anticipate that our operating cash flows, together with available borrowings under our senior credit facility, will be sufficient to meet these capital requirements for the foreseeable future.</w:t>
      </w:r>
    </w:p>
    <w:p>
      <w:pPr>
        <w:spacing w:after="0" w:line="13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360"/>
          </w:cols>
          <w:pgMar w:left="240" w:top="459" w:right="29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300" w:firstLine="456"/>
        <w:spacing w:after="0" w:line="268" w:lineRule="auto"/>
        <w:rPr>
          <w:sz w:val="20"/>
          <w:szCs w:val="20"/>
          <w:color w:val="auto"/>
        </w:rPr>
      </w:pPr>
      <w:r>
        <w:rPr>
          <w:rFonts w:ascii="Arial" w:cs="Arial" w:eastAsia="Arial" w:hAnsi="Arial"/>
          <w:sz w:val="18"/>
          <w:szCs w:val="18"/>
          <w:color w:val="auto"/>
        </w:rPr>
        <w:t>From time to time, we may need to incur additional debt or issue equity to make strategic acquisitions and investments. However, we cannot assure you that such financing will be available to us on acceptable terms or that such financing will be available at all.</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96" w:lineRule="exact"/>
        <w:rPr>
          <w:sz w:val="20"/>
          <w:szCs w:val="20"/>
          <w:color w:val="auto"/>
        </w:rPr>
      </w:pPr>
    </w:p>
    <w:p>
      <w:pPr>
        <w:ind w:right="640" w:firstLine="456"/>
        <w:spacing w:after="0" w:line="268" w:lineRule="auto"/>
        <w:rPr>
          <w:sz w:val="20"/>
          <w:szCs w:val="20"/>
          <w:color w:val="auto"/>
        </w:rPr>
      </w:pPr>
      <w:r>
        <w:rPr>
          <w:rFonts w:ascii="Arial" w:cs="Arial" w:eastAsia="Arial" w:hAnsi="Arial"/>
          <w:sz w:val="18"/>
          <w:szCs w:val="18"/>
          <w:color w:val="auto"/>
        </w:rPr>
        <w:t>Summarized in the table below are our obligations and commitments to make future payments under debt obligations and minimum lease payment obligations as of July 2, 2006.</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600" w:type="dxa"/>
            <w:vAlign w:val="bottom"/>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300" w:type="dxa"/>
            <w:vAlign w:val="bottom"/>
            <w:tcBorders>
              <w:bottom w:val="single" w:sz="8" w:color="auto"/>
            </w:tcBorders>
            <w:gridSpan w:val="9"/>
          </w:tcPr>
          <w:p>
            <w:pPr>
              <w:jc w:val="center"/>
              <w:ind w:right="236"/>
              <w:spacing w:after="0"/>
              <w:rPr>
                <w:sz w:val="20"/>
                <w:szCs w:val="20"/>
                <w:color w:val="auto"/>
              </w:rPr>
            </w:pPr>
            <w:r>
              <w:rPr>
                <w:rFonts w:ascii="Arial" w:cs="Arial" w:eastAsia="Arial" w:hAnsi="Arial"/>
                <w:sz w:val="14"/>
                <w:szCs w:val="14"/>
                <w:b w:val="1"/>
                <w:bCs w:val="1"/>
                <w:color w:val="auto"/>
                <w:w w:val="86"/>
              </w:rPr>
              <w:t>Payments Due by Period</w:t>
            </w:r>
          </w:p>
        </w:tc>
        <w:tc>
          <w:tcPr>
            <w:tcW w:w="12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r>
      <w:tr>
        <w:trPr>
          <w:trHeight w:val="129"/>
        </w:trPr>
        <w:tc>
          <w:tcPr>
            <w:tcW w:w="76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tcPr>
          <w:p>
            <w:pPr>
              <w:spacing w:after="0" w:line="129" w:lineRule="exact"/>
              <w:rPr>
                <w:sz w:val="20"/>
                <w:szCs w:val="20"/>
                <w:color w:val="auto"/>
              </w:rPr>
            </w:pPr>
            <w:r>
              <w:rPr>
                <w:rFonts w:ascii="Arial" w:cs="Arial" w:eastAsia="Arial" w:hAnsi="Arial"/>
                <w:sz w:val="14"/>
                <w:szCs w:val="14"/>
                <w:b w:val="1"/>
                <w:bCs w:val="1"/>
                <w:color w:val="auto"/>
                <w:w w:val="86"/>
              </w:rPr>
              <w:t>Interest</w:t>
            </w:r>
          </w:p>
        </w:tc>
        <w:tc>
          <w:tcPr>
            <w:tcW w:w="60" w:type="dxa"/>
            <w:vAlign w:val="bottom"/>
          </w:tcPr>
          <w:p>
            <w:pPr>
              <w:spacing w:after="0"/>
              <w:rPr>
                <w:sz w:val="11"/>
                <w:szCs w:val="11"/>
                <w:color w:val="auto"/>
              </w:rPr>
            </w:pPr>
          </w:p>
        </w:tc>
      </w:tr>
      <w:tr>
        <w:trPr>
          <w:trHeight w:val="175"/>
        </w:trPr>
        <w:tc>
          <w:tcPr>
            <w:tcW w:w="7600" w:type="dxa"/>
            <w:vAlign w:val="bottom"/>
          </w:tcPr>
          <w:p>
            <w:pPr>
              <w:spacing w:after="0"/>
              <w:rPr>
                <w:sz w:val="15"/>
                <w:szCs w:val="15"/>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5"/>
              </w:rPr>
              <w:t>Total</w:t>
            </w:r>
          </w:p>
        </w:tc>
        <w:tc>
          <w:tcPr>
            <w:tcW w:w="120" w:type="dxa"/>
            <w:vAlign w:val="bottom"/>
          </w:tcPr>
          <w:p>
            <w:pPr>
              <w:spacing w:after="0"/>
              <w:rPr>
                <w:sz w:val="15"/>
                <w:szCs w:val="15"/>
                <w:color w:val="auto"/>
              </w:rPr>
            </w:pP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76"/>
              </w:rPr>
              <w:t>2006</w:t>
            </w:r>
          </w:p>
        </w:tc>
        <w:tc>
          <w:tcPr>
            <w:tcW w:w="100" w:type="dxa"/>
            <w:vAlign w:val="bottom"/>
          </w:tcPr>
          <w:p>
            <w:pPr>
              <w:spacing w:after="0"/>
              <w:rPr>
                <w:sz w:val="15"/>
                <w:szCs w:val="15"/>
                <w:color w:val="auto"/>
              </w:rPr>
            </w:pPr>
          </w:p>
        </w:tc>
        <w:tc>
          <w:tcPr>
            <w:tcW w:w="3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2007</w:t>
            </w:r>
          </w:p>
        </w:tc>
        <w:tc>
          <w:tcPr>
            <w:tcW w:w="100" w:type="dxa"/>
            <w:vAlign w:val="bottom"/>
          </w:tcPr>
          <w:p>
            <w:pPr>
              <w:spacing w:after="0"/>
              <w:rPr>
                <w:sz w:val="15"/>
                <w:szCs w:val="15"/>
                <w:color w:val="auto"/>
              </w:rPr>
            </w:pPr>
          </w:p>
        </w:tc>
        <w:tc>
          <w:tcPr>
            <w:tcW w:w="3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2008</w:t>
            </w:r>
          </w:p>
        </w:tc>
        <w:tc>
          <w:tcPr>
            <w:tcW w:w="100" w:type="dxa"/>
            <w:vAlign w:val="bottom"/>
          </w:tcPr>
          <w:p>
            <w:pPr>
              <w:spacing w:after="0"/>
              <w:rPr>
                <w:sz w:val="15"/>
                <w:szCs w:val="15"/>
                <w:color w:val="auto"/>
              </w:rPr>
            </w:pPr>
          </w:p>
        </w:tc>
        <w:tc>
          <w:tcPr>
            <w:tcW w:w="3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2009</w:t>
            </w:r>
          </w:p>
        </w:tc>
        <w:tc>
          <w:tcPr>
            <w:tcW w:w="100" w:type="dxa"/>
            <w:vAlign w:val="bottom"/>
          </w:tcPr>
          <w:p>
            <w:pPr>
              <w:spacing w:after="0"/>
              <w:rPr>
                <w:sz w:val="15"/>
                <w:szCs w:val="15"/>
                <w:color w:val="auto"/>
              </w:rPr>
            </w:pPr>
          </w:p>
        </w:tc>
        <w:tc>
          <w:tcPr>
            <w:tcW w:w="3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2010</w:t>
            </w:r>
          </w:p>
        </w:tc>
        <w:tc>
          <w:tcPr>
            <w:tcW w:w="100" w:type="dxa"/>
            <w:vAlign w:val="bottom"/>
          </w:tcPr>
          <w:p>
            <w:pPr>
              <w:spacing w:after="0"/>
              <w:rPr>
                <w:sz w:val="15"/>
                <w:szCs w:val="15"/>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7"/>
              </w:rPr>
              <w:t>Thereafter</w:t>
            </w:r>
          </w:p>
        </w:tc>
        <w:tc>
          <w:tcPr>
            <w:tcW w:w="120" w:type="dxa"/>
            <w:vAlign w:val="bottom"/>
          </w:tcPr>
          <w:p>
            <w:pPr>
              <w:spacing w:after="0"/>
              <w:rPr>
                <w:sz w:val="15"/>
                <w:szCs w:val="15"/>
                <w:color w:val="auto"/>
              </w:rPr>
            </w:pPr>
          </w:p>
        </w:tc>
        <w:tc>
          <w:tcPr>
            <w:tcW w:w="4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78"/>
              </w:rPr>
              <w:t>expense</w:t>
            </w:r>
          </w:p>
        </w:tc>
        <w:tc>
          <w:tcPr>
            <w:tcW w:w="60" w:type="dxa"/>
            <w:vAlign w:val="bottom"/>
          </w:tcPr>
          <w:p>
            <w:pPr>
              <w:spacing w:after="0"/>
              <w:rPr>
                <w:sz w:val="15"/>
                <w:szCs w:val="15"/>
                <w:color w:val="auto"/>
              </w:rPr>
            </w:pPr>
          </w:p>
        </w:tc>
      </w:tr>
      <w:tr>
        <w:trPr>
          <w:trHeight w:val="142"/>
        </w:trPr>
        <w:tc>
          <w:tcPr>
            <w:tcW w:w="76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300" w:type="dxa"/>
            <w:vAlign w:val="bottom"/>
            <w:gridSpan w:val="9"/>
          </w:tcPr>
          <w:p>
            <w:pPr>
              <w:jc w:val="center"/>
              <w:ind w:right="236"/>
              <w:spacing w:after="0" w:line="142" w:lineRule="exact"/>
              <w:rPr>
                <w:sz w:val="20"/>
                <w:szCs w:val="20"/>
                <w:color w:val="auto"/>
              </w:rPr>
            </w:pPr>
            <w:r>
              <w:rPr>
                <w:rFonts w:ascii="Arial" w:cs="Arial" w:eastAsia="Arial" w:hAnsi="Arial"/>
                <w:sz w:val="14"/>
                <w:szCs w:val="14"/>
                <w:b w:val="1"/>
                <w:bCs w:val="1"/>
                <w:i w:val="1"/>
                <w:iCs w:val="1"/>
                <w:color w:val="auto"/>
                <w:w w:val="86"/>
              </w:rPr>
              <w:t>(in millions of US dollars)</w:t>
            </w: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216"/>
        </w:trPr>
        <w:tc>
          <w:tcPr>
            <w:tcW w:w="7600" w:type="dxa"/>
            <w:vAlign w:val="bottom"/>
            <w:shd w:val="clear" w:color="auto" w:fill="CCEEFF"/>
          </w:tcPr>
          <w:p>
            <w:pPr>
              <w:spacing w:after="0"/>
              <w:rPr>
                <w:sz w:val="20"/>
                <w:szCs w:val="20"/>
                <w:color w:val="auto"/>
              </w:rPr>
            </w:pPr>
            <w:r>
              <w:rPr>
                <w:rFonts w:ascii="Arial" w:cs="Arial" w:eastAsia="Arial" w:hAnsi="Arial"/>
                <w:sz w:val="18"/>
                <w:szCs w:val="18"/>
                <w:color w:val="auto"/>
              </w:rPr>
              <w:t>Revolving credit facility</w:t>
            </w:r>
          </w:p>
        </w:tc>
        <w:tc>
          <w:tcPr>
            <w:tcW w:w="5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w:t>
            </w:r>
          </w:p>
        </w:tc>
        <w:tc>
          <w:tcPr>
            <w:tcW w:w="10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9"/>
              </w:rPr>
              <w:t>—</w:t>
            </w:r>
          </w:p>
        </w:tc>
        <w:tc>
          <w:tcPr>
            <w:tcW w:w="3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w:t>
            </w:r>
          </w:p>
        </w:tc>
        <w:tc>
          <w:tcPr>
            <w:tcW w:w="10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center"/>
              <w:ind w:right="140"/>
              <w:spacing w:after="0"/>
              <w:rPr>
                <w:sz w:val="20"/>
                <w:szCs w:val="20"/>
                <w:color w:val="auto"/>
              </w:rPr>
            </w:pPr>
            <w:r>
              <w:rPr>
                <w:rFonts w:ascii="Arial" w:cs="Arial" w:eastAsia="Arial" w:hAnsi="Arial"/>
                <w:sz w:val="18"/>
                <w:szCs w:val="18"/>
                <w:color w:val="auto"/>
                <w:w w:val="88"/>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7600" w:type="dxa"/>
            <w:vAlign w:val="bottom"/>
          </w:tcPr>
          <w:p>
            <w:pPr>
              <w:spacing w:after="0"/>
              <w:rPr>
                <w:sz w:val="20"/>
                <w:szCs w:val="20"/>
                <w:color w:val="auto"/>
              </w:rPr>
            </w:pPr>
            <w:r>
              <w:rPr>
                <w:rFonts w:ascii="Arial" w:cs="Arial" w:eastAsia="Arial" w:hAnsi="Arial"/>
                <w:sz w:val="18"/>
                <w:szCs w:val="18"/>
                <w:color w:val="auto"/>
              </w:rPr>
              <w:t>Secured notes and subordinated notes(*)</w:t>
            </w:r>
          </w:p>
        </w:tc>
        <w:tc>
          <w:tcPr>
            <w:tcW w:w="520" w:type="dxa"/>
            <w:vAlign w:val="bottom"/>
            <w:gridSpan w:val="2"/>
          </w:tcPr>
          <w:p>
            <w:pPr>
              <w:jc w:val="right"/>
              <w:ind w:right="120"/>
              <w:spacing w:after="0"/>
              <w:rPr>
                <w:sz w:val="20"/>
                <w:szCs w:val="20"/>
                <w:color w:val="auto"/>
              </w:rPr>
            </w:pPr>
            <w:r>
              <w:rPr>
                <w:rFonts w:ascii="Arial" w:cs="Arial" w:eastAsia="Arial" w:hAnsi="Arial"/>
                <w:sz w:val="18"/>
                <w:szCs w:val="18"/>
                <w:color w:val="auto"/>
                <w:w w:val="84"/>
              </w:rPr>
              <w:t>750.0</w:t>
            </w:r>
          </w:p>
        </w:tc>
        <w:tc>
          <w:tcPr>
            <w:tcW w:w="260" w:type="dxa"/>
            <w:vAlign w:val="bottom"/>
          </w:tcPr>
          <w:p>
            <w:pPr>
              <w:jc w:val="right"/>
              <w:spacing w:after="0"/>
              <w:rPr>
                <w:sz w:val="20"/>
                <w:szCs w:val="20"/>
                <w:color w:val="auto"/>
              </w:rPr>
            </w:pPr>
            <w:r>
              <w:rPr>
                <w:rFonts w:ascii="Arial" w:cs="Arial" w:eastAsia="Arial" w:hAnsi="Arial"/>
                <w:sz w:val="18"/>
                <w:szCs w:val="18"/>
                <w:color w:val="auto"/>
                <w:w w:val="88"/>
              </w:rPr>
              <w:t>—</w:t>
            </w:r>
          </w:p>
        </w:tc>
        <w:tc>
          <w:tcPr>
            <w:tcW w:w="100" w:type="dxa"/>
            <w:vAlign w:val="bottom"/>
          </w:tcPr>
          <w:p>
            <w:pPr>
              <w:spacing w:after="0"/>
              <w:rPr>
                <w:sz w:val="18"/>
                <w:szCs w:val="18"/>
                <w:color w:val="auto"/>
              </w:rPr>
            </w:pPr>
          </w:p>
        </w:tc>
        <w:tc>
          <w:tcPr>
            <w:tcW w:w="42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w:t>
            </w:r>
          </w:p>
        </w:tc>
        <w:tc>
          <w:tcPr>
            <w:tcW w:w="32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18"/>
                <w:szCs w:val="18"/>
                <w:color w:val="auto"/>
              </w:rPr>
            </w:pPr>
          </w:p>
        </w:tc>
        <w:tc>
          <w:tcPr>
            <w:tcW w:w="320" w:type="dxa"/>
            <w:vAlign w:val="bottom"/>
          </w:tcPr>
          <w:p>
            <w:pPr>
              <w:jc w:val="center"/>
              <w:spacing w:after="0"/>
              <w:rPr>
                <w:sz w:val="20"/>
                <w:szCs w:val="20"/>
                <w:color w:val="auto"/>
              </w:rPr>
            </w:pPr>
            <w:r>
              <w:rPr>
                <w:rFonts w:ascii="Arial" w:cs="Arial" w:eastAsia="Arial" w:hAnsi="Arial"/>
                <w:sz w:val="18"/>
                <w:szCs w:val="18"/>
                <w:color w:val="auto"/>
                <w:w w:val="88"/>
              </w:rPr>
              <w:t>—</w:t>
            </w:r>
          </w:p>
        </w:tc>
        <w:tc>
          <w:tcPr>
            <w:tcW w:w="100" w:type="dxa"/>
            <w:vAlign w:val="bottom"/>
          </w:tcPr>
          <w:p>
            <w:pPr>
              <w:spacing w:after="0"/>
              <w:rPr>
                <w:sz w:val="18"/>
                <w:szCs w:val="18"/>
                <w:color w:val="auto"/>
              </w:rPr>
            </w:pPr>
          </w:p>
        </w:tc>
        <w:tc>
          <w:tcPr>
            <w:tcW w:w="420" w:type="dxa"/>
            <w:vAlign w:val="bottom"/>
            <w:gridSpan w:val="2"/>
          </w:tcPr>
          <w:p>
            <w:pPr>
              <w:jc w:val="center"/>
              <w:ind w:right="140"/>
              <w:spacing w:after="0"/>
              <w:rPr>
                <w:sz w:val="20"/>
                <w:szCs w:val="20"/>
                <w:color w:val="auto"/>
              </w:rPr>
            </w:pPr>
            <w:r>
              <w:rPr>
                <w:rFonts w:ascii="Arial" w:cs="Arial" w:eastAsia="Arial" w:hAnsi="Arial"/>
                <w:sz w:val="18"/>
                <w:szCs w:val="18"/>
                <w:color w:val="auto"/>
                <w:w w:val="88"/>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750.0</w:t>
            </w: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7600" w:type="dxa"/>
            <w:vAlign w:val="bottom"/>
            <w:shd w:val="clear" w:color="auto" w:fill="CCEEFF"/>
          </w:tcPr>
          <w:p>
            <w:pPr>
              <w:spacing w:after="0"/>
              <w:rPr>
                <w:sz w:val="20"/>
                <w:szCs w:val="20"/>
                <w:color w:val="auto"/>
              </w:rPr>
            </w:pPr>
            <w:r>
              <w:rPr>
                <w:rFonts w:ascii="Arial" w:cs="Arial" w:eastAsia="Arial" w:hAnsi="Arial"/>
                <w:sz w:val="18"/>
                <w:szCs w:val="18"/>
                <w:color w:val="auto"/>
              </w:rPr>
              <w:t>Operating lease</w:t>
            </w:r>
          </w:p>
        </w:tc>
        <w:tc>
          <w:tcPr>
            <w:tcW w:w="5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63.3</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5.8</w:t>
            </w:r>
          </w:p>
        </w:tc>
        <w:tc>
          <w:tcPr>
            <w:tcW w:w="1780" w:type="dxa"/>
            <w:vAlign w:val="bottom"/>
            <w:gridSpan w:val="9"/>
            <w:shd w:val="clear" w:color="auto" w:fill="CCEEFF"/>
          </w:tcPr>
          <w:p>
            <w:pPr>
              <w:jc w:val="right"/>
              <w:ind w:right="100"/>
              <w:spacing w:after="0"/>
              <w:rPr>
                <w:sz w:val="20"/>
                <w:szCs w:val="20"/>
                <w:color w:val="auto"/>
              </w:rPr>
            </w:pPr>
            <w:r>
              <w:rPr>
                <w:rFonts w:ascii="Arial" w:cs="Arial" w:eastAsia="Arial" w:hAnsi="Arial"/>
                <w:sz w:val="18"/>
                <w:szCs w:val="18"/>
                <w:color w:val="auto"/>
                <w:w w:val="97"/>
              </w:rPr>
              <w:t>11.5  11.5  11.5  11.5</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w:t>
            </w: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22"/>
        </w:trPr>
        <w:tc>
          <w:tcPr>
            <w:tcW w:w="7600" w:type="dxa"/>
            <w:vAlign w:val="bottom"/>
          </w:tcPr>
          <w:p>
            <w:pPr>
              <w:spacing w:after="0"/>
              <w:rPr>
                <w:sz w:val="20"/>
                <w:szCs w:val="20"/>
                <w:color w:val="auto"/>
              </w:rPr>
            </w:pPr>
            <w:r>
              <w:rPr>
                <w:rFonts w:ascii="Arial" w:cs="Arial" w:eastAsia="Arial" w:hAnsi="Arial"/>
                <w:sz w:val="18"/>
                <w:szCs w:val="18"/>
                <w:color w:val="auto"/>
              </w:rPr>
              <w:t>Others</w:t>
            </w:r>
          </w:p>
        </w:tc>
        <w:tc>
          <w:tcPr>
            <w:tcW w:w="520" w:type="dxa"/>
            <w:vAlign w:val="bottom"/>
            <w:gridSpan w:val="2"/>
          </w:tcPr>
          <w:p>
            <w:pPr>
              <w:jc w:val="right"/>
              <w:ind w:right="120"/>
              <w:spacing w:after="0"/>
              <w:rPr>
                <w:sz w:val="20"/>
                <w:szCs w:val="20"/>
                <w:color w:val="auto"/>
              </w:rPr>
            </w:pPr>
            <w:r>
              <w:rPr>
                <w:rFonts w:ascii="Arial" w:cs="Arial" w:eastAsia="Arial" w:hAnsi="Arial"/>
                <w:sz w:val="18"/>
                <w:szCs w:val="18"/>
                <w:color w:val="auto"/>
              </w:rPr>
              <w:t>13.3</w:t>
            </w:r>
          </w:p>
        </w:tc>
        <w:tc>
          <w:tcPr>
            <w:tcW w:w="260" w:type="dxa"/>
            <w:vAlign w:val="bottom"/>
          </w:tcPr>
          <w:p>
            <w:pPr>
              <w:jc w:val="right"/>
              <w:spacing w:after="0"/>
              <w:rPr>
                <w:sz w:val="20"/>
                <w:szCs w:val="20"/>
                <w:color w:val="auto"/>
              </w:rPr>
            </w:pPr>
            <w:r>
              <w:rPr>
                <w:rFonts w:ascii="Arial" w:cs="Arial" w:eastAsia="Arial" w:hAnsi="Arial"/>
                <w:sz w:val="18"/>
                <w:szCs w:val="18"/>
                <w:color w:val="auto"/>
                <w:w w:val="95"/>
              </w:rPr>
              <w:t>6.7</w:t>
            </w:r>
          </w:p>
        </w:tc>
        <w:tc>
          <w:tcPr>
            <w:tcW w:w="520" w:type="dxa"/>
            <w:vAlign w:val="bottom"/>
            <w:gridSpan w:val="3"/>
          </w:tcPr>
          <w:p>
            <w:pPr>
              <w:jc w:val="right"/>
              <w:ind w:right="100"/>
              <w:spacing w:after="0"/>
              <w:rPr>
                <w:sz w:val="20"/>
                <w:szCs w:val="20"/>
                <w:color w:val="auto"/>
              </w:rPr>
            </w:pPr>
            <w:r>
              <w:rPr>
                <w:rFonts w:ascii="Arial" w:cs="Arial" w:eastAsia="Arial" w:hAnsi="Arial"/>
                <w:sz w:val="18"/>
                <w:szCs w:val="18"/>
                <w:color w:val="auto"/>
              </w:rPr>
              <w:t>6.3</w:t>
            </w:r>
          </w:p>
        </w:tc>
        <w:tc>
          <w:tcPr>
            <w:tcW w:w="320" w:type="dxa"/>
            <w:vAlign w:val="bottom"/>
          </w:tcPr>
          <w:p>
            <w:pPr>
              <w:jc w:val="right"/>
              <w:spacing w:after="0"/>
              <w:rPr>
                <w:sz w:val="20"/>
                <w:szCs w:val="20"/>
                <w:color w:val="auto"/>
              </w:rPr>
            </w:pPr>
            <w:r>
              <w:rPr>
                <w:rFonts w:ascii="Arial" w:cs="Arial" w:eastAsia="Arial" w:hAnsi="Arial"/>
                <w:sz w:val="18"/>
                <w:szCs w:val="18"/>
                <w:color w:val="auto"/>
              </w:rPr>
              <w:t>0.7</w:t>
            </w:r>
          </w:p>
        </w:tc>
        <w:tc>
          <w:tcPr>
            <w:tcW w:w="100" w:type="dxa"/>
            <w:vAlign w:val="bottom"/>
          </w:tcPr>
          <w:p>
            <w:pPr>
              <w:spacing w:after="0"/>
              <w:rPr>
                <w:sz w:val="19"/>
                <w:szCs w:val="19"/>
                <w:color w:val="auto"/>
              </w:rPr>
            </w:pPr>
          </w:p>
        </w:tc>
        <w:tc>
          <w:tcPr>
            <w:tcW w:w="320" w:type="dxa"/>
            <w:vAlign w:val="bottom"/>
          </w:tcPr>
          <w:p>
            <w:pPr>
              <w:jc w:val="center"/>
              <w:spacing w:after="0"/>
              <w:rPr>
                <w:sz w:val="20"/>
                <w:szCs w:val="20"/>
                <w:color w:val="auto"/>
              </w:rPr>
            </w:pPr>
            <w:r>
              <w:rPr>
                <w:rFonts w:ascii="Arial" w:cs="Arial" w:eastAsia="Arial" w:hAnsi="Arial"/>
                <w:sz w:val="18"/>
                <w:szCs w:val="18"/>
                <w:color w:val="auto"/>
                <w:w w:val="88"/>
              </w:rPr>
              <w:t>—</w:t>
            </w:r>
          </w:p>
        </w:tc>
        <w:tc>
          <w:tcPr>
            <w:tcW w:w="100" w:type="dxa"/>
            <w:vAlign w:val="bottom"/>
          </w:tcPr>
          <w:p>
            <w:pPr>
              <w:spacing w:after="0"/>
              <w:rPr>
                <w:sz w:val="19"/>
                <w:szCs w:val="19"/>
                <w:color w:val="auto"/>
              </w:rPr>
            </w:pPr>
          </w:p>
        </w:tc>
        <w:tc>
          <w:tcPr>
            <w:tcW w:w="420" w:type="dxa"/>
            <w:vAlign w:val="bottom"/>
            <w:gridSpan w:val="2"/>
          </w:tcPr>
          <w:p>
            <w:pPr>
              <w:jc w:val="center"/>
              <w:ind w:right="140"/>
              <w:spacing w:after="0"/>
              <w:rPr>
                <w:sz w:val="20"/>
                <w:szCs w:val="20"/>
                <w:color w:val="auto"/>
              </w:rPr>
            </w:pPr>
            <w:r>
              <w:rPr>
                <w:rFonts w:ascii="Arial" w:cs="Arial" w:eastAsia="Arial" w:hAnsi="Arial"/>
                <w:sz w:val="18"/>
                <w:szCs w:val="18"/>
                <w:color w:val="auto"/>
                <w:w w:val="88"/>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0.1</w:t>
            </w:r>
          </w:p>
        </w:tc>
        <w:tc>
          <w:tcPr>
            <w:tcW w:w="640" w:type="dxa"/>
            <w:vAlign w:val="bottom"/>
            <w:gridSpan w:val="3"/>
          </w:tcPr>
          <w:p>
            <w:pPr>
              <w:jc w:val="right"/>
              <w:spacing w:after="0"/>
              <w:rPr>
                <w:sz w:val="20"/>
                <w:szCs w:val="20"/>
                <w:color w:val="auto"/>
              </w:rPr>
            </w:pPr>
            <w:r>
              <w:rPr>
                <w:rFonts w:ascii="Arial" w:cs="Arial" w:eastAsia="Arial" w:hAnsi="Arial"/>
                <w:sz w:val="18"/>
                <w:szCs w:val="18"/>
                <w:color w:val="auto"/>
              </w:rPr>
              <w:t>(0.5)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600075"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00075" cy="8890"/>
                    </a:xfrm>
                    <a:prstGeom prst="rect">
                      <a:avLst/>
                    </a:prstGeom>
                    <a:noFill/>
                  </pic:spPr>
                </pic:pic>
              </a:graphicData>
            </a:graphic>
          </wp:anchor>
        </w:drawing>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color w:val="auto"/>
        </w:rPr>
        <w:t>(*) Excludes interest obligations on notes.</w:t>
      </w:r>
    </w:p>
    <w:p>
      <w:pPr>
        <w:spacing w:after="0" w:line="171" w:lineRule="exact"/>
        <w:rPr>
          <w:sz w:val="20"/>
          <w:szCs w:val="20"/>
          <w:color w:val="auto"/>
        </w:rPr>
      </w:pPr>
    </w:p>
    <w:p>
      <w:pPr>
        <w:jc w:val="both"/>
        <w:ind w:right="100" w:firstLine="456"/>
        <w:spacing w:after="0" w:line="235" w:lineRule="auto"/>
        <w:rPr>
          <w:sz w:val="20"/>
          <w:szCs w:val="20"/>
          <w:color w:val="auto"/>
        </w:rPr>
      </w:pPr>
      <w:r>
        <w:rPr>
          <w:rFonts w:ascii="Arial" w:cs="Arial" w:eastAsia="Arial" w:hAnsi="Arial"/>
          <w:sz w:val="18"/>
          <w:szCs w:val="18"/>
          <w:color w:val="auto"/>
        </w:rPr>
        <w:t xml:space="preserve">The Floating Rate Second Priority Senior Secured Notes of $300 million and Second Priority Senior Secured Notes of $200 million mature in 2011, while the Senior Subordinated Notes of $250 million mature in 2014. Interest rates are 3 month LIBOR + 3.25%, 6 </w:t>
      </w:r>
      <w:r>
        <w:rPr>
          <w:rFonts w:ascii="Arial" w:cs="Arial" w:eastAsia="Arial" w:hAnsi="Arial"/>
          <w:sz w:val="22"/>
          <w:szCs w:val="22"/>
          <w:color w:val="auto"/>
          <w:vertAlign w:val="superscript"/>
        </w:rPr>
        <w:t>7</w:t>
      </w:r>
      <w:r>
        <w:rPr>
          <w:rFonts w:ascii="Arial" w:cs="Arial" w:eastAsia="Arial" w:hAnsi="Arial"/>
          <w:sz w:val="18"/>
          <w:szCs w:val="18"/>
          <w:color w:val="auto"/>
        </w:rPr>
        <w:t>/8% and 8%, respectively. These notes will be paid in full upon maturity.</w:t>
      </w:r>
    </w:p>
    <w:p>
      <w:pPr>
        <w:spacing w:after="0" w:line="157"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Each indenture governing the notes contains covenants that limit the ability of the Company and its subsidiaries to (i) incur additional indebtedness, (ii) pay dividends or make other distributions on its capital stock or repurchase, repay or redeem its capital stock, (iii) make certain investments, (iv) incur liens, (v) enter into certain types of transactions with affiliates, (vi) create restrictions on the payment of dividends or other amounts to the Company by its subsidiaries, and (vii) sell all or substantially all of its assets or merge with or into other companies.</w:t>
      </w:r>
    </w:p>
    <w:p>
      <w:pPr>
        <w:spacing w:after="0" w:line="143"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On July 26, 2006, we entered into the Amendment with MagnaChip Semiconductor S.A. and MagnaChip Semiconductor Finance Company, as borrowers, the Subsidiary Guarantors party thereto, the Lenders, the Agent and US Bank.</w:t>
      </w:r>
    </w:p>
    <w:p>
      <w:pPr>
        <w:spacing w:after="0" w:line="132" w:lineRule="exact"/>
        <w:rPr>
          <w:sz w:val="20"/>
          <w:szCs w:val="20"/>
          <w:color w:val="auto"/>
        </w:rPr>
      </w:pPr>
    </w:p>
    <w:p>
      <w:pPr>
        <w:ind w:right="140" w:firstLine="456"/>
        <w:spacing w:after="0" w:line="294" w:lineRule="auto"/>
        <w:rPr>
          <w:sz w:val="20"/>
          <w:szCs w:val="20"/>
          <w:color w:val="auto"/>
        </w:rPr>
      </w:pPr>
      <w:r>
        <w:rPr>
          <w:rFonts w:ascii="Arial" w:cs="Arial" w:eastAsia="Arial" w:hAnsi="Arial"/>
          <w:sz w:val="16"/>
          <w:szCs w:val="16"/>
          <w:color w:val="auto"/>
        </w:rPr>
        <w:t>Under the Amendment, among other things, (i) we agreed to furnish to the Agent and the Lenders monthly financial statements along with an officer’s certificate with respect to the occurrence of any events of default under the Credit Agreement, (ii) certain restrictions were imposed on our ability to make acquisitions and capital expenditures, (iii) the financial covenants set forth in Section 6.10 of the Credit Agreement were revised, (iv) the schedule of applicable margins under the Credit Agreement was revised, (v) the Lenders, the Agent and US Bank waived certain defaults and obligations, and (vi) the Agent consented to our voting in favor of increasing the share capital of one of our subsidiaries.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96" w:lineRule="exact"/>
        <w:rPr>
          <w:sz w:val="20"/>
          <w:szCs w:val="20"/>
          <w:color w:val="auto"/>
        </w:rPr>
      </w:pPr>
    </w:p>
    <w:p>
      <w:pPr>
        <w:ind w:right="160" w:firstLine="456"/>
        <w:spacing w:after="0" w:line="298" w:lineRule="auto"/>
        <w:rPr>
          <w:sz w:val="20"/>
          <w:szCs w:val="20"/>
          <w:color w:val="auto"/>
        </w:rPr>
      </w:pPr>
      <w:r>
        <w:rPr>
          <w:rFonts w:ascii="Arial" w:cs="Arial" w:eastAsia="Arial" w:hAnsi="Arial"/>
          <w:sz w:val="16"/>
          <w:szCs w:val="16"/>
          <w:color w:val="auto"/>
        </w:rPr>
        <w:t>On December 23, 2004, two of our subsidiaries, MagnaChip Semiconductor S.A. and MagnaChip Semiconductor Finance Company entered into a senior credit agreement with a syndicate of banks, financial institutions and other entities providing for a $100 million senior secured revolving credit facility. The undrawn portion of such senior secured credit line as of July 2, 2006 and December 31, 2005 were $88.2 million and $83.0 million, respectively. The utilized portions of the credit line are related to the issuance of letters of credit under the credit facility.</w:t>
      </w:r>
    </w:p>
    <w:p>
      <w:pPr>
        <w:spacing w:after="0" w:line="113"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Other than the senior credit facility, there are no material off-balance sheet arrangements that have or are reasonably likely to have a current or future effect on our financial condition, changes in financial condition, revenues or expenses, results of operations, liquidity, capital expenditures or capital resources that is material to investors.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96"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 xml:space="preserve">In June 2006, the FASB issued FIN No. 48, </w:t>
      </w:r>
      <w:r>
        <w:rPr>
          <w:rFonts w:ascii="Arial" w:cs="Arial" w:eastAsia="Arial" w:hAnsi="Arial"/>
          <w:sz w:val="18"/>
          <w:szCs w:val="18"/>
          <w:i w:val="1"/>
          <w:iCs w:val="1"/>
          <w:color w:val="auto"/>
        </w:rPr>
        <w:t>Accounting for Uncertainty in Income Taxes</w:t>
      </w:r>
      <w:r>
        <w:rPr>
          <w:rFonts w:ascii="Arial" w:cs="Arial" w:eastAsia="Arial" w:hAnsi="Arial"/>
          <w:sz w:val="18"/>
          <w:szCs w:val="18"/>
          <w:color w:val="auto"/>
        </w:rPr>
        <w:t xml:space="preserve"> - an interpretation of SFAS No. 109. FIN 48 clarifies the accounting for uncertain income tax positions accounted for in accordance with SFAS No. 109. The Interpretation stipulates recognition and measurement criteria in addition to classification, interim period accounting and significantly expanded disclosure provisions for uncertain tax positions that are expected to be taken in a company’s tax</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459" w:right="23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return. FIN 48 is effective for fiscal years beginning after December 15, 2006. The adoption of this Interpretation is not expected to have a material impact on our consolidated financial statements.</w:t>
      </w:r>
    </w:p>
    <w:p>
      <w:pPr>
        <w:spacing w:after="0" w:line="132"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 xml:space="preserve">In March 2006, the FASB issued SFAS No. 156, </w:t>
      </w:r>
      <w:r>
        <w:rPr>
          <w:rFonts w:ascii="Arial" w:cs="Arial" w:eastAsia="Arial" w:hAnsi="Arial"/>
          <w:sz w:val="16"/>
          <w:szCs w:val="16"/>
          <w:i w:val="1"/>
          <w:iCs w:val="1"/>
          <w:color w:val="auto"/>
        </w:rPr>
        <w:t>Accounting for Servicing of Financial Assets—</w:t>
      </w:r>
      <w:r>
        <w:rPr>
          <w:rFonts w:ascii="Arial" w:cs="Arial" w:eastAsia="Arial" w:hAnsi="Arial"/>
          <w:sz w:val="16"/>
          <w:szCs w:val="16"/>
          <w:color w:val="auto"/>
        </w:rPr>
        <w:t>an amendment of FASB Statement No. 140. This Statement addresses the accounting for recognized servicing assets and liabilities related to certain transfers of the servicer’s financial assets and for acquisitions or assumptions of obligations to service financial assets that do not relate to the financial assets of the servicer and its related parties. SFAS 156 requires that all recognized servicing assets and liabilities are initially measured at fair value, and subsequently measured at either fair value or by applying an amortization method for each class of recognized servicing assets and liabilities. SFAS 156 is effective in fiscal years beginning after September 15, 2006. The adoption of SFAS 156 is not expected to have a material impact on our consolidated financial statements.</w:t>
      </w:r>
    </w:p>
    <w:p>
      <w:pPr>
        <w:spacing w:after="0" w:line="120" w:lineRule="exact"/>
        <w:rPr>
          <w:sz w:val="20"/>
          <w:szCs w:val="20"/>
          <w:color w:val="auto"/>
        </w:rPr>
      </w:pPr>
    </w:p>
    <w:p>
      <w:pPr>
        <w:ind w:firstLine="456"/>
        <w:spacing w:after="0" w:line="318" w:lineRule="auto"/>
        <w:rPr>
          <w:sz w:val="20"/>
          <w:szCs w:val="20"/>
          <w:color w:val="auto"/>
        </w:rPr>
      </w:pPr>
      <w:r>
        <w:rPr>
          <w:rFonts w:ascii="Arial" w:cs="Arial" w:eastAsia="Arial" w:hAnsi="Arial"/>
          <w:sz w:val="15"/>
          <w:szCs w:val="15"/>
          <w:color w:val="auto"/>
        </w:rPr>
        <w:t xml:space="preserve">In February 2006, the FASB issued SFAS No. 155, </w:t>
      </w:r>
      <w:r>
        <w:rPr>
          <w:rFonts w:ascii="Arial" w:cs="Arial" w:eastAsia="Arial" w:hAnsi="Arial"/>
          <w:sz w:val="15"/>
          <w:szCs w:val="15"/>
          <w:i w:val="1"/>
          <w:iCs w:val="1"/>
          <w:color w:val="auto"/>
        </w:rPr>
        <w:t>Accounting for Certain Hybrid Financial Instruments –</w:t>
      </w:r>
      <w:r>
        <w:rPr>
          <w:rFonts w:ascii="Arial" w:cs="Arial" w:eastAsia="Arial" w:hAnsi="Arial"/>
          <w:sz w:val="15"/>
          <w:szCs w:val="15"/>
          <w:color w:val="auto"/>
        </w:rPr>
        <w:t xml:space="preserve"> an amendment of FASB Statements No. 133 and 140. This Statement amends SFAS No. 133 and SFAS No. 140, and improves the financial reporting of certain hybrid financial instruments by requiring more consistent accounting. Specifically, this Statement allows fair value remeasurement for any hybrid financial instrument that contains an embedded derivative that otherwise would require bifurcation. This Statement is effective for all financial instruments acquired or issued after the beginning of an entity’s first fiscal year that begins after September 15, 2006. The adoption of this Statement is not expected to have a material impact on our consolidated financial statements.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96"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The preparation of financial statements and related disclosures in conformity with U.S. GAAP requires our management to make significant judgments and estimates that affect our financial position and results of operations.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90"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Our revenue is derived from the sale of semiconductor products we design and the manufacture of semiconductor wafers for third parties. We recognize revenue when persuasive evidence of an arrangement exists, the product has been delivered and title and risk of loss have transferred, the price is fixed and determinable, and collection of resulting receivables is reasonably assured. For certain distributors, standard products are sold to the distributors without rights to return products or stock rotation or price protection rights. Our policy is to recognize revenue upon shipment of products to customers, where shipment represents the point when the rights and risks of ownership have passed to the customer, when persuasive evidence of an arrangement exists, the product has been delivered, the price is fixed or determinable and collection of the resulting receivable is reasonably assured. Specialty foundry services are performed pursuant to manufacturing agreements and purchase orders. Standard products are shipped and sold based upon purchase orders from customers. All amounts billed to a customer related to shipping and handling are classified as sales, while all costs incurred by us for shipping and handling are classified as expenses.</w:t>
      </w:r>
    </w:p>
    <w:p>
      <w:pPr>
        <w:spacing w:after="0" w:line="118"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We maintain allowances for doubtful accounts for estimated losses resulting from the inability of our customers to make payment. If the financial condition of our customers were to deteriorate, additional allowances may be required. The establishment of reserves for sales discounts is based on judgment that requires significant estimates of a variety of factors, including forecasted demand, returns and industry pricing assumptions. We record warranty liabilities for the estimated costs that may be incurred under our limited warranty. This warranty covers product defects based on compliance to our specifications and is normally applicable for twelve months from the date of purchase. These liabilities are recorded when related revenue is recognized. Warranty costs include the costs to replace the defective product. Factors that affect our warranty liability include the historical and anticipated rate of warranty claims on those repairs and the cost per claim to satisfy our warranty obligations. As these factors are impacted by actual experience and future expectations, we periodically assess the adequacy of our recorded warranty liabilities and adjust the amounts as necessary.</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Inventory Valuation</w:t>
      </w:r>
    </w:p>
    <w:p>
      <w:pPr>
        <w:spacing w:after="0" w:line="90" w:lineRule="exact"/>
        <w:rPr>
          <w:sz w:val="20"/>
          <w:szCs w:val="20"/>
          <w:color w:val="auto"/>
        </w:rPr>
      </w:pPr>
    </w:p>
    <w:p>
      <w:pPr>
        <w:ind w:right="20" w:firstLine="456"/>
        <w:spacing w:after="0" w:line="254" w:lineRule="auto"/>
        <w:rPr>
          <w:sz w:val="20"/>
          <w:szCs w:val="20"/>
          <w:color w:val="auto"/>
        </w:rPr>
      </w:pPr>
      <w:r>
        <w:rPr>
          <w:rFonts w:ascii="Arial" w:cs="Arial" w:eastAsia="Arial" w:hAnsi="Arial"/>
          <w:sz w:val="18"/>
          <w:szCs w:val="18"/>
          <w:color w:val="auto"/>
        </w:rPr>
        <w:t>Inventories are stated at the lower of cost or market, using the average cost method, which approximates the first in, first out method. If net realizable value is less than cost at the balance sheet date, the carrying amount is reduced to the realizable value, and the difference is recognized as a loss on valuation of inventories under cost of sales. We estimate the net realizable value for such finished goods and work-in-progress based on current invoice prices. Inventory reserves are established when conditions indicate that the net realizable value is less than cost due to physical deterioration, obsolescence, changes in price levels, or other causes. Reserves are also established for excess inventory based on inventory levels in excess of six months of projected demand, as judged by management, for each specific product.</w:t>
      </w:r>
    </w:p>
    <w:p>
      <w:pPr>
        <w:spacing w:after="0" w:line="1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00"/>
          </w:cols>
          <w:pgMar w:left="240" w:top="459" w:right="25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Useful Lives of Tangible and Intangible Assets</w:t>
      </w:r>
    </w:p>
    <w:p>
      <w:pPr>
        <w:spacing w:after="0" w:line="90"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Property, plant and equipment are stated at cost, less accumulated depreciation. Depreciation is computed using the straight-line method over the estimated useful lives of the assets. Buildings and related structures are depreciated over the 10 to 40 year periods. Machinery, equipment and other assets including vehicles are depreciated over the estimated useful lives ranging 5 to 10 years.</w:t>
      </w:r>
    </w:p>
    <w:p>
      <w:pPr>
        <w:spacing w:after="0" w:line="140"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Our intellectual property assets represent rights under patents, trademarks and property use rights and are amortized over the periods of benefit, ranging up to 10 years, on a straight-line basis.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Impairment of Long-Lived Assets</w:t>
      </w:r>
    </w:p>
    <w:p>
      <w:pPr>
        <w:spacing w:after="0" w:line="90"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We review the carrying value of fixed assets for impairment when events and circumstances indicate that the carrying value of an asset or group of assets may not be recoverable from the estimated future cash flows expected to result from its use and/or disposition. Factors which could trigger an impairment review include the following: (i) significant negative industry or economic trends, (ii) exiting an activity in conjunction with a restructuring of operations, (iii) current, historical or projected losses that demonstrated continuing losses associated with an asset, and (iv) management’s assessment of future manufacturing capacity requirements. In cases where undiscounted expected future cash flows are less than the carrying value, an impairment charge is recognized equal to the amount by which the carrying value exceeds the estimated fair value of the assets. The estimation of future cash flows involves numerous assumptions, which require our judgment, including, but not limited to, future use of the assets for our operations versus sale or disposal of the assets, future-selling prices for our products and future production and sales volumes. In addition, we must use our judgment in determining the groups of assets for which impairment tests are separately performed.</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90" w:lineRule="exact"/>
        <w:rPr>
          <w:sz w:val="20"/>
          <w:szCs w:val="20"/>
          <w:color w:val="auto"/>
        </w:rPr>
      </w:pPr>
    </w:p>
    <w:p>
      <w:pPr>
        <w:ind w:right="20" w:firstLine="456"/>
        <w:spacing w:after="0" w:line="254" w:lineRule="auto"/>
        <w:rPr>
          <w:sz w:val="20"/>
          <w:szCs w:val="20"/>
          <w:color w:val="auto"/>
        </w:rPr>
      </w:pPr>
      <w:r>
        <w:rPr>
          <w:rFonts w:ascii="Arial" w:cs="Arial" w:eastAsia="Arial" w:hAnsi="Arial"/>
          <w:sz w:val="18"/>
          <w:szCs w:val="18"/>
          <w:color w:val="auto"/>
        </w:rPr>
        <w:t xml:space="preserve">We account for income taxes in accordance with SFAS No. 109, </w:t>
      </w:r>
      <w:r>
        <w:rPr>
          <w:rFonts w:ascii="Arial" w:cs="Arial" w:eastAsia="Arial" w:hAnsi="Arial"/>
          <w:sz w:val="18"/>
          <w:szCs w:val="18"/>
          <w:i w:val="1"/>
          <w:iCs w:val="1"/>
          <w:color w:val="auto"/>
        </w:rPr>
        <w:t>Accounting for Income Taxes</w:t>
      </w:r>
      <w:r>
        <w:rPr>
          <w:rFonts w:ascii="Arial" w:cs="Arial" w:eastAsia="Arial" w:hAnsi="Arial"/>
          <w:sz w:val="18"/>
          <w:szCs w:val="18"/>
          <w:color w:val="auto"/>
        </w:rPr>
        <w:t>. SFAS No. 109 requires recognition of deferred tax assets and liabilities for the expected future tax consequences of events that have been recognized in a company’s financial statements or tax returns. Under this method, deferred tax assets and liabilities are determined based on the difference between the financial statement carrying amounts and the tax bases of assets and liabilities using enacted tax rates in effect in the years in which the differences are expected to reverse. Valuation allowances are established when necessary to reduce deferred tax assets to the amount expected to be realized. Income tax expense is the tax payable for the period and the change during the period in deferred tax assets and liabilities.</w:t>
      </w:r>
    </w:p>
    <w:p>
      <w:pPr>
        <w:spacing w:after="0" w:line="144" w:lineRule="exact"/>
        <w:rPr>
          <w:sz w:val="20"/>
          <w:szCs w:val="20"/>
          <w:color w:val="auto"/>
        </w:rPr>
      </w:pPr>
    </w:p>
    <w:p>
      <w:pPr>
        <w:jc w:val="both"/>
        <w:ind w:right="200" w:firstLine="456"/>
        <w:spacing w:after="0" w:line="306" w:lineRule="auto"/>
        <w:rPr>
          <w:sz w:val="20"/>
          <w:szCs w:val="20"/>
          <w:color w:val="auto"/>
        </w:rPr>
      </w:pPr>
      <w:r>
        <w:rPr>
          <w:rFonts w:ascii="Arial" w:cs="Arial" w:eastAsia="Arial" w:hAnsi="Arial"/>
          <w:sz w:val="16"/>
          <w:szCs w:val="16"/>
          <w:color w:val="auto"/>
        </w:rPr>
        <w:t>We established valuation allowances for deferred tax assets at most of our subsidiaries since, other than with respect to one particular subsidiary, it is not probable that a majority of the deferred tax assets will be realizable. The valuation allowance at this particular subsidiary was not set up since it is expected that the deferred tax assets at this subsidiary will be deemed realizable based on the current prospects for its future taxable income.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Unit-based Compensation</w:t>
      </w:r>
    </w:p>
    <w:p>
      <w:pPr>
        <w:spacing w:after="0" w:line="90" w:lineRule="exact"/>
        <w:rPr>
          <w:sz w:val="20"/>
          <w:szCs w:val="20"/>
          <w:color w:val="auto"/>
        </w:rPr>
      </w:pPr>
    </w:p>
    <w:p>
      <w:pPr>
        <w:ind w:right="120" w:firstLine="456"/>
        <w:spacing w:after="0" w:line="254" w:lineRule="auto"/>
        <w:rPr>
          <w:sz w:val="20"/>
          <w:szCs w:val="20"/>
          <w:color w:val="auto"/>
        </w:rPr>
      </w:pPr>
      <w:r>
        <w:rPr>
          <w:rFonts w:ascii="Arial" w:cs="Arial" w:eastAsia="Arial" w:hAnsi="Arial"/>
          <w:sz w:val="18"/>
          <w:szCs w:val="18"/>
          <w:color w:val="auto"/>
        </w:rPr>
        <w:t>In 2006, we adopted SFAS No. 123(R) using the modified prospective application method and began to account for unit-based compensation based on a fair value method. Under the provision of SFAS No. 123(R), unit-based compensation cost is estimated at the grant date based on the fair-value of the award and is recognized as expense over the requisite service period of the award. Consistent with prior-period pro forma presentation under SFAS No. 123, we use the Black-Scholes option pricing model to value options. In developing assumptions for fair value calculation under SFAS No. 123(R), we use estimates based on historical data and market information. A small change in the assumptions used in the estimate can cause a relatively significant change in the fair value calculation.</w:t>
      </w:r>
    </w:p>
    <w:p>
      <w:pPr>
        <w:spacing w:after="0" w:line="144"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The valuation of our common unit is based on an independent appraisal from a third party and is updated reflecting the changes in our financial results and prospects. Determination of the fair value of our common units involves complex and subjective judgments. If we make different judgments or adopt different assumptions, material differences could result in the timing and amount of the unit-based compensation expenses recorded because the estimated fair value of the underlying units for the options granted would be different.</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Contingencies and Litigation</w:t>
      </w:r>
    </w:p>
    <w:p>
      <w:pPr>
        <w:spacing w:after="0" w:line="90"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We are subject to the possibility of losses from various contingencies. Considerable judgment is necessary to estimate the probability and amount of any loss from such contingencies. An accrual is made when it is probable that a liability has been incurred or an asset has been impaired and the amount of loss can be reasonably estimated. In such case, we accrue a liability and charge operations for the estimated costs of adjudication or settlement of the applicable asserted and unasserted claims existing as of the balance sheet date.</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459" w:right="23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96" w:lineRule="exact"/>
        <w:rPr>
          <w:sz w:val="20"/>
          <w:szCs w:val="20"/>
          <w:color w:val="auto"/>
        </w:rPr>
      </w:pPr>
    </w:p>
    <w:p>
      <w:pPr>
        <w:ind w:right="180" w:firstLine="456"/>
        <w:spacing w:after="0" w:line="259" w:lineRule="auto"/>
        <w:rPr>
          <w:sz w:val="20"/>
          <w:szCs w:val="20"/>
          <w:color w:val="auto"/>
        </w:rPr>
      </w:pPr>
      <w:r>
        <w:rPr>
          <w:rFonts w:ascii="Arial" w:cs="Arial" w:eastAsia="Arial" w:hAnsi="Arial"/>
          <w:sz w:val="18"/>
          <w:szCs w:val="18"/>
          <w:color w:val="auto"/>
        </w:rPr>
        <w:t>Market risk is the risk that the value of a financial instrument will fluctuate due to changes in market conditions, including changes in interest rates and foreign exchange rates. In the normal course of our business, we are subject to market risk associated with interest rate movements and currency movements on our assets and liabilities.</w:t>
      </w:r>
    </w:p>
    <w:p>
      <w:pPr>
        <w:spacing w:after="0" w:line="140" w:lineRule="exact"/>
        <w:rPr>
          <w:sz w:val="20"/>
          <w:szCs w:val="20"/>
          <w:color w:val="auto"/>
        </w:rPr>
      </w:pPr>
    </w:p>
    <w:p>
      <w:pPr>
        <w:ind w:right="60" w:firstLine="456"/>
        <w:spacing w:after="0" w:line="254" w:lineRule="auto"/>
        <w:rPr>
          <w:sz w:val="20"/>
          <w:szCs w:val="20"/>
          <w:color w:val="auto"/>
        </w:rPr>
      </w:pPr>
      <w:r>
        <w:rPr>
          <w:rFonts w:ascii="Arial" w:cs="Arial" w:eastAsia="Arial" w:hAnsi="Arial"/>
          <w:sz w:val="18"/>
          <w:szCs w:val="18"/>
          <w:i w:val="1"/>
          <w:iCs w:val="1"/>
          <w:color w:val="auto"/>
        </w:rPr>
        <w:t xml:space="preserve">Foreign Currency Risk. </w:t>
      </w:r>
      <w:r>
        <w:rPr>
          <w:rFonts w:ascii="Arial" w:cs="Arial" w:eastAsia="Arial" w:hAnsi="Arial"/>
          <w:sz w:val="18"/>
          <w:szCs w:val="18"/>
          <w:color w:val="auto"/>
        </w:rPr>
        <w:t>We have exposure to foreign currency exchange-rate fluctuations on net income from our subsidiaries denominated in currencies</w:t>
      </w:r>
      <w:r>
        <w:rPr>
          <w:rFonts w:ascii="Arial" w:cs="Arial" w:eastAsia="Arial" w:hAnsi="Arial"/>
          <w:sz w:val="18"/>
          <w:szCs w:val="18"/>
          <w:i w:val="1"/>
          <w:iCs w:val="1"/>
          <w:color w:val="auto"/>
        </w:rPr>
        <w:t xml:space="preserve"> </w:t>
      </w:r>
      <w:r>
        <w:rPr>
          <w:rFonts w:ascii="Arial" w:cs="Arial" w:eastAsia="Arial" w:hAnsi="Arial"/>
          <w:sz w:val="18"/>
          <w:szCs w:val="18"/>
          <w:color w:val="auto"/>
        </w:rPr>
        <w:t>other than U.S. dollars, as our foreign subsidiaries in Korea, Taiwan, China, Japan and Hong Kong use local currency as their functional currency. From time to time these subsidiaries have cash and financial instruments in local currency. The amounts held in Japan, Taiwan, Hong Kong and China are not material in regards to foreign currency movements. However, based on the cash and financial instruments balance at July 2, 2006 for our Korean subsidiary, a 10% devaluation of the Korean Won against the U.S. dollar would have resulted in a decrease of $6.1 million in our U.S. dollar financial instruments balance and cash balance.</w:t>
      </w:r>
    </w:p>
    <w:p>
      <w:pPr>
        <w:spacing w:after="0" w:line="144" w:lineRule="exact"/>
        <w:rPr>
          <w:sz w:val="20"/>
          <w:szCs w:val="20"/>
          <w:color w:val="auto"/>
        </w:rPr>
      </w:pPr>
    </w:p>
    <w:p>
      <w:pPr>
        <w:ind w:right="60" w:firstLine="456"/>
        <w:spacing w:after="0" w:line="241" w:lineRule="auto"/>
        <w:rPr>
          <w:sz w:val="20"/>
          <w:szCs w:val="20"/>
          <w:color w:val="auto"/>
        </w:rPr>
      </w:pPr>
      <w:r>
        <w:rPr>
          <w:rFonts w:ascii="Arial" w:cs="Arial" w:eastAsia="Arial" w:hAnsi="Arial"/>
          <w:sz w:val="18"/>
          <w:szCs w:val="18"/>
          <w:i w:val="1"/>
          <w:iCs w:val="1"/>
          <w:color w:val="auto"/>
        </w:rPr>
        <w:t xml:space="preserve">Interest Rate Risk. </w:t>
      </w:r>
      <w:r>
        <w:rPr>
          <w:rFonts w:ascii="Arial" w:cs="Arial" w:eastAsia="Arial" w:hAnsi="Arial"/>
          <w:sz w:val="18"/>
          <w:szCs w:val="18"/>
          <w:color w:val="auto"/>
        </w:rPr>
        <w:t>The $200 million 6</w:t>
      </w:r>
      <w:r>
        <w:rPr>
          <w:rFonts w:ascii="Arial" w:cs="Arial" w:eastAsia="Arial" w:hAnsi="Arial"/>
          <w:sz w:val="18"/>
          <w:szCs w:val="18"/>
          <w:i w:val="1"/>
          <w:iCs w:val="1"/>
          <w:color w:val="auto"/>
        </w:rPr>
        <w:t xml:space="preserve"> </w:t>
      </w:r>
      <w:r>
        <w:rPr>
          <w:rFonts w:ascii="Arial" w:cs="Arial" w:eastAsia="Arial" w:hAnsi="Arial"/>
          <w:sz w:val="22"/>
          <w:szCs w:val="22"/>
          <w:color w:val="auto"/>
          <w:vertAlign w:val="superscript"/>
        </w:rPr>
        <w:t>7</w:t>
      </w:r>
      <w:r>
        <w:rPr>
          <w:rFonts w:ascii="Arial" w:cs="Arial" w:eastAsia="Arial" w:hAnsi="Arial"/>
          <w:sz w:val="18"/>
          <w:szCs w:val="18"/>
          <w:color w:val="auto"/>
        </w:rPr>
        <w:t>/8% Second Priority Senior Secured Notes due 2011 and the $250 million 8% Senior Subordinated Notes due 2014</w:t>
      </w:r>
      <w:r>
        <w:rPr>
          <w:rFonts w:ascii="Arial" w:cs="Arial" w:eastAsia="Arial" w:hAnsi="Arial"/>
          <w:sz w:val="18"/>
          <w:szCs w:val="18"/>
          <w:i w:val="1"/>
          <w:iCs w:val="1"/>
          <w:color w:val="auto"/>
        </w:rPr>
        <w:t xml:space="preserve"> </w:t>
      </w:r>
      <w:r>
        <w:rPr>
          <w:rFonts w:ascii="Arial" w:cs="Arial" w:eastAsia="Arial" w:hAnsi="Arial"/>
          <w:sz w:val="18"/>
          <w:szCs w:val="18"/>
          <w:color w:val="auto"/>
        </w:rPr>
        <w:t>are subject to changes in fair value due to interest rate changes. If the market interest rate had decreased by 10% and all other variables were held constant from their levels at July 2, 2006, we estimate that we would have additional interest expense costs over the market rate of $1.4 million for the six months ended July 2, 2006. The fair value of these fixed rate notes would have decreased by $9.4 million or increased by $9.8 million with a 10% increase or decrease in the interest rate, respectively.</w:t>
      </w:r>
    </w:p>
    <w:p>
      <w:pPr>
        <w:spacing w:after="0" w:line="157" w:lineRule="exact"/>
        <w:rPr>
          <w:sz w:val="20"/>
          <w:szCs w:val="20"/>
          <w:color w:val="auto"/>
        </w:rPr>
      </w:pPr>
    </w:p>
    <w:p>
      <w:pPr>
        <w:jc w:val="both"/>
        <w:ind w:right="280" w:firstLine="456"/>
        <w:spacing w:after="0" w:line="259" w:lineRule="auto"/>
        <w:rPr>
          <w:sz w:val="20"/>
          <w:szCs w:val="20"/>
          <w:color w:val="auto"/>
        </w:rPr>
      </w:pPr>
      <w:r>
        <w:rPr>
          <w:rFonts w:ascii="Arial" w:cs="Arial" w:eastAsia="Arial" w:hAnsi="Arial"/>
          <w:sz w:val="18"/>
          <w:szCs w:val="18"/>
          <w:i w:val="1"/>
          <w:iCs w:val="1"/>
          <w:color w:val="auto"/>
        </w:rPr>
        <w:t>Cash Flow Interest Rate Risk</w:t>
      </w:r>
      <w:r>
        <w:rPr>
          <w:rFonts w:ascii="Arial" w:cs="Arial" w:eastAsia="Arial" w:hAnsi="Arial"/>
          <w:sz w:val="18"/>
          <w:szCs w:val="18"/>
          <w:color w:val="auto"/>
        </w:rPr>
        <w:t>. In 2005, we entered into an interest rate swap agreement to convert the variable interest rate on our Floating Rate Second</w:t>
      </w:r>
      <w:r>
        <w:rPr>
          <w:rFonts w:ascii="Arial" w:cs="Arial" w:eastAsia="Arial" w:hAnsi="Arial"/>
          <w:sz w:val="18"/>
          <w:szCs w:val="18"/>
          <w:i w:val="1"/>
          <w:iCs w:val="1"/>
          <w:color w:val="auto"/>
        </w:rPr>
        <w:t xml:space="preserve"> </w:t>
      </w:r>
      <w:r>
        <w:rPr>
          <w:rFonts w:ascii="Arial" w:cs="Arial" w:eastAsia="Arial" w:hAnsi="Arial"/>
          <w:sz w:val="18"/>
          <w:szCs w:val="18"/>
          <w:color w:val="auto"/>
        </w:rPr>
        <w:t>Priority Senior Secured Notes to a fixed interest rate for the periods to maturity date of June 2008. With this interest rate swap, cash flow interest rate risk was replaced with exposure to interest rate risk. For details, refer to “Note 6. Long-term Borrowings.”</w:t>
      </w:r>
    </w:p>
    <w:p>
      <w:pPr>
        <w:spacing w:after="0" w:line="256"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Controls and Procedures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Disclosure Controls and Procedures</w:t>
      </w:r>
    </w:p>
    <w:p>
      <w:pPr>
        <w:spacing w:after="0" w:line="96" w:lineRule="exact"/>
        <w:rPr>
          <w:sz w:val="20"/>
          <w:szCs w:val="20"/>
          <w:color w:val="auto"/>
        </w:rPr>
      </w:pPr>
    </w:p>
    <w:p>
      <w:pPr>
        <w:ind w:right="40" w:firstLine="456"/>
        <w:spacing w:after="0" w:line="289" w:lineRule="auto"/>
        <w:rPr>
          <w:sz w:val="20"/>
          <w:szCs w:val="20"/>
          <w:color w:val="auto"/>
        </w:rPr>
      </w:pPr>
      <w:r>
        <w:rPr>
          <w:rFonts w:ascii="Arial" w:cs="Arial" w:eastAsia="Arial" w:hAnsi="Arial"/>
          <w:sz w:val="16"/>
          <w:szCs w:val="16"/>
          <w:color w:val="auto"/>
        </w:rPr>
        <w:t>As required by the Securities Exchange Act of 1934, as amended (the “Exchange Act”), our management, including our Chief Executive Officer (“CEO”) and our Chief Financial Officer (“CFO”), conducted an evaluation of the effectiveness of the design and operation of our disclosure controls and procedures as of the end of the period covered by this report. As defined in Rule 13a-15(e) and 15d-15(e) under the Exchange Act, disclosure controls and procedures are controls and other procedures that we use that are designed to ensure that information required to be disclosed by us in the reports we file or submit under the Exchange Act is recorded, processed, summarized and reported, within the time periods specified in the SEC’s rules and forms. Disclosure controls and procedures include, without limitation, controls and procedures designed to ensure that information required to be disclosed by us in the reports we file or submit under the Exchange Act is accumulated and communicated to our management, including our CEO and our CFO, as appropriate, to allow timely decisions regarding required disclosure.</w:t>
      </w:r>
    </w:p>
    <w:p>
      <w:pPr>
        <w:spacing w:after="0" w:line="118"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Based upon that evaluation, our CEO and our CFO concluded that our disclosure controls and procedures were effective as of the end of the period covered by this report.</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96" w:lineRule="exact"/>
        <w:rPr>
          <w:sz w:val="20"/>
          <w:szCs w:val="20"/>
          <w:color w:val="auto"/>
        </w:rPr>
      </w:pPr>
    </w:p>
    <w:p>
      <w:pPr>
        <w:ind w:right="40" w:firstLine="456"/>
        <w:spacing w:after="0" w:line="254" w:lineRule="auto"/>
        <w:rPr>
          <w:sz w:val="20"/>
          <w:szCs w:val="20"/>
          <w:color w:val="auto"/>
        </w:rPr>
      </w:pPr>
      <w:r>
        <w:rPr>
          <w:rFonts w:ascii="Arial" w:cs="Arial" w:eastAsia="Arial" w:hAnsi="Arial"/>
          <w:sz w:val="18"/>
          <w:szCs w:val="18"/>
          <w:color w:val="auto"/>
        </w:rPr>
        <w:t>On June 2, 2006, the Board of Directors constituted an Audit Committee to oversee the accounting and financial reporting processes of the Company and audits of the financial statements of the Company and to assist the Board in oversight and monitoring of the integrity of the Company’s financial statements, the Company’s compliance with legal and regulatory requirements, the independent auditor’s qualifications, independence and performance, and the Company’s internal accounting and financial controls. The Company also established an internal audit function under the Audit Committee. The internal audit function is currently comprised of two auditors and is charged with, among other tasks, establishing appropriate internal controls to meet the requirements under Section 404 of the Sarbanes-Oxley Act of 2002.</w:t>
      </w:r>
    </w:p>
    <w:p>
      <w:pPr>
        <w:spacing w:after="0" w:line="13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00"/>
          </w:cols>
          <w:pgMar w:left="240" w:top="459" w:right="25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OTHER INFORMATION</w:t>
      </w:r>
    </w:p>
    <w:p>
      <w:pPr>
        <w:spacing w:after="0" w:line="9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5"/>
          <w:szCs w:val="15"/>
          <w:b w:val="1"/>
          <w:bCs w:val="1"/>
          <w:color w:val="auto"/>
        </w:rPr>
        <w:t>Risk Factors</w:t>
      </w:r>
    </w:p>
    <w:p>
      <w:pPr>
        <w:spacing w:after="0" w:line="9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The cyclical nature of the semiconductor industry may limit our ability to maintain or increase net sales and profit levels during industry downturns.</w:t>
      </w:r>
    </w:p>
    <w:p>
      <w:pPr>
        <w:spacing w:after="0" w:line="200" w:lineRule="exact"/>
        <w:rPr>
          <w:sz w:val="20"/>
          <w:szCs w:val="20"/>
          <w:color w:val="auto"/>
        </w:rPr>
      </w:pPr>
    </w:p>
    <w:p>
      <w:pPr>
        <w:ind w:right="140" w:firstLine="456"/>
        <w:spacing w:after="0" w:line="256" w:lineRule="auto"/>
        <w:rPr>
          <w:sz w:val="20"/>
          <w:szCs w:val="20"/>
          <w:color w:val="auto"/>
        </w:rPr>
      </w:pPr>
      <w:r>
        <w:rPr>
          <w:rFonts w:ascii="Arial" w:cs="Arial" w:eastAsia="Arial" w:hAnsi="Arial"/>
          <w:sz w:val="18"/>
          <w:szCs w:val="18"/>
          <w:color w:val="auto"/>
        </w:rPr>
        <w:t>The semiconductor industry is highly cyclical and periodically experiences significant economic downturns characterized by diminished product demand, resulting in production overcapacity and excess inventory in the markets we serve, which can result in rapid erosion of average selling prices. The industry has experienced significant downturns, often in connection with, or in anticipation of, maturing product cycles of both semiconductor companies’ and their customers’ products and the decline in general economic conditions.</w:t>
      </w:r>
    </w:p>
    <w:p>
      <w:pPr>
        <w:spacing w:after="0" w:line="143"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We have experienced these conditions in our business in the past and may experience renewed, and possibly more severe and prolonged, downturns in the future as a result of such cyclical changes. This may reduce our profitability and the value of our business.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Customer demand is difficult to accurately forecast.</w:t>
      </w:r>
    </w:p>
    <w:p>
      <w:pPr>
        <w:spacing w:after="0" w:line="96"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We make significant decisions, including determining the levels of business that we will seek and accept, production schedules, component procurement commitments, personnel needs and other resource requirements, based on our estimates of customer requirements. The short-term nature of commitments by many of our customers and the possibility of rapid changes in demand for their products reduces our ability to accurately estimate future customer demand. On occasion, customers may require rapid increases in production, which can challenge our resources and reduce margins. We may not have sufficient capacity at any given time to meet our customers’ increased demand for our product. Conversely, downturns in the semiconductor industry may cause and have caused our customers to significantly reduce the amount of products ordered from us. Because many of our costs and operating expenses are relatively fixed, a reduction in customer demand may decrease our gross margins and operating income.</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customers may cancel their orders, change production quantities or delay production.</w:t>
      </w:r>
    </w:p>
    <w:p>
      <w:pPr>
        <w:spacing w:after="0" w:line="96"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We generally do not obtain firm, long-term purchase commitments from our customers. Customers may cancel their orders, change production quantities or delay production for a number of reasons. Cancellations, reductions or delays by a significant customer or by a group of customers, which we have experienced as a result of the recent downturn in the semiconductor industry, have adversely affected and may continue to adversely affect our results of operations. In addition, while we do not obtain long-term purchase commitments, we generally agree to the pricing of a particular product for the entire lifecycle of the product, which can extend over a number of years. If we underestimate our costs when determining the pricing, our margins and results of operations would be adversely affected.</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 significant portion of our sales comes from a relatively limited number of customers.</w:t>
      </w:r>
    </w:p>
    <w:p>
      <w:pPr>
        <w:spacing w:after="0" w:line="96"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color w:val="auto"/>
        </w:rPr>
        <w:t>If we were to lose key customers or if customers cease to place orders for our high volume devices, our financial results will be adversely affected. While we served more than 214 customers in the six-month period ended July 2, 2006, net sales to our 10 largest customers represented approximately 60.1% of our net sales for the period. We had one individual customer and one group of affiliated customers that each represented greater than 10% of our net sales during the six-month period ended July 2, 2006. Significant reductions in sales to any of these customers, the loss of major customers or the curtailment of orders for our high-volume devices within a short period of time would adversely affect our business.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industry is highly competitive.</w:t>
      </w:r>
    </w:p>
    <w:p>
      <w:pPr>
        <w:spacing w:after="0" w:line="96" w:lineRule="exact"/>
        <w:rPr>
          <w:sz w:val="20"/>
          <w:szCs w:val="20"/>
          <w:color w:val="auto"/>
        </w:rPr>
      </w:pPr>
    </w:p>
    <w:p>
      <w:pPr>
        <w:ind w:right="40" w:firstLine="456"/>
        <w:spacing w:after="0" w:line="286" w:lineRule="auto"/>
        <w:rPr>
          <w:sz w:val="20"/>
          <w:szCs w:val="20"/>
          <w:color w:val="auto"/>
        </w:rPr>
      </w:pPr>
      <w:r>
        <w:rPr>
          <w:rFonts w:ascii="Arial" w:cs="Arial" w:eastAsia="Arial" w:hAnsi="Arial"/>
          <w:sz w:val="16"/>
          <w:szCs w:val="16"/>
          <w:color w:val="auto"/>
        </w:rPr>
        <w:t>The semiconductor industry is highly competitive and includes hundreds of companies, a number of which have achieved substantial market share. Current and prospective customers for our products evaluate our capabilities against the merits of our direct competitors. Some of our competitors are well-established as independent companies and have substantially greater market share and manufacturing, financial, research and development and marketing resources than we do. We also compete with emerging companies that are attempting to sell their products in specialized markets, and with the internal capabilities of many of our significant customers. We expect to experience continuing competitive pressures in our markets from existing competitors and new entrants. Any consolidation among our competitors could enhance their product offerings and financial resources, further enhancing their competitive position. Our ability to compete successfully depends on a number of factors, including the following: our ability to offer cost effective products on a timely basis using our technologies; our ability to accurately identify and respond to emerging technological trends and demand for product features and performance characteristics; product introductions by our competitors; our ability to adopt or adapt to emerging industry standards; and the number and nature of our competitors in a given market. Many of these factors are outside of our control. In the future, our competitors may capture our existing or potential customers and our customers may satisfy more of their requirements internally. As a result, we may experience declining revenues and profits.</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459" w:right="23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 decline in average selling prices could decrease our profits.</w:t>
      </w:r>
    </w:p>
    <w:p>
      <w:pPr>
        <w:spacing w:after="0" w:line="96" w:lineRule="exact"/>
        <w:rPr>
          <w:sz w:val="20"/>
          <w:szCs w:val="20"/>
          <w:color w:val="auto"/>
        </w:rPr>
      </w:pPr>
    </w:p>
    <w:p>
      <w:pPr>
        <w:jc w:val="both"/>
        <w:ind w:right="40" w:firstLine="456"/>
        <w:spacing w:after="0" w:line="259" w:lineRule="auto"/>
        <w:rPr>
          <w:sz w:val="20"/>
          <w:szCs w:val="20"/>
          <w:color w:val="auto"/>
        </w:rPr>
      </w:pPr>
      <w:r>
        <w:rPr>
          <w:rFonts w:ascii="Arial" w:cs="Arial" w:eastAsia="Arial" w:hAnsi="Arial"/>
          <w:sz w:val="18"/>
          <w:szCs w:val="18"/>
          <w:color w:val="auto"/>
        </w:rPr>
        <w:t>In the past, our industry has experienced a decline in average selling prices. A decline in average selling prices for our products, if not offset by reductions in the costs of producing such products, would decrease our gross profits and could have a material adverse effect on our business, financial condition and results of operations.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Growth in the consumer electronics and other end markets for our products is an important component in our success.</w:t>
      </w:r>
    </w:p>
    <w:p>
      <w:pPr>
        <w:spacing w:after="0" w:line="96" w:lineRule="exact"/>
        <w:rPr>
          <w:sz w:val="20"/>
          <w:szCs w:val="20"/>
          <w:color w:val="auto"/>
        </w:rPr>
      </w:pPr>
    </w:p>
    <w:p>
      <w:pPr>
        <w:ind w:right="160" w:firstLine="456"/>
        <w:spacing w:after="0" w:line="306" w:lineRule="auto"/>
        <w:rPr>
          <w:sz w:val="20"/>
          <w:szCs w:val="20"/>
          <w:color w:val="auto"/>
        </w:rPr>
      </w:pPr>
      <w:r>
        <w:rPr>
          <w:rFonts w:ascii="Arial" w:cs="Arial" w:eastAsia="Arial" w:hAnsi="Arial"/>
          <w:sz w:val="16"/>
          <w:szCs w:val="16"/>
          <w:color w:val="auto"/>
        </w:rPr>
        <w:t>Our continued success will depend in part on the growth of various consumer electronics markets and other end markets that use our semiconductors and on general economic growth. To the extent that we cannot offset recessionary periods or periods of reduced growth that may occur in these markets through greater penetration of these markets, our sales may decline and our business, financial condition and results of operations may suffer as a result.</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depend on successful technological advances for growth.</w:t>
      </w:r>
    </w:p>
    <w:p>
      <w:pPr>
        <w:spacing w:after="0" w:line="96" w:lineRule="exact"/>
        <w:rPr>
          <w:sz w:val="20"/>
          <w:szCs w:val="20"/>
          <w:color w:val="auto"/>
        </w:rPr>
      </w:pPr>
    </w:p>
    <w:p>
      <w:pPr>
        <w:ind w:right="140" w:firstLine="456"/>
        <w:spacing w:after="0" w:line="294" w:lineRule="auto"/>
        <w:rPr>
          <w:sz w:val="20"/>
          <w:szCs w:val="20"/>
          <w:color w:val="auto"/>
        </w:rPr>
      </w:pPr>
      <w:r>
        <w:rPr>
          <w:rFonts w:ascii="Arial" w:cs="Arial" w:eastAsia="Arial" w:hAnsi="Arial"/>
          <w:sz w:val="16"/>
          <w:szCs w:val="16"/>
          <w:color w:val="auto"/>
        </w:rPr>
        <w:t>Our industry is subject to rapid technological change and product obsolescence as customers and competitors create new and innovative products and technologies. Products or technologies developed by other companies may render our products or technologies obsolete or noncompetitive and we may not be able to access leading edge process technologies or to license or otherwise obtain essential intellectual property required by our customers. Our inability to continue identifying new product opportunities, or manufacturing technologically advanced products on a cost-effective basis, may result in decreased revenues and a loss of market share to our competitors.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may not be able to attract or retain the technical or management employees necessary to remain competitive in our industry.</w:t>
      </w:r>
    </w:p>
    <w:p>
      <w:pPr>
        <w:spacing w:after="0" w:line="96" w:lineRule="exact"/>
        <w:rPr>
          <w:sz w:val="20"/>
          <w:szCs w:val="20"/>
          <w:color w:val="auto"/>
        </w:rPr>
      </w:pPr>
    </w:p>
    <w:p>
      <w:pPr>
        <w:jc w:val="both"/>
        <w:ind w:right="40" w:firstLine="456"/>
        <w:spacing w:after="0" w:line="332" w:lineRule="auto"/>
        <w:rPr>
          <w:sz w:val="20"/>
          <w:szCs w:val="20"/>
          <w:color w:val="auto"/>
        </w:rPr>
      </w:pPr>
      <w:r>
        <w:rPr>
          <w:rFonts w:ascii="Arial" w:cs="Arial" w:eastAsia="Arial" w:hAnsi="Arial"/>
          <w:sz w:val="16"/>
          <w:szCs w:val="16"/>
          <w:color w:val="auto"/>
        </w:rPr>
        <w:t>We depend on our ability to attract and retain skilled technical and managerial personnel. We could lose the services of, or fail to recruit, skilled personnel, which could hinder our research and product development programs or otherwise have a material adverse effect on our business.</w:t>
      </w:r>
    </w:p>
    <w:p>
      <w:pPr>
        <w:spacing w:after="0" w:line="160" w:lineRule="exact"/>
        <w:rPr>
          <w:sz w:val="20"/>
          <w:szCs w:val="20"/>
          <w:color w:val="auto"/>
        </w:rPr>
      </w:pPr>
    </w:p>
    <w:p>
      <w:pPr>
        <w:ind w:right="840"/>
        <w:spacing w:after="0" w:line="275" w:lineRule="auto"/>
        <w:rPr>
          <w:sz w:val="20"/>
          <w:szCs w:val="20"/>
          <w:color w:val="auto"/>
        </w:rPr>
      </w:pPr>
      <w:r>
        <w:rPr>
          <w:rFonts w:ascii="Arial" w:cs="Arial" w:eastAsia="Arial" w:hAnsi="Arial"/>
          <w:sz w:val="18"/>
          <w:szCs w:val="18"/>
          <w:b w:val="1"/>
          <w:bCs w:val="1"/>
          <w:color w:val="auto"/>
        </w:rPr>
        <w:t>If we encounter future labor problems, we may fail to deliver our products in a timely manner which could adversely affect our revenues and profitability.</w:t>
      </w:r>
    </w:p>
    <w:p>
      <w:pPr>
        <w:spacing w:after="0" w:line="45" w:lineRule="exact"/>
        <w:rPr>
          <w:sz w:val="20"/>
          <w:szCs w:val="20"/>
          <w:color w:val="auto"/>
        </w:rPr>
      </w:pPr>
    </w:p>
    <w:p>
      <w:pPr>
        <w:jc w:val="both"/>
        <w:ind w:right="60" w:firstLine="456"/>
        <w:spacing w:after="0" w:line="335" w:lineRule="auto"/>
        <w:rPr>
          <w:sz w:val="20"/>
          <w:szCs w:val="20"/>
          <w:color w:val="auto"/>
        </w:rPr>
      </w:pPr>
      <w:r>
        <w:rPr>
          <w:rFonts w:ascii="Arial" w:cs="Arial" w:eastAsia="Arial" w:hAnsi="Arial"/>
          <w:sz w:val="15"/>
          <w:szCs w:val="15"/>
          <w:color w:val="auto"/>
        </w:rPr>
        <w:t>As of August 1, 2006, approximately 62% of our employees were represented by the MagnaChip Semiconductor Labor Union, which is a member of the Federation of Korean Metal Workers Trade Unions. We cannot assure you that issues with the labor union and other employees will be resolved favorably for us in the future, that we will not experience significant work stoppages in future years or that we will not record significant charges related to those work stoppages.</w:t>
      </w:r>
    </w:p>
    <w:p>
      <w:pPr>
        <w:spacing w:after="0" w:line="163" w:lineRule="exact"/>
        <w:rPr>
          <w:sz w:val="20"/>
          <w:szCs w:val="20"/>
          <w:color w:val="auto"/>
        </w:rPr>
      </w:pPr>
    </w:p>
    <w:p>
      <w:pPr>
        <w:ind w:right="340"/>
        <w:spacing w:after="0" w:line="275" w:lineRule="auto"/>
        <w:rPr>
          <w:sz w:val="20"/>
          <w:szCs w:val="20"/>
          <w:color w:val="auto"/>
        </w:rPr>
      </w:pPr>
      <w:r>
        <w:rPr>
          <w:rFonts w:ascii="Arial" w:cs="Arial" w:eastAsia="Arial" w:hAnsi="Arial"/>
          <w:sz w:val="18"/>
          <w:szCs w:val="18"/>
          <w:b w:val="1"/>
          <w:bCs w:val="1"/>
          <w:color w:val="auto"/>
        </w:rPr>
        <w:t>We may incur costs to engage in future business combinations or strategic investments and the anticipated benefits of those transactions may not be realized.</w:t>
      </w:r>
    </w:p>
    <w:p>
      <w:pPr>
        <w:spacing w:after="0" w:line="45"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As part of our business strategy, we may seek to enter into business combinations, investments, joint ventures and other strategic alliances with other companies in order to maintain and grow revenue and market presence as well as to provide us with access to technology, products and services. Those transactions would be accompanied by risks that may harm our business, such as difficulties in assimilating the operations, personnel and products of an acquired business or in realizing the projected benefits; disruption of our ongoing business; potential increases in our indebtedness and contingent liabilities; and charges if the acquired company or assets are later worth less than the amount paid for them in the Original Acquisition. In addition, our senior secured credit facility and the indentures governing our notes may prohibit us from making acquisitions that we may otherwise wish to pursue.</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depend on high utilization of our manufacturing capacity.</w:t>
      </w:r>
    </w:p>
    <w:p>
      <w:pPr>
        <w:spacing w:after="0" w:line="96" w:lineRule="exact"/>
        <w:rPr>
          <w:sz w:val="20"/>
          <w:szCs w:val="20"/>
          <w:color w:val="auto"/>
        </w:rPr>
      </w:pPr>
    </w:p>
    <w:p>
      <w:pPr>
        <w:ind w:right="520" w:firstLine="456"/>
        <w:spacing w:after="0" w:line="298" w:lineRule="auto"/>
        <w:rPr>
          <w:sz w:val="20"/>
          <w:szCs w:val="20"/>
          <w:color w:val="auto"/>
        </w:rPr>
      </w:pPr>
      <w:r>
        <w:rPr>
          <w:rFonts w:ascii="Arial" w:cs="Arial" w:eastAsia="Arial" w:hAnsi="Arial"/>
          <w:sz w:val="16"/>
          <w:szCs w:val="16"/>
          <w:color w:val="auto"/>
        </w:rPr>
        <w:t>As many of our costs are fixed, a reduction in capacity utilization, together with other factors such as yield and product mix, could reduce our profit margins and adversely affect our operating results. A number of factors and circumstances may reduce utilization rates, including periods of industry overcapacity, low levels of customer orders, operating inefficiencies, mechanical failures and disruption of operations due to expansion or relocation of operations, power interruptions, fire, flood or other natural disasters or calamities.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failure to achieve acceptable manufacturing yields could adversely affect our business.</w:t>
      </w:r>
    </w:p>
    <w:p>
      <w:pPr>
        <w:spacing w:after="0" w:line="96" w:lineRule="exact"/>
        <w:rPr>
          <w:sz w:val="20"/>
          <w:szCs w:val="20"/>
          <w:color w:val="auto"/>
        </w:rPr>
      </w:pPr>
    </w:p>
    <w:p>
      <w:pPr>
        <w:ind w:right="460" w:firstLine="456"/>
        <w:spacing w:after="0" w:line="268" w:lineRule="auto"/>
        <w:rPr>
          <w:sz w:val="20"/>
          <w:szCs w:val="20"/>
          <w:color w:val="auto"/>
        </w:rPr>
      </w:pPr>
      <w:r>
        <w:rPr>
          <w:rFonts w:ascii="Arial" w:cs="Arial" w:eastAsia="Arial" w:hAnsi="Arial"/>
          <w:sz w:val="18"/>
          <w:szCs w:val="18"/>
          <w:color w:val="auto"/>
        </w:rPr>
        <w:t>The manufacture of semiconductors requires precision, a highly-regulated and sterile environment and expensive equipment. We may have difficulty achieving acceptable yields in the manufacture of our products. Slight impurities or</w:t>
      </w:r>
    </w:p>
    <w:p>
      <w:pPr>
        <w:spacing w:after="0" w:line="11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380"/>
          </w:cols>
          <w:pgMar w:left="240" w:top="459" w:right="27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320"/>
        <w:spacing w:after="0" w:line="332" w:lineRule="auto"/>
        <w:rPr>
          <w:sz w:val="20"/>
          <w:szCs w:val="20"/>
          <w:color w:val="auto"/>
        </w:rPr>
      </w:pPr>
      <w:r>
        <w:rPr>
          <w:rFonts w:ascii="Arial" w:cs="Arial" w:eastAsia="Arial" w:hAnsi="Arial"/>
          <w:sz w:val="16"/>
          <w:szCs w:val="16"/>
          <w:color w:val="auto"/>
        </w:rPr>
        <w:t>defects in the masks used to print circuits on a wafer or other factors can cause significant difficulties, particularly in connection with the production of a new product, the adoption of a new manufacturing process or any expansion of our manufacturing capacity and related transitions.</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rely on certain subcontractors.</w:t>
      </w:r>
    </w:p>
    <w:p>
      <w:pPr>
        <w:spacing w:after="0" w:line="96" w:lineRule="exact"/>
        <w:rPr>
          <w:sz w:val="20"/>
          <w:szCs w:val="20"/>
          <w:color w:val="auto"/>
        </w:rPr>
      </w:pPr>
    </w:p>
    <w:p>
      <w:pPr>
        <w:ind w:right="140" w:firstLine="456"/>
        <w:spacing w:after="0" w:line="255" w:lineRule="auto"/>
        <w:rPr>
          <w:sz w:val="20"/>
          <w:szCs w:val="20"/>
          <w:color w:val="auto"/>
        </w:rPr>
      </w:pPr>
      <w:r>
        <w:rPr>
          <w:rFonts w:ascii="Arial" w:cs="Arial" w:eastAsia="Arial" w:hAnsi="Arial"/>
          <w:sz w:val="18"/>
          <w:szCs w:val="18"/>
          <w:color w:val="auto"/>
        </w:rPr>
        <w:t>The majority of our net sales are derived from semiconductor devices assembled in advanced packages. The packaging of semiconductors is a complex process requiring, among other things, a high degree of technical skill and advanced equipment. We outsource our semiconductor packaging to subcontractors, most of which are located in Korea and Southeast Asia. We rely on these subcontractors to package our devices with acceptable quality and yield levels. If our semiconductor packagers experience problems in packaging our semiconductor devices or experience prolonged quality or yield problems, our operating results could be adversely affected.</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depend on successful parts and materials procurement for our manufacturing processes.</w:t>
      </w:r>
    </w:p>
    <w:p>
      <w:pPr>
        <w:spacing w:after="0" w:line="96"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We use a wide range of parts and materials in the production of our semiconductors, including silicon, processing chemicals, processing gases, precious metals and electronic and mechanical components. We procure materials and electronic and mechanical components from domestic and foreign sources and original equipment manufacturers. As a division of Hynix, we were able to take advantage of Hynix’s size and purchasing power in procuring parts and materials. As an independent company, we are smaller and less diversified than Hynix, and we may be unable to obtain parts and materials at prices and on terms as favorable as those available to us prior to the separation from Hynix in October 2004. If we cannot obtain adequate materials in a timely manner or on favorable terms for the manufacture of our products, either or both of our revenues or profits will decline.</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face product liability risks and the risk of negative publicity if our products fail.</w:t>
      </w:r>
    </w:p>
    <w:p>
      <w:pPr>
        <w:spacing w:after="0" w:line="96"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Our semiconductors are incorporated into a number of end products, and our business is exposed to product liability risk and the risk of negative publicity if our products fail. Although we maintain insurance for product liability claims, the amount and scope of our insurance may not be adequate to cover a product liability claim that is asserted against us. In addition, product liability insurance could become more expensive and difficult to maintain and, in the future, may not be available on commercially reasonable terms or at all.</w:t>
      </w:r>
    </w:p>
    <w:p>
      <w:pPr>
        <w:spacing w:after="0" w:line="143"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In addition, we are exposed to the product liability risk and the risk of negative publicity affecting our customers and suppliers. Our sales may decline if any of our customers are sued on a product liability claim. We may also suffer a decline in sales from the negative publicity associated with such a lawsuit or with adverse public perceptions in general regarding our customers’ products.</w:t>
      </w:r>
    </w:p>
    <w:p>
      <w:pPr>
        <w:spacing w:after="0" w:line="215" w:lineRule="exact"/>
        <w:rPr>
          <w:sz w:val="20"/>
          <w:szCs w:val="20"/>
          <w:color w:val="auto"/>
        </w:rPr>
      </w:pPr>
    </w:p>
    <w:p>
      <w:pPr>
        <w:ind w:right="220"/>
        <w:spacing w:after="0" w:line="275" w:lineRule="auto"/>
        <w:rPr>
          <w:sz w:val="20"/>
          <w:szCs w:val="20"/>
          <w:color w:val="auto"/>
        </w:rPr>
      </w:pPr>
      <w:r>
        <w:rPr>
          <w:rFonts w:ascii="Arial" w:cs="Arial" w:eastAsia="Arial" w:hAnsi="Arial"/>
          <w:sz w:val="18"/>
          <w:szCs w:val="18"/>
          <w:b w:val="1"/>
          <w:bCs w:val="1"/>
          <w:color w:val="auto"/>
        </w:rPr>
        <w:t>Our ability to compete successfully and achieve future growth will depend, in part, on our ability to protect our proprietary technology, as well as our ability to operate without infringing the proprietary rights of others.</w:t>
      </w:r>
    </w:p>
    <w:p>
      <w:pPr>
        <w:spacing w:after="0" w:line="45" w:lineRule="exact"/>
        <w:rPr>
          <w:sz w:val="20"/>
          <w:szCs w:val="20"/>
          <w:color w:val="auto"/>
        </w:rPr>
      </w:pPr>
    </w:p>
    <w:p>
      <w:pPr>
        <w:ind w:right="360" w:firstLine="456"/>
        <w:spacing w:after="0" w:line="291" w:lineRule="auto"/>
        <w:rPr>
          <w:sz w:val="20"/>
          <w:szCs w:val="20"/>
          <w:color w:val="auto"/>
        </w:rPr>
      </w:pPr>
      <w:r>
        <w:rPr>
          <w:rFonts w:ascii="Arial" w:cs="Arial" w:eastAsia="Arial" w:hAnsi="Arial"/>
          <w:sz w:val="16"/>
          <w:szCs w:val="16"/>
          <w:color w:val="auto"/>
        </w:rPr>
        <w:t>We seek to protect our proprietary technologies and know-how through the use of patents, trade secrets, confidentiality agreements and other security measures. The process of seeking patent protection takes a long time and is expensive. We cannot assure you that patents will issue from pending or future applications or that, if patents issue, they will not be challenged, invalidated or circumvented, or that the rights granted under the patents will provide us with meaningful protection or any commercial advantage. Some of our technologies are not covered by any patent or patent application. The confidentiality agreements on which we rely may be breached and may not be adequate to protect our proprietary technologies. We cannot assure you that other countries in which we market our services will protect our intellectual property rights to the same extent as the United States.</w:t>
      </w:r>
    </w:p>
    <w:p>
      <w:pPr>
        <w:spacing w:after="0" w:line="120"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Our ability to compete successfully depends on our ability to operate without infringing the proprietary rights of others. We have no means of knowing what patent applications have been filed in the United States until they are published. In addition, the semiconductor industry is characterized by frequent litigation regarding patent and other intellectual property rights. Litigation, which could result in substantial costs to us and diversion of our resources, may also be necessary to enforce our patents or other intellectual property rights or to defend against claimed infringement of the rights of others. In the event of an adverse outcome in any such litigation, we may be required to pay substantial damages, indemnify customers or licensees for damages they may suffer if the products they purchase from us or the technology they license from us violate the intellectual property rights of others; stop our manufacture, use, sale or importation of infringing products; expend significant resources to develop or acquire non-infringing technologies; discontinue processes; or obtain licenses to the intellectual property we are found to have infringed. We cannot assure you that we would be successful in such development or acquisition or that such licenses would be available under reasonable terms, or at all.</w:t>
      </w:r>
    </w:p>
    <w:p>
      <w:pPr>
        <w:spacing w:after="0" w:line="1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00"/>
          </w:cols>
          <w:pgMar w:left="240" w:top="459" w:right="25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00" w:firstLine="456"/>
        <w:spacing w:after="0" w:line="310" w:lineRule="auto"/>
        <w:rPr>
          <w:sz w:val="20"/>
          <w:szCs w:val="20"/>
          <w:color w:val="auto"/>
        </w:rPr>
      </w:pPr>
      <w:r>
        <w:rPr>
          <w:rFonts w:ascii="Arial" w:cs="Arial" w:eastAsia="Arial" w:hAnsi="Arial"/>
          <w:sz w:val="15"/>
          <w:szCs w:val="15"/>
          <w:color w:val="auto"/>
        </w:rPr>
        <w:t>As a business segment of Hynix, we were the beneficiary of some of Hynix’s intellectual property arrangements, including cross-licensing arrangements with other leading semiconductor companies and licenses from third parties of technology incorporated in our products and used to operate our business. We are no longer a beneficiary under some of these agreements and arrangements. There may be third parties who had refrained from asserting intellectual property infringement claims against our products or processes while we were a business segment of Hynix that elect to pursue such claims against us now that we are an independent company. In addition, some of our technologies have been sublicensed from Hynix on a non-exclusive basis and Hynix may sublicense such technologies to others. We have cross-licensed most of our technologies to Hynix. This cross-license is subject to the non-competition provision of the Hynix business transfer agreement. Our competitors may develop, patent or gain access to similar know-how and technology. Failure to protect our existing intellectual property rights may result in the loss of valuable technologies or having to pay other companies for infringing on their intellectual property rights.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are subject to many environmental laws and regulations that could affect our operations or result in significant expenses.</w:t>
      </w:r>
    </w:p>
    <w:p>
      <w:pPr>
        <w:spacing w:after="0" w:line="96"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We are subject to requirements of environmental, health and safety laws and regulations in each of the jurisdictions in which we operate, governing, among other things, air emissions, wastewater discharges, the generation, use, handling, storage and disposal of, and exposure to, hazardous substances (including asbestos) and wastes, soil and groundwater contamination and employee health and safety. These laws and regulations are complex, constantly changing and have tended to become more stringent over time. We cannot assure you that we have been, or will be at all times, in complete compliance with all these laws and regulations or that we will not incur material costs or liabilities in connection with these laws and regulations in the future. The adoption of new environmental, health and safety laws, the failure to comply with new or existing laws, or issues relating to hazardous substances could subject us to material liability (including substantial fines or penalties), impose the need for additional capital equipment or other process requirements upon us, curtail our operations, or restrict our ability to expand operations.</w:t>
      </w:r>
    </w:p>
    <w:p>
      <w:pPr>
        <w:spacing w:after="0" w:line="19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We could suffer adverse tax and other financial consequences as a result of changes in, or differences in the interpretation of, applicable tax laws.</w:t>
      </w:r>
    </w:p>
    <w:p>
      <w:pPr>
        <w:spacing w:after="0" w:line="119" w:lineRule="exact"/>
        <w:rPr>
          <w:sz w:val="20"/>
          <w:szCs w:val="20"/>
          <w:color w:val="auto"/>
        </w:rPr>
      </w:pPr>
    </w:p>
    <w:p>
      <w:pPr>
        <w:ind w:right="100" w:firstLine="456"/>
        <w:spacing w:after="0" w:line="318" w:lineRule="auto"/>
        <w:rPr>
          <w:sz w:val="20"/>
          <w:szCs w:val="20"/>
          <w:color w:val="auto"/>
        </w:rPr>
      </w:pPr>
      <w:r>
        <w:rPr>
          <w:rFonts w:ascii="Arial" w:cs="Arial" w:eastAsia="Arial" w:hAnsi="Arial"/>
          <w:sz w:val="15"/>
          <w:szCs w:val="15"/>
          <w:color w:val="auto"/>
        </w:rPr>
        <w:t>Our company organizational structure is based, in part, on assumptions about the various tax laws, including withholding tax, and other laws of applicable non-U.S. jurisdictions. In addition, MagnaChip Korea was granted a limited tax-holiday under Korean law in October 2004, which provides for certain tax exemptions for corporate taxes, withholding taxes, acquisition taxes, property and land taxes and other taxes for five years. Our interpretations and conclusions are not binding on any taxing authority, and, if our assumptions about tax and other laws are incorrect or if the authorities were to change or modify the relevant laws, we could suffer adverse tax and other financial consequences or have the anticipated benefits of our company organizational structure materially impaired.</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 limited number of persons indirectly control us.</w:t>
      </w:r>
    </w:p>
    <w:p>
      <w:pPr>
        <w:spacing w:after="0" w:line="96" w:lineRule="exact"/>
        <w:rPr>
          <w:sz w:val="20"/>
          <w:szCs w:val="20"/>
          <w:color w:val="auto"/>
        </w:rPr>
      </w:pPr>
    </w:p>
    <w:p>
      <w:pPr>
        <w:jc w:val="both"/>
        <w:ind w:right="200" w:firstLine="456"/>
        <w:spacing w:after="0" w:line="298" w:lineRule="auto"/>
        <w:rPr>
          <w:sz w:val="20"/>
          <w:szCs w:val="20"/>
          <w:color w:val="auto"/>
        </w:rPr>
      </w:pPr>
      <w:r>
        <w:rPr>
          <w:rFonts w:ascii="Arial" w:cs="Arial" w:eastAsia="Arial" w:hAnsi="Arial"/>
          <w:sz w:val="16"/>
          <w:szCs w:val="16"/>
          <w:color w:val="auto"/>
        </w:rPr>
        <w:t>CVC, Francisco Partners, and CVC Asia Pacific own approximately 34%, 34% and 18%, respectively, of the outstanding voting interests in MagnaChip. By virtue of their ownership of these voting interests, and the securityholders’ agreement among MagnaChip and its unitholders, these entities have significant influence over our management and will be able to determine the outcome of all matters required to be submitted to the unitholders for approval, including the election of a majority of our directors and the approval of mergers, consolidations and the sale of all or substantially all of our assets.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may need additional capital in the future and it may not be available on acceptable terms or at all.</w:t>
      </w:r>
    </w:p>
    <w:p>
      <w:pPr>
        <w:spacing w:after="0" w:line="96"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color w:val="auto"/>
        </w:rPr>
        <w:t>We may require more capital in the future to fund our operations, finance investments in equipment and infrastructure, and respond to competitive pressures and potential strategic opportunities. Additional capital may not be available when needed or, if available, may not be available on satisfactory terms. If we are unable to obtain capital on favorable terms, or if we are unable to obtain capital at all, we may have to reduce our operations or forego opportunities and it may have a material adverse effect on our business, financial condition and results of operations.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international operations are subject to various risks that may lead to decreases in financial results.</w:t>
      </w:r>
    </w:p>
    <w:p>
      <w:pPr>
        <w:spacing w:after="0" w:line="96"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We face risks inherent in international operations, such as unexpected changes in regulatory requirements, tariffs and other market barriers, political, social and economic instability, adverse tax consequences, war, civil disturbances and acts of terrorism, difficulties in accounts receivables collection, extended payment terms and differing labor standards, enforcement of contractual obligations and protection of intellectual property. These risks may lead to increased costs or decreased revenue growth, or both.</w:t>
      </w:r>
    </w:p>
    <w:p>
      <w:pPr>
        <w:spacing w:after="0" w:line="13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00"/>
          </w:cols>
          <w:pgMar w:left="240" w:top="459" w:right="25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are subject to risks associated with currency fluctuations.</w:t>
      </w:r>
    </w:p>
    <w:p>
      <w:pPr>
        <w:spacing w:after="0" w:line="96"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Our revenues are denominated in various currencies, specifically, the Korean Won, Japanese Yen, Euro and U.S. dollar. As a result, changes in the exchange rates of these currencies or any other applicable currencies to the U.S. dollar will affect the translated price of products and therefore operating margins and could result in exchange losses.</w:t>
      </w:r>
    </w:p>
    <w:p>
      <w:pPr>
        <w:spacing w:after="0" w:line="140"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The majority of our costs are denominated in Korean Won and to a lesser extent in Japanese Yen, U.S. dollar and Euro. Therefore, changes in the exchange rates of these currencies or any other applicable currencies to the U.S. dollar will affect cost of goods sold and operating margins and could result in exchange losses.</w:t>
      </w:r>
    </w:p>
    <w:p>
      <w:pPr>
        <w:spacing w:after="0" w:line="140" w:lineRule="exact"/>
        <w:rPr>
          <w:sz w:val="20"/>
          <w:szCs w:val="20"/>
          <w:color w:val="auto"/>
        </w:rPr>
      </w:pPr>
    </w:p>
    <w:p>
      <w:pPr>
        <w:ind w:right="100" w:firstLine="456"/>
        <w:spacing w:after="0" w:line="306" w:lineRule="auto"/>
        <w:rPr>
          <w:sz w:val="20"/>
          <w:szCs w:val="20"/>
          <w:color w:val="auto"/>
        </w:rPr>
      </w:pPr>
      <w:r>
        <w:rPr>
          <w:rFonts w:ascii="Arial" w:cs="Arial" w:eastAsia="Arial" w:hAnsi="Arial"/>
          <w:sz w:val="16"/>
          <w:szCs w:val="16"/>
          <w:color w:val="auto"/>
        </w:rPr>
        <w:t>We cannot fully predict the impact of future exchange rate fluctuations on our profitability. From time to time, we may have engaged in, and may continue to engage in, exchange rate hedging activities in an effort to mitigate the impact of exchange rate fluctuations. However, we cannot assure you that any hedging technique we implement will be effective. If it is not effective, we may experience reduced operating margins.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historical financial information may not be representative of our results as a separate company.</w:t>
      </w:r>
    </w:p>
    <w:p>
      <w:pPr>
        <w:spacing w:after="0" w:line="96" w:lineRule="exact"/>
        <w:rPr>
          <w:sz w:val="20"/>
          <w:szCs w:val="20"/>
          <w:color w:val="auto"/>
        </w:rPr>
      </w:pPr>
    </w:p>
    <w:p>
      <w:pPr>
        <w:ind w:right="60" w:firstLine="456"/>
        <w:spacing w:after="0" w:line="288" w:lineRule="auto"/>
        <w:rPr>
          <w:sz w:val="20"/>
          <w:szCs w:val="20"/>
          <w:color w:val="auto"/>
        </w:rPr>
      </w:pPr>
      <w:r>
        <w:rPr>
          <w:rFonts w:ascii="Arial" w:cs="Arial" w:eastAsia="Arial" w:hAnsi="Arial"/>
          <w:sz w:val="16"/>
          <w:szCs w:val="16"/>
          <w:color w:val="auto"/>
        </w:rPr>
        <w:t>Prior to the Original Acquisition, we operated as a division of Hynix. Historical financial information for periods prior to September 30, 2004, was derived from Hynix’s consolidated financial statements, has been presented on a carve-out basis and does not necessarily reflect what our financial position, results of operations or cash flows would have been had we been a separate, stand-alone company during the periods presented. As carve-out financial statements, the financial statements include allocations of the costs of shared activities and overhead of Hynix and of intangible assets and property, plant and equipment shared with Hynix. These allocations are based upon various assumptions and estimates, some of which are subjective. Actual results of our operations had we operated on a stand-alone basis, may differ from those allocations and estimates. Also, as part of the Original Acquisition we did not acquire certain assets that were included in the carve-out financial statements and we assumed certain additional costs and obligations that are not reflected in the carve-out financial statements. Accordingly, the carve-out financial statements should not be relied upon as being representative of our financial position or operating results had we operated on a stand-alone basis, nor may they be representative of our financial position or operating results following the Original Acquisition.</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expenses could increase if Hynix were unwilling or unable to provide certain services related to our shared facilities with Hynix.</w:t>
      </w:r>
    </w:p>
    <w:p>
      <w:pPr>
        <w:spacing w:after="0" w:line="96" w:lineRule="exact"/>
        <w:rPr>
          <w:sz w:val="20"/>
          <w:szCs w:val="20"/>
          <w:color w:val="auto"/>
        </w:rPr>
      </w:pPr>
    </w:p>
    <w:p>
      <w:pPr>
        <w:ind w:right="140" w:firstLine="456"/>
        <w:spacing w:after="0" w:line="298" w:lineRule="auto"/>
        <w:rPr>
          <w:sz w:val="20"/>
          <w:szCs w:val="20"/>
          <w:color w:val="auto"/>
        </w:rPr>
      </w:pPr>
      <w:r>
        <w:rPr>
          <w:rFonts w:ascii="Arial" w:cs="Arial" w:eastAsia="Arial" w:hAnsi="Arial"/>
          <w:sz w:val="16"/>
          <w:szCs w:val="16"/>
          <w:color w:val="auto"/>
        </w:rPr>
        <w:t>Because we share certain facilities with Hynix, a few services that are essential to our business are provided to us by or through Hynix. These services include electricity, bulk gasses and de-ionized water, campus facilities, wastewater and sewage management, and environmental safety. If any of our agreements with Hynix were terminated or if Hynix were unwilling or unable to fulfill its obligations to us under the terms of these agreements, we would have to procure these services on our own and as a result may experience an increase in our expenses.</w:t>
      </w:r>
    </w:p>
    <w:p>
      <w:pPr>
        <w:spacing w:after="0" w:line="113"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In addition, we lease building and warehouse space from Hynix in Cheongju, Korea, and lease to Hynix some of the space we own in Cheongju, Korea. If Hynix were to become insolvent, we could lose our leases on some of our building and warehouse space.</w:t>
      </w:r>
    </w:p>
    <w:p>
      <w:pPr>
        <w:spacing w:after="0" w:line="207" w:lineRule="exact"/>
        <w:rPr>
          <w:sz w:val="20"/>
          <w:szCs w:val="20"/>
          <w:color w:val="auto"/>
        </w:rPr>
      </w:pPr>
    </w:p>
    <w:p>
      <w:pPr>
        <w:ind w:right="320"/>
        <w:spacing w:after="0" w:line="275" w:lineRule="auto"/>
        <w:rPr>
          <w:sz w:val="20"/>
          <w:szCs w:val="20"/>
          <w:color w:val="auto"/>
        </w:rPr>
      </w:pPr>
      <w:r>
        <w:rPr>
          <w:rFonts w:ascii="Arial" w:cs="Arial" w:eastAsia="Arial" w:hAnsi="Arial"/>
          <w:sz w:val="18"/>
          <w:szCs w:val="18"/>
          <w:b w:val="1"/>
          <w:bCs w:val="1"/>
          <w:color w:val="auto"/>
        </w:rPr>
        <w:t>Research and development investments may not yield profitable and commercially viable products and thus will not necessarily result in increases in revenues for us.</w:t>
      </w:r>
    </w:p>
    <w:p>
      <w:pPr>
        <w:spacing w:after="0" w:line="45"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We invest significant resources in our research and development. However, research and development efforts may not yield commercially viable products. During each stage of research and development there is a substantial risk that we will have to abandon a potential product which is no longer marketable and in which we have invested significant resources. In the event we are able to develop viable new products, a significant amount of time will have elapsed between our investment in the necessary research and development effort and the receipt of any related revenues.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 confidence may be adversely impacted if we are unable to comply with Section 404 of the Sarbanes-Oxley Act of 2002.</w:t>
      </w:r>
    </w:p>
    <w:p>
      <w:pPr>
        <w:spacing w:after="0" w:line="96"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Beginning with our fiscal year ending December 31, 2007, we will be subject to rules adopted by the SEC pursuant to Section 404 of the Sarbanes-Oxley Act of 2002, which require us to include in our Annual Report on Form 10-K our management’s report on, and assessment of the effectiveness of, our internal controls over financial reporting. In addition, our independent auditors will be required to attest to and report on management’s assessment of the effectiveness of our internal controls over financial reporting. If we fail to achieve and maintain the adequacy of our internal controls, there is a risk that we will not comply with all of the requirements imposed by Section 404. Moreover, effective internal controls, particularly those related to revenue recognition, are necessary for us to produce reliable financial reports and are important</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459" w:right="23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00"/>
        <w:spacing w:after="0" w:line="332" w:lineRule="auto"/>
        <w:rPr>
          <w:sz w:val="20"/>
          <w:szCs w:val="20"/>
          <w:color w:val="auto"/>
        </w:rPr>
      </w:pPr>
      <w:r>
        <w:rPr>
          <w:rFonts w:ascii="Arial" w:cs="Arial" w:eastAsia="Arial" w:hAnsi="Arial"/>
          <w:sz w:val="16"/>
          <w:szCs w:val="16"/>
          <w:color w:val="auto"/>
        </w:rPr>
        <w:t>to helping prevent financial fraud. Any of these possible outcomes could result in an adverse reaction in the financial marketplace due to a loss of investor confidence in the reliability of our financial statements, which ultimately could harm our business and could negatively impact the market price of our securities.</w:t>
      </w:r>
    </w:p>
    <w:p>
      <w:pPr>
        <w:spacing w:after="0" w:line="201"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color w:val="auto"/>
        </w:rPr>
        <w:t>Unregistered Sales of Equity Securities and Use of Proceeds.</w:t>
      </w:r>
    </w:p>
    <w:p>
      <w:pPr>
        <w:spacing w:after="0" w:line="96" w:lineRule="exact"/>
        <w:rPr>
          <w:sz w:val="20"/>
          <w:szCs w:val="20"/>
          <w:color w:val="auto"/>
        </w:rPr>
      </w:pPr>
    </w:p>
    <w:p>
      <w:pPr>
        <w:ind w:right="160" w:firstLine="456"/>
        <w:spacing w:after="0" w:line="306" w:lineRule="auto"/>
        <w:rPr>
          <w:sz w:val="20"/>
          <w:szCs w:val="20"/>
          <w:color w:val="auto"/>
        </w:rPr>
      </w:pPr>
      <w:r>
        <w:rPr>
          <w:rFonts w:ascii="Arial" w:cs="Arial" w:eastAsia="Arial" w:hAnsi="Arial"/>
          <w:sz w:val="16"/>
          <w:szCs w:val="16"/>
          <w:color w:val="auto"/>
        </w:rPr>
        <w:t>During the three-month period ended July 2, 2006, certain of our subsidiary’s employees and former employees exercised options to acquire an aggregate of 2,812.50 of our common units at an aggregate purchase price of $8,050.32. Because the offering transactions took place outside the U.S. and none of the optionees were U.S. persons, these securities were exempt from registration under Regulation S of the Securities Act of 1933, as amended.</w:t>
      </w:r>
    </w:p>
    <w:p>
      <w:pPr>
        <w:spacing w:after="0" w:line="222"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Submission of Matters to a Vote of Security Holders.</w:t>
      </w:r>
    </w:p>
    <w:p>
      <w:pPr>
        <w:spacing w:after="0" w:line="96"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Effective May 27, 2006, R. Douglas Norby and Sang Park were elected to the Board of Directors of the Company to serve at the discretion of the unitholders of the Company until their successors are duly elected and qualified, as permitted under the Company’s Third Amended and Restated Limited Liability Company Operating Agreement, by written consent of unitholders holding 41,840,446.51 common units of the Company constituting 78.8% of the then-outstanding common units of the Company.</w:t>
      </w:r>
    </w:p>
    <w:p>
      <w:pPr>
        <w:spacing w:after="0" w:line="143" w:lineRule="exact"/>
        <w:rPr>
          <w:sz w:val="20"/>
          <w:szCs w:val="20"/>
          <w:color w:val="auto"/>
        </w:rPr>
      </w:pPr>
    </w:p>
    <w:p>
      <w:pPr>
        <w:ind w:right="260" w:firstLine="456"/>
        <w:spacing w:after="0" w:line="294" w:lineRule="auto"/>
        <w:rPr>
          <w:sz w:val="20"/>
          <w:szCs w:val="20"/>
          <w:color w:val="auto"/>
        </w:rPr>
      </w:pPr>
      <w:r>
        <w:rPr>
          <w:rFonts w:ascii="Arial" w:cs="Arial" w:eastAsia="Arial" w:hAnsi="Arial"/>
          <w:sz w:val="16"/>
          <w:szCs w:val="16"/>
          <w:color w:val="auto"/>
        </w:rPr>
        <w:t>Effective May 27, 2006, a proposal by the Company to reserve an additional 400,000 common units of the Company, for an aggregate of 7,890,864 common units of the Company, for issuance upon the exercise of Options or SARs granted or Restricted Unit awards offered under the MagnaChip Semiconductor LLC California Equity Incentive Plan and the MagnaChip Semiconductor LLC Equity Incentive Plan was approved, as permitted under the Company’s Third Amended and Restated Limited Liability Operating Company Agreement, by written consent of unitholders holding 41,840,446.51 common units of the Company constituting 78.75% of the then-outstanding common units of the Company.</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960" w:type="dxa"/>
            <w:vAlign w:val="bottom"/>
          </w:tcPr>
          <w:p>
            <w:pPr>
              <w:spacing w:after="0"/>
              <w:rPr>
                <w:sz w:val="20"/>
                <w:szCs w:val="20"/>
                <w:color w:val="auto"/>
              </w:rPr>
            </w:pPr>
            <w:r>
              <w:rPr>
                <w:rFonts w:ascii="Arial" w:cs="Arial" w:eastAsia="Arial" w:hAnsi="Arial"/>
                <w:sz w:val="18"/>
                <w:szCs w:val="18"/>
                <w:b w:val="1"/>
                <w:bCs w:val="1"/>
                <w:color w:val="auto"/>
              </w:rPr>
              <w:t>Item 6.</w:t>
            </w:r>
          </w:p>
        </w:tc>
        <w:tc>
          <w:tcPr>
            <w:tcW w:w="10460" w:type="dxa"/>
            <w:vAlign w:val="bottom"/>
            <w:gridSpan w:val="2"/>
          </w:tcPr>
          <w:p>
            <w:pPr>
              <w:ind w:left="80"/>
              <w:spacing w:after="0"/>
              <w:rPr>
                <w:sz w:val="20"/>
                <w:szCs w:val="20"/>
                <w:color w:val="auto"/>
              </w:rPr>
            </w:pPr>
            <w:r>
              <w:rPr>
                <w:rFonts w:ascii="Arial" w:cs="Arial" w:eastAsia="Arial" w:hAnsi="Arial"/>
                <w:sz w:val="18"/>
                <w:szCs w:val="18"/>
                <w:b w:val="1"/>
                <w:bCs w:val="1"/>
                <w:color w:val="auto"/>
              </w:rPr>
              <w:t>Exhibits.</w:t>
            </w:r>
          </w:p>
        </w:tc>
      </w:tr>
      <w:tr>
        <w:trPr>
          <w:trHeight w:val="367"/>
        </w:trPr>
        <w:tc>
          <w:tcPr>
            <w:tcW w:w="960" w:type="dxa"/>
            <w:vAlign w:val="bottom"/>
          </w:tcPr>
          <w:p>
            <w:pPr>
              <w:ind w:left="20"/>
              <w:spacing w:after="0"/>
              <w:rPr>
                <w:sz w:val="20"/>
                <w:szCs w:val="20"/>
                <w:color w:val="auto"/>
              </w:rPr>
            </w:pPr>
            <w:r>
              <w:rPr>
                <w:rFonts w:ascii="Arial" w:cs="Arial" w:eastAsia="Arial" w:hAnsi="Arial"/>
                <w:sz w:val="14"/>
                <w:szCs w:val="14"/>
                <w:b w:val="1"/>
                <w:bCs w:val="1"/>
                <w:color w:val="auto"/>
                <w:w w:val="88"/>
              </w:rPr>
              <w:t>Exhibit Number</w:t>
            </w:r>
          </w:p>
        </w:tc>
        <w:tc>
          <w:tcPr>
            <w:tcW w:w="10460" w:type="dxa"/>
            <w:vAlign w:val="bottom"/>
            <w:gridSpan w:val="2"/>
          </w:tcPr>
          <w:p>
            <w:pPr>
              <w:ind w:left="1080"/>
              <w:spacing w:after="0"/>
              <w:rPr>
                <w:sz w:val="20"/>
                <w:szCs w:val="20"/>
                <w:color w:val="auto"/>
              </w:rPr>
            </w:pPr>
            <w:r>
              <w:rPr>
                <w:rFonts w:ascii="Arial" w:cs="Arial" w:eastAsia="Arial" w:hAnsi="Arial"/>
                <w:sz w:val="14"/>
                <w:szCs w:val="14"/>
                <w:b w:val="1"/>
                <w:bCs w:val="1"/>
                <w:color w:val="auto"/>
              </w:rPr>
              <w:t>Description</w:t>
            </w:r>
          </w:p>
        </w:tc>
      </w:tr>
      <w:tr>
        <w:trPr>
          <w:trHeight w:val="20"/>
        </w:trPr>
        <w:tc>
          <w:tcPr>
            <w:tcW w:w="960" w:type="dxa"/>
            <w:vAlign w:val="bottom"/>
            <w:shd w:val="clear" w:color="auto" w:fill="000000"/>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9380" w:type="dxa"/>
            <w:vAlign w:val="bottom"/>
            <w:shd w:val="clear" w:color="auto" w:fill="000000"/>
          </w:tcPr>
          <w:p>
            <w:pPr>
              <w:spacing w:after="0" w:line="20" w:lineRule="exact"/>
              <w:rPr>
                <w:sz w:val="1"/>
                <w:szCs w:val="1"/>
                <w:color w:val="auto"/>
              </w:rPr>
            </w:pPr>
          </w:p>
        </w:tc>
      </w:tr>
      <w:tr>
        <w:trPr>
          <w:trHeight w:val="309"/>
        </w:trPr>
        <w:tc>
          <w:tcPr>
            <w:tcW w:w="960" w:type="dxa"/>
            <w:vAlign w:val="bottom"/>
          </w:tcPr>
          <w:p>
            <w:pPr>
              <w:ind w:left="260"/>
              <w:spacing w:after="0"/>
              <w:rPr>
                <w:sz w:val="20"/>
                <w:szCs w:val="20"/>
                <w:color w:val="auto"/>
              </w:rPr>
            </w:pPr>
            <w:r>
              <w:rPr>
                <w:rFonts w:ascii="Arial" w:cs="Arial" w:eastAsia="Arial" w:hAnsi="Arial"/>
                <w:sz w:val="18"/>
                <w:szCs w:val="18"/>
                <w:color w:val="auto"/>
              </w:rPr>
              <w:t>10.3.d</w:t>
            </w:r>
          </w:p>
        </w:tc>
        <w:tc>
          <w:tcPr>
            <w:tcW w:w="10460" w:type="dxa"/>
            <w:vAlign w:val="bottom"/>
            <w:gridSpan w:val="2"/>
          </w:tcPr>
          <w:p>
            <w:pPr>
              <w:ind w:left="1080"/>
              <w:spacing w:after="0"/>
              <w:rPr>
                <w:sz w:val="20"/>
                <w:szCs w:val="20"/>
                <w:color w:val="auto"/>
              </w:rPr>
            </w:pPr>
            <w:r>
              <w:rPr>
                <w:rFonts w:ascii="Arial" w:cs="Arial" w:eastAsia="Arial" w:hAnsi="Arial"/>
                <w:sz w:val="18"/>
                <w:szCs w:val="18"/>
                <w:color w:val="auto"/>
                <w:w w:val="89"/>
              </w:rPr>
              <w:t>Fourth Amendment to Credit Agreement, dated as of July 26, 2006, by and among MagnaChip Semiconductor S.A. and MagnaChip</w:t>
            </w:r>
          </w:p>
        </w:tc>
      </w:tr>
      <w:tr>
        <w:trPr>
          <w:trHeight w:val="216"/>
        </w:trPr>
        <w:tc>
          <w:tcPr>
            <w:tcW w:w="960" w:type="dxa"/>
            <w:vAlign w:val="bottom"/>
          </w:tcPr>
          <w:p>
            <w:pPr>
              <w:spacing w:after="0"/>
              <w:rPr>
                <w:sz w:val="18"/>
                <w:szCs w:val="18"/>
                <w:color w:val="auto"/>
              </w:rPr>
            </w:pPr>
          </w:p>
        </w:tc>
        <w:tc>
          <w:tcPr>
            <w:tcW w:w="10460" w:type="dxa"/>
            <w:vAlign w:val="bottom"/>
            <w:gridSpan w:val="2"/>
          </w:tcPr>
          <w:p>
            <w:pPr>
              <w:ind w:left="1080"/>
              <w:spacing w:after="0"/>
              <w:rPr>
                <w:sz w:val="20"/>
                <w:szCs w:val="20"/>
                <w:color w:val="auto"/>
              </w:rPr>
            </w:pPr>
            <w:r>
              <w:rPr>
                <w:rFonts w:ascii="Arial" w:cs="Arial" w:eastAsia="Arial" w:hAnsi="Arial"/>
                <w:sz w:val="18"/>
                <w:szCs w:val="18"/>
                <w:color w:val="auto"/>
                <w:w w:val="92"/>
              </w:rPr>
              <w:t>Semiconductor Finance Company, as borrowers, MagnaChip Semiconductor LLC, the Subsidiary Guarantors party thereto, the</w:t>
            </w:r>
          </w:p>
        </w:tc>
      </w:tr>
      <w:tr>
        <w:trPr>
          <w:trHeight w:val="216"/>
        </w:trPr>
        <w:tc>
          <w:tcPr>
            <w:tcW w:w="960" w:type="dxa"/>
            <w:vAlign w:val="bottom"/>
          </w:tcPr>
          <w:p>
            <w:pPr>
              <w:spacing w:after="0"/>
              <w:rPr>
                <w:sz w:val="18"/>
                <w:szCs w:val="18"/>
                <w:color w:val="auto"/>
              </w:rPr>
            </w:pPr>
          </w:p>
        </w:tc>
        <w:tc>
          <w:tcPr>
            <w:tcW w:w="10460" w:type="dxa"/>
            <w:vAlign w:val="bottom"/>
            <w:gridSpan w:val="2"/>
          </w:tcPr>
          <w:p>
            <w:pPr>
              <w:ind w:left="1080"/>
              <w:spacing w:after="0"/>
              <w:rPr>
                <w:sz w:val="20"/>
                <w:szCs w:val="20"/>
                <w:color w:val="auto"/>
              </w:rPr>
            </w:pPr>
            <w:r>
              <w:rPr>
                <w:rFonts w:ascii="Arial" w:cs="Arial" w:eastAsia="Arial" w:hAnsi="Arial"/>
                <w:sz w:val="18"/>
                <w:szCs w:val="18"/>
                <w:color w:val="auto"/>
                <w:w w:val="98"/>
              </w:rPr>
              <w:t>Lenders party thereto, UBS AG, Stamford Branch, as administrative agent and collateral agent, and U.S. Bank National</w:t>
            </w:r>
          </w:p>
        </w:tc>
      </w:tr>
      <w:tr>
        <w:trPr>
          <w:trHeight w:val="222"/>
        </w:trPr>
        <w:tc>
          <w:tcPr>
            <w:tcW w:w="960" w:type="dxa"/>
            <w:vAlign w:val="bottom"/>
          </w:tcPr>
          <w:p>
            <w:pPr>
              <w:spacing w:after="0"/>
              <w:rPr>
                <w:sz w:val="19"/>
                <w:szCs w:val="19"/>
                <w:color w:val="auto"/>
              </w:rPr>
            </w:pPr>
          </w:p>
        </w:tc>
        <w:tc>
          <w:tcPr>
            <w:tcW w:w="10460" w:type="dxa"/>
            <w:vAlign w:val="bottom"/>
            <w:gridSpan w:val="2"/>
          </w:tcPr>
          <w:p>
            <w:pPr>
              <w:ind w:left="1080"/>
              <w:spacing w:after="0"/>
              <w:rPr>
                <w:sz w:val="20"/>
                <w:szCs w:val="20"/>
                <w:color w:val="auto"/>
              </w:rPr>
            </w:pPr>
            <w:r>
              <w:rPr>
                <w:rFonts w:ascii="Arial" w:cs="Arial" w:eastAsia="Arial" w:hAnsi="Arial"/>
                <w:sz w:val="18"/>
                <w:szCs w:val="18"/>
                <w:color w:val="auto"/>
              </w:rPr>
              <w:t>Association.*</w:t>
            </w:r>
          </w:p>
        </w:tc>
      </w:tr>
      <w:tr>
        <w:trPr>
          <w:trHeight w:val="324"/>
        </w:trPr>
        <w:tc>
          <w:tcPr>
            <w:tcW w:w="960" w:type="dxa"/>
            <w:vAlign w:val="bottom"/>
          </w:tcPr>
          <w:p>
            <w:pPr>
              <w:ind w:left="260"/>
              <w:spacing w:after="0"/>
              <w:rPr>
                <w:sz w:val="20"/>
                <w:szCs w:val="20"/>
                <w:color w:val="auto"/>
              </w:rPr>
            </w:pPr>
            <w:r>
              <w:rPr>
                <w:rFonts w:ascii="Arial" w:cs="Arial" w:eastAsia="Arial" w:hAnsi="Arial"/>
                <w:sz w:val="18"/>
                <w:szCs w:val="18"/>
                <w:color w:val="auto"/>
              </w:rPr>
              <w:t>10.36</w:t>
            </w:r>
          </w:p>
        </w:tc>
        <w:tc>
          <w:tcPr>
            <w:tcW w:w="10460" w:type="dxa"/>
            <w:vAlign w:val="bottom"/>
            <w:gridSpan w:val="2"/>
          </w:tcPr>
          <w:p>
            <w:pPr>
              <w:ind w:left="1080"/>
              <w:spacing w:after="0"/>
              <w:rPr>
                <w:sz w:val="20"/>
                <w:szCs w:val="20"/>
                <w:color w:val="auto"/>
              </w:rPr>
            </w:pPr>
            <w:r>
              <w:rPr>
                <w:rFonts w:ascii="Arial" w:cs="Arial" w:eastAsia="Arial" w:hAnsi="Arial"/>
                <w:sz w:val="18"/>
                <w:szCs w:val="18"/>
                <w:color w:val="auto"/>
                <w:w w:val="96"/>
              </w:rPr>
              <w:t>Service Agreement, dated as of May 27, 2006, by and between MagnaChip Semiconductor, Ltd. (Korea) and Sang Park.#</w:t>
            </w:r>
          </w:p>
        </w:tc>
      </w:tr>
      <w:tr>
        <w:trPr>
          <w:trHeight w:val="324"/>
        </w:trPr>
        <w:tc>
          <w:tcPr>
            <w:tcW w:w="960" w:type="dxa"/>
            <w:vAlign w:val="bottom"/>
          </w:tcPr>
          <w:p>
            <w:pPr>
              <w:ind w:left="260"/>
              <w:spacing w:after="0"/>
              <w:rPr>
                <w:sz w:val="20"/>
                <w:szCs w:val="20"/>
                <w:color w:val="auto"/>
              </w:rPr>
            </w:pPr>
            <w:r>
              <w:rPr>
                <w:rFonts w:ascii="Arial" w:cs="Arial" w:eastAsia="Arial" w:hAnsi="Arial"/>
                <w:sz w:val="18"/>
                <w:szCs w:val="18"/>
                <w:color w:val="auto"/>
              </w:rPr>
              <w:t>31.1</w:t>
            </w:r>
          </w:p>
        </w:tc>
        <w:tc>
          <w:tcPr>
            <w:tcW w:w="10460" w:type="dxa"/>
            <w:vAlign w:val="bottom"/>
            <w:gridSpan w:val="2"/>
          </w:tcPr>
          <w:p>
            <w:pPr>
              <w:ind w:left="1080"/>
              <w:spacing w:after="0"/>
              <w:rPr>
                <w:sz w:val="20"/>
                <w:szCs w:val="20"/>
                <w:color w:val="auto"/>
              </w:rPr>
            </w:pPr>
            <w:r>
              <w:rPr>
                <w:rFonts w:ascii="Arial" w:cs="Arial" w:eastAsia="Arial" w:hAnsi="Arial"/>
                <w:sz w:val="18"/>
                <w:szCs w:val="18"/>
                <w:color w:val="auto"/>
                <w:w w:val="91"/>
              </w:rPr>
              <w:t>Certification pursuant to Rule 13a-14(a) or Rule 15d-14(a) of the Securities Exchange Act of 1934 of the Chief Executive Officer.</w:t>
            </w:r>
          </w:p>
        </w:tc>
      </w:tr>
      <w:tr>
        <w:trPr>
          <w:trHeight w:val="324"/>
        </w:trPr>
        <w:tc>
          <w:tcPr>
            <w:tcW w:w="960" w:type="dxa"/>
            <w:vAlign w:val="bottom"/>
          </w:tcPr>
          <w:p>
            <w:pPr>
              <w:ind w:left="260"/>
              <w:spacing w:after="0"/>
              <w:rPr>
                <w:sz w:val="20"/>
                <w:szCs w:val="20"/>
                <w:color w:val="auto"/>
              </w:rPr>
            </w:pPr>
            <w:r>
              <w:rPr>
                <w:rFonts w:ascii="Arial" w:cs="Arial" w:eastAsia="Arial" w:hAnsi="Arial"/>
                <w:sz w:val="18"/>
                <w:szCs w:val="18"/>
                <w:color w:val="auto"/>
              </w:rPr>
              <w:t>31.2</w:t>
            </w:r>
          </w:p>
        </w:tc>
        <w:tc>
          <w:tcPr>
            <w:tcW w:w="10460" w:type="dxa"/>
            <w:vAlign w:val="bottom"/>
            <w:gridSpan w:val="2"/>
          </w:tcPr>
          <w:p>
            <w:pPr>
              <w:ind w:left="1080"/>
              <w:spacing w:after="0"/>
              <w:rPr>
                <w:sz w:val="20"/>
                <w:szCs w:val="20"/>
                <w:color w:val="auto"/>
              </w:rPr>
            </w:pPr>
            <w:r>
              <w:rPr>
                <w:rFonts w:ascii="Arial" w:cs="Arial" w:eastAsia="Arial" w:hAnsi="Arial"/>
                <w:sz w:val="18"/>
                <w:szCs w:val="18"/>
                <w:color w:val="auto"/>
                <w:w w:val="92"/>
              </w:rPr>
              <w:t>Certification pursuant to Rule 13a-14(a) or Rule 15d-14(a) of the Securities Exchange Act of 1934 of the Chief Financial Officer.</w:t>
            </w:r>
          </w:p>
        </w:tc>
      </w:tr>
      <w:tr>
        <w:trPr>
          <w:trHeight w:val="318"/>
        </w:trPr>
        <w:tc>
          <w:tcPr>
            <w:tcW w:w="960" w:type="dxa"/>
            <w:vAlign w:val="bottom"/>
          </w:tcPr>
          <w:p>
            <w:pPr>
              <w:ind w:left="260"/>
              <w:spacing w:after="0"/>
              <w:rPr>
                <w:sz w:val="20"/>
                <w:szCs w:val="20"/>
                <w:color w:val="auto"/>
              </w:rPr>
            </w:pPr>
            <w:r>
              <w:rPr>
                <w:rFonts w:ascii="Arial" w:cs="Arial" w:eastAsia="Arial" w:hAnsi="Arial"/>
                <w:sz w:val="18"/>
                <w:szCs w:val="18"/>
                <w:color w:val="auto"/>
              </w:rPr>
              <w:t>32.1</w:t>
            </w:r>
          </w:p>
        </w:tc>
        <w:tc>
          <w:tcPr>
            <w:tcW w:w="10460" w:type="dxa"/>
            <w:vAlign w:val="bottom"/>
            <w:gridSpan w:val="2"/>
          </w:tcPr>
          <w:p>
            <w:pPr>
              <w:ind w:left="1080"/>
              <w:spacing w:after="0"/>
              <w:rPr>
                <w:sz w:val="20"/>
                <w:szCs w:val="20"/>
                <w:color w:val="auto"/>
              </w:rPr>
            </w:pPr>
            <w:r>
              <w:rPr>
                <w:rFonts w:ascii="Arial" w:cs="Arial" w:eastAsia="Arial" w:hAnsi="Arial"/>
                <w:sz w:val="18"/>
                <w:szCs w:val="18"/>
                <w:color w:val="auto"/>
                <w:w w:val="88"/>
              </w:rPr>
              <w:t>Certification pursuant to 18 U.S.C. Section 1350, as adopted pursuant to Section 906 of the Sarbanes-Oxley Act of 2002, of the Chief</w:t>
            </w:r>
          </w:p>
        </w:tc>
      </w:tr>
      <w:tr>
        <w:trPr>
          <w:trHeight w:val="222"/>
        </w:trPr>
        <w:tc>
          <w:tcPr>
            <w:tcW w:w="960" w:type="dxa"/>
            <w:vAlign w:val="bottom"/>
          </w:tcPr>
          <w:p>
            <w:pPr>
              <w:spacing w:after="0"/>
              <w:rPr>
                <w:sz w:val="19"/>
                <w:szCs w:val="19"/>
                <w:color w:val="auto"/>
              </w:rPr>
            </w:pPr>
          </w:p>
        </w:tc>
        <w:tc>
          <w:tcPr>
            <w:tcW w:w="10460" w:type="dxa"/>
            <w:vAlign w:val="bottom"/>
            <w:gridSpan w:val="2"/>
          </w:tcPr>
          <w:p>
            <w:pPr>
              <w:ind w:left="1080"/>
              <w:spacing w:after="0"/>
              <w:rPr>
                <w:sz w:val="20"/>
                <w:szCs w:val="20"/>
                <w:color w:val="auto"/>
              </w:rPr>
            </w:pPr>
            <w:r>
              <w:rPr>
                <w:rFonts w:ascii="Arial" w:cs="Arial" w:eastAsia="Arial" w:hAnsi="Arial"/>
                <w:sz w:val="18"/>
                <w:szCs w:val="18"/>
                <w:color w:val="auto"/>
              </w:rPr>
              <w:t>Executive Officer.</w:t>
            </w:r>
          </w:p>
        </w:tc>
      </w:tr>
      <w:tr>
        <w:trPr>
          <w:trHeight w:val="318"/>
        </w:trPr>
        <w:tc>
          <w:tcPr>
            <w:tcW w:w="960" w:type="dxa"/>
            <w:vAlign w:val="bottom"/>
          </w:tcPr>
          <w:p>
            <w:pPr>
              <w:ind w:left="260"/>
              <w:spacing w:after="0"/>
              <w:rPr>
                <w:sz w:val="20"/>
                <w:szCs w:val="20"/>
                <w:color w:val="auto"/>
              </w:rPr>
            </w:pPr>
            <w:r>
              <w:rPr>
                <w:rFonts w:ascii="Arial" w:cs="Arial" w:eastAsia="Arial" w:hAnsi="Arial"/>
                <w:sz w:val="18"/>
                <w:szCs w:val="18"/>
                <w:color w:val="auto"/>
              </w:rPr>
              <w:t>32.2</w:t>
            </w:r>
          </w:p>
        </w:tc>
        <w:tc>
          <w:tcPr>
            <w:tcW w:w="10460" w:type="dxa"/>
            <w:vAlign w:val="bottom"/>
            <w:gridSpan w:val="2"/>
          </w:tcPr>
          <w:p>
            <w:pPr>
              <w:ind w:left="1080"/>
              <w:spacing w:after="0"/>
              <w:rPr>
                <w:sz w:val="20"/>
                <w:szCs w:val="20"/>
                <w:color w:val="auto"/>
              </w:rPr>
            </w:pPr>
            <w:r>
              <w:rPr>
                <w:rFonts w:ascii="Arial" w:cs="Arial" w:eastAsia="Arial" w:hAnsi="Arial"/>
                <w:sz w:val="18"/>
                <w:szCs w:val="18"/>
                <w:color w:val="auto"/>
                <w:w w:val="88"/>
              </w:rPr>
              <w:t>Certification pursuant to 18 U.S.C. Section 1350, as adopted pursuant to Section 906 of the Sarbanes-Oxley Act of 2002, of the Chief</w:t>
            </w:r>
          </w:p>
        </w:tc>
      </w:tr>
      <w:tr>
        <w:trPr>
          <w:trHeight w:val="222"/>
        </w:trPr>
        <w:tc>
          <w:tcPr>
            <w:tcW w:w="960" w:type="dxa"/>
            <w:vAlign w:val="bottom"/>
          </w:tcPr>
          <w:p>
            <w:pPr>
              <w:spacing w:after="0"/>
              <w:rPr>
                <w:sz w:val="19"/>
                <w:szCs w:val="19"/>
                <w:color w:val="auto"/>
              </w:rPr>
            </w:pPr>
          </w:p>
        </w:tc>
        <w:tc>
          <w:tcPr>
            <w:tcW w:w="10460" w:type="dxa"/>
            <w:vAlign w:val="bottom"/>
            <w:gridSpan w:val="2"/>
          </w:tcPr>
          <w:p>
            <w:pPr>
              <w:ind w:left="1080"/>
              <w:spacing w:after="0"/>
              <w:rPr>
                <w:sz w:val="20"/>
                <w:szCs w:val="20"/>
                <w:color w:val="auto"/>
              </w:rPr>
            </w:pPr>
            <w:r>
              <w:rPr>
                <w:rFonts w:ascii="Arial" w:cs="Arial" w:eastAsia="Arial" w:hAnsi="Arial"/>
                <w:sz w:val="18"/>
                <w:szCs w:val="18"/>
                <w:color w:val="auto"/>
              </w:rPr>
              <w:t>Financial Officer.</w:t>
            </w:r>
          </w:p>
        </w:tc>
      </w:tr>
    </w:tbl>
    <w:p>
      <w:pPr>
        <w:spacing w:after="0" w:line="75" w:lineRule="exact"/>
        <w:rPr>
          <w:sz w:val="20"/>
          <w:szCs w:val="20"/>
          <w:color w:val="auto"/>
        </w:rPr>
      </w:pPr>
    </w:p>
    <w:p>
      <w:pPr>
        <w:ind w:left="460" w:right="20" w:hanging="452"/>
        <w:spacing w:after="0" w:line="268" w:lineRule="auto"/>
        <w:tabs>
          <w:tab w:leader="none" w:pos="46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Incorporated by reference to an identically numbered exhibit filed in response to Item 1.01, “Entry into a Material Definitive Agreement,” of the company’s Current Report on Form 8-K dated July 25, 2006 (File No. 333-126019-09).</w:t>
      </w:r>
    </w:p>
    <w:p>
      <w:pPr>
        <w:spacing w:after="0" w:line="51" w:lineRule="exact"/>
        <w:rPr>
          <w:sz w:val="20"/>
          <w:szCs w:val="20"/>
          <w:color w:val="auto"/>
        </w:rPr>
      </w:pPr>
    </w:p>
    <w:p>
      <w:pPr>
        <w:ind w:left="460" w:right="20" w:hanging="452"/>
        <w:spacing w:after="0" w:line="268" w:lineRule="auto"/>
        <w:tabs>
          <w:tab w:leader="none" w:pos="46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Incorporated by reference to an identically numbered exhibit filed in response to Item 1.01, “Entry into a Material Definitive Agreement,” of the company’s Current Report on Form 8-K dated May 27, 2006 (File No. 333-126019-09).</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459" w:right="23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w:t>
      </w:r>
    </w:p>
    <w:p>
      <w:pPr>
        <w:spacing w:after="0" w:line="177"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3660" w:type="dxa"/>
            <w:vAlign w:val="bottom"/>
          </w:tcPr>
          <w:p>
            <w:pPr>
              <w:spacing w:after="0"/>
              <w:rPr>
                <w:sz w:val="19"/>
                <w:szCs w:val="19"/>
                <w:color w:val="auto"/>
              </w:rPr>
            </w:pPr>
          </w:p>
        </w:tc>
        <w:tc>
          <w:tcPr>
            <w:tcW w:w="7760" w:type="dxa"/>
            <w:vAlign w:val="bottom"/>
            <w:gridSpan w:val="2"/>
          </w:tcPr>
          <w:p>
            <w:pPr>
              <w:ind w:left="2380"/>
              <w:spacing w:after="0"/>
              <w:rPr>
                <w:sz w:val="20"/>
                <w:szCs w:val="20"/>
                <w:color w:val="auto"/>
              </w:rPr>
            </w:pPr>
            <w:r>
              <w:rPr>
                <w:rFonts w:ascii="Arial" w:cs="Arial" w:eastAsia="Arial" w:hAnsi="Arial"/>
                <w:sz w:val="18"/>
                <w:szCs w:val="18"/>
                <w:color w:val="auto"/>
              </w:rPr>
              <w:t>MAGNACHIP SEMICONDUCTOR LLC</w:t>
            </w:r>
          </w:p>
        </w:tc>
      </w:tr>
      <w:tr>
        <w:trPr>
          <w:trHeight w:val="433"/>
        </w:trPr>
        <w:tc>
          <w:tcPr>
            <w:tcW w:w="3660" w:type="dxa"/>
            <w:vAlign w:val="bottom"/>
          </w:tcPr>
          <w:p>
            <w:pPr>
              <w:spacing w:after="0"/>
              <w:rPr>
                <w:sz w:val="20"/>
                <w:szCs w:val="20"/>
                <w:color w:val="auto"/>
              </w:rPr>
            </w:pPr>
            <w:r>
              <w:rPr>
                <w:rFonts w:ascii="Arial" w:cs="Arial" w:eastAsia="Arial" w:hAnsi="Arial"/>
                <w:sz w:val="18"/>
                <w:szCs w:val="18"/>
                <w:color w:val="auto"/>
              </w:rPr>
              <w:t>Dated: August 14, 2006</w:t>
            </w:r>
          </w:p>
        </w:tc>
        <w:tc>
          <w:tcPr>
            <w:tcW w:w="7760" w:type="dxa"/>
            <w:vAlign w:val="bottom"/>
            <w:gridSpan w:val="2"/>
          </w:tcPr>
          <w:p>
            <w:pPr>
              <w:ind w:left="2380"/>
              <w:spacing w:after="0"/>
              <w:rPr>
                <w:sz w:val="20"/>
                <w:szCs w:val="20"/>
                <w:color w:val="auto"/>
              </w:rPr>
            </w:pPr>
            <w:r>
              <w:rPr>
                <w:rFonts w:ascii="Arial" w:cs="Arial" w:eastAsia="Arial" w:hAnsi="Arial"/>
                <w:sz w:val="18"/>
                <w:szCs w:val="18"/>
                <w:color w:val="auto"/>
              </w:rPr>
              <w:t>By:  /s/ Sang Park</w:t>
            </w:r>
          </w:p>
        </w:tc>
      </w:tr>
      <w:tr>
        <w:trPr>
          <w:trHeight w:val="202"/>
        </w:trPr>
        <w:tc>
          <w:tcPr>
            <w:tcW w:w="3660" w:type="dxa"/>
            <w:vAlign w:val="bottom"/>
          </w:tcPr>
          <w:p>
            <w:pPr>
              <w:spacing w:after="0"/>
              <w:rPr>
                <w:sz w:val="17"/>
                <w:szCs w:val="17"/>
                <w:color w:val="auto"/>
              </w:rPr>
            </w:pPr>
          </w:p>
        </w:tc>
        <w:tc>
          <w:tcPr>
            <w:tcW w:w="2640" w:type="dxa"/>
            <w:vAlign w:val="bottom"/>
          </w:tcPr>
          <w:p>
            <w:pPr>
              <w:spacing w:after="0"/>
              <w:rPr>
                <w:sz w:val="17"/>
                <w:szCs w:val="17"/>
                <w:color w:val="auto"/>
              </w:rPr>
            </w:pPr>
          </w:p>
        </w:tc>
        <w:tc>
          <w:tcPr>
            <w:tcW w:w="5120" w:type="dxa"/>
            <w:vAlign w:val="bottom"/>
            <w:tcBorders>
              <w:top w:val="single" w:sz="8" w:color="auto"/>
            </w:tcBorders>
          </w:tcPr>
          <w:p>
            <w:pPr>
              <w:ind w:left="100"/>
              <w:spacing w:after="0" w:line="202" w:lineRule="exact"/>
              <w:rPr>
                <w:sz w:val="20"/>
                <w:szCs w:val="20"/>
                <w:color w:val="auto"/>
              </w:rPr>
            </w:pPr>
            <w:r>
              <w:rPr>
                <w:rFonts w:ascii="Arial" w:cs="Arial" w:eastAsia="Arial" w:hAnsi="Arial"/>
                <w:sz w:val="18"/>
                <w:szCs w:val="18"/>
                <w:color w:val="auto"/>
              </w:rPr>
              <w:t>Sang Park</w:t>
            </w:r>
          </w:p>
        </w:tc>
      </w:tr>
      <w:tr>
        <w:trPr>
          <w:trHeight w:val="222"/>
        </w:trPr>
        <w:tc>
          <w:tcPr>
            <w:tcW w:w="3660" w:type="dxa"/>
            <w:vAlign w:val="bottom"/>
          </w:tcPr>
          <w:p>
            <w:pPr>
              <w:spacing w:after="0"/>
              <w:rPr>
                <w:sz w:val="19"/>
                <w:szCs w:val="19"/>
                <w:color w:val="auto"/>
              </w:rPr>
            </w:pPr>
          </w:p>
        </w:tc>
        <w:tc>
          <w:tcPr>
            <w:tcW w:w="2640" w:type="dxa"/>
            <w:vAlign w:val="bottom"/>
          </w:tcPr>
          <w:p>
            <w:pPr>
              <w:spacing w:after="0"/>
              <w:rPr>
                <w:sz w:val="19"/>
                <w:szCs w:val="19"/>
                <w:color w:val="auto"/>
              </w:rPr>
            </w:pPr>
          </w:p>
        </w:tc>
        <w:tc>
          <w:tcPr>
            <w:tcW w:w="5120" w:type="dxa"/>
            <w:vAlign w:val="bottom"/>
          </w:tcPr>
          <w:p>
            <w:pPr>
              <w:ind w:left="100"/>
              <w:spacing w:after="0"/>
              <w:rPr>
                <w:sz w:val="20"/>
                <w:szCs w:val="20"/>
                <w:color w:val="auto"/>
              </w:rPr>
            </w:pPr>
            <w:r>
              <w:rPr>
                <w:rFonts w:ascii="Arial" w:cs="Arial" w:eastAsia="Arial" w:hAnsi="Arial"/>
                <w:sz w:val="18"/>
                <w:szCs w:val="18"/>
                <w:color w:val="auto"/>
              </w:rPr>
              <w:t>Chief Executive Officer and President</w:t>
            </w:r>
          </w:p>
        </w:tc>
      </w:tr>
      <w:tr>
        <w:trPr>
          <w:trHeight w:val="636"/>
        </w:trPr>
        <w:tc>
          <w:tcPr>
            <w:tcW w:w="3660" w:type="dxa"/>
            <w:vAlign w:val="bottom"/>
          </w:tcPr>
          <w:p>
            <w:pPr>
              <w:spacing w:after="0"/>
              <w:rPr>
                <w:sz w:val="20"/>
                <w:szCs w:val="20"/>
                <w:color w:val="auto"/>
              </w:rPr>
            </w:pPr>
            <w:r>
              <w:rPr>
                <w:rFonts w:ascii="Arial" w:cs="Arial" w:eastAsia="Arial" w:hAnsi="Arial"/>
                <w:sz w:val="18"/>
                <w:szCs w:val="18"/>
                <w:color w:val="auto"/>
              </w:rPr>
              <w:t>Dated: August 14, 2006</w:t>
            </w:r>
          </w:p>
        </w:tc>
        <w:tc>
          <w:tcPr>
            <w:tcW w:w="7760" w:type="dxa"/>
            <w:vAlign w:val="bottom"/>
            <w:gridSpan w:val="2"/>
          </w:tcPr>
          <w:p>
            <w:pPr>
              <w:ind w:left="2380"/>
              <w:spacing w:after="0"/>
              <w:rPr>
                <w:sz w:val="20"/>
                <w:szCs w:val="20"/>
                <w:color w:val="auto"/>
              </w:rPr>
            </w:pPr>
            <w:r>
              <w:rPr>
                <w:rFonts w:ascii="Arial" w:cs="Arial" w:eastAsia="Arial" w:hAnsi="Arial"/>
                <w:sz w:val="18"/>
                <w:szCs w:val="18"/>
                <w:color w:val="auto"/>
              </w:rPr>
              <w:t>By:  /s/ Robert J. Krakauer</w:t>
            </w:r>
          </w:p>
        </w:tc>
      </w:tr>
      <w:tr>
        <w:trPr>
          <w:trHeight w:val="202"/>
        </w:trPr>
        <w:tc>
          <w:tcPr>
            <w:tcW w:w="3660" w:type="dxa"/>
            <w:vAlign w:val="bottom"/>
          </w:tcPr>
          <w:p>
            <w:pPr>
              <w:spacing w:after="0"/>
              <w:rPr>
                <w:sz w:val="17"/>
                <w:szCs w:val="17"/>
                <w:color w:val="auto"/>
              </w:rPr>
            </w:pPr>
          </w:p>
        </w:tc>
        <w:tc>
          <w:tcPr>
            <w:tcW w:w="2640" w:type="dxa"/>
            <w:vAlign w:val="bottom"/>
          </w:tcPr>
          <w:p>
            <w:pPr>
              <w:spacing w:after="0"/>
              <w:rPr>
                <w:sz w:val="17"/>
                <w:szCs w:val="17"/>
                <w:color w:val="auto"/>
              </w:rPr>
            </w:pPr>
          </w:p>
        </w:tc>
        <w:tc>
          <w:tcPr>
            <w:tcW w:w="5120" w:type="dxa"/>
            <w:vAlign w:val="bottom"/>
            <w:tcBorders>
              <w:top w:val="single" w:sz="8" w:color="auto"/>
            </w:tcBorders>
          </w:tcPr>
          <w:p>
            <w:pPr>
              <w:ind w:left="100"/>
              <w:spacing w:after="0" w:line="202" w:lineRule="exact"/>
              <w:rPr>
                <w:sz w:val="20"/>
                <w:szCs w:val="20"/>
                <w:color w:val="auto"/>
              </w:rPr>
            </w:pPr>
            <w:r>
              <w:rPr>
                <w:rFonts w:ascii="Arial" w:cs="Arial" w:eastAsia="Arial" w:hAnsi="Arial"/>
                <w:sz w:val="18"/>
                <w:szCs w:val="18"/>
                <w:color w:val="auto"/>
              </w:rPr>
              <w:t>Robert J. Krakauer</w:t>
            </w:r>
          </w:p>
        </w:tc>
      </w:tr>
      <w:tr>
        <w:trPr>
          <w:trHeight w:val="216"/>
        </w:trPr>
        <w:tc>
          <w:tcPr>
            <w:tcW w:w="3660" w:type="dxa"/>
            <w:vAlign w:val="bottom"/>
          </w:tcPr>
          <w:p>
            <w:pPr>
              <w:spacing w:after="0"/>
              <w:rPr>
                <w:sz w:val="18"/>
                <w:szCs w:val="18"/>
                <w:color w:val="auto"/>
              </w:rPr>
            </w:pPr>
          </w:p>
        </w:tc>
        <w:tc>
          <w:tcPr>
            <w:tcW w:w="2640" w:type="dxa"/>
            <w:vAlign w:val="bottom"/>
          </w:tcPr>
          <w:p>
            <w:pPr>
              <w:spacing w:after="0"/>
              <w:rPr>
                <w:sz w:val="18"/>
                <w:szCs w:val="18"/>
                <w:color w:val="auto"/>
              </w:rPr>
            </w:pPr>
          </w:p>
        </w:tc>
        <w:tc>
          <w:tcPr>
            <w:tcW w:w="5120" w:type="dxa"/>
            <w:vAlign w:val="bottom"/>
          </w:tcPr>
          <w:p>
            <w:pPr>
              <w:ind w:left="100"/>
              <w:spacing w:after="0"/>
              <w:rPr>
                <w:sz w:val="20"/>
                <w:szCs w:val="20"/>
                <w:color w:val="auto"/>
              </w:rPr>
            </w:pPr>
            <w:r>
              <w:rPr>
                <w:rFonts w:ascii="Arial" w:cs="Arial" w:eastAsia="Arial" w:hAnsi="Arial"/>
                <w:sz w:val="18"/>
                <w:szCs w:val="18"/>
                <w:color w:val="auto"/>
              </w:rPr>
              <w:t>Executive Vice President, Corporate Operations,</w:t>
            </w:r>
          </w:p>
        </w:tc>
      </w:tr>
      <w:tr>
        <w:trPr>
          <w:trHeight w:val="222"/>
        </w:trPr>
        <w:tc>
          <w:tcPr>
            <w:tcW w:w="3660" w:type="dxa"/>
            <w:vAlign w:val="bottom"/>
          </w:tcPr>
          <w:p>
            <w:pPr>
              <w:spacing w:after="0"/>
              <w:rPr>
                <w:sz w:val="19"/>
                <w:szCs w:val="19"/>
                <w:color w:val="auto"/>
              </w:rPr>
            </w:pPr>
          </w:p>
        </w:tc>
        <w:tc>
          <w:tcPr>
            <w:tcW w:w="2640" w:type="dxa"/>
            <w:vAlign w:val="bottom"/>
          </w:tcPr>
          <w:p>
            <w:pPr>
              <w:spacing w:after="0"/>
              <w:rPr>
                <w:sz w:val="19"/>
                <w:szCs w:val="19"/>
                <w:color w:val="auto"/>
              </w:rPr>
            </w:pPr>
          </w:p>
        </w:tc>
        <w:tc>
          <w:tcPr>
            <w:tcW w:w="5120" w:type="dxa"/>
            <w:vAlign w:val="bottom"/>
          </w:tcPr>
          <w:p>
            <w:pPr>
              <w:ind w:left="100"/>
              <w:spacing w:after="0"/>
              <w:rPr>
                <w:sz w:val="20"/>
                <w:szCs w:val="20"/>
                <w:color w:val="auto"/>
              </w:rPr>
            </w:pPr>
            <w:r>
              <w:rPr>
                <w:rFonts w:ascii="Arial" w:cs="Arial" w:eastAsia="Arial" w:hAnsi="Arial"/>
                <w:sz w:val="18"/>
                <w:szCs w:val="18"/>
                <w:color w:val="auto"/>
              </w:rPr>
              <w:t>and Chief Financial Officer</w:t>
            </w:r>
          </w:p>
        </w:tc>
      </w:tr>
      <w:tr>
        <w:trPr>
          <w:trHeight w:val="378"/>
        </w:trPr>
        <w:tc>
          <w:tcPr>
            <w:tcW w:w="3660" w:type="dxa"/>
            <w:vAlign w:val="bottom"/>
          </w:tcPr>
          <w:p>
            <w:pPr>
              <w:spacing w:after="0"/>
              <w:rPr>
                <w:sz w:val="24"/>
                <w:szCs w:val="24"/>
                <w:color w:val="auto"/>
              </w:rPr>
            </w:pPr>
          </w:p>
        </w:tc>
        <w:tc>
          <w:tcPr>
            <w:tcW w:w="2640" w:type="dxa"/>
            <w:vAlign w:val="bottom"/>
          </w:tcPr>
          <w:p>
            <w:pPr>
              <w:jc w:val="right"/>
              <w:ind w:right="412"/>
              <w:spacing w:after="0"/>
              <w:rPr>
                <w:sz w:val="20"/>
                <w:szCs w:val="20"/>
                <w:color w:val="auto"/>
              </w:rPr>
            </w:pPr>
            <w:r>
              <w:rPr>
                <w:rFonts w:ascii="Arial" w:cs="Arial" w:eastAsia="Arial" w:hAnsi="Arial"/>
                <w:sz w:val="18"/>
                <w:szCs w:val="18"/>
                <w:color w:val="auto"/>
              </w:rPr>
              <w:t>39</w:t>
            </w:r>
          </w:p>
        </w:tc>
        <w:tc>
          <w:tcPr>
            <w:tcW w:w="512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9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9380" w:type="dxa"/>
            <w:vAlign w:val="bottom"/>
          </w:tcPr>
          <w:p>
            <w:pPr>
              <w:ind w:left="2840"/>
              <w:spacing w:after="0"/>
              <w:rPr>
                <w:sz w:val="20"/>
                <w:szCs w:val="20"/>
                <w:color w:val="auto"/>
              </w:rPr>
            </w:pPr>
            <w:r>
              <w:rPr>
                <w:rFonts w:ascii="Arial" w:cs="Arial" w:eastAsia="Arial" w:hAnsi="Arial"/>
                <w:sz w:val="18"/>
                <w:szCs w:val="18"/>
                <w:color w:val="auto"/>
              </w:rPr>
              <w:t>INDEX TO EXHIBITS</w:t>
            </w:r>
          </w:p>
        </w:tc>
      </w:tr>
      <w:tr>
        <w:trPr>
          <w:trHeight w:val="367"/>
        </w:trPr>
        <w:tc>
          <w:tcPr>
            <w:tcW w:w="960" w:type="dxa"/>
            <w:vAlign w:val="bottom"/>
          </w:tcPr>
          <w:p>
            <w:pPr>
              <w:ind w:left="20"/>
              <w:spacing w:after="0"/>
              <w:rPr>
                <w:sz w:val="20"/>
                <w:szCs w:val="20"/>
                <w:color w:val="auto"/>
              </w:rPr>
            </w:pPr>
            <w:r>
              <w:rPr>
                <w:rFonts w:ascii="Arial" w:cs="Arial" w:eastAsia="Arial" w:hAnsi="Arial"/>
                <w:sz w:val="14"/>
                <w:szCs w:val="14"/>
                <w:b w:val="1"/>
                <w:bCs w:val="1"/>
                <w:color w:val="auto"/>
                <w:w w:val="88"/>
              </w:rPr>
              <w:t>Exhibit Number</w:t>
            </w:r>
          </w:p>
        </w:tc>
        <w:tc>
          <w:tcPr>
            <w:tcW w:w="10460" w:type="dxa"/>
            <w:vAlign w:val="bottom"/>
            <w:gridSpan w:val="2"/>
          </w:tcPr>
          <w:p>
            <w:pPr>
              <w:ind w:left="1080"/>
              <w:spacing w:after="0"/>
              <w:rPr>
                <w:sz w:val="20"/>
                <w:szCs w:val="20"/>
                <w:color w:val="auto"/>
              </w:rPr>
            </w:pPr>
            <w:r>
              <w:rPr>
                <w:rFonts w:ascii="Arial" w:cs="Arial" w:eastAsia="Arial" w:hAnsi="Arial"/>
                <w:sz w:val="14"/>
                <w:szCs w:val="14"/>
                <w:b w:val="1"/>
                <w:bCs w:val="1"/>
                <w:color w:val="auto"/>
              </w:rPr>
              <w:t>Description</w:t>
            </w:r>
          </w:p>
        </w:tc>
      </w:tr>
      <w:tr>
        <w:trPr>
          <w:trHeight w:val="20"/>
        </w:trPr>
        <w:tc>
          <w:tcPr>
            <w:tcW w:w="960" w:type="dxa"/>
            <w:vAlign w:val="bottom"/>
            <w:shd w:val="clear" w:color="auto" w:fill="000000"/>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9380" w:type="dxa"/>
            <w:vAlign w:val="bottom"/>
            <w:shd w:val="clear" w:color="auto" w:fill="000000"/>
          </w:tcPr>
          <w:p>
            <w:pPr>
              <w:spacing w:after="0" w:line="20" w:lineRule="exact"/>
              <w:rPr>
                <w:sz w:val="1"/>
                <w:szCs w:val="1"/>
                <w:color w:val="auto"/>
              </w:rPr>
            </w:pPr>
          </w:p>
        </w:tc>
      </w:tr>
      <w:tr>
        <w:trPr>
          <w:trHeight w:val="309"/>
        </w:trPr>
        <w:tc>
          <w:tcPr>
            <w:tcW w:w="960" w:type="dxa"/>
            <w:vAlign w:val="bottom"/>
          </w:tcPr>
          <w:p>
            <w:pPr>
              <w:ind w:left="260"/>
              <w:spacing w:after="0"/>
              <w:rPr>
                <w:sz w:val="20"/>
                <w:szCs w:val="20"/>
                <w:color w:val="auto"/>
              </w:rPr>
            </w:pPr>
            <w:r>
              <w:rPr>
                <w:rFonts w:ascii="Arial" w:cs="Arial" w:eastAsia="Arial" w:hAnsi="Arial"/>
                <w:sz w:val="18"/>
                <w:szCs w:val="18"/>
                <w:color w:val="auto"/>
              </w:rPr>
              <w:t>10.3.d</w:t>
            </w:r>
          </w:p>
        </w:tc>
        <w:tc>
          <w:tcPr>
            <w:tcW w:w="10460" w:type="dxa"/>
            <w:vAlign w:val="bottom"/>
            <w:gridSpan w:val="2"/>
          </w:tcPr>
          <w:p>
            <w:pPr>
              <w:ind w:left="1080"/>
              <w:spacing w:after="0"/>
              <w:rPr>
                <w:sz w:val="20"/>
                <w:szCs w:val="20"/>
                <w:color w:val="auto"/>
              </w:rPr>
            </w:pPr>
            <w:r>
              <w:rPr>
                <w:rFonts w:ascii="Arial" w:cs="Arial" w:eastAsia="Arial" w:hAnsi="Arial"/>
                <w:sz w:val="18"/>
                <w:szCs w:val="18"/>
                <w:color w:val="auto"/>
                <w:w w:val="89"/>
              </w:rPr>
              <w:t>Fourth Amendment to Credit Agreement, dated as of July 26, 2006, by and among MagnaChip Semiconductor S.A. and MagnaChip</w:t>
            </w:r>
          </w:p>
        </w:tc>
      </w:tr>
      <w:tr>
        <w:trPr>
          <w:trHeight w:val="216"/>
        </w:trPr>
        <w:tc>
          <w:tcPr>
            <w:tcW w:w="960" w:type="dxa"/>
            <w:vAlign w:val="bottom"/>
          </w:tcPr>
          <w:p>
            <w:pPr>
              <w:spacing w:after="0"/>
              <w:rPr>
                <w:sz w:val="18"/>
                <w:szCs w:val="18"/>
                <w:color w:val="auto"/>
              </w:rPr>
            </w:pPr>
          </w:p>
        </w:tc>
        <w:tc>
          <w:tcPr>
            <w:tcW w:w="10460" w:type="dxa"/>
            <w:vAlign w:val="bottom"/>
            <w:gridSpan w:val="2"/>
          </w:tcPr>
          <w:p>
            <w:pPr>
              <w:ind w:left="1080"/>
              <w:spacing w:after="0"/>
              <w:rPr>
                <w:sz w:val="20"/>
                <w:szCs w:val="20"/>
                <w:color w:val="auto"/>
              </w:rPr>
            </w:pPr>
            <w:r>
              <w:rPr>
                <w:rFonts w:ascii="Arial" w:cs="Arial" w:eastAsia="Arial" w:hAnsi="Arial"/>
                <w:sz w:val="18"/>
                <w:szCs w:val="18"/>
                <w:color w:val="auto"/>
                <w:w w:val="92"/>
              </w:rPr>
              <w:t>Semiconductor Finance Company, as borrowers, MagnaChip Semiconductor LLC, the Subsidiary Guarantors party thereto, the</w:t>
            </w:r>
          </w:p>
        </w:tc>
      </w:tr>
      <w:tr>
        <w:trPr>
          <w:trHeight w:val="216"/>
        </w:trPr>
        <w:tc>
          <w:tcPr>
            <w:tcW w:w="960" w:type="dxa"/>
            <w:vAlign w:val="bottom"/>
          </w:tcPr>
          <w:p>
            <w:pPr>
              <w:spacing w:after="0"/>
              <w:rPr>
                <w:sz w:val="18"/>
                <w:szCs w:val="18"/>
                <w:color w:val="auto"/>
              </w:rPr>
            </w:pPr>
          </w:p>
        </w:tc>
        <w:tc>
          <w:tcPr>
            <w:tcW w:w="10460" w:type="dxa"/>
            <w:vAlign w:val="bottom"/>
            <w:gridSpan w:val="2"/>
          </w:tcPr>
          <w:p>
            <w:pPr>
              <w:ind w:left="1080"/>
              <w:spacing w:after="0"/>
              <w:rPr>
                <w:sz w:val="20"/>
                <w:szCs w:val="20"/>
                <w:color w:val="auto"/>
              </w:rPr>
            </w:pPr>
            <w:r>
              <w:rPr>
                <w:rFonts w:ascii="Arial" w:cs="Arial" w:eastAsia="Arial" w:hAnsi="Arial"/>
                <w:sz w:val="18"/>
                <w:szCs w:val="18"/>
                <w:color w:val="auto"/>
                <w:w w:val="98"/>
              </w:rPr>
              <w:t>Lenders party thereto, UBS AG, Stamford Branch, as administrative agent and collateral agent, and U.S. Bank National</w:t>
            </w:r>
          </w:p>
        </w:tc>
      </w:tr>
      <w:tr>
        <w:trPr>
          <w:trHeight w:val="222"/>
        </w:trPr>
        <w:tc>
          <w:tcPr>
            <w:tcW w:w="960" w:type="dxa"/>
            <w:vAlign w:val="bottom"/>
          </w:tcPr>
          <w:p>
            <w:pPr>
              <w:spacing w:after="0"/>
              <w:rPr>
                <w:sz w:val="19"/>
                <w:szCs w:val="19"/>
                <w:color w:val="auto"/>
              </w:rPr>
            </w:pPr>
          </w:p>
        </w:tc>
        <w:tc>
          <w:tcPr>
            <w:tcW w:w="10460" w:type="dxa"/>
            <w:vAlign w:val="bottom"/>
            <w:gridSpan w:val="2"/>
          </w:tcPr>
          <w:p>
            <w:pPr>
              <w:ind w:left="1080"/>
              <w:spacing w:after="0"/>
              <w:rPr>
                <w:sz w:val="20"/>
                <w:szCs w:val="20"/>
                <w:color w:val="auto"/>
              </w:rPr>
            </w:pPr>
            <w:r>
              <w:rPr>
                <w:rFonts w:ascii="Arial" w:cs="Arial" w:eastAsia="Arial" w:hAnsi="Arial"/>
                <w:sz w:val="18"/>
                <w:szCs w:val="18"/>
                <w:color w:val="auto"/>
              </w:rPr>
              <w:t>Association.*</w:t>
            </w:r>
          </w:p>
        </w:tc>
      </w:tr>
      <w:tr>
        <w:trPr>
          <w:trHeight w:val="324"/>
        </w:trPr>
        <w:tc>
          <w:tcPr>
            <w:tcW w:w="960" w:type="dxa"/>
            <w:vAlign w:val="bottom"/>
          </w:tcPr>
          <w:p>
            <w:pPr>
              <w:ind w:left="260"/>
              <w:spacing w:after="0"/>
              <w:rPr>
                <w:sz w:val="20"/>
                <w:szCs w:val="20"/>
                <w:color w:val="auto"/>
              </w:rPr>
            </w:pPr>
            <w:r>
              <w:rPr>
                <w:rFonts w:ascii="Arial" w:cs="Arial" w:eastAsia="Arial" w:hAnsi="Arial"/>
                <w:sz w:val="18"/>
                <w:szCs w:val="18"/>
                <w:color w:val="auto"/>
              </w:rPr>
              <w:t>10.36</w:t>
            </w:r>
          </w:p>
        </w:tc>
        <w:tc>
          <w:tcPr>
            <w:tcW w:w="10460" w:type="dxa"/>
            <w:vAlign w:val="bottom"/>
            <w:gridSpan w:val="2"/>
          </w:tcPr>
          <w:p>
            <w:pPr>
              <w:ind w:left="1080"/>
              <w:spacing w:after="0"/>
              <w:rPr>
                <w:sz w:val="20"/>
                <w:szCs w:val="20"/>
                <w:color w:val="auto"/>
              </w:rPr>
            </w:pPr>
            <w:r>
              <w:rPr>
                <w:rFonts w:ascii="Arial" w:cs="Arial" w:eastAsia="Arial" w:hAnsi="Arial"/>
                <w:sz w:val="18"/>
                <w:szCs w:val="18"/>
                <w:color w:val="auto"/>
                <w:w w:val="96"/>
              </w:rPr>
              <w:t>Service Agreement, dated as of May 27, 2006, by and between MagnaChip Semiconductor, Ltd. (Korea) and Sang Park.#</w:t>
            </w:r>
          </w:p>
        </w:tc>
      </w:tr>
      <w:tr>
        <w:trPr>
          <w:trHeight w:val="324"/>
        </w:trPr>
        <w:tc>
          <w:tcPr>
            <w:tcW w:w="960" w:type="dxa"/>
            <w:vAlign w:val="bottom"/>
          </w:tcPr>
          <w:p>
            <w:pPr>
              <w:ind w:left="260"/>
              <w:spacing w:after="0"/>
              <w:rPr>
                <w:sz w:val="20"/>
                <w:szCs w:val="20"/>
                <w:color w:val="auto"/>
              </w:rPr>
            </w:pPr>
            <w:r>
              <w:rPr>
                <w:rFonts w:ascii="Arial" w:cs="Arial" w:eastAsia="Arial" w:hAnsi="Arial"/>
                <w:sz w:val="18"/>
                <w:szCs w:val="18"/>
                <w:color w:val="auto"/>
              </w:rPr>
              <w:t>31.1</w:t>
            </w:r>
          </w:p>
        </w:tc>
        <w:tc>
          <w:tcPr>
            <w:tcW w:w="10460" w:type="dxa"/>
            <w:vAlign w:val="bottom"/>
            <w:gridSpan w:val="2"/>
          </w:tcPr>
          <w:p>
            <w:pPr>
              <w:ind w:left="1080"/>
              <w:spacing w:after="0"/>
              <w:rPr>
                <w:sz w:val="20"/>
                <w:szCs w:val="20"/>
                <w:color w:val="auto"/>
              </w:rPr>
            </w:pPr>
            <w:r>
              <w:rPr>
                <w:rFonts w:ascii="Arial" w:cs="Arial" w:eastAsia="Arial" w:hAnsi="Arial"/>
                <w:sz w:val="18"/>
                <w:szCs w:val="18"/>
                <w:color w:val="auto"/>
                <w:w w:val="91"/>
              </w:rPr>
              <w:t>Certification pursuant to Rule 13a-14(a) or Rule 15d-14(a) of the Securities Exchange Act of 1934 of the Chief Executive Officer.</w:t>
            </w:r>
          </w:p>
        </w:tc>
      </w:tr>
      <w:tr>
        <w:trPr>
          <w:trHeight w:val="324"/>
        </w:trPr>
        <w:tc>
          <w:tcPr>
            <w:tcW w:w="960" w:type="dxa"/>
            <w:vAlign w:val="bottom"/>
          </w:tcPr>
          <w:p>
            <w:pPr>
              <w:ind w:left="260"/>
              <w:spacing w:after="0"/>
              <w:rPr>
                <w:sz w:val="20"/>
                <w:szCs w:val="20"/>
                <w:color w:val="auto"/>
              </w:rPr>
            </w:pPr>
            <w:r>
              <w:rPr>
                <w:rFonts w:ascii="Arial" w:cs="Arial" w:eastAsia="Arial" w:hAnsi="Arial"/>
                <w:sz w:val="18"/>
                <w:szCs w:val="18"/>
                <w:color w:val="auto"/>
              </w:rPr>
              <w:t>31.2</w:t>
            </w:r>
          </w:p>
        </w:tc>
        <w:tc>
          <w:tcPr>
            <w:tcW w:w="10460" w:type="dxa"/>
            <w:vAlign w:val="bottom"/>
            <w:gridSpan w:val="2"/>
          </w:tcPr>
          <w:p>
            <w:pPr>
              <w:ind w:left="1080"/>
              <w:spacing w:after="0"/>
              <w:rPr>
                <w:sz w:val="20"/>
                <w:szCs w:val="20"/>
                <w:color w:val="auto"/>
              </w:rPr>
            </w:pPr>
            <w:r>
              <w:rPr>
                <w:rFonts w:ascii="Arial" w:cs="Arial" w:eastAsia="Arial" w:hAnsi="Arial"/>
                <w:sz w:val="18"/>
                <w:szCs w:val="18"/>
                <w:color w:val="auto"/>
                <w:w w:val="92"/>
              </w:rPr>
              <w:t>Certification pursuant to Rule 13a-14(a) or Rule 15d-14(a) of the Securities Exchange Act of 1934 of the Chief Financial Officer.</w:t>
            </w:r>
          </w:p>
        </w:tc>
      </w:tr>
      <w:tr>
        <w:trPr>
          <w:trHeight w:val="318"/>
        </w:trPr>
        <w:tc>
          <w:tcPr>
            <w:tcW w:w="960" w:type="dxa"/>
            <w:vAlign w:val="bottom"/>
          </w:tcPr>
          <w:p>
            <w:pPr>
              <w:ind w:left="260"/>
              <w:spacing w:after="0"/>
              <w:rPr>
                <w:sz w:val="20"/>
                <w:szCs w:val="20"/>
                <w:color w:val="auto"/>
              </w:rPr>
            </w:pPr>
            <w:r>
              <w:rPr>
                <w:rFonts w:ascii="Arial" w:cs="Arial" w:eastAsia="Arial" w:hAnsi="Arial"/>
                <w:sz w:val="18"/>
                <w:szCs w:val="18"/>
                <w:color w:val="auto"/>
              </w:rPr>
              <w:t>32.1</w:t>
            </w:r>
          </w:p>
        </w:tc>
        <w:tc>
          <w:tcPr>
            <w:tcW w:w="10460" w:type="dxa"/>
            <w:vAlign w:val="bottom"/>
            <w:gridSpan w:val="2"/>
          </w:tcPr>
          <w:p>
            <w:pPr>
              <w:ind w:left="1080"/>
              <w:spacing w:after="0"/>
              <w:rPr>
                <w:sz w:val="20"/>
                <w:szCs w:val="20"/>
                <w:color w:val="auto"/>
              </w:rPr>
            </w:pPr>
            <w:r>
              <w:rPr>
                <w:rFonts w:ascii="Arial" w:cs="Arial" w:eastAsia="Arial" w:hAnsi="Arial"/>
                <w:sz w:val="18"/>
                <w:szCs w:val="18"/>
                <w:color w:val="auto"/>
                <w:w w:val="88"/>
              </w:rPr>
              <w:t>Certification pursuant to 18 U.S.C. Section 1350, as adopted pursuant to Section 906 of the Sarbanes-Oxley Act of 2002, of the Chief</w:t>
            </w:r>
          </w:p>
        </w:tc>
      </w:tr>
      <w:tr>
        <w:trPr>
          <w:trHeight w:val="222"/>
        </w:trPr>
        <w:tc>
          <w:tcPr>
            <w:tcW w:w="960" w:type="dxa"/>
            <w:vAlign w:val="bottom"/>
          </w:tcPr>
          <w:p>
            <w:pPr>
              <w:spacing w:after="0"/>
              <w:rPr>
                <w:sz w:val="19"/>
                <w:szCs w:val="19"/>
                <w:color w:val="auto"/>
              </w:rPr>
            </w:pPr>
          </w:p>
        </w:tc>
        <w:tc>
          <w:tcPr>
            <w:tcW w:w="10460" w:type="dxa"/>
            <w:vAlign w:val="bottom"/>
            <w:gridSpan w:val="2"/>
          </w:tcPr>
          <w:p>
            <w:pPr>
              <w:ind w:left="1080"/>
              <w:spacing w:after="0"/>
              <w:rPr>
                <w:sz w:val="20"/>
                <w:szCs w:val="20"/>
                <w:color w:val="auto"/>
              </w:rPr>
            </w:pPr>
            <w:r>
              <w:rPr>
                <w:rFonts w:ascii="Arial" w:cs="Arial" w:eastAsia="Arial" w:hAnsi="Arial"/>
                <w:sz w:val="18"/>
                <w:szCs w:val="18"/>
                <w:color w:val="auto"/>
              </w:rPr>
              <w:t>Executive Officer.</w:t>
            </w:r>
          </w:p>
        </w:tc>
      </w:tr>
      <w:tr>
        <w:trPr>
          <w:trHeight w:val="318"/>
        </w:trPr>
        <w:tc>
          <w:tcPr>
            <w:tcW w:w="960" w:type="dxa"/>
            <w:vAlign w:val="bottom"/>
          </w:tcPr>
          <w:p>
            <w:pPr>
              <w:ind w:left="260"/>
              <w:spacing w:after="0"/>
              <w:rPr>
                <w:sz w:val="20"/>
                <w:szCs w:val="20"/>
                <w:color w:val="auto"/>
              </w:rPr>
            </w:pPr>
            <w:r>
              <w:rPr>
                <w:rFonts w:ascii="Arial" w:cs="Arial" w:eastAsia="Arial" w:hAnsi="Arial"/>
                <w:sz w:val="18"/>
                <w:szCs w:val="18"/>
                <w:color w:val="auto"/>
              </w:rPr>
              <w:t>32.2</w:t>
            </w:r>
          </w:p>
        </w:tc>
        <w:tc>
          <w:tcPr>
            <w:tcW w:w="10460" w:type="dxa"/>
            <w:vAlign w:val="bottom"/>
            <w:gridSpan w:val="2"/>
          </w:tcPr>
          <w:p>
            <w:pPr>
              <w:ind w:left="1080"/>
              <w:spacing w:after="0"/>
              <w:rPr>
                <w:sz w:val="20"/>
                <w:szCs w:val="20"/>
                <w:color w:val="auto"/>
              </w:rPr>
            </w:pPr>
            <w:r>
              <w:rPr>
                <w:rFonts w:ascii="Arial" w:cs="Arial" w:eastAsia="Arial" w:hAnsi="Arial"/>
                <w:sz w:val="18"/>
                <w:szCs w:val="18"/>
                <w:color w:val="auto"/>
                <w:w w:val="88"/>
              </w:rPr>
              <w:t>Certification pursuant to 18 U.S.C. Section 1350, as adopted pursuant to Section 906 of the Sarbanes-Oxley Act of 2002, of the Chief</w:t>
            </w:r>
          </w:p>
        </w:tc>
      </w:tr>
      <w:tr>
        <w:trPr>
          <w:trHeight w:val="222"/>
        </w:trPr>
        <w:tc>
          <w:tcPr>
            <w:tcW w:w="960" w:type="dxa"/>
            <w:vAlign w:val="bottom"/>
          </w:tcPr>
          <w:p>
            <w:pPr>
              <w:spacing w:after="0"/>
              <w:rPr>
                <w:sz w:val="19"/>
                <w:szCs w:val="19"/>
                <w:color w:val="auto"/>
              </w:rPr>
            </w:pPr>
          </w:p>
        </w:tc>
        <w:tc>
          <w:tcPr>
            <w:tcW w:w="10460" w:type="dxa"/>
            <w:vAlign w:val="bottom"/>
            <w:gridSpan w:val="2"/>
          </w:tcPr>
          <w:p>
            <w:pPr>
              <w:ind w:left="1080"/>
              <w:spacing w:after="0"/>
              <w:rPr>
                <w:sz w:val="20"/>
                <w:szCs w:val="20"/>
                <w:color w:val="auto"/>
              </w:rPr>
            </w:pPr>
            <w:r>
              <w:rPr>
                <w:rFonts w:ascii="Arial" w:cs="Arial" w:eastAsia="Arial" w:hAnsi="Arial"/>
                <w:sz w:val="18"/>
                <w:szCs w:val="18"/>
                <w:color w:val="auto"/>
              </w:rPr>
              <w:t>Financial Officer.</w:t>
            </w:r>
          </w:p>
        </w:tc>
      </w:tr>
    </w:tbl>
    <w:p>
      <w:pPr>
        <w:spacing w:after="0" w:line="75" w:lineRule="exact"/>
        <w:rPr>
          <w:sz w:val="20"/>
          <w:szCs w:val="20"/>
          <w:color w:val="auto"/>
        </w:rPr>
      </w:pPr>
    </w:p>
    <w:p>
      <w:pPr>
        <w:ind w:left="460" w:right="20" w:hanging="452"/>
        <w:spacing w:after="0" w:line="268" w:lineRule="auto"/>
        <w:tabs>
          <w:tab w:leader="none" w:pos="4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Incorporated by reference to an identically numbered exhibit filed in response to Item 1.01, “Entry into a Material Definitive Agreement,” of the company’s Current Report on Form 8-K dated July 25, 2006 (File No. 333-126019-09).</w:t>
      </w:r>
    </w:p>
    <w:p>
      <w:pPr>
        <w:spacing w:after="0" w:line="51" w:lineRule="exact"/>
        <w:rPr>
          <w:sz w:val="20"/>
          <w:szCs w:val="20"/>
          <w:color w:val="auto"/>
        </w:rPr>
      </w:pPr>
    </w:p>
    <w:p>
      <w:pPr>
        <w:ind w:left="460" w:right="20" w:hanging="452"/>
        <w:spacing w:after="0" w:line="268" w:lineRule="auto"/>
        <w:tabs>
          <w:tab w:leader="none" w:pos="4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Incorporated by reference to an identically numbered exhibit filed in response to Item 1.01, “Entry into a Material Definitive Agreement,” of the company’s Current Report on Form 8-K dated May 27, 2006 (File No. 333-126019-09).</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20"/>
          </w:cols>
          <w:pgMar w:left="240" w:top="459" w:right="239" w:bottom="1440" w:gutter="0" w:footer="0" w:header="0"/>
        </w:sectPr>
      </w:pPr>
    </w:p>
    <w:bookmarkStart w:id="40" w:name="page41"/>
    <w:bookmarkEnd w:id="40"/>
    <w:p>
      <w:pPr>
        <w:jc w:val="right"/>
        <w:spacing w:after="0"/>
        <w:rPr>
          <w:sz w:val="20"/>
          <w:szCs w:val="20"/>
          <w:color w:val="auto"/>
        </w:rPr>
      </w:pPr>
      <w:r>
        <w:rPr>
          <w:rFonts w:ascii="Arial" w:cs="Arial" w:eastAsia="Arial" w:hAnsi="Arial"/>
          <w:sz w:val="18"/>
          <w:szCs w:val="18"/>
          <w:b w:val="1"/>
          <w:bCs w:val="1"/>
          <w:color w:val="auto"/>
        </w:rPr>
        <w:t>Exhibit 31.1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CERTIFICATION BY CHIEF EXECUTIVE OFFICER</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I, Sang Park, certify that:</w:t>
      </w:r>
    </w:p>
    <w:p>
      <w:pPr>
        <w:spacing w:after="0" w:line="171" w:lineRule="exact"/>
        <w:rPr>
          <w:sz w:val="20"/>
          <w:szCs w:val="20"/>
          <w:color w:val="auto"/>
        </w:rPr>
      </w:pPr>
    </w:p>
    <w:p>
      <w:pPr>
        <w:ind w:left="180" w:hanging="172"/>
        <w:spacing w:after="0"/>
        <w:tabs>
          <w:tab w:leader="none" w:pos="1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MagnaChip Semiconductor LLC;</w:t>
      </w:r>
    </w:p>
    <w:p>
      <w:pPr>
        <w:spacing w:after="0" w:line="171" w:lineRule="exact"/>
        <w:rPr>
          <w:rFonts w:ascii="Arial" w:cs="Arial" w:eastAsia="Arial" w:hAnsi="Arial"/>
          <w:sz w:val="18"/>
          <w:szCs w:val="18"/>
          <w:color w:val="auto"/>
        </w:rPr>
      </w:pPr>
    </w:p>
    <w:p>
      <w:pPr>
        <w:ind w:right="240" w:firstLine="8"/>
        <w:spacing w:after="0" w:line="332" w:lineRule="auto"/>
        <w:tabs>
          <w:tab w:leader="none" w:pos="176" w:val="left"/>
        </w:tabs>
        <w:numPr>
          <w:ilvl w:val="0"/>
          <w:numId w:val="12"/>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5" w:lineRule="exact"/>
        <w:rPr>
          <w:rFonts w:ascii="Arial" w:cs="Arial" w:eastAsia="Arial" w:hAnsi="Arial"/>
          <w:sz w:val="16"/>
          <w:szCs w:val="16"/>
          <w:color w:val="auto"/>
        </w:rPr>
      </w:pPr>
    </w:p>
    <w:p>
      <w:pPr>
        <w:ind w:right="320" w:firstLine="8"/>
        <w:spacing w:after="0" w:line="268" w:lineRule="auto"/>
        <w:tabs>
          <w:tab w:leader="none" w:pos="176" w:val="left"/>
        </w:tabs>
        <w:numPr>
          <w:ilvl w:val="0"/>
          <w:numId w:val="12"/>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31" w:lineRule="exact"/>
        <w:rPr>
          <w:rFonts w:ascii="Arial" w:cs="Arial" w:eastAsia="Arial" w:hAnsi="Arial"/>
          <w:sz w:val="18"/>
          <w:szCs w:val="18"/>
          <w:color w:val="auto"/>
        </w:rPr>
      </w:pPr>
    </w:p>
    <w:p>
      <w:pPr>
        <w:ind w:firstLine="8"/>
        <w:spacing w:after="0" w:line="268" w:lineRule="auto"/>
        <w:tabs>
          <w:tab w:leader="none" w:pos="176"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for the registrant and have:</w:t>
      </w:r>
    </w:p>
    <w:p>
      <w:pPr>
        <w:spacing w:after="0" w:line="50" w:lineRule="exact"/>
        <w:rPr>
          <w:rFonts w:ascii="Arial" w:cs="Arial" w:eastAsia="Arial" w:hAnsi="Arial"/>
          <w:sz w:val="18"/>
          <w:szCs w:val="18"/>
          <w:color w:val="auto"/>
        </w:rPr>
      </w:pPr>
    </w:p>
    <w:p>
      <w:pPr>
        <w:ind w:left="460" w:right="120" w:firstLine="4"/>
        <w:spacing w:after="0" w:line="259" w:lineRule="auto"/>
        <w:tabs>
          <w:tab w:leader="none" w:pos="699" w:val="left"/>
        </w:tabs>
        <w:numPr>
          <w:ilvl w:val="1"/>
          <w:numId w:val="1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9" w:lineRule="exact"/>
        <w:rPr>
          <w:rFonts w:ascii="Arial" w:cs="Arial" w:eastAsia="Arial" w:hAnsi="Arial"/>
          <w:sz w:val="18"/>
          <w:szCs w:val="18"/>
          <w:color w:val="auto"/>
        </w:rPr>
      </w:pPr>
    </w:p>
    <w:p>
      <w:pPr>
        <w:ind w:left="460" w:right="120" w:firstLine="4"/>
        <w:spacing w:after="0" w:line="332" w:lineRule="auto"/>
        <w:tabs>
          <w:tab w:leader="none" w:pos="709" w:val="left"/>
        </w:tabs>
        <w:numPr>
          <w:ilvl w:val="1"/>
          <w:numId w:val="12"/>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 w:lineRule="exact"/>
        <w:rPr>
          <w:rFonts w:ascii="Arial" w:cs="Arial" w:eastAsia="Arial" w:hAnsi="Arial"/>
          <w:sz w:val="16"/>
          <w:szCs w:val="16"/>
          <w:color w:val="auto"/>
        </w:rPr>
      </w:pPr>
    </w:p>
    <w:p>
      <w:pPr>
        <w:jc w:val="both"/>
        <w:ind w:left="460" w:right="360" w:firstLine="4"/>
        <w:spacing w:after="0" w:line="259" w:lineRule="auto"/>
        <w:tabs>
          <w:tab w:leader="none" w:pos="699" w:val="left"/>
        </w:tabs>
        <w:numPr>
          <w:ilvl w:val="1"/>
          <w:numId w:val="1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140" w:lineRule="exact"/>
        <w:rPr>
          <w:rFonts w:ascii="Arial" w:cs="Arial" w:eastAsia="Arial" w:hAnsi="Arial"/>
          <w:sz w:val="18"/>
          <w:szCs w:val="18"/>
          <w:color w:val="auto"/>
        </w:rPr>
      </w:pPr>
    </w:p>
    <w:p>
      <w:pPr>
        <w:ind w:right="720" w:firstLine="8"/>
        <w:spacing w:after="0" w:line="332" w:lineRule="auto"/>
        <w:tabs>
          <w:tab w:leader="none" w:pos="176" w:val="left"/>
        </w:tabs>
        <w:numPr>
          <w:ilvl w:val="0"/>
          <w:numId w:val="12"/>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4" w:lineRule="exact"/>
        <w:rPr>
          <w:rFonts w:ascii="Arial" w:cs="Arial" w:eastAsia="Arial" w:hAnsi="Arial"/>
          <w:sz w:val="16"/>
          <w:szCs w:val="16"/>
          <w:color w:val="auto"/>
        </w:rPr>
      </w:pPr>
    </w:p>
    <w:p>
      <w:pPr>
        <w:ind w:left="460" w:right="80" w:firstLine="4"/>
        <w:spacing w:after="0" w:line="268" w:lineRule="auto"/>
        <w:tabs>
          <w:tab w:leader="none" w:pos="699" w:val="left"/>
        </w:tabs>
        <w:numPr>
          <w:ilvl w:val="1"/>
          <w:numId w:val="12"/>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0" w:lineRule="exact"/>
        <w:rPr>
          <w:rFonts w:ascii="Arial" w:cs="Arial" w:eastAsia="Arial" w:hAnsi="Arial"/>
          <w:sz w:val="18"/>
          <w:szCs w:val="18"/>
          <w:color w:val="auto"/>
        </w:rPr>
      </w:pPr>
    </w:p>
    <w:p>
      <w:pPr>
        <w:ind w:left="460" w:right="300" w:firstLine="4"/>
        <w:spacing w:after="0" w:line="268" w:lineRule="auto"/>
        <w:tabs>
          <w:tab w:leader="none" w:pos="709" w:val="left"/>
        </w:tabs>
        <w:numPr>
          <w:ilvl w:val="1"/>
          <w:numId w:val="1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Date: August 14, 2006</w:t>
      </w: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color w:val="auto"/>
        </w:rPr>
        <w:t>/s/ Sang Park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311277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3112770"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Sang Park</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Chief Executive Officer and President</w:t>
      </w:r>
    </w:p>
    <w:p>
      <w:pPr>
        <w:sectPr>
          <w:pgSz w:w="11900" w:h="16838" w:orient="portrait"/>
          <w:cols w:equalWidth="0" w:num="1">
            <w:col w:w="11420"/>
          </w:cols>
          <w:pgMar w:left="240" w:top="125" w:right="239" w:bottom="1440" w:gutter="0" w:footer="0" w:header="0"/>
        </w:sectPr>
      </w:pPr>
    </w:p>
    <w:bookmarkStart w:id="41" w:name="page42"/>
    <w:bookmarkEnd w:id="41"/>
    <w:p>
      <w:pPr>
        <w:jc w:val="right"/>
        <w:spacing w:after="0"/>
        <w:rPr>
          <w:sz w:val="20"/>
          <w:szCs w:val="20"/>
          <w:color w:val="auto"/>
        </w:rPr>
      </w:pPr>
      <w:r>
        <w:rPr>
          <w:rFonts w:ascii="Arial" w:cs="Arial" w:eastAsia="Arial" w:hAnsi="Arial"/>
          <w:sz w:val="18"/>
          <w:szCs w:val="18"/>
          <w:b w:val="1"/>
          <w:bCs w:val="1"/>
          <w:color w:val="auto"/>
        </w:rPr>
        <w:t>Exhibit 31.2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CERTIFICATION BY CHIEF FINANCIAL OFFICER</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I, Robert J. Krakauer, certify that:</w:t>
      </w:r>
    </w:p>
    <w:p>
      <w:pPr>
        <w:spacing w:after="0" w:line="171" w:lineRule="exact"/>
        <w:rPr>
          <w:sz w:val="20"/>
          <w:szCs w:val="20"/>
          <w:color w:val="auto"/>
        </w:rPr>
      </w:pPr>
    </w:p>
    <w:p>
      <w:pPr>
        <w:ind w:left="180" w:hanging="167"/>
        <w:spacing w:after="0"/>
        <w:tabs>
          <w:tab w:leader="none" w:pos="1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MagnaChip Semiconductor LLC;</w:t>
      </w:r>
    </w:p>
    <w:p>
      <w:pPr>
        <w:spacing w:after="0" w:line="171" w:lineRule="exact"/>
        <w:rPr>
          <w:rFonts w:ascii="Arial" w:cs="Arial" w:eastAsia="Arial" w:hAnsi="Arial"/>
          <w:sz w:val="18"/>
          <w:szCs w:val="18"/>
          <w:color w:val="auto"/>
        </w:rPr>
      </w:pPr>
    </w:p>
    <w:p>
      <w:pPr>
        <w:ind w:right="240" w:firstLine="8"/>
        <w:spacing w:after="0" w:line="332" w:lineRule="auto"/>
        <w:tabs>
          <w:tab w:leader="none" w:pos="176" w:val="left"/>
        </w:tabs>
        <w:numPr>
          <w:ilvl w:val="0"/>
          <w:numId w:val="13"/>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5" w:lineRule="exact"/>
        <w:rPr>
          <w:rFonts w:ascii="Arial" w:cs="Arial" w:eastAsia="Arial" w:hAnsi="Arial"/>
          <w:sz w:val="16"/>
          <w:szCs w:val="16"/>
          <w:color w:val="auto"/>
        </w:rPr>
      </w:pPr>
    </w:p>
    <w:p>
      <w:pPr>
        <w:ind w:right="320" w:firstLine="8"/>
        <w:spacing w:after="0" w:line="268" w:lineRule="auto"/>
        <w:tabs>
          <w:tab w:leader="none" w:pos="176" w:val="left"/>
        </w:tabs>
        <w:numPr>
          <w:ilvl w:val="0"/>
          <w:numId w:val="13"/>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31" w:lineRule="exact"/>
        <w:rPr>
          <w:rFonts w:ascii="Arial" w:cs="Arial" w:eastAsia="Arial" w:hAnsi="Arial"/>
          <w:sz w:val="18"/>
          <w:szCs w:val="18"/>
          <w:color w:val="auto"/>
        </w:rPr>
      </w:pPr>
    </w:p>
    <w:p>
      <w:pPr>
        <w:ind w:right="280" w:firstLine="8"/>
        <w:spacing w:after="0" w:line="268" w:lineRule="auto"/>
        <w:tabs>
          <w:tab w:leader="none" w:pos="176"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for the registrant and have:</w:t>
      </w:r>
    </w:p>
    <w:p>
      <w:pPr>
        <w:spacing w:after="0" w:line="50" w:lineRule="exact"/>
        <w:rPr>
          <w:rFonts w:ascii="Arial" w:cs="Arial" w:eastAsia="Arial" w:hAnsi="Arial"/>
          <w:sz w:val="18"/>
          <w:szCs w:val="18"/>
          <w:color w:val="auto"/>
        </w:rPr>
      </w:pPr>
    </w:p>
    <w:p>
      <w:pPr>
        <w:ind w:left="460" w:right="120" w:firstLine="4"/>
        <w:spacing w:after="0" w:line="259" w:lineRule="auto"/>
        <w:tabs>
          <w:tab w:leader="none" w:pos="699" w:val="left"/>
        </w:tabs>
        <w:numPr>
          <w:ilvl w:val="1"/>
          <w:numId w:val="1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9" w:lineRule="exact"/>
        <w:rPr>
          <w:rFonts w:ascii="Arial" w:cs="Arial" w:eastAsia="Arial" w:hAnsi="Arial"/>
          <w:sz w:val="18"/>
          <w:szCs w:val="18"/>
          <w:color w:val="auto"/>
        </w:rPr>
      </w:pPr>
    </w:p>
    <w:p>
      <w:pPr>
        <w:ind w:left="460" w:right="120" w:firstLine="4"/>
        <w:spacing w:after="0" w:line="332" w:lineRule="auto"/>
        <w:tabs>
          <w:tab w:leader="none" w:pos="709" w:val="left"/>
        </w:tabs>
        <w:numPr>
          <w:ilvl w:val="1"/>
          <w:numId w:val="13"/>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 w:lineRule="exact"/>
        <w:rPr>
          <w:rFonts w:ascii="Arial" w:cs="Arial" w:eastAsia="Arial" w:hAnsi="Arial"/>
          <w:sz w:val="16"/>
          <w:szCs w:val="16"/>
          <w:color w:val="auto"/>
        </w:rPr>
      </w:pPr>
    </w:p>
    <w:p>
      <w:pPr>
        <w:jc w:val="both"/>
        <w:ind w:left="460" w:right="360" w:firstLine="4"/>
        <w:spacing w:after="0" w:line="259" w:lineRule="auto"/>
        <w:tabs>
          <w:tab w:leader="none" w:pos="699" w:val="left"/>
        </w:tabs>
        <w:numPr>
          <w:ilvl w:val="1"/>
          <w:numId w:val="1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140" w:lineRule="exact"/>
        <w:rPr>
          <w:rFonts w:ascii="Arial" w:cs="Arial" w:eastAsia="Arial" w:hAnsi="Arial"/>
          <w:sz w:val="18"/>
          <w:szCs w:val="18"/>
          <w:color w:val="auto"/>
        </w:rPr>
      </w:pPr>
    </w:p>
    <w:p>
      <w:pPr>
        <w:ind w:right="720" w:firstLine="8"/>
        <w:spacing w:after="0" w:line="332" w:lineRule="auto"/>
        <w:tabs>
          <w:tab w:leader="none" w:pos="176" w:val="left"/>
        </w:tabs>
        <w:numPr>
          <w:ilvl w:val="0"/>
          <w:numId w:val="13"/>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4" w:lineRule="exact"/>
        <w:rPr>
          <w:rFonts w:ascii="Arial" w:cs="Arial" w:eastAsia="Arial" w:hAnsi="Arial"/>
          <w:sz w:val="16"/>
          <w:szCs w:val="16"/>
          <w:color w:val="auto"/>
        </w:rPr>
      </w:pPr>
    </w:p>
    <w:p>
      <w:pPr>
        <w:ind w:left="460" w:right="80" w:firstLine="4"/>
        <w:spacing w:after="0" w:line="268" w:lineRule="auto"/>
        <w:tabs>
          <w:tab w:leader="none" w:pos="699" w:val="left"/>
        </w:tabs>
        <w:numPr>
          <w:ilvl w:val="1"/>
          <w:numId w:val="13"/>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0" w:lineRule="exact"/>
        <w:rPr>
          <w:rFonts w:ascii="Arial" w:cs="Arial" w:eastAsia="Arial" w:hAnsi="Arial"/>
          <w:sz w:val="18"/>
          <w:szCs w:val="18"/>
          <w:color w:val="auto"/>
        </w:rPr>
      </w:pPr>
    </w:p>
    <w:p>
      <w:pPr>
        <w:ind w:left="460" w:right="300" w:firstLine="4"/>
        <w:spacing w:after="0" w:line="268" w:lineRule="auto"/>
        <w:tabs>
          <w:tab w:leader="none" w:pos="709" w:val="left"/>
        </w:tabs>
        <w:numPr>
          <w:ilvl w:val="1"/>
          <w:numId w:val="1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Date: August 14, 2006</w:t>
      </w: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color w:val="auto"/>
        </w:rPr>
        <w:t>/s/ Robert J. Krakauer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311277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3112770"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Robert J. Krakauer</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Executive Vice President, Corporate Operations,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and Chief Financial Officer</w:t>
      </w:r>
    </w:p>
    <w:p>
      <w:pPr>
        <w:sectPr>
          <w:pgSz w:w="11900" w:h="16838" w:orient="portrait"/>
          <w:cols w:equalWidth="0" w:num="1">
            <w:col w:w="11420"/>
          </w:cols>
          <w:pgMar w:left="240" w:top="125" w:right="239" w:bottom="1440" w:gutter="0" w:footer="0" w:header="0"/>
        </w:sectPr>
      </w:pPr>
    </w:p>
    <w:bookmarkStart w:id="42" w:name="page43"/>
    <w:bookmarkEnd w:id="42"/>
    <w:p>
      <w:pPr>
        <w:jc w:val="right"/>
        <w:spacing w:after="0"/>
        <w:rPr>
          <w:sz w:val="20"/>
          <w:szCs w:val="20"/>
          <w:color w:val="auto"/>
        </w:rPr>
      </w:pPr>
      <w:r>
        <w:rPr>
          <w:rFonts w:ascii="Arial" w:cs="Arial" w:eastAsia="Arial" w:hAnsi="Arial"/>
          <w:sz w:val="18"/>
          <w:szCs w:val="18"/>
          <w:b w:val="1"/>
          <w:bCs w:val="1"/>
          <w:color w:val="auto"/>
        </w:rPr>
        <w:t>Exhibit 32.1</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PURSUANT TO</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906 OF THE SARBANES-OXLEY ACT OF 2002</w:t>
      </w:r>
    </w:p>
    <w:p>
      <w:pPr>
        <w:spacing w:after="0" w:line="165" w:lineRule="exact"/>
        <w:rPr>
          <w:sz w:val="20"/>
          <w:szCs w:val="20"/>
          <w:color w:val="auto"/>
        </w:rPr>
      </w:pPr>
    </w:p>
    <w:p>
      <w:pPr>
        <w:jc w:val="both"/>
        <w:ind w:right="260" w:firstLine="456"/>
        <w:spacing w:after="0" w:line="306" w:lineRule="auto"/>
        <w:rPr>
          <w:sz w:val="20"/>
          <w:szCs w:val="20"/>
          <w:color w:val="auto"/>
        </w:rPr>
      </w:pPr>
      <w:r>
        <w:rPr>
          <w:rFonts w:ascii="Arial" w:cs="Arial" w:eastAsia="Arial" w:hAnsi="Arial"/>
          <w:sz w:val="16"/>
          <w:szCs w:val="16"/>
          <w:color w:val="auto"/>
        </w:rPr>
        <w:t>In connection with the Quarterly Report of MagnaChip Semiconductor LLC (the “Company”) on Form 10-Q for the period ending July 2, 2006, as filed with the Securities and Exchange Commission on the date hereof (the “Report”), I, Sang Park, Chief Executive Officer and President of the Company, certify, pursuant to 18 U.S.C. §1350, as adopted pursuant to §906 of the Sarbanes-Oxley Act of 2002, that to my knowledge:</w:t>
      </w:r>
    </w:p>
    <w:p>
      <w:pPr>
        <w:spacing w:after="0" w:line="107" w:lineRule="exact"/>
        <w:rPr>
          <w:sz w:val="20"/>
          <w:szCs w:val="20"/>
          <w:color w:val="auto"/>
        </w:rPr>
      </w:pPr>
    </w:p>
    <w:p>
      <w:pPr>
        <w:ind w:left="720" w:hanging="256"/>
        <w:spacing w:after="0"/>
        <w:tabs>
          <w:tab w:leader="none" w:pos="7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71" w:lineRule="exact"/>
        <w:rPr>
          <w:rFonts w:ascii="Arial" w:cs="Arial" w:eastAsia="Arial" w:hAnsi="Arial"/>
          <w:sz w:val="18"/>
          <w:szCs w:val="18"/>
          <w:color w:val="auto"/>
        </w:rPr>
      </w:pPr>
    </w:p>
    <w:p>
      <w:pPr>
        <w:ind w:left="720" w:hanging="256"/>
        <w:spacing w:after="0"/>
        <w:tabs>
          <w:tab w:leader="none" w:pos="720" w:val="left"/>
        </w:tabs>
        <w:numPr>
          <w:ilvl w:val="0"/>
          <w:numId w:val="14"/>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color w:val="auto"/>
        </w:rPr>
        <w:t>/s/ Sang Park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311277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3112770"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Sang Park</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Chief Executive Officer and President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August 14, 2006</w:t>
      </w:r>
    </w:p>
    <w:p>
      <w:pPr>
        <w:spacing w:after="0" w:line="165"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i w:val="1"/>
          <w:iCs w:val="1"/>
          <w:color w:val="auto"/>
        </w:rPr>
        <w:t>A signed original of this written statement required by Section 906 has been provided to the Company and will be retained by the Company and furnished to the Securities and Exchange Commission or its staff upon request.</w:t>
      </w:r>
    </w:p>
    <w:p>
      <w:pPr>
        <w:sectPr>
          <w:pgSz w:w="11900" w:h="16838" w:orient="portrait"/>
          <w:cols w:equalWidth="0" w:num="1">
            <w:col w:w="11420"/>
          </w:cols>
          <w:pgMar w:left="240" w:top="125" w:right="239" w:bottom="1440" w:gutter="0" w:footer="0" w:header="0"/>
        </w:sectPr>
      </w:pPr>
    </w:p>
    <w:bookmarkStart w:id="43" w:name="page44"/>
    <w:bookmarkEnd w:id="43"/>
    <w:p>
      <w:pPr>
        <w:jc w:val="right"/>
        <w:spacing w:after="0"/>
        <w:rPr>
          <w:sz w:val="20"/>
          <w:szCs w:val="20"/>
          <w:color w:val="auto"/>
        </w:rPr>
      </w:pPr>
      <w:r>
        <w:rPr>
          <w:rFonts w:ascii="Arial" w:cs="Arial" w:eastAsia="Arial" w:hAnsi="Arial"/>
          <w:sz w:val="18"/>
          <w:szCs w:val="18"/>
          <w:b w:val="1"/>
          <w:bCs w:val="1"/>
          <w:color w:val="auto"/>
        </w:rPr>
        <w:t>Exhibit 32.2</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PURSUANT TO</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906 OF THE SARBANES-OXLEY ACT OF 2002</w:t>
      </w:r>
    </w:p>
    <w:p>
      <w:pPr>
        <w:spacing w:after="0" w:line="165" w:lineRule="exact"/>
        <w:rPr>
          <w:sz w:val="20"/>
          <w:szCs w:val="20"/>
          <w:color w:val="auto"/>
        </w:rPr>
      </w:pPr>
    </w:p>
    <w:p>
      <w:pPr>
        <w:ind w:right="260" w:firstLine="456"/>
        <w:spacing w:after="0" w:line="256" w:lineRule="auto"/>
        <w:rPr>
          <w:sz w:val="20"/>
          <w:szCs w:val="20"/>
          <w:color w:val="auto"/>
        </w:rPr>
      </w:pPr>
      <w:r>
        <w:rPr>
          <w:rFonts w:ascii="Arial" w:cs="Arial" w:eastAsia="Arial" w:hAnsi="Arial"/>
          <w:sz w:val="18"/>
          <w:szCs w:val="18"/>
          <w:color w:val="auto"/>
        </w:rPr>
        <w:t>In connection with the Quarterly Report of MagnaChip Semiconductor LLC (the “Company”) on Form 10-Q for the period ending July 2, 2006, as filed with the Securities and Exchange Commission on the date hereof (the “Report”), I, Robert J. Krakauer, Executive Vice President, Corporate Operations, and Chief Financial Officer of the Company, certify, pursuant to 18 U.S.C. §1350, as adopted pursuant to §906 of the Sarbanes-Oxley Act of 2002, that to my knowledge:</w:t>
      </w:r>
    </w:p>
    <w:p>
      <w:pPr>
        <w:spacing w:after="0" w:line="143" w:lineRule="exact"/>
        <w:rPr>
          <w:sz w:val="20"/>
          <w:szCs w:val="20"/>
          <w:color w:val="auto"/>
        </w:rPr>
      </w:pPr>
    </w:p>
    <w:p>
      <w:pPr>
        <w:ind w:left="720" w:hanging="256"/>
        <w:spacing w:after="0"/>
        <w:tabs>
          <w:tab w:leader="none" w:pos="7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71" w:lineRule="exact"/>
        <w:rPr>
          <w:rFonts w:ascii="Arial" w:cs="Arial" w:eastAsia="Arial" w:hAnsi="Arial"/>
          <w:sz w:val="18"/>
          <w:szCs w:val="18"/>
          <w:color w:val="auto"/>
        </w:rPr>
      </w:pPr>
    </w:p>
    <w:p>
      <w:pPr>
        <w:ind w:left="720" w:hanging="256"/>
        <w:spacing w:after="0"/>
        <w:tabs>
          <w:tab w:leader="none" w:pos="720" w:val="left"/>
        </w:tabs>
        <w:numPr>
          <w:ilvl w:val="0"/>
          <w:numId w:val="15"/>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color w:val="auto"/>
        </w:rPr>
        <w:t>/s/ Robert J. Krakauer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311277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3112770"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Robert J. Krakauer</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Executive Vice President, Corporate Operations,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and Chief Financial Officer</w:t>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August 14, 2006</w:t>
      </w:r>
    </w:p>
    <w:p>
      <w:pPr>
        <w:spacing w:after="0" w:line="171"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i w:val="1"/>
          <w:iCs w:val="1"/>
          <w:color w:val="auto"/>
        </w:rPr>
        <w:t>A signed original of this written statement required by Section 906 has been provided to the Company and will be retained by the Company and furnished to the Securities and Exchange Commission or its staff upon request.</w:t>
      </w:r>
    </w:p>
    <w:sectPr>
      <w:pgSz w:w="11900" w:h="16838" w:orient="portrait"/>
      <w:cols w:equalWidth="0" w:num="1">
        <w:col w:w="11420"/>
      </w:cols>
      <w:pgMar w:left="240" w:top="12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545E146"/>
    <w:multiLevelType w:val="hybridMultilevel"/>
    <w:lvl w:ilvl="0">
      <w:lvlJc w:val="left"/>
      <w:lvlText w:val="☒"/>
      <w:numFmt w:val="bullet"/>
      <w:start w:val="1"/>
    </w:lvl>
  </w:abstractNum>
  <w:abstractNum w:abstractNumId="1">
    <w:nsid w:val="515F007C"/>
    <w:multiLevelType w:val="hybridMultilevel"/>
    <w:lvl w:ilvl="0">
      <w:lvlJc w:val="left"/>
      <w:lvlText w:val="☐"/>
      <w:numFmt w:val="bullet"/>
      <w:start w:val="1"/>
    </w:lvl>
  </w:abstractNum>
  <w:abstractNum w:abstractNumId="2">
    <w:nsid w:val="5BD062C2"/>
    <w:multiLevelType w:val="hybridMultilevel"/>
    <w:lvl w:ilvl="0">
      <w:lvlJc w:val="left"/>
      <w:lvlText w:val="%1."/>
      <w:numFmt w:val="decimal"/>
      <w:start w:val="1"/>
    </w:lvl>
  </w:abstractNum>
  <w:abstractNum w:abstractNumId="3">
    <w:nsid w:val="12200854"/>
    <w:multiLevelType w:val="hybridMultilevel"/>
    <w:lvl w:ilvl="0">
      <w:lvlJc w:val="left"/>
      <w:lvlText w:val="(%1)"/>
      <w:numFmt w:val="lowerRoman"/>
      <w:start w:val="7"/>
    </w:lvl>
  </w:abstractNum>
  <w:abstractNum w:abstractNumId="4">
    <w:nsid w:val="4DB127F8"/>
    <w:multiLevelType w:val="hybridMultilevel"/>
    <w:lvl w:ilvl="0">
      <w:lvlJc w:val="left"/>
      <w:lvlText w:val="%1."/>
      <w:numFmt w:val="decimal"/>
      <w:start w:val="11"/>
    </w:lvl>
  </w:abstractNum>
  <w:abstractNum w:abstractNumId="5">
    <w:nsid w:val="216231B"/>
    <w:multiLevelType w:val="hybridMultilevel"/>
    <w:lvl w:ilvl="0">
      <w:lvlJc w:val="left"/>
      <w:lvlText w:val="%1."/>
      <w:numFmt w:val="decimal"/>
      <w:start w:val="12"/>
    </w:lvl>
  </w:abstractNum>
  <w:abstractNum w:abstractNumId="6">
    <w:nsid w:val="1F16E9E8"/>
    <w:multiLevelType w:val="hybridMultilevel"/>
    <w:lvl w:ilvl="0">
      <w:lvlJc w:val="left"/>
      <w:lvlText w:val="•"/>
      <w:numFmt w:val="bullet"/>
      <w:start w:val="1"/>
    </w:lvl>
  </w:abstractNum>
  <w:abstractNum w:abstractNumId="7">
    <w:nsid w:val="1190CDE7"/>
    <w:multiLevelType w:val="hybridMultilevel"/>
    <w:lvl w:ilvl="0">
      <w:lvlJc w:val="left"/>
      <w:lvlText w:val="*"/>
      <w:numFmt w:val="bullet"/>
      <w:start w:val="1"/>
    </w:lvl>
  </w:abstractNum>
  <w:abstractNum w:abstractNumId="8">
    <w:nsid w:val="66EF438D"/>
    <w:multiLevelType w:val="hybridMultilevel"/>
    <w:lvl w:ilvl="0">
      <w:lvlJc w:val="left"/>
      <w:lvlText w:val="#"/>
      <w:numFmt w:val="bullet"/>
      <w:start w:val="1"/>
    </w:lvl>
  </w:abstractNum>
  <w:abstractNum w:abstractNumId="9">
    <w:nsid w:val="140E0F76"/>
    <w:multiLevelType w:val="hybridMultilevel"/>
    <w:lvl w:ilvl="0">
      <w:lvlJc w:val="left"/>
      <w:lvlText w:val="*"/>
      <w:numFmt w:val="bullet"/>
      <w:start w:val="1"/>
    </w:lvl>
  </w:abstractNum>
  <w:abstractNum w:abstractNumId="10">
    <w:nsid w:val="3352255A"/>
    <w:multiLevelType w:val="hybridMultilevel"/>
    <w:lvl w:ilvl="0">
      <w:lvlJc w:val="left"/>
      <w:lvlText w:val="#"/>
      <w:numFmt w:val="bullet"/>
      <w:start w:val="1"/>
    </w:lvl>
  </w:abstractNum>
  <w:abstractNum w:abstractNumId="11">
    <w:nsid w:val="109CF92E"/>
    <w:multiLevelType w:val="hybridMultilevel"/>
    <w:lvl w:ilvl="0">
      <w:lvlJc w:val="left"/>
      <w:lvlText w:val="%1."/>
      <w:numFmt w:val="decimal"/>
      <w:start w:val="1"/>
    </w:lvl>
    <w:lvl w:ilvl="1">
      <w:lvlJc w:val="left"/>
      <w:lvlText w:val="(%2)"/>
      <w:numFmt w:val="lowerLetter"/>
      <w:start w:val="1"/>
    </w:lvl>
  </w:abstractNum>
  <w:abstractNum w:abstractNumId="12">
    <w:nsid w:val="DED7263"/>
    <w:multiLevelType w:val="hybridMultilevel"/>
    <w:lvl w:ilvl="0">
      <w:lvlJc w:val="left"/>
      <w:lvlText w:val="%1."/>
      <w:numFmt w:val="decimal"/>
      <w:start w:val="1"/>
    </w:lvl>
    <w:lvl w:ilvl="1">
      <w:lvlJc w:val="left"/>
      <w:lvlText w:val="(%2)"/>
      <w:numFmt w:val="lowerLetter"/>
      <w:start w:val="1"/>
    </w:lvl>
  </w:abstractNum>
  <w:abstractNum w:abstractNumId="13">
    <w:nsid w:val="7FDCC233"/>
    <w:multiLevelType w:val="hybridMultilevel"/>
    <w:lvl w:ilvl="0">
      <w:lvlJc w:val="left"/>
      <w:lvlText w:val="(%1)"/>
      <w:numFmt w:val="decimal"/>
      <w:start w:val="1"/>
    </w:lvl>
  </w:abstractNum>
  <w:abstractNum w:abstractNumId="14">
    <w:nsid w:val="1BEFD79F"/>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2019-12-15T11:11:18Z</dcterms:created>
  <dcterms:modified xsi:type="dcterms:W3CDTF">2019-12-15T11:11:18Z</dcterms:modified>
</cp:coreProperties>
</file>